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rFonts w:ascii="Arial" w:cs="Arial" w:eastAsia="Arial" w:hAnsi="Arial"/>
          <w:sz w:val="18"/>
          <w:szCs w:val="18"/>
          <w:b w:val="1"/>
          <w:bCs w:val="1"/>
          <w:u w:val="single" w:color="auto"/>
          <w:color w:val="0000EE"/>
        </w:rPr>
      </w:pPr>
      <w:hyperlink w:anchor="page4">
        <w:r>
          <w:rPr>
            <w:rFonts w:ascii="Arial" w:cs="Arial" w:eastAsia="Arial" w:hAnsi="Arial"/>
            <w:sz w:val="18"/>
            <w:szCs w:val="18"/>
            <w:b w:val="1"/>
            <w:bCs w:val="1"/>
            <w:u w:val="single" w:color="auto"/>
            <w:color w:val="0000EE"/>
          </w:rPr>
          <w:t>Table of Contents</w:t>
        </w:r>
      </w:hyperlink>
    </w:p>
    <w:p>
      <w:pPr>
        <w:spacing w:after="0" w:line="306" w:lineRule="exact"/>
        <w:rPr>
          <w:sz w:val="24"/>
          <w:szCs w:val="24"/>
          <w:color w:val="auto"/>
        </w:rPr>
      </w:pPr>
    </w:p>
    <w:p>
      <w:pPr>
        <w:jc w:val="center"/>
        <w:ind w:right="-139"/>
        <w:spacing w:after="0"/>
        <w:rPr>
          <w:sz w:val="20"/>
          <w:szCs w:val="20"/>
          <w:color w:val="auto"/>
        </w:rPr>
      </w:pPr>
      <w:r>
        <w:rPr>
          <w:rFonts w:ascii="Arial" w:cs="Arial" w:eastAsia="Arial" w:hAnsi="Arial"/>
          <w:sz w:val="18"/>
          <w:szCs w:val="18"/>
          <w:b w:val="1"/>
          <w:bCs w:val="1"/>
          <w:color w:val="auto"/>
        </w:rPr>
        <w:t>UNITED STATES</w:t>
      </w:r>
    </w:p>
    <w:p>
      <w:pPr>
        <w:spacing w:after="0" w:line="27" w:lineRule="exact"/>
        <w:rPr>
          <w:sz w:val="24"/>
          <w:szCs w:val="24"/>
          <w:color w:val="auto"/>
        </w:rPr>
      </w:pPr>
    </w:p>
    <w:p>
      <w:pPr>
        <w:jc w:val="center"/>
        <w:ind w:right="-139"/>
        <w:spacing w:after="0"/>
        <w:rPr>
          <w:sz w:val="20"/>
          <w:szCs w:val="20"/>
          <w:color w:val="auto"/>
        </w:rPr>
      </w:pPr>
      <w:r>
        <w:rPr>
          <w:rFonts w:ascii="Arial" w:cs="Arial" w:eastAsia="Arial" w:hAnsi="Arial"/>
          <w:sz w:val="18"/>
          <w:szCs w:val="18"/>
          <w:b w:val="1"/>
          <w:bCs w:val="1"/>
          <w:color w:val="auto"/>
        </w:rPr>
        <w:t>SECURITIES AND EXCHANGE COMMISSION</w:t>
      </w:r>
    </w:p>
    <w:p>
      <w:pPr>
        <w:spacing w:after="0" w:line="9" w:lineRule="exact"/>
        <w:rPr>
          <w:sz w:val="24"/>
          <w:szCs w:val="24"/>
          <w:color w:val="auto"/>
        </w:rPr>
      </w:pPr>
    </w:p>
    <w:p>
      <w:pPr>
        <w:jc w:val="center"/>
        <w:ind w:right="-139"/>
        <w:spacing w:after="0"/>
        <w:rPr>
          <w:sz w:val="20"/>
          <w:szCs w:val="20"/>
          <w:color w:val="auto"/>
        </w:rPr>
      </w:pPr>
      <w:r>
        <w:rPr>
          <w:rFonts w:ascii="Arial" w:cs="Arial" w:eastAsia="Arial" w:hAnsi="Arial"/>
          <w:sz w:val="18"/>
          <w:szCs w:val="18"/>
          <w:b w:val="1"/>
          <w:bCs w:val="1"/>
          <w:color w:val="auto"/>
        </w:rPr>
        <w:t>WASHINGTON, D.C. 20549</w:t>
      </w:r>
    </w:p>
    <w:p>
      <w:pPr>
        <w:spacing w:after="0" w:line="202" w:lineRule="exact"/>
        <w:rPr>
          <w:sz w:val="24"/>
          <w:szCs w:val="24"/>
          <w:color w:val="auto"/>
        </w:rPr>
      </w:pPr>
    </w:p>
    <w:p>
      <w:pPr>
        <w:jc w:val="center"/>
        <w:ind w:right="-139"/>
        <w:spacing w:after="0"/>
        <w:rPr>
          <w:sz w:val="20"/>
          <w:szCs w:val="20"/>
          <w:color w:val="auto"/>
        </w:rPr>
      </w:pPr>
      <w:r>
        <w:rPr>
          <w:rFonts w:ascii="Arial" w:cs="Arial" w:eastAsia="Arial" w:hAnsi="Arial"/>
          <w:sz w:val="25"/>
          <w:szCs w:val="25"/>
          <w:b w:val="1"/>
          <w:bCs w:val="1"/>
          <w:color w:val="auto"/>
        </w:rPr>
        <w:t>SCHEDULE 14A</w:t>
      </w:r>
    </w:p>
    <w:p>
      <w:pPr>
        <w:spacing w:after="0" w:line="230" w:lineRule="exact"/>
        <w:rPr>
          <w:sz w:val="24"/>
          <w:szCs w:val="24"/>
          <w:color w:val="auto"/>
        </w:rPr>
      </w:pPr>
    </w:p>
    <w:p>
      <w:pPr>
        <w:jc w:val="center"/>
        <w:ind w:right="-139"/>
        <w:spacing w:after="0"/>
        <w:rPr>
          <w:sz w:val="20"/>
          <w:szCs w:val="20"/>
          <w:color w:val="auto"/>
        </w:rPr>
      </w:pPr>
      <w:r>
        <w:rPr>
          <w:rFonts w:ascii="Arial" w:cs="Arial" w:eastAsia="Arial" w:hAnsi="Arial"/>
          <w:sz w:val="18"/>
          <w:szCs w:val="18"/>
          <w:b w:val="1"/>
          <w:bCs w:val="1"/>
          <w:color w:val="auto"/>
        </w:rPr>
        <w:t>(RULE 14a-101)</w:t>
      </w:r>
    </w:p>
    <w:p>
      <w:pPr>
        <w:spacing w:after="0" w:line="225" w:lineRule="exact"/>
        <w:rPr>
          <w:sz w:val="24"/>
          <w:szCs w:val="24"/>
          <w:color w:val="auto"/>
        </w:rPr>
      </w:pPr>
    </w:p>
    <w:p>
      <w:pPr>
        <w:jc w:val="center"/>
        <w:ind w:right="-139"/>
        <w:spacing w:after="0"/>
        <w:rPr>
          <w:sz w:val="20"/>
          <w:szCs w:val="20"/>
          <w:color w:val="auto"/>
        </w:rPr>
      </w:pPr>
      <w:r>
        <w:rPr>
          <w:rFonts w:ascii="Arial" w:cs="Arial" w:eastAsia="Arial" w:hAnsi="Arial"/>
          <w:sz w:val="18"/>
          <w:szCs w:val="18"/>
          <w:b w:val="1"/>
          <w:bCs w:val="1"/>
          <w:color w:val="auto"/>
        </w:rPr>
        <w:t>SCHEDULE 14A INFORMATION</w:t>
      </w:r>
    </w:p>
    <w:p>
      <w:pPr>
        <w:spacing w:after="0" w:line="229" w:lineRule="exact"/>
        <w:rPr>
          <w:sz w:val="24"/>
          <w:szCs w:val="24"/>
          <w:color w:val="auto"/>
        </w:rPr>
      </w:pPr>
    </w:p>
    <w:p>
      <w:pPr>
        <w:jc w:val="center"/>
        <w:ind w:right="-139"/>
        <w:spacing w:after="0"/>
        <w:rPr>
          <w:sz w:val="20"/>
          <w:szCs w:val="20"/>
          <w:color w:val="auto"/>
        </w:rPr>
      </w:pPr>
      <w:r>
        <w:rPr>
          <w:rFonts w:ascii="Arial" w:cs="Arial" w:eastAsia="Arial" w:hAnsi="Arial"/>
          <w:sz w:val="18"/>
          <w:szCs w:val="18"/>
          <w:color w:val="auto"/>
        </w:rPr>
        <w:t>Proxy Statement Pursuant to Section 14(a) of the Securities</w:t>
      </w:r>
    </w:p>
    <w:p>
      <w:pPr>
        <w:spacing w:after="0" w:line="23" w:lineRule="exact"/>
        <w:rPr>
          <w:sz w:val="24"/>
          <w:szCs w:val="24"/>
          <w:color w:val="auto"/>
        </w:rPr>
      </w:pPr>
    </w:p>
    <w:p>
      <w:pPr>
        <w:ind w:left="3940"/>
        <w:spacing w:after="0"/>
        <w:tabs>
          <w:tab w:leader="none" w:pos="7420" w:val="left"/>
        </w:tabs>
        <w:rPr>
          <w:sz w:val="20"/>
          <w:szCs w:val="20"/>
          <w:color w:val="auto"/>
        </w:rPr>
      </w:pPr>
      <w:r>
        <w:rPr>
          <w:rFonts w:ascii="Arial" w:cs="Arial" w:eastAsia="Arial" w:hAnsi="Arial"/>
          <w:sz w:val="18"/>
          <w:szCs w:val="18"/>
          <w:color w:val="auto"/>
        </w:rPr>
        <w:t>Exchange Act of 1934 (Amendment No.</w:t>
      </w:r>
      <w:r>
        <w:rPr>
          <w:sz w:val="20"/>
          <w:szCs w:val="20"/>
          <w:color w:val="auto"/>
        </w:rPr>
        <w:tab/>
      </w:r>
      <w:r>
        <w:rPr>
          <w:rFonts w:ascii="Arial" w:cs="Arial" w:eastAsia="Arial" w:hAnsi="Arial"/>
          <w:sz w:val="18"/>
          <w:szCs w:val="18"/>
          <w:color w:val="auto"/>
        </w:rPr>
        <w:t>)</w:t>
      </w:r>
    </w:p>
    <w:p>
      <w:pPr>
        <w:spacing w:after="0" w:line="70" w:lineRule="exact"/>
        <w:rPr>
          <w:sz w:val="24"/>
          <w:szCs w:val="24"/>
          <w:color w:val="auto"/>
        </w:rPr>
      </w:pPr>
    </w:p>
    <w:p>
      <w:pPr>
        <w:spacing w:after="0" w:line="207" w:lineRule="exact"/>
        <w:rPr>
          <w:sz w:val="20"/>
          <w:szCs w:val="20"/>
          <w:color w:val="auto"/>
        </w:rPr>
      </w:pPr>
      <w:r>
        <w:rPr>
          <w:rFonts w:ascii="Arial" w:cs="Arial" w:eastAsia="Arial" w:hAnsi="Arial"/>
          <w:sz w:val="18"/>
          <w:szCs w:val="18"/>
          <w:color w:val="auto"/>
        </w:rPr>
        <w:t xml:space="preserve">Filed by the Registrant </w:t>
      </w:r>
      <w:r>
        <w:rPr>
          <w:rFonts w:ascii="MS PGothic" w:cs="MS PGothic" w:eastAsia="MS PGothic" w:hAnsi="MS PGothic"/>
          <w:sz w:val="18"/>
          <w:szCs w:val="18"/>
          <w:color w:val="auto"/>
        </w:rPr>
        <w:t>☑</w:t>
      </w:r>
    </w:p>
    <w:p>
      <w:pPr>
        <w:spacing w:after="0" w:line="51" w:lineRule="exact"/>
        <w:rPr>
          <w:sz w:val="24"/>
          <w:szCs w:val="24"/>
          <w:color w:val="auto"/>
        </w:rPr>
      </w:pPr>
    </w:p>
    <w:p>
      <w:pPr>
        <w:spacing w:after="0" w:line="207" w:lineRule="exact"/>
        <w:rPr>
          <w:sz w:val="20"/>
          <w:szCs w:val="20"/>
          <w:color w:val="auto"/>
        </w:rPr>
      </w:pPr>
      <w:r>
        <w:rPr>
          <w:rFonts w:ascii="Arial" w:cs="Arial" w:eastAsia="Arial" w:hAnsi="Arial"/>
          <w:sz w:val="18"/>
          <w:szCs w:val="18"/>
          <w:color w:val="auto"/>
        </w:rPr>
        <w:t xml:space="preserve">Filed by a Party other than the Registrant </w:t>
      </w:r>
      <w:r>
        <w:rPr>
          <w:rFonts w:ascii="MS PGothic" w:cs="MS PGothic" w:eastAsia="MS PGothic" w:hAnsi="MS PGothic"/>
          <w:sz w:val="18"/>
          <w:szCs w:val="18"/>
          <w:color w:val="auto"/>
        </w:rPr>
        <w:t>☐</w:t>
      </w:r>
    </w:p>
    <w:p>
      <w:pPr>
        <w:spacing w:after="0" w:line="16" w:lineRule="exact"/>
        <w:rPr>
          <w:sz w:val="24"/>
          <w:szCs w:val="24"/>
          <w:color w:val="auto"/>
        </w:rPr>
      </w:pPr>
    </w:p>
    <w:p>
      <w:pPr>
        <w:spacing w:after="0"/>
        <w:rPr>
          <w:sz w:val="20"/>
          <w:szCs w:val="20"/>
          <w:color w:val="auto"/>
        </w:rPr>
      </w:pPr>
      <w:r>
        <w:rPr>
          <w:rFonts w:ascii="Arial" w:cs="Arial" w:eastAsia="Arial" w:hAnsi="Arial"/>
          <w:sz w:val="18"/>
          <w:szCs w:val="18"/>
          <w:color w:val="auto"/>
        </w:rPr>
        <w:t>Check the appropriate box:</w:t>
      </w:r>
    </w:p>
    <w:p>
      <w:pPr>
        <w:spacing w:after="0" w:line="236" w:lineRule="exact"/>
        <w:rPr>
          <w:sz w:val="24"/>
          <w:szCs w:val="24"/>
          <w:color w:val="auto"/>
        </w:rPr>
      </w:pPr>
    </w:p>
    <w:p>
      <w:pPr>
        <w:ind w:left="340" w:hanging="332"/>
        <w:spacing w:after="0"/>
        <w:tabs>
          <w:tab w:leader="none" w:pos="34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Preliminary Proxy Statement</w:t>
      </w:r>
    </w:p>
    <w:p>
      <w:pPr>
        <w:spacing w:after="0" w:line="25" w:lineRule="exact"/>
        <w:rPr>
          <w:rFonts w:ascii="MS PGothic" w:cs="MS PGothic" w:eastAsia="MS PGothic" w:hAnsi="MS PGothic"/>
          <w:sz w:val="18"/>
          <w:szCs w:val="18"/>
          <w:color w:val="auto"/>
        </w:rPr>
      </w:pPr>
    </w:p>
    <w:p>
      <w:pPr>
        <w:ind w:left="340" w:hanging="332"/>
        <w:spacing w:after="0"/>
        <w:tabs>
          <w:tab w:leader="none" w:pos="340" w:val="left"/>
        </w:tabs>
        <w:numPr>
          <w:ilvl w:val="0"/>
          <w:numId w:val="1"/>
        </w:numPr>
        <w:rPr>
          <w:rFonts w:ascii="MS PGothic" w:cs="MS PGothic" w:eastAsia="MS PGothic" w:hAnsi="MS PGothic"/>
          <w:sz w:val="18"/>
          <w:szCs w:val="18"/>
          <w:color w:val="auto"/>
        </w:rPr>
      </w:pPr>
      <w:r>
        <w:rPr>
          <w:rFonts w:ascii="Arial" w:cs="Arial" w:eastAsia="Arial" w:hAnsi="Arial"/>
          <w:sz w:val="18"/>
          <w:szCs w:val="18"/>
          <w:b w:val="1"/>
          <w:bCs w:val="1"/>
          <w:color w:val="auto"/>
        </w:rPr>
        <w:t>Confidential, for Use of the Commission Only (as permitted by Rule 14a-6(e)(2))</w:t>
      </w:r>
    </w:p>
    <w:p>
      <w:pPr>
        <w:spacing w:after="0" w:line="9" w:lineRule="exact"/>
        <w:rPr>
          <w:rFonts w:ascii="MS PGothic" w:cs="MS PGothic" w:eastAsia="MS PGothic" w:hAnsi="MS PGothic"/>
          <w:sz w:val="18"/>
          <w:szCs w:val="18"/>
          <w:color w:val="auto"/>
        </w:rPr>
      </w:pPr>
    </w:p>
    <w:p>
      <w:pPr>
        <w:spacing w:after="0" w:line="207" w:lineRule="exact"/>
        <w:rPr>
          <w:rFonts w:ascii="MS PGothic" w:cs="MS PGothic" w:eastAsia="MS PGothic" w:hAnsi="MS PGothic"/>
          <w:sz w:val="18"/>
          <w:szCs w:val="18"/>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Definitive Proxy Statement</w:t>
      </w:r>
    </w:p>
    <w:p>
      <w:pPr>
        <w:spacing w:after="0" w:line="9" w:lineRule="exact"/>
        <w:rPr>
          <w:rFonts w:ascii="MS PGothic" w:cs="MS PGothic" w:eastAsia="MS PGothic" w:hAnsi="MS PGothic"/>
          <w:sz w:val="18"/>
          <w:szCs w:val="18"/>
          <w:color w:val="auto"/>
        </w:rPr>
      </w:pPr>
    </w:p>
    <w:p>
      <w:pPr>
        <w:ind w:left="340" w:hanging="332"/>
        <w:spacing w:after="0"/>
        <w:tabs>
          <w:tab w:leader="none" w:pos="34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Definitive Additional Materials</w:t>
      </w:r>
    </w:p>
    <w:p>
      <w:pPr>
        <w:spacing w:after="0" w:line="9" w:lineRule="exact"/>
        <w:rPr>
          <w:rFonts w:ascii="MS PGothic" w:cs="MS PGothic" w:eastAsia="MS PGothic" w:hAnsi="MS PGothic"/>
          <w:sz w:val="18"/>
          <w:szCs w:val="18"/>
          <w:color w:val="auto"/>
        </w:rPr>
      </w:pPr>
    </w:p>
    <w:p>
      <w:pPr>
        <w:ind w:left="340" w:hanging="332"/>
        <w:spacing w:after="0"/>
        <w:tabs>
          <w:tab w:leader="none" w:pos="34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Soliciting Material Pursuant to §240.14a-12</w:t>
      </w:r>
    </w:p>
    <w:p>
      <w:pPr>
        <w:spacing w:after="0" w:line="209" w:lineRule="exact"/>
        <w:rPr>
          <w:sz w:val="24"/>
          <w:szCs w:val="24"/>
          <w:color w:val="auto"/>
        </w:rPr>
      </w:pPr>
    </w:p>
    <w:p>
      <w:pPr>
        <w:jc w:val="center"/>
        <w:ind w:right="-139"/>
        <w:spacing w:after="0"/>
        <w:rPr>
          <w:sz w:val="20"/>
          <w:szCs w:val="20"/>
          <w:color w:val="auto"/>
        </w:rPr>
      </w:pPr>
      <w:r>
        <w:rPr>
          <w:rFonts w:ascii="Arial" w:cs="Arial" w:eastAsia="Arial" w:hAnsi="Arial"/>
          <w:sz w:val="18"/>
          <w:szCs w:val="18"/>
          <w:color w:val="auto"/>
        </w:rPr>
        <w:t>TIMKENSTEEL CORPORATION</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57785</wp:posOffset>
            </wp:positionV>
            <wp:extent cx="724662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97" w:lineRule="exact"/>
        <w:rPr>
          <w:sz w:val="24"/>
          <w:szCs w:val="24"/>
          <w:color w:val="auto"/>
        </w:rPr>
      </w:pPr>
    </w:p>
    <w:p>
      <w:pPr>
        <w:jc w:val="center"/>
        <w:ind w:right="-139"/>
        <w:spacing w:after="0"/>
        <w:rPr>
          <w:sz w:val="20"/>
          <w:szCs w:val="20"/>
          <w:color w:val="auto"/>
        </w:rPr>
      </w:pPr>
      <w:r>
        <w:rPr>
          <w:rFonts w:ascii="Arial" w:cs="Arial" w:eastAsia="Arial" w:hAnsi="Arial"/>
          <w:sz w:val="18"/>
          <w:szCs w:val="18"/>
          <w:color w:val="auto"/>
        </w:rPr>
        <w:t>(Name of Registrant as Specified In Its Charter)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203835</wp:posOffset>
            </wp:positionV>
            <wp:extent cx="72466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340" w:lineRule="exact"/>
        <w:rPr>
          <w:sz w:val="24"/>
          <w:szCs w:val="24"/>
          <w:color w:val="auto"/>
        </w:rPr>
      </w:pPr>
    </w:p>
    <w:p>
      <w:pPr>
        <w:ind w:left="3120"/>
        <w:spacing w:after="0"/>
        <w:rPr>
          <w:sz w:val="20"/>
          <w:szCs w:val="20"/>
          <w:color w:val="auto"/>
        </w:rPr>
      </w:pPr>
      <w:r>
        <w:rPr>
          <w:rFonts w:ascii="Arial" w:cs="Arial" w:eastAsia="Arial" w:hAnsi="Arial"/>
          <w:sz w:val="18"/>
          <w:szCs w:val="18"/>
          <w:color w:val="auto"/>
        </w:rPr>
        <w:t>(Name of Person(s) Filing Proxy Statement, if other than the Registrant)</w:t>
      </w:r>
    </w:p>
    <w:p>
      <w:pPr>
        <w:spacing w:after="0" w:line="225" w:lineRule="exact"/>
        <w:rPr>
          <w:sz w:val="24"/>
          <w:szCs w:val="24"/>
          <w:color w:val="auto"/>
        </w:rPr>
      </w:pPr>
    </w:p>
    <w:p>
      <w:pPr>
        <w:spacing w:after="0"/>
        <w:rPr>
          <w:sz w:val="20"/>
          <w:szCs w:val="20"/>
          <w:color w:val="auto"/>
        </w:rPr>
      </w:pPr>
      <w:r>
        <w:rPr>
          <w:rFonts w:ascii="Arial" w:cs="Arial" w:eastAsia="Arial" w:hAnsi="Arial"/>
          <w:sz w:val="18"/>
          <w:szCs w:val="18"/>
          <w:color w:val="auto"/>
        </w:rPr>
        <w:t>Payment of Filing Fee (Check the appropriate box):</w:t>
      </w:r>
    </w:p>
    <w:p>
      <w:pPr>
        <w:spacing w:after="0" w:line="252" w:lineRule="exact"/>
        <w:rPr>
          <w:sz w:val="24"/>
          <w:szCs w:val="24"/>
          <w:color w:val="auto"/>
        </w:rPr>
      </w:pPr>
    </w:p>
    <w:p>
      <w:pPr>
        <w:ind w:left="460" w:hanging="452"/>
        <w:spacing w:after="0"/>
        <w:tabs>
          <w:tab w:leader="none" w:pos="460" w:val="left"/>
        </w:tabs>
        <w:numPr>
          <w:ilvl w:val="0"/>
          <w:numId w:val="2"/>
        </w:numPr>
        <w:rPr>
          <w:rFonts w:ascii="MS PGothic" w:cs="MS PGothic" w:eastAsia="MS PGothic" w:hAnsi="MS PGothic"/>
          <w:sz w:val="18"/>
          <w:szCs w:val="18"/>
          <w:color w:val="auto"/>
        </w:rPr>
      </w:pPr>
      <w:r>
        <w:rPr>
          <w:rFonts w:ascii="Arial" w:cs="Arial" w:eastAsia="Arial" w:hAnsi="Arial"/>
          <w:sz w:val="18"/>
          <w:szCs w:val="18"/>
          <w:color w:val="auto"/>
        </w:rPr>
        <w:t>No fee required.</w:t>
      </w:r>
    </w:p>
    <w:p>
      <w:pPr>
        <w:spacing w:after="0" w:line="252" w:lineRule="exact"/>
        <w:rPr>
          <w:sz w:val="24"/>
          <w:szCs w:val="24"/>
          <w:color w:val="auto"/>
        </w:rPr>
      </w:pPr>
    </w:p>
    <w:p>
      <w:pPr>
        <w:ind w:left="460" w:hanging="452"/>
        <w:spacing w:after="0"/>
        <w:tabs>
          <w:tab w:leader="none" w:pos="460" w:val="left"/>
        </w:tabs>
        <w:numPr>
          <w:ilvl w:val="0"/>
          <w:numId w:val="3"/>
        </w:numPr>
        <w:rPr>
          <w:rFonts w:ascii="MS PGothic" w:cs="MS PGothic" w:eastAsia="MS PGothic" w:hAnsi="MS PGothic"/>
          <w:sz w:val="18"/>
          <w:szCs w:val="18"/>
          <w:color w:val="auto"/>
        </w:rPr>
      </w:pPr>
      <w:r>
        <w:rPr>
          <w:rFonts w:ascii="Arial" w:cs="Arial" w:eastAsia="Arial" w:hAnsi="Arial"/>
          <w:sz w:val="18"/>
          <w:szCs w:val="18"/>
          <w:color w:val="auto"/>
        </w:rPr>
        <w:t>Fee computed on table below per Exchange Act Rules 14a-6(i)(1) and 0-11.</w:t>
      </w:r>
    </w:p>
    <w:p>
      <w:pPr>
        <w:spacing w:after="0" w:line="252" w:lineRule="exact"/>
        <w:rPr>
          <w:rFonts w:ascii="MS PGothic" w:cs="MS PGothic" w:eastAsia="MS PGothic" w:hAnsi="MS PGothic"/>
          <w:sz w:val="18"/>
          <w:szCs w:val="18"/>
          <w:color w:val="auto"/>
        </w:rPr>
      </w:pPr>
    </w:p>
    <w:p>
      <w:pPr>
        <w:ind w:left="1480" w:hanging="1026"/>
        <w:spacing w:after="0"/>
        <w:tabs>
          <w:tab w:leader="none" w:pos="1480" w:val="left"/>
        </w:tabs>
        <w:numPr>
          <w:ilvl w:val="1"/>
          <w:numId w:val="3"/>
        </w:numPr>
        <w:rPr>
          <w:rFonts w:ascii="Arial" w:cs="Arial" w:eastAsia="Arial" w:hAnsi="Arial"/>
          <w:sz w:val="18"/>
          <w:szCs w:val="18"/>
          <w:color w:val="auto"/>
        </w:rPr>
      </w:pPr>
      <w:r>
        <w:rPr>
          <w:rFonts w:ascii="Arial" w:cs="Arial" w:eastAsia="Arial" w:hAnsi="Arial"/>
          <w:sz w:val="18"/>
          <w:szCs w:val="18"/>
          <w:color w:val="auto"/>
        </w:rPr>
        <w:t>Title of each class of securities to which transaction applies:</w:t>
      </w:r>
    </w:p>
    <w:p>
      <w:pPr>
        <w:spacing w:after="0" w:line="200" w:lineRule="exact"/>
        <w:rPr>
          <w:rFonts w:ascii="Arial" w:cs="Arial" w:eastAsia="Arial" w:hAnsi="Arial"/>
          <w:sz w:val="18"/>
          <w:szCs w:val="18"/>
          <w:color w:val="auto"/>
        </w:rPr>
      </w:pPr>
    </w:p>
    <w:p>
      <w:pPr>
        <w:spacing w:after="0" w:line="200" w:lineRule="exact"/>
        <w:rPr>
          <w:rFonts w:ascii="Arial" w:cs="Arial" w:eastAsia="Arial" w:hAnsi="Arial"/>
          <w:sz w:val="18"/>
          <w:szCs w:val="18"/>
          <w:color w:val="auto"/>
        </w:rPr>
      </w:pPr>
    </w:p>
    <w:p>
      <w:pPr>
        <w:spacing w:after="0" w:line="203" w:lineRule="exact"/>
        <w:rPr>
          <w:rFonts w:ascii="Arial" w:cs="Arial" w:eastAsia="Arial" w:hAnsi="Arial"/>
          <w:sz w:val="18"/>
          <w:szCs w:val="18"/>
          <w:color w:val="auto"/>
        </w:rPr>
      </w:pPr>
    </w:p>
    <w:p>
      <w:pPr>
        <w:ind w:left="1480" w:hanging="1026"/>
        <w:spacing w:after="0"/>
        <w:tabs>
          <w:tab w:leader="none" w:pos="1480" w:val="left"/>
        </w:tabs>
        <w:numPr>
          <w:ilvl w:val="1"/>
          <w:numId w:val="3"/>
        </w:numPr>
        <w:rPr>
          <w:rFonts w:ascii="Arial" w:cs="Arial" w:eastAsia="Arial" w:hAnsi="Arial"/>
          <w:sz w:val="18"/>
          <w:szCs w:val="18"/>
          <w:color w:val="auto"/>
        </w:rPr>
      </w:pPr>
      <w:r>
        <w:rPr>
          <w:rFonts w:ascii="Arial" w:cs="Arial" w:eastAsia="Arial" w:hAnsi="Arial"/>
          <w:sz w:val="18"/>
          <w:szCs w:val="18"/>
          <w:color w:val="auto"/>
        </w:rPr>
        <w:t>Aggregate number of securities to which transaction applies:</w:t>
      </w:r>
    </w:p>
    <w:p>
      <w:pPr>
        <w:spacing w:after="0" w:line="200" w:lineRule="exact"/>
        <w:rPr>
          <w:rFonts w:ascii="Arial" w:cs="Arial" w:eastAsia="Arial" w:hAnsi="Arial"/>
          <w:sz w:val="18"/>
          <w:szCs w:val="18"/>
          <w:color w:val="auto"/>
        </w:rPr>
      </w:pPr>
    </w:p>
    <w:p>
      <w:pPr>
        <w:spacing w:after="0" w:line="200" w:lineRule="exact"/>
        <w:rPr>
          <w:rFonts w:ascii="Arial" w:cs="Arial" w:eastAsia="Arial" w:hAnsi="Arial"/>
          <w:sz w:val="18"/>
          <w:szCs w:val="18"/>
          <w:color w:val="auto"/>
        </w:rPr>
      </w:pPr>
    </w:p>
    <w:p>
      <w:pPr>
        <w:spacing w:after="0" w:line="203" w:lineRule="exact"/>
        <w:rPr>
          <w:rFonts w:ascii="Arial" w:cs="Arial" w:eastAsia="Arial" w:hAnsi="Arial"/>
          <w:sz w:val="18"/>
          <w:szCs w:val="18"/>
          <w:color w:val="auto"/>
        </w:rPr>
      </w:pPr>
    </w:p>
    <w:p>
      <w:pPr>
        <w:ind w:left="1480" w:hanging="1026"/>
        <w:spacing w:after="0" w:line="277" w:lineRule="auto"/>
        <w:tabs>
          <w:tab w:leader="none" w:pos="1480" w:val="left"/>
        </w:tabs>
        <w:numPr>
          <w:ilvl w:val="1"/>
          <w:numId w:val="3"/>
        </w:numPr>
        <w:rPr>
          <w:rFonts w:ascii="Arial" w:cs="Arial" w:eastAsia="Arial" w:hAnsi="Arial"/>
          <w:sz w:val="18"/>
          <w:szCs w:val="18"/>
          <w:color w:val="auto"/>
        </w:rPr>
      </w:pPr>
      <w:r>
        <w:rPr>
          <w:rFonts w:ascii="Arial" w:cs="Arial" w:eastAsia="Arial" w:hAnsi="Arial"/>
          <w:sz w:val="18"/>
          <w:szCs w:val="18"/>
          <w:color w:val="auto"/>
        </w:rPr>
        <w:t>Per unit price or other underlying value of transaction computed pursuant to Exchange Act Rule 0-11 (set forth the amount on which the filing fee is calculated and state how it was determined):</w:t>
      </w:r>
    </w:p>
    <w:p>
      <w:pPr>
        <w:spacing w:after="0" w:line="200" w:lineRule="exact"/>
        <w:rPr>
          <w:rFonts w:ascii="Arial" w:cs="Arial" w:eastAsia="Arial" w:hAnsi="Arial"/>
          <w:sz w:val="18"/>
          <w:szCs w:val="18"/>
          <w:color w:val="auto"/>
        </w:rPr>
      </w:pPr>
    </w:p>
    <w:p>
      <w:pPr>
        <w:spacing w:after="0" w:line="348" w:lineRule="exact"/>
        <w:rPr>
          <w:rFonts w:ascii="Arial" w:cs="Arial" w:eastAsia="Arial" w:hAnsi="Arial"/>
          <w:sz w:val="18"/>
          <w:szCs w:val="18"/>
          <w:color w:val="auto"/>
        </w:rPr>
      </w:pPr>
    </w:p>
    <w:p>
      <w:pPr>
        <w:ind w:left="1480" w:hanging="1026"/>
        <w:spacing w:after="0"/>
        <w:tabs>
          <w:tab w:leader="none" w:pos="1480" w:val="left"/>
        </w:tabs>
        <w:numPr>
          <w:ilvl w:val="1"/>
          <w:numId w:val="3"/>
        </w:numPr>
        <w:rPr>
          <w:rFonts w:ascii="Arial" w:cs="Arial" w:eastAsia="Arial" w:hAnsi="Arial"/>
          <w:sz w:val="18"/>
          <w:szCs w:val="18"/>
          <w:color w:val="auto"/>
        </w:rPr>
      </w:pPr>
      <w:r>
        <w:rPr>
          <w:rFonts w:ascii="Arial" w:cs="Arial" w:eastAsia="Arial" w:hAnsi="Arial"/>
          <w:sz w:val="18"/>
          <w:szCs w:val="18"/>
          <w:color w:val="auto"/>
        </w:rPr>
        <w:t>Proposed maximum aggregate value of transaction:</w:t>
      </w:r>
    </w:p>
    <w:p>
      <w:pPr>
        <w:spacing w:after="0" w:line="200" w:lineRule="exact"/>
        <w:rPr>
          <w:rFonts w:ascii="Arial" w:cs="Arial" w:eastAsia="Arial" w:hAnsi="Arial"/>
          <w:sz w:val="18"/>
          <w:szCs w:val="18"/>
          <w:color w:val="auto"/>
        </w:rPr>
      </w:pPr>
    </w:p>
    <w:p>
      <w:pPr>
        <w:spacing w:after="0" w:line="200" w:lineRule="exact"/>
        <w:rPr>
          <w:rFonts w:ascii="Arial" w:cs="Arial" w:eastAsia="Arial" w:hAnsi="Arial"/>
          <w:sz w:val="18"/>
          <w:szCs w:val="18"/>
          <w:color w:val="auto"/>
        </w:rPr>
      </w:pPr>
    </w:p>
    <w:p>
      <w:pPr>
        <w:spacing w:after="0" w:line="203" w:lineRule="exact"/>
        <w:rPr>
          <w:rFonts w:ascii="Arial" w:cs="Arial" w:eastAsia="Arial" w:hAnsi="Arial"/>
          <w:sz w:val="18"/>
          <w:szCs w:val="18"/>
          <w:color w:val="auto"/>
        </w:rPr>
      </w:pPr>
    </w:p>
    <w:p>
      <w:pPr>
        <w:ind w:left="1480" w:hanging="1026"/>
        <w:spacing w:after="0"/>
        <w:tabs>
          <w:tab w:leader="none" w:pos="1480" w:val="left"/>
        </w:tabs>
        <w:numPr>
          <w:ilvl w:val="1"/>
          <w:numId w:val="3"/>
        </w:numPr>
        <w:rPr>
          <w:rFonts w:ascii="Arial" w:cs="Arial" w:eastAsia="Arial" w:hAnsi="Arial"/>
          <w:sz w:val="18"/>
          <w:szCs w:val="18"/>
          <w:color w:val="auto"/>
        </w:rPr>
      </w:pPr>
      <w:r>
        <w:rPr>
          <w:rFonts w:ascii="Arial" w:cs="Arial" w:eastAsia="Arial" w:hAnsi="Arial"/>
          <w:sz w:val="18"/>
          <w:szCs w:val="18"/>
          <w:color w:val="auto"/>
        </w:rPr>
        <w:t>Total fee paid:</w:t>
      </w:r>
    </w:p>
    <w:p>
      <w:pPr>
        <w:spacing w:after="0" w:line="200" w:lineRule="exact"/>
        <w:rPr>
          <w:rFonts w:ascii="Arial" w:cs="Arial" w:eastAsia="Arial" w:hAnsi="Arial"/>
          <w:sz w:val="18"/>
          <w:szCs w:val="18"/>
          <w:color w:val="auto"/>
        </w:rPr>
      </w:pPr>
    </w:p>
    <w:p>
      <w:pPr>
        <w:spacing w:after="0" w:line="200" w:lineRule="exact"/>
        <w:rPr>
          <w:rFonts w:ascii="Arial" w:cs="Arial" w:eastAsia="Arial" w:hAnsi="Arial"/>
          <w:sz w:val="18"/>
          <w:szCs w:val="18"/>
          <w:color w:val="auto"/>
        </w:rPr>
      </w:pPr>
    </w:p>
    <w:p>
      <w:pPr>
        <w:spacing w:after="0" w:line="203" w:lineRule="exact"/>
        <w:rPr>
          <w:rFonts w:ascii="Arial" w:cs="Arial" w:eastAsia="Arial" w:hAnsi="Arial"/>
          <w:sz w:val="18"/>
          <w:szCs w:val="18"/>
          <w:color w:val="auto"/>
        </w:rPr>
      </w:pPr>
    </w:p>
    <w:p>
      <w:pPr>
        <w:ind w:left="460" w:hanging="452"/>
        <w:spacing w:after="0"/>
        <w:tabs>
          <w:tab w:leader="none" w:pos="460" w:val="left"/>
        </w:tabs>
        <w:numPr>
          <w:ilvl w:val="0"/>
          <w:numId w:val="3"/>
        </w:numPr>
        <w:rPr>
          <w:rFonts w:ascii="MS PGothic" w:cs="MS PGothic" w:eastAsia="MS PGothic" w:hAnsi="MS PGothic"/>
          <w:sz w:val="18"/>
          <w:szCs w:val="18"/>
          <w:color w:val="auto"/>
        </w:rPr>
      </w:pPr>
      <w:r>
        <w:rPr>
          <w:rFonts w:ascii="Arial" w:cs="Arial" w:eastAsia="Arial" w:hAnsi="Arial"/>
          <w:sz w:val="18"/>
          <w:szCs w:val="18"/>
          <w:color w:val="auto"/>
        </w:rPr>
        <w:t>Fee paid previoulsy with preliminary materials.</w:t>
      </w:r>
    </w:p>
    <w:p>
      <w:pPr>
        <w:spacing w:after="0" w:line="252" w:lineRule="exact"/>
        <w:rPr>
          <w:rFonts w:ascii="MS PGothic" w:cs="MS PGothic" w:eastAsia="MS PGothic" w:hAnsi="MS PGothic"/>
          <w:sz w:val="18"/>
          <w:szCs w:val="18"/>
          <w:color w:val="auto"/>
        </w:rPr>
      </w:pPr>
    </w:p>
    <w:p>
      <w:pPr>
        <w:ind w:left="460" w:right="320" w:hanging="452"/>
        <w:spacing w:after="0" w:line="308" w:lineRule="auto"/>
        <w:tabs>
          <w:tab w:leader="none" w:pos="460" w:val="left"/>
        </w:tabs>
        <w:numPr>
          <w:ilvl w:val="0"/>
          <w:numId w:val="3"/>
        </w:numPr>
        <w:rPr>
          <w:rFonts w:ascii="MS PGothic" w:cs="MS PGothic" w:eastAsia="MS PGothic" w:hAnsi="MS PGothic"/>
          <w:sz w:val="17"/>
          <w:szCs w:val="17"/>
          <w:color w:val="auto"/>
        </w:rPr>
      </w:pPr>
      <w:r>
        <w:rPr>
          <w:rFonts w:ascii="Arial" w:cs="Arial" w:eastAsia="Arial" w:hAnsi="Arial"/>
          <w:sz w:val="17"/>
          <w:szCs w:val="17"/>
          <w:color w:val="auto"/>
        </w:rPr>
        <w:t>Check box if any part of the fee is offset as provided by Exchange Act Rule 0-11(a)(2) and identify the filing for which the offsetting fee was paid previously. Identify the previous filing by registration statement number, or the Form or Schedule and the date of its filing.</w:t>
      </w:r>
    </w:p>
    <w:p>
      <w:pPr>
        <w:spacing w:after="0" w:line="173" w:lineRule="exact"/>
        <w:rPr>
          <w:rFonts w:ascii="MS PGothic" w:cs="MS PGothic" w:eastAsia="MS PGothic" w:hAnsi="MS PGothic"/>
          <w:sz w:val="17"/>
          <w:szCs w:val="17"/>
          <w:color w:val="auto"/>
        </w:rPr>
      </w:pPr>
    </w:p>
    <w:p>
      <w:pPr>
        <w:ind w:left="1480" w:hanging="1026"/>
        <w:spacing w:after="0"/>
        <w:tabs>
          <w:tab w:leader="none" w:pos="1480" w:val="left"/>
        </w:tabs>
        <w:numPr>
          <w:ilvl w:val="1"/>
          <w:numId w:val="3"/>
        </w:numPr>
        <w:rPr>
          <w:rFonts w:ascii="Arial" w:cs="Arial" w:eastAsia="Arial" w:hAnsi="Arial"/>
          <w:sz w:val="18"/>
          <w:szCs w:val="18"/>
          <w:color w:val="auto"/>
        </w:rPr>
      </w:pPr>
      <w:r>
        <w:rPr>
          <w:rFonts w:ascii="Arial" w:cs="Arial" w:eastAsia="Arial" w:hAnsi="Arial"/>
          <w:sz w:val="18"/>
          <w:szCs w:val="18"/>
          <w:color w:val="auto"/>
        </w:rPr>
        <w:t>Amount Previously Paid:</w:t>
      </w:r>
    </w:p>
    <w:p>
      <w:pPr>
        <w:spacing w:after="0" w:line="200" w:lineRule="exact"/>
        <w:rPr>
          <w:rFonts w:ascii="Arial" w:cs="Arial" w:eastAsia="Arial" w:hAnsi="Arial"/>
          <w:sz w:val="18"/>
          <w:szCs w:val="18"/>
          <w:color w:val="auto"/>
        </w:rPr>
      </w:pPr>
    </w:p>
    <w:p>
      <w:pPr>
        <w:spacing w:after="0" w:line="200" w:lineRule="exact"/>
        <w:rPr>
          <w:rFonts w:ascii="Arial" w:cs="Arial" w:eastAsia="Arial" w:hAnsi="Arial"/>
          <w:sz w:val="18"/>
          <w:szCs w:val="18"/>
          <w:color w:val="auto"/>
        </w:rPr>
      </w:pPr>
    </w:p>
    <w:p>
      <w:pPr>
        <w:spacing w:after="0" w:line="203" w:lineRule="exact"/>
        <w:rPr>
          <w:rFonts w:ascii="Arial" w:cs="Arial" w:eastAsia="Arial" w:hAnsi="Arial"/>
          <w:sz w:val="18"/>
          <w:szCs w:val="18"/>
          <w:color w:val="auto"/>
        </w:rPr>
      </w:pPr>
    </w:p>
    <w:p>
      <w:pPr>
        <w:ind w:left="1480" w:hanging="1026"/>
        <w:spacing w:after="0"/>
        <w:tabs>
          <w:tab w:leader="none" w:pos="1480" w:val="left"/>
        </w:tabs>
        <w:numPr>
          <w:ilvl w:val="1"/>
          <w:numId w:val="3"/>
        </w:numPr>
        <w:rPr>
          <w:rFonts w:ascii="Arial" w:cs="Arial" w:eastAsia="Arial" w:hAnsi="Arial"/>
          <w:sz w:val="18"/>
          <w:szCs w:val="18"/>
          <w:color w:val="auto"/>
        </w:rPr>
      </w:pPr>
      <w:r>
        <w:rPr>
          <w:rFonts w:ascii="Arial" w:cs="Arial" w:eastAsia="Arial" w:hAnsi="Arial"/>
          <w:sz w:val="18"/>
          <w:szCs w:val="18"/>
          <w:color w:val="auto"/>
        </w:rPr>
        <w:t>Form, Schedule or Registration Statement No.:</w:t>
      </w:r>
    </w:p>
    <w:p>
      <w:pPr>
        <w:spacing w:after="0" w:line="200" w:lineRule="exact"/>
        <w:rPr>
          <w:rFonts w:ascii="Arial" w:cs="Arial" w:eastAsia="Arial" w:hAnsi="Arial"/>
          <w:sz w:val="18"/>
          <w:szCs w:val="18"/>
          <w:color w:val="auto"/>
        </w:rPr>
      </w:pPr>
    </w:p>
    <w:p>
      <w:pPr>
        <w:spacing w:after="0" w:line="200" w:lineRule="exact"/>
        <w:rPr>
          <w:rFonts w:ascii="Arial" w:cs="Arial" w:eastAsia="Arial" w:hAnsi="Arial"/>
          <w:sz w:val="18"/>
          <w:szCs w:val="18"/>
          <w:color w:val="auto"/>
        </w:rPr>
      </w:pPr>
    </w:p>
    <w:p>
      <w:pPr>
        <w:spacing w:after="0" w:line="203" w:lineRule="exact"/>
        <w:rPr>
          <w:rFonts w:ascii="Arial" w:cs="Arial" w:eastAsia="Arial" w:hAnsi="Arial"/>
          <w:sz w:val="18"/>
          <w:szCs w:val="18"/>
          <w:color w:val="auto"/>
        </w:rPr>
      </w:pPr>
    </w:p>
    <w:p>
      <w:pPr>
        <w:ind w:left="1480" w:hanging="1026"/>
        <w:spacing w:after="0"/>
        <w:tabs>
          <w:tab w:leader="none" w:pos="1480" w:val="left"/>
        </w:tabs>
        <w:numPr>
          <w:ilvl w:val="1"/>
          <w:numId w:val="3"/>
        </w:numPr>
        <w:rPr>
          <w:rFonts w:ascii="Arial" w:cs="Arial" w:eastAsia="Arial" w:hAnsi="Arial"/>
          <w:sz w:val="18"/>
          <w:szCs w:val="18"/>
          <w:color w:val="auto"/>
        </w:rPr>
      </w:pPr>
      <w:r>
        <w:rPr>
          <w:rFonts w:ascii="Arial" w:cs="Arial" w:eastAsia="Arial" w:hAnsi="Arial"/>
          <w:sz w:val="18"/>
          <w:szCs w:val="18"/>
          <w:color w:val="auto"/>
        </w:rPr>
        <w:t>Filing Party:</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948690</wp:posOffset>
            </wp:positionH>
            <wp:positionV relativeFrom="paragraph">
              <wp:posOffset>-4255135</wp:posOffset>
            </wp:positionV>
            <wp:extent cx="630301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6303010" cy="8890"/>
                    </a:xfrm>
                    <a:prstGeom prst="rect">
                      <a:avLst/>
                    </a:prstGeom>
                    <a:noFill/>
                  </pic:spPr>
                </pic:pic>
              </a:graphicData>
            </a:graphic>
          </wp:anchor>
        </w:drawing>
        <w:drawing>
          <wp:anchor simplePos="0" relativeHeight="251657728" behindDoc="1" locked="0" layoutInCell="0" allowOverlap="1">
            <wp:simplePos x="0" y="0"/>
            <wp:positionH relativeFrom="column">
              <wp:posOffset>948690</wp:posOffset>
            </wp:positionH>
            <wp:positionV relativeFrom="paragraph">
              <wp:posOffset>-3740785</wp:posOffset>
            </wp:positionV>
            <wp:extent cx="6303010"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303010" cy="8890"/>
                    </a:xfrm>
                    <a:prstGeom prst="rect">
                      <a:avLst/>
                    </a:prstGeom>
                    <a:noFill/>
                  </pic:spPr>
                </pic:pic>
              </a:graphicData>
            </a:graphic>
          </wp:anchor>
        </w:drawing>
        <w:drawing>
          <wp:anchor simplePos="0" relativeHeight="251657728" behindDoc="1" locked="0" layoutInCell="0" allowOverlap="1">
            <wp:simplePos x="0" y="0"/>
            <wp:positionH relativeFrom="column">
              <wp:posOffset>948690</wp:posOffset>
            </wp:positionH>
            <wp:positionV relativeFrom="paragraph">
              <wp:posOffset>-3088640</wp:posOffset>
            </wp:positionV>
            <wp:extent cx="6303010"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6303010" cy="8890"/>
                    </a:xfrm>
                    <a:prstGeom prst="rect">
                      <a:avLst/>
                    </a:prstGeom>
                    <a:noFill/>
                  </pic:spPr>
                </pic:pic>
              </a:graphicData>
            </a:graphic>
          </wp:anchor>
        </w:drawing>
        <w:drawing>
          <wp:anchor simplePos="0" relativeHeight="251657728" behindDoc="1" locked="0" layoutInCell="0" allowOverlap="1">
            <wp:simplePos x="0" y="0"/>
            <wp:positionH relativeFrom="column">
              <wp:posOffset>948690</wp:posOffset>
            </wp:positionH>
            <wp:positionV relativeFrom="paragraph">
              <wp:posOffset>-2574290</wp:posOffset>
            </wp:positionV>
            <wp:extent cx="630301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6303010" cy="8890"/>
                    </a:xfrm>
                    <a:prstGeom prst="rect">
                      <a:avLst/>
                    </a:prstGeom>
                    <a:noFill/>
                  </pic:spPr>
                </pic:pic>
              </a:graphicData>
            </a:graphic>
          </wp:anchor>
        </w:drawing>
        <w:drawing>
          <wp:anchor simplePos="0" relativeHeight="251657728" behindDoc="1" locked="0" layoutInCell="0" allowOverlap="1">
            <wp:simplePos x="0" y="0"/>
            <wp:positionH relativeFrom="column">
              <wp:posOffset>948690</wp:posOffset>
            </wp:positionH>
            <wp:positionV relativeFrom="paragraph">
              <wp:posOffset>-2059940</wp:posOffset>
            </wp:positionV>
            <wp:extent cx="6303010"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6303010" cy="8890"/>
                    </a:xfrm>
                    <a:prstGeom prst="rect">
                      <a:avLst/>
                    </a:prstGeom>
                    <a:noFill/>
                  </pic:spPr>
                </pic:pic>
              </a:graphicData>
            </a:graphic>
          </wp:anchor>
        </w:drawing>
        <w:drawing>
          <wp:anchor simplePos="0" relativeHeight="251657728" behindDoc="1" locked="0" layoutInCell="0" allowOverlap="1">
            <wp:simplePos x="0" y="0"/>
            <wp:positionH relativeFrom="column">
              <wp:posOffset>948690</wp:posOffset>
            </wp:positionH>
            <wp:positionV relativeFrom="paragraph">
              <wp:posOffset>-824865</wp:posOffset>
            </wp:positionV>
            <wp:extent cx="6303010"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6303010" cy="8890"/>
                    </a:xfrm>
                    <a:prstGeom prst="rect">
                      <a:avLst/>
                    </a:prstGeom>
                    <a:noFill/>
                  </pic:spPr>
                </pic:pic>
              </a:graphicData>
            </a:graphic>
          </wp:anchor>
        </w:drawing>
        <w:drawing>
          <wp:anchor simplePos="0" relativeHeight="251657728" behindDoc="1" locked="0" layoutInCell="0" allowOverlap="1">
            <wp:simplePos x="0" y="0"/>
            <wp:positionH relativeFrom="column">
              <wp:posOffset>948690</wp:posOffset>
            </wp:positionH>
            <wp:positionV relativeFrom="paragraph">
              <wp:posOffset>-310515</wp:posOffset>
            </wp:positionV>
            <wp:extent cx="6303010"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6303010" cy="8890"/>
                    </a:xfrm>
                    <a:prstGeom prst="rect">
                      <a:avLst/>
                    </a:prstGeom>
                    <a:noFill/>
                  </pic:spPr>
                </pic:pic>
              </a:graphicData>
            </a:graphic>
          </wp:anchor>
        </w:drawing>
        <w:drawing>
          <wp:anchor simplePos="0" relativeHeight="251657728" behindDoc="1" locked="0" layoutInCell="0" allowOverlap="1">
            <wp:simplePos x="0" y="0"/>
            <wp:positionH relativeFrom="column">
              <wp:posOffset>948690</wp:posOffset>
            </wp:positionH>
            <wp:positionV relativeFrom="paragraph">
              <wp:posOffset>203835</wp:posOffset>
            </wp:positionV>
            <wp:extent cx="6303010" cy="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6303010" cy="8890"/>
                    </a:xfrm>
                    <a:prstGeom prst="rect">
                      <a:avLst/>
                    </a:prstGeom>
                    <a:noFill/>
                  </pic:spPr>
                </pic:pic>
              </a:graphicData>
            </a:graphic>
          </wp:anchor>
        </w:drawing>
      </w:r>
    </w:p>
    <w:p>
      <w:pPr>
        <w:sectPr>
          <w:pgSz w:w="11900" w:h="16838" w:orient="portrait"/>
          <w:cols w:equalWidth="0" w:num="1">
            <w:col w:w="11300"/>
          </w:cols>
          <w:pgMar w:left="240" w:top="230" w:right="359" w:bottom="0" w:gutter="0" w:footer="0" w:header="0"/>
        </w:sectPr>
      </w:pPr>
    </w:p>
    <w:p>
      <w:pPr>
        <w:spacing w:after="0" w:line="200" w:lineRule="exact"/>
        <w:rPr>
          <w:sz w:val="24"/>
          <w:szCs w:val="24"/>
          <w:color w:val="auto"/>
        </w:rPr>
      </w:pPr>
    </w:p>
    <w:p>
      <w:pPr>
        <w:spacing w:after="0" w:line="200" w:lineRule="exact"/>
        <w:rPr>
          <w:sz w:val="24"/>
          <w:szCs w:val="24"/>
          <w:color w:val="auto"/>
        </w:rPr>
      </w:pPr>
    </w:p>
    <w:p>
      <w:pPr>
        <w:spacing w:after="0" w:line="203" w:lineRule="exact"/>
        <w:rPr>
          <w:sz w:val="24"/>
          <w:szCs w:val="24"/>
          <w:color w:val="auto"/>
        </w:rPr>
      </w:pPr>
    </w:p>
    <w:p>
      <w:pPr>
        <w:ind w:left="1480" w:hanging="1026"/>
        <w:spacing w:after="0"/>
        <w:tabs>
          <w:tab w:leader="none" w:pos="1480" w:val="left"/>
        </w:tabs>
        <w:numPr>
          <w:ilvl w:val="0"/>
          <w:numId w:val="4"/>
        </w:numPr>
        <w:rPr>
          <w:rFonts w:ascii="Arial" w:cs="Arial" w:eastAsia="Arial" w:hAnsi="Arial"/>
          <w:sz w:val="16"/>
          <w:szCs w:val="16"/>
          <w:color w:val="auto"/>
        </w:rPr>
      </w:pPr>
      <w:r>
        <w:rPr>
          <w:rFonts w:ascii="Arial" w:cs="Arial" w:eastAsia="Arial" w:hAnsi="Arial"/>
          <w:sz w:val="16"/>
          <w:szCs w:val="16"/>
          <w:color w:val="auto"/>
        </w:rPr>
        <w:t>Date Filed:</w:t>
      </w:r>
    </w:p>
    <w:p>
      <w:pPr>
        <w:sectPr>
          <w:pgSz w:w="11900" w:h="16838" w:orient="portrait"/>
          <w:cols w:equalWidth="0" w:num="1">
            <w:col w:w="11300"/>
          </w:cols>
          <w:pgMar w:left="240" w:top="230" w:right="359" w:bottom="0" w:gutter="0" w:footer="0" w:header="0"/>
          <w:type w:val="continuous"/>
        </w:sectPr>
      </w:pPr>
    </w:p>
    <w:bookmarkStart w:id="1" w:name="page2"/>
    <w:bookmarkEnd w:id="1"/>
    <w:p>
      <w:pPr>
        <w:spacing w:after="0"/>
        <w:tabs>
          <w:tab w:leader="none" w:pos="1480" w:val="left"/>
        </w:tabs>
        <w:rPr>
          <w:sz w:val="20"/>
          <w:szCs w:val="20"/>
          <w:color w:val="auto"/>
        </w:rPr>
      </w:pPr>
      <w:r>
        <w:rPr>
          <w:sz w:val="20"/>
          <w:szCs w:val="20"/>
          <w:color w:val="auto"/>
        </w:rPr>
        <w:drawing>
          <wp:anchor simplePos="0" relativeHeight="251657728" behindDoc="1" locked="0" layoutInCell="0" allowOverlap="1">
            <wp:simplePos x="0" y="0"/>
            <wp:positionH relativeFrom="page">
              <wp:posOffset>1101090</wp:posOffset>
            </wp:positionH>
            <wp:positionV relativeFrom="page">
              <wp:posOffset>277495</wp:posOffset>
            </wp:positionV>
            <wp:extent cx="6303010" cy="88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6303010" cy="8890"/>
                    </a:xfrm>
                    <a:prstGeom prst="rect">
                      <a:avLst/>
                    </a:prstGeom>
                    <a:noFill/>
                  </pic:spPr>
                </pic:pic>
              </a:graphicData>
            </a:graphic>
          </wp:anchor>
        </w:drawing>
      </w:r>
    </w:p>
    <w:p>
      <w:pPr>
        <w:sectPr>
          <w:pgSz w:w="11900" w:h="16838" w:orient="portrait"/>
          <w:cols w:equalWidth="1" w:num="1" w:space="0"/>
          <w:pgMar w:left="1440" w:top="1440" w:right="1440" w:bottom="875" w:gutter="0" w:footer="0" w:header="0"/>
        </w:sectPr>
      </w:pPr>
    </w:p>
    <w:bookmarkStart w:id="2" w:name="page3"/>
    <w:bookmarkEnd w:id="2"/>
    <w:p>
      <w:pPr>
        <w:spacing w:after="0"/>
        <w:rPr>
          <w:rFonts w:ascii="Arial" w:cs="Arial" w:eastAsia="Arial" w:hAnsi="Arial"/>
          <w:sz w:val="16"/>
          <w:szCs w:val="16"/>
          <w:b w:val="1"/>
          <w:bCs w:val="1"/>
          <w:u w:val="single" w:color="auto"/>
          <w:color w:val="0000EE"/>
        </w:rPr>
      </w:pPr>
      <w:r>
        <w:rPr>
          <w:rFonts w:ascii="Arial" w:cs="Arial" w:eastAsia="Arial" w:hAnsi="Arial"/>
          <w:sz w:val="16"/>
          <w:szCs w:val="16"/>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4">
        <w:r>
          <w:rPr>
            <w:rFonts w:ascii="Arial" w:cs="Arial" w:eastAsia="Arial" w:hAnsi="Arial"/>
            <w:sz w:val="16"/>
            <w:szCs w:val="16"/>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220345</wp:posOffset>
            </wp:positionV>
            <wp:extent cx="7306310" cy="936498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306310" cy="9364980"/>
                    </a:xfrm>
                    <a:prstGeom prst="rect">
                      <a:avLst/>
                    </a:prstGeom>
                    <a:noFill/>
                  </pic:spPr>
                </pic:pic>
              </a:graphicData>
            </a:graphic>
          </wp:anchor>
        </w:drawing>
      </w:r>
    </w:p>
    <w:p>
      <w:pPr>
        <w:sectPr>
          <w:pgSz w:w="11900" w:h="16838" w:orient="portrait"/>
          <w:cols w:equalWidth="0" w:num="1">
            <w:col w:w="10219"/>
          </w:cols>
          <w:pgMar w:left="240" w:top="459" w:right="1440" w:bottom="1440" w:gutter="0" w:footer="0" w:header="0"/>
        </w:sectPr>
      </w:pPr>
    </w:p>
    <w:bookmarkStart w:id="3" w:name="page4"/>
    <w:bookmarkEnd w:id="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318" w:lineRule="exact"/>
        <w:rPr>
          <w:sz w:val="20"/>
          <w:szCs w:val="20"/>
          <w:color w:val="auto"/>
        </w:rPr>
      </w:pPr>
    </w:p>
    <w:tbl>
      <w:tblPr>
        <w:tblLayout w:type="fixed"/>
        <w:tblInd w:w="0" w:type="dxa"/>
        <w:tblCellMar>
          <w:top w:w="0" w:type="dxa"/>
          <w:left w:w="0" w:type="dxa"/>
          <w:bottom w:w="0" w:type="dxa"/>
          <w:right w:w="0" w:type="dxa"/>
        </w:tblCellMar>
      </w:tblPr>
      <w:tr>
        <w:trPr>
          <w:trHeight w:val="205"/>
        </w:trPr>
        <w:tc>
          <w:tcPr>
            <w:tcW w:w="10340" w:type="dxa"/>
            <w:vAlign w:val="bottom"/>
            <w:gridSpan w:val="34"/>
          </w:tcPr>
          <w:p>
            <w:pPr>
              <w:spacing w:after="0"/>
              <w:rPr>
                <w:sz w:val="20"/>
                <w:szCs w:val="20"/>
                <w:color w:val="auto"/>
              </w:rPr>
            </w:pPr>
            <w:r>
              <w:rPr>
                <w:rFonts w:ascii="Arial" w:cs="Arial" w:eastAsia="Arial" w:hAnsi="Arial"/>
                <w:sz w:val="17"/>
                <w:szCs w:val="17"/>
                <w:color w:val="666666"/>
              </w:rPr>
              <w:t>TABLE OF CONTENTS</w:t>
            </w:r>
          </w:p>
        </w:tc>
        <w:tc>
          <w:tcPr>
            <w:tcW w:w="860" w:type="dxa"/>
            <w:vAlign w:val="bottom"/>
          </w:tcPr>
          <w:p>
            <w:pPr>
              <w:spacing w:after="0"/>
              <w:rPr>
                <w:sz w:val="17"/>
                <w:szCs w:val="17"/>
                <w:color w:val="auto"/>
              </w:rPr>
            </w:pPr>
          </w:p>
        </w:tc>
      </w:tr>
      <w:tr>
        <w:trPr>
          <w:trHeight w:val="396"/>
        </w:trPr>
        <w:tc>
          <w:tcPr>
            <w:tcW w:w="1360" w:type="dxa"/>
            <w:vAlign w:val="bottom"/>
            <w:tcBorders>
              <w:bottom w:val="single" w:sz="8" w:color="0000EE"/>
            </w:tcBorders>
            <w:gridSpan w:val="5"/>
          </w:tcPr>
          <w:p>
            <w:pPr>
              <w:spacing w:after="0"/>
              <w:rPr>
                <w:rFonts w:ascii="Arial" w:cs="Arial" w:eastAsia="Arial" w:hAnsi="Arial"/>
                <w:sz w:val="17"/>
                <w:szCs w:val="17"/>
                <w:color w:val="0000EE"/>
                <w:w w:val="99"/>
              </w:rPr>
            </w:pPr>
            <w:hyperlink w:anchor="page5">
              <w:r>
                <w:rPr>
                  <w:rFonts w:ascii="Arial" w:cs="Arial" w:eastAsia="Arial" w:hAnsi="Arial"/>
                  <w:sz w:val="17"/>
                  <w:szCs w:val="17"/>
                  <w:color w:val="0000EE"/>
                  <w:w w:val="99"/>
                </w:rPr>
                <w:t>Chairman’s Letter</w:t>
              </w:r>
            </w:hyperlink>
          </w:p>
        </w:tc>
        <w:tc>
          <w:tcPr>
            <w:tcW w:w="8980" w:type="dxa"/>
            <w:vAlign w:val="bottom"/>
            <w:gridSpan w:val="29"/>
          </w:tcPr>
          <w:p>
            <w:pPr>
              <w:spacing w:after="0"/>
              <w:rPr>
                <w:sz w:val="24"/>
                <w:szCs w:val="24"/>
                <w:color w:val="auto"/>
              </w:rPr>
            </w:pPr>
          </w:p>
        </w:tc>
        <w:tc>
          <w:tcPr>
            <w:tcW w:w="860" w:type="dxa"/>
            <w:vAlign w:val="bottom"/>
          </w:tcPr>
          <w:p>
            <w:pPr>
              <w:spacing w:after="0"/>
              <w:rPr>
                <w:sz w:val="24"/>
                <w:szCs w:val="24"/>
                <w:color w:val="auto"/>
              </w:rPr>
            </w:pPr>
          </w:p>
        </w:tc>
      </w:tr>
      <w:tr>
        <w:trPr>
          <w:trHeight w:val="277"/>
        </w:trPr>
        <w:tc>
          <w:tcPr>
            <w:tcW w:w="1920" w:type="dxa"/>
            <w:vAlign w:val="bottom"/>
            <w:tcBorders>
              <w:bottom w:val="single" w:sz="8" w:color="0000EE"/>
            </w:tcBorders>
            <w:gridSpan w:val="7"/>
          </w:tcPr>
          <w:p>
            <w:pPr>
              <w:spacing w:after="0"/>
              <w:rPr>
                <w:rFonts w:ascii="Arial" w:cs="Arial" w:eastAsia="Arial" w:hAnsi="Arial"/>
                <w:sz w:val="17"/>
                <w:szCs w:val="17"/>
                <w:color w:val="0000EE"/>
              </w:rPr>
            </w:pPr>
            <w:hyperlink w:anchor="page6">
              <w:r>
                <w:rPr>
                  <w:rFonts w:ascii="Arial" w:cs="Arial" w:eastAsia="Arial" w:hAnsi="Arial"/>
                  <w:sz w:val="17"/>
                  <w:szCs w:val="17"/>
                  <w:color w:val="0000EE"/>
                </w:rPr>
                <w:t>Notice of Annual Meeting</w:t>
              </w:r>
            </w:hyperlink>
          </w:p>
        </w:tc>
        <w:tc>
          <w:tcPr>
            <w:tcW w:w="8420" w:type="dxa"/>
            <w:vAlign w:val="bottom"/>
            <w:gridSpan w:val="27"/>
          </w:tcPr>
          <w:p>
            <w:pPr>
              <w:spacing w:after="0"/>
              <w:rPr>
                <w:sz w:val="24"/>
                <w:szCs w:val="24"/>
                <w:color w:val="auto"/>
              </w:rPr>
            </w:pPr>
          </w:p>
        </w:tc>
        <w:tc>
          <w:tcPr>
            <w:tcW w:w="860" w:type="dxa"/>
            <w:vAlign w:val="bottom"/>
          </w:tcPr>
          <w:p>
            <w:pPr>
              <w:spacing w:after="0"/>
              <w:rPr>
                <w:sz w:val="24"/>
                <w:szCs w:val="24"/>
                <w:color w:val="auto"/>
              </w:rPr>
            </w:pPr>
          </w:p>
        </w:tc>
      </w:tr>
      <w:tr>
        <w:trPr>
          <w:trHeight w:val="277"/>
        </w:trPr>
        <w:tc>
          <w:tcPr>
            <w:tcW w:w="1280" w:type="dxa"/>
            <w:vAlign w:val="bottom"/>
            <w:tcBorders>
              <w:bottom w:val="single" w:sz="8" w:color="0000EE"/>
            </w:tcBorders>
            <w:gridSpan w:val="4"/>
          </w:tcPr>
          <w:p>
            <w:pPr>
              <w:spacing w:after="0"/>
              <w:rPr>
                <w:rFonts w:ascii="Arial" w:cs="Arial" w:eastAsia="Arial" w:hAnsi="Arial"/>
                <w:sz w:val="17"/>
                <w:szCs w:val="17"/>
                <w:color w:val="0000EE"/>
              </w:rPr>
            </w:pPr>
            <w:hyperlink w:anchor="page7">
              <w:r>
                <w:rPr>
                  <w:rFonts w:ascii="Arial" w:cs="Arial" w:eastAsia="Arial" w:hAnsi="Arial"/>
                  <w:sz w:val="17"/>
                  <w:szCs w:val="17"/>
                  <w:color w:val="0000EE"/>
                </w:rPr>
                <w:t>Proxy Statement</w:t>
              </w:r>
            </w:hyperlink>
          </w:p>
        </w:tc>
        <w:tc>
          <w:tcPr>
            <w:tcW w:w="9060" w:type="dxa"/>
            <w:vAlign w:val="bottom"/>
            <w:gridSpan w:val="30"/>
          </w:tcPr>
          <w:p>
            <w:pPr>
              <w:spacing w:after="0"/>
              <w:rPr>
                <w:sz w:val="24"/>
                <w:szCs w:val="24"/>
                <w:color w:val="auto"/>
              </w:rPr>
            </w:pPr>
          </w:p>
        </w:tc>
        <w:tc>
          <w:tcPr>
            <w:tcW w:w="860" w:type="dxa"/>
            <w:vAlign w:val="bottom"/>
          </w:tcPr>
          <w:p>
            <w:pPr>
              <w:spacing w:after="0"/>
              <w:rPr>
                <w:sz w:val="24"/>
                <w:szCs w:val="24"/>
                <w:color w:val="auto"/>
              </w:rPr>
            </w:pPr>
          </w:p>
        </w:tc>
      </w:tr>
      <w:tr>
        <w:trPr>
          <w:trHeight w:val="277"/>
        </w:trPr>
        <w:tc>
          <w:tcPr>
            <w:tcW w:w="3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600" w:type="dxa"/>
            <w:vAlign w:val="bottom"/>
            <w:tcBorders>
              <w:bottom w:val="single" w:sz="8" w:color="0000EE"/>
            </w:tcBorders>
            <w:gridSpan w:val="7"/>
          </w:tcPr>
          <w:p>
            <w:pPr>
              <w:spacing w:after="0"/>
              <w:rPr>
                <w:rFonts w:ascii="Arial" w:cs="Arial" w:eastAsia="Arial" w:hAnsi="Arial"/>
                <w:sz w:val="17"/>
                <w:szCs w:val="17"/>
                <w:color w:val="0000EE"/>
                <w:w w:val="97"/>
              </w:rPr>
            </w:pPr>
            <w:hyperlink w:anchor="page7">
              <w:r>
                <w:rPr>
                  <w:rFonts w:ascii="Arial" w:cs="Arial" w:eastAsia="Arial" w:hAnsi="Arial"/>
                  <w:sz w:val="17"/>
                  <w:szCs w:val="17"/>
                  <w:color w:val="0000EE"/>
                  <w:w w:val="97"/>
                </w:rPr>
                <w:t>Questions &amp; Answers</w:t>
              </w:r>
            </w:hyperlink>
          </w:p>
        </w:tc>
        <w:tc>
          <w:tcPr>
            <w:tcW w:w="8360" w:type="dxa"/>
            <w:vAlign w:val="bottom"/>
            <w:gridSpan w:val="25"/>
          </w:tcPr>
          <w:p>
            <w:pPr>
              <w:spacing w:after="0"/>
              <w:rPr>
                <w:sz w:val="24"/>
                <w:szCs w:val="24"/>
                <w:color w:val="auto"/>
              </w:rPr>
            </w:pPr>
          </w:p>
        </w:tc>
        <w:tc>
          <w:tcPr>
            <w:tcW w:w="860" w:type="dxa"/>
            <w:vAlign w:val="bottom"/>
          </w:tcPr>
          <w:p>
            <w:pPr>
              <w:jc w:val="right"/>
              <w:spacing w:after="0"/>
              <w:rPr>
                <w:sz w:val="20"/>
                <w:szCs w:val="20"/>
                <w:color w:val="auto"/>
              </w:rPr>
            </w:pPr>
            <w:r>
              <w:rPr>
                <w:rFonts w:ascii="Arial" w:cs="Arial" w:eastAsia="Arial" w:hAnsi="Arial"/>
                <w:sz w:val="17"/>
                <w:szCs w:val="17"/>
                <w:color w:val="auto"/>
              </w:rPr>
              <w:t>1</w:t>
            </w:r>
          </w:p>
        </w:tc>
      </w:tr>
      <w:tr>
        <w:trPr>
          <w:trHeight w:val="277"/>
        </w:trPr>
        <w:tc>
          <w:tcPr>
            <w:tcW w:w="3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420" w:type="dxa"/>
            <w:vAlign w:val="bottom"/>
            <w:tcBorders>
              <w:bottom w:val="single" w:sz="8" w:color="0000EE"/>
            </w:tcBorders>
            <w:gridSpan w:val="15"/>
          </w:tcPr>
          <w:p>
            <w:pPr>
              <w:spacing w:after="0"/>
              <w:rPr>
                <w:rFonts w:ascii="Arial" w:cs="Arial" w:eastAsia="Arial" w:hAnsi="Arial"/>
                <w:sz w:val="17"/>
                <w:szCs w:val="17"/>
                <w:color w:val="0000EE"/>
                <w:w w:val="98"/>
              </w:rPr>
            </w:pPr>
            <w:hyperlink w:anchor="page11">
              <w:r>
                <w:rPr>
                  <w:rFonts w:ascii="Arial" w:cs="Arial" w:eastAsia="Arial" w:hAnsi="Arial"/>
                  <w:sz w:val="17"/>
                  <w:szCs w:val="17"/>
                  <w:color w:val="0000EE"/>
                  <w:w w:val="98"/>
                </w:rPr>
                <w:t>Proposal 1: Election of Directors</w:t>
              </w:r>
            </w:hyperlink>
          </w:p>
        </w:tc>
        <w:tc>
          <w:tcPr>
            <w:tcW w:w="7540" w:type="dxa"/>
            <w:vAlign w:val="bottom"/>
            <w:gridSpan w:val="17"/>
          </w:tcPr>
          <w:p>
            <w:pPr>
              <w:spacing w:after="0"/>
              <w:rPr>
                <w:sz w:val="24"/>
                <w:szCs w:val="24"/>
                <w:color w:val="auto"/>
              </w:rPr>
            </w:pPr>
          </w:p>
        </w:tc>
        <w:tc>
          <w:tcPr>
            <w:tcW w:w="860" w:type="dxa"/>
            <w:vAlign w:val="bottom"/>
          </w:tcPr>
          <w:p>
            <w:pPr>
              <w:jc w:val="right"/>
              <w:spacing w:after="0"/>
              <w:rPr>
                <w:sz w:val="20"/>
                <w:szCs w:val="20"/>
                <w:color w:val="auto"/>
              </w:rPr>
            </w:pPr>
            <w:r>
              <w:rPr>
                <w:rFonts w:ascii="Arial" w:cs="Arial" w:eastAsia="Arial" w:hAnsi="Arial"/>
                <w:sz w:val="17"/>
                <w:szCs w:val="17"/>
                <w:color w:val="auto"/>
              </w:rPr>
              <w:t>5</w:t>
            </w:r>
          </w:p>
        </w:tc>
      </w:tr>
      <w:tr>
        <w:trPr>
          <w:trHeight w:val="277"/>
        </w:trPr>
        <w:tc>
          <w:tcPr>
            <w:tcW w:w="3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9640" w:type="dxa"/>
            <w:vAlign w:val="bottom"/>
            <w:gridSpan w:val="31"/>
          </w:tcPr>
          <w:p>
            <w:pPr>
              <w:spacing w:after="0"/>
              <w:rPr>
                <w:rFonts w:ascii="Arial" w:cs="Arial" w:eastAsia="Arial" w:hAnsi="Arial"/>
                <w:sz w:val="17"/>
                <w:szCs w:val="17"/>
                <w:color w:val="0000EE"/>
              </w:rPr>
            </w:pPr>
            <w:hyperlink w:anchor="page12">
              <w:r>
                <w:rPr>
                  <w:rFonts w:ascii="Arial" w:cs="Arial" w:eastAsia="Arial" w:hAnsi="Arial"/>
                  <w:sz w:val="17"/>
                  <w:szCs w:val="17"/>
                  <w:color w:val="0000EE"/>
                </w:rPr>
                <w:t>Nominees for Election</w:t>
              </w:r>
            </w:hyperlink>
          </w:p>
        </w:tc>
        <w:tc>
          <w:tcPr>
            <w:tcW w:w="860" w:type="dxa"/>
            <w:vAlign w:val="bottom"/>
          </w:tcPr>
          <w:p>
            <w:pPr>
              <w:jc w:val="right"/>
              <w:spacing w:after="0"/>
              <w:rPr>
                <w:sz w:val="20"/>
                <w:szCs w:val="20"/>
                <w:color w:val="auto"/>
              </w:rPr>
            </w:pPr>
            <w:r>
              <w:rPr>
                <w:rFonts w:ascii="Arial" w:cs="Arial" w:eastAsia="Arial" w:hAnsi="Arial"/>
                <w:sz w:val="17"/>
                <w:szCs w:val="17"/>
                <w:color w:val="auto"/>
              </w:rPr>
              <w:t>6</w:t>
            </w:r>
          </w:p>
        </w:tc>
      </w:tr>
      <w:tr>
        <w:trPr>
          <w:trHeight w:val="277"/>
        </w:trPr>
        <w:tc>
          <w:tcPr>
            <w:tcW w:w="3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660" w:type="dxa"/>
            <w:vAlign w:val="bottom"/>
            <w:tcBorders>
              <w:top w:val="single" w:sz="8" w:color="0000EE"/>
            </w:tcBorders>
            <w:gridSpan w:val="10"/>
          </w:tcPr>
          <w:p>
            <w:pPr>
              <w:spacing w:after="0"/>
              <w:rPr>
                <w:rFonts w:ascii="Arial" w:cs="Arial" w:eastAsia="Arial" w:hAnsi="Arial"/>
                <w:sz w:val="17"/>
                <w:szCs w:val="17"/>
                <w:color w:val="0000EE"/>
              </w:rPr>
            </w:pPr>
            <w:hyperlink w:anchor="page14">
              <w:r>
                <w:rPr>
                  <w:rFonts w:ascii="Arial" w:cs="Arial" w:eastAsia="Arial" w:hAnsi="Arial"/>
                  <w:sz w:val="17"/>
                  <w:szCs w:val="17"/>
                  <w:color w:val="0000EE"/>
                </w:rPr>
                <w:t>Continuing Directors</w:t>
              </w:r>
            </w:hyperlink>
          </w:p>
        </w:tc>
        <w:tc>
          <w:tcPr>
            <w:tcW w:w="7980" w:type="dxa"/>
            <w:vAlign w:val="bottom"/>
            <w:gridSpan w:val="21"/>
          </w:tcPr>
          <w:p>
            <w:pPr>
              <w:spacing w:after="0"/>
              <w:rPr>
                <w:sz w:val="24"/>
                <w:szCs w:val="24"/>
                <w:color w:val="auto"/>
              </w:rPr>
            </w:pPr>
          </w:p>
        </w:tc>
        <w:tc>
          <w:tcPr>
            <w:tcW w:w="860" w:type="dxa"/>
            <w:vAlign w:val="bottom"/>
          </w:tcPr>
          <w:p>
            <w:pPr>
              <w:jc w:val="right"/>
              <w:spacing w:after="0"/>
              <w:rPr>
                <w:sz w:val="20"/>
                <w:szCs w:val="20"/>
                <w:color w:val="auto"/>
              </w:rPr>
            </w:pPr>
            <w:r>
              <w:rPr>
                <w:rFonts w:ascii="Arial" w:cs="Arial" w:eastAsia="Arial" w:hAnsi="Arial"/>
                <w:sz w:val="17"/>
                <w:szCs w:val="17"/>
                <w:color w:val="auto"/>
              </w:rPr>
              <w:t>8</w:t>
            </w:r>
          </w:p>
        </w:tc>
      </w:tr>
      <w:tr>
        <w:trPr>
          <w:trHeight w:val="20"/>
        </w:trPr>
        <w:tc>
          <w:tcPr>
            <w:tcW w:w="3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940" w:type="dxa"/>
            <w:vAlign w:val="bottom"/>
            <w:gridSpan w:val="3"/>
            <w:shd w:val="clear" w:color="auto" w:fill="0000EE"/>
          </w:tcPr>
          <w:p>
            <w:pPr>
              <w:spacing w:after="0" w:line="20" w:lineRule="exact"/>
              <w:rPr>
                <w:sz w:val="1"/>
                <w:szCs w:val="1"/>
                <w:color w:val="auto"/>
              </w:rPr>
            </w:pPr>
          </w:p>
        </w:tc>
        <w:tc>
          <w:tcPr>
            <w:tcW w:w="320" w:type="dxa"/>
            <w:vAlign w:val="bottom"/>
            <w:gridSpan w:val="2"/>
            <w:shd w:val="clear" w:color="auto" w:fill="0000EE"/>
          </w:tcPr>
          <w:p>
            <w:pPr>
              <w:spacing w:after="0" w:line="20" w:lineRule="exact"/>
              <w:rPr>
                <w:sz w:val="1"/>
                <w:szCs w:val="1"/>
                <w:color w:val="auto"/>
              </w:rPr>
            </w:pPr>
          </w:p>
        </w:tc>
        <w:tc>
          <w:tcPr>
            <w:tcW w:w="120" w:type="dxa"/>
            <w:vAlign w:val="bottom"/>
            <w:gridSpan w:val="2"/>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140" w:type="dxa"/>
            <w:vAlign w:val="bottom"/>
            <w:shd w:val="clear" w:color="auto" w:fill="0000EE"/>
          </w:tcPr>
          <w:p>
            <w:pPr>
              <w:spacing w:after="0" w:line="20" w:lineRule="exact"/>
              <w:rPr>
                <w:sz w:val="1"/>
                <w:szCs w:val="1"/>
                <w:color w:val="auto"/>
              </w:rPr>
            </w:pPr>
          </w:p>
        </w:tc>
        <w:tc>
          <w:tcPr>
            <w:tcW w:w="280" w:type="dxa"/>
            <w:vAlign w:val="bottom"/>
            <w:gridSpan w:val="2"/>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60" w:type="dxa"/>
            <w:vAlign w:val="bottom"/>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880" w:type="dxa"/>
            <w:vAlign w:val="bottom"/>
          </w:tcPr>
          <w:p>
            <w:pPr>
              <w:spacing w:after="0" w:line="20" w:lineRule="exact"/>
              <w:rPr>
                <w:sz w:val="1"/>
                <w:szCs w:val="1"/>
                <w:color w:val="auto"/>
              </w:rPr>
            </w:pPr>
          </w:p>
        </w:tc>
        <w:tc>
          <w:tcPr>
            <w:tcW w:w="1260" w:type="dxa"/>
            <w:vAlign w:val="bottom"/>
          </w:tcPr>
          <w:p>
            <w:pPr>
              <w:spacing w:after="0" w:line="20" w:lineRule="exact"/>
              <w:rPr>
                <w:sz w:val="1"/>
                <w:szCs w:val="1"/>
                <w:color w:val="auto"/>
              </w:rPr>
            </w:pPr>
          </w:p>
        </w:tc>
        <w:tc>
          <w:tcPr>
            <w:tcW w:w="152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860" w:type="dxa"/>
            <w:vAlign w:val="bottom"/>
          </w:tcPr>
          <w:p>
            <w:pPr>
              <w:spacing w:after="0" w:line="20" w:lineRule="exact"/>
              <w:rPr>
                <w:sz w:val="1"/>
                <w:szCs w:val="1"/>
                <w:color w:val="auto"/>
              </w:rPr>
            </w:pPr>
          </w:p>
        </w:tc>
      </w:tr>
      <w:tr>
        <w:trPr>
          <w:trHeight w:val="277"/>
        </w:trPr>
        <w:tc>
          <w:tcPr>
            <w:tcW w:w="3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260" w:type="dxa"/>
            <w:vAlign w:val="bottom"/>
            <w:tcBorders>
              <w:bottom w:val="single" w:sz="8" w:color="0000EE"/>
            </w:tcBorders>
            <w:gridSpan w:val="13"/>
          </w:tcPr>
          <w:p>
            <w:pPr>
              <w:spacing w:after="0"/>
              <w:rPr>
                <w:rFonts w:ascii="Arial" w:cs="Arial" w:eastAsia="Arial" w:hAnsi="Arial"/>
                <w:sz w:val="17"/>
                <w:szCs w:val="17"/>
                <w:color w:val="0000EE"/>
                <w:w w:val="98"/>
              </w:rPr>
            </w:pPr>
            <w:hyperlink w:anchor="page20">
              <w:r>
                <w:rPr>
                  <w:rFonts w:ascii="Arial" w:cs="Arial" w:eastAsia="Arial" w:hAnsi="Arial"/>
                  <w:sz w:val="17"/>
                  <w:szCs w:val="17"/>
                  <w:color w:val="0000EE"/>
                  <w:w w:val="98"/>
                </w:rPr>
                <w:t>Board of Directors Information</w:t>
              </w:r>
            </w:hyperlink>
          </w:p>
        </w:tc>
        <w:tc>
          <w:tcPr>
            <w:tcW w:w="7700" w:type="dxa"/>
            <w:vAlign w:val="bottom"/>
            <w:gridSpan w:val="19"/>
          </w:tcPr>
          <w:p>
            <w:pPr>
              <w:spacing w:after="0"/>
              <w:rPr>
                <w:sz w:val="24"/>
                <w:szCs w:val="24"/>
                <w:color w:val="auto"/>
              </w:rPr>
            </w:pPr>
          </w:p>
        </w:tc>
        <w:tc>
          <w:tcPr>
            <w:tcW w:w="860" w:type="dxa"/>
            <w:vAlign w:val="bottom"/>
          </w:tcPr>
          <w:p>
            <w:pPr>
              <w:jc w:val="right"/>
              <w:spacing w:after="0"/>
              <w:rPr>
                <w:sz w:val="20"/>
                <w:szCs w:val="20"/>
                <w:color w:val="auto"/>
              </w:rPr>
            </w:pPr>
            <w:r>
              <w:rPr>
                <w:rFonts w:ascii="Arial" w:cs="Arial" w:eastAsia="Arial" w:hAnsi="Arial"/>
                <w:sz w:val="17"/>
                <w:szCs w:val="17"/>
                <w:color w:val="auto"/>
              </w:rPr>
              <w:t>14</w:t>
            </w:r>
          </w:p>
        </w:tc>
      </w:tr>
      <w:tr>
        <w:trPr>
          <w:trHeight w:val="277"/>
        </w:trPr>
        <w:tc>
          <w:tcPr>
            <w:tcW w:w="3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260" w:type="dxa"/>
            <w:vAlign w:val="bottom"/>
            <w:tcBorders>
              <w:bottom w:val="single" w:sz="8" w:color="0000EE"/>
            </w:tcBorders>
            <w:gridSpan w:val="5"/>
          </w:tcPr>
          <w:p>
            <w:pPr>
              <w:spacing w:after="0"/>
              <w:rPr>
                <w:rFonts w:ascii="Arial" w:cs="Arial" w:eastAsia="Arial" w:hAnsi="Arial"/>
                <w:sz w:val="17"/>
                <w:szCs w:val="17"/>
                <w:color w:val="0000EE"/>
                <w:w w:val="98"/>
              </w:rPr>
            </w:pPr>
            <w:hyperlink w:anchor="page20">
              <w:r>
                <w:rPr>
                  <w:rFonts w:ascii="Arial" w:cs="Arial" w:eastAsia="Arial" w:hAnsi="Arial"/>
                  <w:sz w:val="17"/>
                  <w:szCs w:val="17"/>
                  <w:color w:val="0000EE"/>
                  <w:w w:val="98"/>
                </w:rPr>
                <w:t>Audit Committee</w:t>
              </w:r>
            </w:hyperlink>
          </w:p>
        </w:tc>
        <w:tc>
          <w:tcPr>
            <w:tcW w:w="8380" w:type="dxa"/>
            <w:vAlign w:val="bottom"/>
            <w:gridSpan w:val="26"/>
          </w:tcPr>
          <w:p>
            <w:pPr>
              <w:spacing w:after="0"/>
              <w:rPr>
                <w:sz w:val="24"/>
                <w:szCs w:val="24"/>
                <w:color w:val="auto"/>
              </w:rPr>
            </w:pPr>
          </w:p>
        </w:tc>
        <w:tc>
          <w:tcPr>
            <w:tcW w:w="860" w:type="dxa"/>
            <w:vAlign w:val="bottom"/>
          </w:tcPr>
          <w:p>
            <w:pPr>
              <w:jc w:val="right"/>
              <w:spacing w:after="0"/>
              <w:rPr>
                <w:sz w:val="20"/>
                <w:szCs w:val="20"/>
                <w:color w:val="auto"/>
              </w:rPr>
            </w:pPr>
            <w:r>
              <w:rPr>
                <w:rFonts w:ascii="Arial" w:cs="Arial" w:eastAsia="Arial" w:hAnsi="Arial"/>
                <w:sz w:val="17"/>
                <w:szCs w:val="17"/>
                <w:color w:val="auto"/>
              </w:rPr>
              <w:t>14</w:t>
            </w:r>
          </w:p>
        </w:tc>
      </w:tr>
      <w:tr>
        <w:trPr>
          <w:trHeight w:val="277"/>
        </w:trPr>
        <w:tc>
          <w:tcPr>
            <w:tcW w:w="3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820" w:type="dxa"/>
            <w:vAlign w:val="bottom"/>
            <w:tcBorders>
              <w:bottom w:val="single" w:sz="8" w:color="0000EE"/>
            </w:tcBorders>
            <w:gridSpan w:val="11"/>
          </w:tcPr>
          <w:p>
            <w:pPr>
              <w:spacing w:after="0"/>
              <w:rPr>
                <w:rFonts w:ascii="Arial" w:cs="Arial" w:eastAsia="Arial" w:hAnsi="Arial"/>
                <w:sz w:val="17"/>
                <w:szCs w:val="17"/>
                <w:color w:val="0000EE"/>
                <w:w w:val="99"/>
              </w:rPr>
            </w:pPr>
            <w:hyperlink w:anchor="page20">
              <w:r>
                <w:rPr>
                  <w:rFonts w:ascii="Arial" w:cs="Arial" w:eastAsia="Arial" w:hAnsi="Arial"/>
                  <w:sz w:val="17"/>
                  <w:szCs w:val="17"/>
                  <w:color w:val="0000EE"/>
                  <w:w w:val="99"/>
                </w:rPr>
                <w:t>Audit Committee Report</w:t>
              </w:r>
            </w:hyperlink>
          </w:p>
        </w:tc>
        <w:tc>
          <w:tcPr>
            <w:tcW w:w="7820" w:type="dxa"/>
            <w:vAlign w:val="bottom"/>
            <w:gridSpan w:val="20"/>
          </w:tcPr>
          <w:p>
            <w:pPr>
              <w:spacing w:after="0"/>
              <w:rPr>
                <w:sz w:val="24"/>
                <w:szCs w:val="24"/>
                <w:color w:val="auto"/>
              </w:rPr>
            </w:pPr>
          </w:p>
        </w:tc>
        <w:tc>
          <w:tcPr>
            <w:tcW w:w="860" w:type="dxa"/>
            <w:vAlign w:val="bottom"/>
          </w:tcPr>
          <w:p>
            <w:pPr>
              <w:jc w:val="right"/>
              <w:spacing w:after="0"/>
              <w:rPr>
                <w:sz w:val="20"/>
                <w:szCs w:val="20"/>
                <w:color w:val="auto"/>
              </w:rPr>
            </w:pPr>
            <w:r>
              <w:rPr>
                <w:rFonts w:ascii="Arial" w:cs="Arial" w:eastAsia="Arial" w:hAnsi="Arial"/>
                <w:sz w:val="17"/>
                <w:szCs w:val="17"/>
                <w:color w:val="auto"/>
              </w:rPr>
              <w:t>14</w:t>
            </w:r>
          </w:p>
        </w:tc>
      </w:tr>
      <w:tr>
        <w:trPr>
          <w:trHeight w:val="277"/>
        </w:trPr>
        <w:tc>
          <w:tcPr>
            <w:tcW w:w="3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9640" w:type="dxa"/>
            <w:vAlign w:val="bottom"/>
            <w:gridSpan w:val="31"/>
          </w:tcPr>
          <w:p>
            <w:pPr>
              <w:spacing w:after="0"/>
              <w:rPr>
                <w:rFonts w:ascii="Arial" w:cs="Arial" w:eastAsia="Arial" w:hAnsi="Arial"/>
                <w:sz w:val="17"/>
                <w:szCs w:val="17"/>
                <w:color w:val="0000EE"/>
              </w:rPr>
            </w:pPr>
            <w:hyperlink w:anchor="page21">
              <w:r>
                <w:rPr>
                  <w:rFonts w:ascii="Arial" w:cs="Arial" w:eastAsia="Arial" w:hAnsi="Arial"/>
                  <w:sz w:val="17"/>
                  <w:szCs w:val="17"/>
                  <w:color w:val="0000EE"/>
                </w:rPr>
                <w:t>Compensation Committee</w:t>
              </w:r>
            </w:hyperlink>
          </w:p>
        </w:tc>
        <w:tc>
          <w:tcPr>
            <w:tcW w:w="860" w:type="dxa"/>
            <w:vAlign w:val="bottom"/>
          </w:tcPr>
          <w:p>
            <w:pPr>
              <w:jc w:val="right"/>
              <w:spacing w:after="0"/>
              <w:rPr>
                <w:sz w:val="20"/>
                <w:szCs w:val="20"/>
                <w:color w:val="auto"/>
              </w:rPr>
            </w:pPr>
            <w:r>
              <w:rPr>
                <w:rFonts w:ascii="Arial" w:cs="Arial" w:eastAsia="Arial" w:hAnsi="Arial"/>
                <w:sz w:val="17"/>
                <w:szCs w:val="17"/>
                <w:color w:val="auto"/>
              </w:rPr>
              <w:t>15</w:t>
            </w:r>
          </w:p>
        </w:tc>
      </w:tr>
      <w:tr>
        <w:trPr>
          <w:trHeight w:val="20"/>
        </w:trPr>
        <w:tc>
          <w:tcPr>
            <w:tcW w:w="3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940" w:type="dxa"/>
            <w:vAlign w:val="bottom"/>
            <w:gridSpan w:val="3"/>
            <w:shd w:val="clear" w:color="auto" w:fill="0000EE"/>
          </w:tcPr>
          <w:p>
            <w:pPr>
              <w:spacing w:after="0" w:line="20" w:lineRule="exact"/>
              <w:rPr>
                <w:sz w:val="1"/>
                <w:szCs w:val="1"/>
                <w:color w:val="auto"/>
              </w:rPr>
            </w:pPr>
          </w:p>
        </w:tc>
        <w:tc>
          <w:tcPr>
            <w:tcW w:w="440" w:type="dxa"/>
            <w:vAlign w:val="bottom"/>
            <w:gridSpan w:val="4"/>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560" w:type="dxa"/>
            <w:vAlign w:val="bottom"/>
            <w:gridSpan w:val="5"/>
            <w:shd w:val="clear" w:color="auto" w:fill="0000EE"/>
          </w:tcPr>
          <w:p>
            <w:pPr>
              <w:spacing w:after="0" w:line="20" w:lineRule="exact"/>
              <w:rPr>
                <w:sz w:val="1"/>
                <w:szCs w:val="1"/>
                <w:color w:val="auto"/>
              </w:rPr>
            </w:pPr>
          </w:p>
        </w:tc>
        <w:tc>
          <w:tcPr>
            <w:tcW w:w="460" w:type="dxa"/>
            <w:vAlign w:val="bottom"/>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880" w:type="dxa"/>
            <w:vAlign w:val="bottom"/>
          </w:tcPr>
          <w:p>
            <w:pPr>
              <w:spacing w:after="0" w:line="20" w:lineRule="exact"/>
              <w:rPr>
                <w:sz w:val="1"/>
                <w:szCs w:val="1"/>
                <w:color w:val="auto"/>
              </w:rPr>
            </w:pPr>
          </w:p>
        </w:tc>
        <w:tc>
          <w:tcPr>
            <w:tcW w:w="1260" w:type="dxa"/>
            <w:vAlign w:val="bottom"/>
          </w:tcPr>
          <w:p>
            <w:pPr>
              <w:spacing w:after="0" w:line="20" w:lineRule="exact"/>
              <w:rPr>
                <w:sz w:val="1"/>
                <w:szCs w:val="1"/>
                <w:color w:val="auto"/>
              </w:rPr>
            </w:pPr>
          </w:p>
        </w:tc>
        <w:tc>
          <w:tcPr>
            <w:tcW w:w="152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860" w:type="dxa"/>
            <w:vAlign w:val="bottom"/>
          </w:tcPr>
          <w:p>
            <w:pPr>
              <w:spacing w:after="0" w:line="20" w:lineRule="exact"/>
              <w:rPr>
                <w:sz w:val="1"/>
                <w:szCs w:val="1"/>
                <w:color w:val="auto"/>
              </w:rPr>
            </w:pPr>
          </w:p>
        </w:tc>
      </w:tr>
      <w:tr>
        <w:trPr>
          <w:trHeight w:val="277"/>
        </w:trPr>
        <w:tc>
          <w:tcPr>
            <w:tcW w:w="3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9640" w:type="dxa"/>
            <w:vAlign w:val="bottom"/>
            <w:gridSpan w:val="31"/>
          </w:tcPr>
          <w:p>
            <w:pPr>
              <w:spacing w:after="0"/>
              <w:rPr>
                <w:rFonts w:ascii="Arial" w:cs="Arial" w:eastAsia="Arial" w:hAnsi="Arial"/>
                <w:sz w:val="17"/>
                <w:szCs w:val="17"/>
                <w:color w:val="0000EE"/>
              </w:rPr>
            </w:pPr>
            <w:hyperlink w:anchor="page22">
              <w:r>
                <w:rPr>
                  <w:rFonts w:ascii="Arial" w:cs="Arial" w:eastAsia="Arial" w:hAnsi="Arial"/>
                  <w:sz w:val="17"/>
                  <w:szCs w:val="17"/>
                  <w:color w:val="0000EE"/>
                </w:rPr>
                <w:t>Compensation Committee Report</w:t>
              </w:r>
            </w:hyperlink>
          </w:p>
        </w:tc>
        <w:tc>
          <w:tcPr>
            <w:tcW w:w="860" w:type="dxa"/>
            <w:vAlign w:val="bottom"/>
          </w:tcPr>
          <w:p>
            <w:pPr>
              <w:jc w:val="right"/>
              <w:spacing w:after="0"/>
              <w:rPr>
                <w:sz w:val="20"/>
                <w:szCs w:val="20"/>
                <w:color w:val="auto"/>
              </w:rPr>
            </w:pPr>
            <w:r>
              <w:rPr>
                <w:rFonts w:ascii="Arial" w:cs="Arial" w:eastAsia="Arial" w:hAnsi="Arial"/>
                <w:sz w:val="17"/>
                <w:szCs w:val="17"/>
                <w:color w:val="auto"/>
              </w:rPr>
              <w:t>16</w:t>
            </w:r>
          </w:p>
        </w:tc>
      </w:tr>
      <w:tr>
        <w:trPr>
          <w:trHeight w:val="20"/>
        </w:trPr>
        <w:tc>
          <w:tcPr>
            <w:tcW w:w="3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940" w:type="dxa"/>
            <w:vAlign w:val="bottom"/>
            <w:gridSpan w:val="3"/>
            <w:shd w:val="clear" w:color="auto" w:fill="0000EE"/>
          </w:tcPr>
          <w:p>
            <w:pPr>
              <w:spacing w:after="0" w:line="20" w:lineRule="exact"/>
              <w:rPr>
                <w:sz w:val="1"/>
                <w:szCs w:val="1"/>
                <w:color w:val="auto"/>
              </w:rPr>
            </w:pPr>
          </w:p>
        </w:tc>
        <w:tc>
          <w:tcPr>
            <w:tcW w:w="440" w:type="dxa"/>
            <w:vAlign w:val="bottom"/>
            <w:gridSpan w:val="4"/>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1020" w:type="dxa"/>
            <w:vAlign w:val="bottom"/>
            <w:gridSpan w:val="7"/>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880" w:type="dxa"/>
            <w:vAlign w:val="bottom"/>
          </w:tcPr>
          <w:p>
            <w:pPr>
              <w:spacing w:after="0" w:line="20" w:lineRule="exact"/>
              <w:rPr>
                <w:sz w:val="1"/>
                <w:szCs w:val="1"/>
                <w:color w:val="auto"/>
              </w:rPr>
            </w:pPr>
          </w:p>
        </w:tc>
        <w:tc>
          <w:tcPr>
            <w:tcW w:w="1260" w:type="dxa"/>
            <w:vAlign w:val="bottom"/>
          </w:tcPr>
          <w:p>
            <w:pPr>
              <w:spacing w:after="0" w:line="20" w:lineRule="exact"/>
              <w:rPr>
                <w:sz w:val="1"/>
                <w:szCs w:val="1"/>
                <w:color w:val="auto"/>
              </w:rPr>
            </w:pPr>
          </w:p>
        </w:tc>
        <w:tc>
          <w:tcPr>
            <w:tcW w:w="152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860" w:type="dxa"/>
            <w:vAlign w:val="bottom"/>
          </w:tcPr>
          <w:p>
            <w:pPr>
              <w:spacing w:after="0" w:line="20" w:lineRule="exact"/>
              <w:rPr>
                <w:sz w:val="1"/>
                <w:szCs w:val="1"/>
                <w:color w:val="auto"/>
              </w:rPr>
            </w:pPr>
          </w:p>
        </w:tc>
      </w:tr>
      <w:tr>
        <w:trPr>
          <w:trHeight w:val="277"/>
        </w:trPr>
        <w:tc>
          <w:tcPr>
            <w:tcW w:w="3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9640" w:type="dxa"/>
            <w:vAlign w:val="bottom"/>
            <w:gridSpan w:val="31"/>
          </w:tcPr>
          <w:p>
            <w:pPr>
              <w:spacing w:after="0"/>
              <w:rPr>
                <w:rFonts w:ascii="Arial" w:cs="Arial" w:eastAsia="Arial" w:hAnsi="Arial"/>
                <w:sz w:val="17"/>
                <w:szCs w:val="17"/>
                <w:color w:val="0000EE"/>
              </w:rPr>
            </w:pPr>
            <w:hyperlink w:anchor="page22">
              <w:r>
                <w:rPr>
                  <w:rFonts w:ascii="Arial" w:cs="Arial" w:eastAsia="Arial" w:hAnsi="Arial"/>
                  <w:sz w:val="17"/>
                  <w:szCs w:val="17"/>
                  <w:color w:val="0000EE"/>
                </w:rPr>
                <w:t>Nominating and Corporate Governance Committee</w:t>
              </w:r>
            </w:hyperlink>
          </w:p>
        </w:tc>
        <w:tc>
          <w:tcPr>
            <w:tcW w:w="860" w:type="dxa"/>
            <w:vAlign w:val="bottom"/>
          </w:tcPr>
          <w:p>
            <w:pPr>
              <w:jc w:val="right"/>
              <w:spacing w:after="0"/>
              <w:rPr>
                <w:sz w:val="20"/>
                <w:szCs w:val="20"/>
                <w:color w:val="auto"/>
              </w:rPr>
            </w:pPr>
            <w:r>
              <w:rPr>
                <w:rFonts w:ascii="Arial" w:cs="Arial" w:eastAsia="Arial" w:hAnsi="Arial"/>
                <w:sz w:val="17"/>
                <w:szCs w:val="17"/>
                <w:color w:val="auto"/>
              </w:rPr>
              <w:t>16</w:t>
            </w:r>
          </w:p>
        </w:tc>
      </w:tr>
      <w:tr>
        <w:trPr>
          <w:trHeight w:val="20"/>
        </w:trPr>
        <w:tc>
          <w:tcPr>
            <w:tcW w:w="3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940" w:type="dxa"/>
            <w:vAlign w:val="bottom"/>
            <w:gridSpan w:val="3"/>
            <w:shd w:val="clear" w:color="auto" w:fill="0000EE"/>
          </w:tcPr>
          <w:p>
            <w:pPr>
              <w:spacing w:after="0" w:line="20" w:lineRule="exact"/>
              <w:rPr>
                <w:sz w:val="1"/>
                <w:szCs w:val="1"/>
                <w:color w:val="auto"/>
              </w:rPr>
            </w:pPr>
          </w:p>
        </w:tc>
        <w:tc>
          <w:tcPr>
            <w:tcW w:w="440" w:type="dxa"/>
            <w:vAlign w:val="bottom"/>
            <w:gridSpan w:val="4"/>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1020" w:type="dxa"/>
            <w:vAlign w:val="bottom"/>
            <w:gridSpan w:val="7"/>
            <w:shd w:val="clear" w:color="auto" w:fill="0000EE"/>
          </w:tcPr>
          <w:p>
            <w:pPr>
              <w:spacing w:after="0" w:line="20" w:lineRule="exact"/>
              <w:rPr>
                <w:sz w:val="1"/>
                <w:szCs w:val="1"/>
                <w:color w:val="auto"/>
              </w:rPr>
            </w:pPr>
          </w:p>
        </w:tc>
        <w:tc>
          <w:tcPr>
            <w:tcW w:w="140" w:type="dxa"/>
            <w:vAlign w:val="bottom"/>
            <w:gridSpan w:val="2"/>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120" w:type="dxa"/>
            <w:vAlign w:val="bottom"/>
            <w:shd w:val="clear" w:color="auto" w:fill="0000EE"/>
          </w:tcPr>
          <w:p>
            <w:pPr>
              <w:spacing w:after="0" w:line="20" w:lineRule="exact"/>
              <w:rPr>
                <w:sz w:val="1"/>
                <w:szCs w:val="1"/>
                <w:color w:val="auto"/>
              </w:rPr>
            </w:pPr>
          </w:p>
        </w:tc>
        <w:tc>
          <w:tcPr>
            <w:tcW w:w="420" w:type="dxa"/>
            <w:vAlign w:val="bottom"/>
            <w:shd w:val="clear" w:color="auto" w:fill="0000EE"/>
          </w:tcPr>
          <w:p>
            <w:pPr>
              <w:spacing w:after="0" w:line="20" w:lineRule="exact"/>
              <w:rPr>
                <w:sz w:val="1"/>
                <w:szCs w:val="1"/>
                <w:color w:val="auto"/>
              </w:rPr>
            </w:pPr>
          </w:p>
        </w:tc>
        <w:tc>
          <w:tcPr>
            <w:tcW w:w="140" w:type="dxa"/>
            <w:vAlign w:val="bottom"/>
            <w:shd w:val="clear" w:color="auto" w:fill="0000EE"/>
          </w:tcPr>
          <w:p>
            <w:pPr>
              <w:spacing w:after="0" w:line="20" w:lineRule="exact"/>
              <w:rPr>
                <w:sz w:val="1"/>
                <w:szCs w:val="1"/>
                <w:color w:val="auto"/>
              </w:rPr>
            </w:pPr>
          </w:p>
        </w:tc>
        <w:tc>
          <w:tcPr>
            <w:tcW w:w="200" w:type="dxa"/>
            <w:vAlign w:val="bottom"/>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880" w:type="dxa"/>
            <w:vAlign w:val="bottom"/>
          </w:tcPr>
          <w:p>
            <w:pPr>
              <w:spacing w:after="0" w:line="20" w:lineRule="exact"/>
              <w:rPr>
                <w:sz w:val="1"/>
                <w:szCs w:val="1"/>
                <w:color w:val="auto"/>
              </w:rPr>
            </w:pPr>
          </w:p>
        </w:tc>
        <w:tc>
          <w:tcPr>
            <w:tcW w:w="1260" w:type="dxa"/>
            <w:vAlign w:val="bottom"/>
          </w:tcPr>
          <w:p>
            <w:pPr>
              <w:spacing w:after="0" w:line="20" w:lineRule="exact"/>
              <w:rPr>
                <w:sz w:val="1"/>
                <w:szCs w:val="1"/>
                <w:color w:val="auto"/>
              </w:rPr>
            </w:pPr>
          </w:p>
        </w:tc>
        <w:tc>
          <w:tcPr>
            <w:tcW w:w="152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860" w:type="dxa"/>
            <w:vAlign w:val="bottom"/>
          </w:tcPr>
          <w:p>
            <w:pPr>
              <w:spacing w:after="0" w:line="20" w:lineRule="exact"/>
              <w:rPr>
                <w:sz w:val="1"/>
                <w:szCs w:val="1"/>
                <w:color w:val="auto"/>
              </w:rPr>
            </w:pPr>
          </w:p>
        </w:tc>
      </w:tr>
      <w:tr>
        <w:trPr>
          <w:trHeight w:val="277"/>
        </w:trPr>
        <w:tc>
          <w:tcPr>
            <w:tcW w:w="3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720" w:type="dxa"/>
            <w:vAlign w:val="bottom"/>
            <w:tcBorders>
              <w:bottom w:val="single" w:sz="8" w:color="0000EE"/>
            </w:tcBorders>
            <w:gridSpan w:val="9"/>
          </w:tcPr>
          <w:p>
            <w:pPr>
              <w:spacing w:after="0"/>
              <w:rPr>
                <w:rFonts w:ascii="Arial" w:cs="Arial" w:eastAsia="Arial" w:hAnsi="Arial"/>
                <w:sz w:val="17"/>
                <w:szCs w:val="17"/>
                <w:color w:val="0000EE"/>
                <w:w w:val="97"/>
              </w:rPr>
            </w:pPr>
            <w:hyperlink w:anchor="page24">
              <w:r>
                <w:rPr>
                  <w:rFonts w:ascii="Arial" w:cs="Arial" w:eastAsia="Arial" w:hAnsi="Arial"/>
                  <w:sz w:val="17"/>
                  <w:szCs w:val="17"/>
                  <w:color w:val="0000EE"/>
                  <w:w w:val="97"/>
                </w:rPr>
                <w:t>Director Compensation</w:t>
              </w:r>
            </w:hyperlink>
          </w:p>
        </w:tc>
        <w:tc>
          <w:tcPr>
            <w:tcW w:w="8240" w:type="dxa"/>
            <w:vAlign w:val="bottom"/>
            <w:gridSpan w:val="23"/>
          </w:tcPr>
          <w:p>
            <w:pPr>
              <w:spacing w:after="0"/>
              <w:rPr>
                <w:sz w:val="24"/>
                <w:szCs w:val="24"/>
                <w:color w:val="auto"/>
              </w:rPr>
            </w:pPr>
          </w:p>
        </w:tc>
        <w:tc>
          <w:tcPr>
            <w:tcW w:w="860" w:type="dxa"/>
            <w:vAlign w:val="bottom"/>
          </w:tcPr>
          <w:p>
            <w:pPr>
              <w:jc w:val="right"/>
              <w:spacing w:after="0"/>
              <w:rPr>
                <w:sz w:val="20"/>
                <w:szCs w:val="20"/>
                <w:color w:val="auto"/>
              </w:rPr>
            </w:pPr>
            <w:r>
              <w:rPr>
                <w:rFonts w:ascii="Arial" w:cs="Arial" w:eastAsia="Arial" w:hAnsi="Arial"/>
                <w:sz w:val="17"/>
                <w:szCs w:val="17"/>
                <w:color w:val="auto"/>
              </w:rPr>
              <w:t>18</w:t>
            </w:r>
          </w:p>
        </w:tc>
      </w:tr>
      <w:tr>
        <w:trPr>
          <w:trHeight w:val="277"/>
        </w:trPr>
        <w:tc>
          <w:tcPr>
            <w:tcW w:w="3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9960" w:type="dxa"/>
            <w:vAlign w:val="bottom"/>
            <w:gridSpan w:val="32"/>
          </w:tcPr>
          <w:p>
            <w:pPr>
              <w:spacing w:after="0"/>
              <w:rPr>
                <w:rFonts w:ascii="Arial" w:cs="Arial" w:eastAsia="Arial" w:hAnsi="Arial"/>
                <w:sz w:val="17"/>
                <w:szCs w:val="17"/>
                <w:color w:val="0000EE"/>
              </w:rPr>
            </w:pPr>
            <w:hyperlink w:anchor="page26">
              <w:r>
                <w:rPr>
                  <w:rFonts w:ascii="Arial" w:cs="Arial" w:eastAsia="Arial" w:hAnsi="Arial"/>
                  <w:sz w:val="17"/>
                  <w:szCs w:val="17"/>
                  <w:color w:val="0000EE"/>
                </w:rPr>
                <w:t>Corporate Governance</w:t>
              </w:r>
            </w:hyperlink>
          </w:p>
        </w:tc>
        <w:tc>
          <w:tcPr>
            <w:tcW w:w="860" w:type="dxa"/>
            <w:vAlign w:val="bottom"/>
          </w:tcPr>
          <w:p>
            <w:pPr>
              <w:jc w:val="right"/>
              <w:spacing w:after="0"/>
              <w:rPr>
                <w:sz w:val="20"/>
                <w:szCs w:val="20"/>
                <w:color w:val="auto"/>
              </w:rPr>
            </w:pPr>
            <w:r>
              <w:rPr>
                <w:rFonts w:ascii="Arial" w:cs="Arial" w:eastAsia="Arial" w:hAnsi="Arial"/>
                <w:sz w:val="17"/>
                <w:szCs w:val="17"/>
                <w:color w:val="auto"/>
              </w:rPr>
              <w:t>20</w:t>
            </w:r>
          </w:p>
        </w:tc>
      </w:tr>
      <w:tr>
        <w:trPr>
          <w:trHeight w:val="20"/>
        </w:trPr>
        <w:tc>
          <w:tcPr>
            <w:tcW w:w="3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60" w:type="dxa"/>
            <w:vAlign w:val="bottom"/>
            <w:gridSpan w:val="4"/>
            <w:shd w:val="clear" w:color="auto" w:fill="0000EE"/>
          </w:tcPr>
          <w:p>
            <w:pPr>
              <w:spacing w:after="0" w:line="20" w:lineRule="exact"/>
              <w:rPr>
                <w:sz w:val="1"/>
                <w:szCs w:val="1"/>
                <w:color w:val="auto"/>
              </w:rPr>
            </w:pPr>
          </w:p>
        </w:tc>
        <w:tc>
          <w:tcPr>
            <w:tcW w:w="440" w:type="dxa"/>
            <w:vAlign w:val="bottom"/>
            <w:gridSpan w:val="4"/>
            <w:shd w:val="clear" w:color="auto" w:fill="0000EE"/>
          </w:tcPr>
          <w:p>
            <w:pPr>
              <w:spacing w:after="0" w:line="20" w:lineRule="exact"/>
              <w:rPr>
                <w:sz w:val="1"/>
                <w:szCs w:val="1"/>
                <w:color w:val="auto"/>
              </w:rPr>
            </w:pPr>
          </w:p>
        </w:tc>
        <w:tc>
          <w:tcPr>
            <w:tcW w:w="1040" w:type="dxa"/>
            <w:vAlign w:val="bottom"/>
            <w:gridSpan w:val="8"/>
          </w:tcPr>
          <w:p>
            <w:pPr>
              <w:spacing w:after="0" w:line="20" w:lineRule="exact"/>
              <w:rPr>
                <w:sz w:val="1"/>
                <w:szCs w:val="1"/>
                <w:color w:val="auto"/>
              </w:rPr>
            </w:pPr>
          </w:p>
        </w:tc>
        <w:tc>
          <w:tcPr>
            <w:tcW w:w="14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52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880" w:type="dxa"/>
            <w:vAlign w:val="bottom"/>
          </w:tcPr>
          <w:p>
            <w:pPr>
              <w:spacing w:after="0" w:line="20" w:lineRule="exact"/>
              <w:rPr>
                <w:sz w:val="1"/>
                <w:szCs w:val="1"/>
                <w:color w:val="auto"/>
              </w:rPr>
            </w:pPr>
          </w:p>
        </w:tc>
        <w:tc>
          <w:tcPr>
            <w:tcW w:w="1260" w:type="dxa"/>
            <w:vAlign w:val="bottom"/>
          </w:tcPr>
          <w:p>
            <w:pPr>
              <w:spacing w:after="0" w:line="20" w:lineRule="exact"/>
              <w:rPr>
                <w:sz w:val="1"/>
                <w:szCs w:val="1"/>
                <w:color w:val="auto"/>
              </w:rPr>
            </w:pPr>
          </w:p>
        </w:tc>
        <w:tc>
          <w:tcPr>
            <w:tcW w:w="152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860" w:type="dxa"/>
            <w:vAlign w:val="bottom"/>
          </w:tcPr>
          <w:p>
            <w:pPr>
              <w:spacing w:after="0" w:line="20" w:lineRule="exact"/>
              <w:rPr>
                <w:sz w:val="1"/>
                <w:szCs w:val="1"/>
                <w:color w:val="auto"/>
              </w:rPr>
            </w:pPr>
          </w:p>
        </w:tc>
      </w:tr>
      <w:tr>
        <w:trPr>
          <w:trHeight w:val="277"/>
        </w:trPr>
        <w:tc>
          <w:tcPr>
            <w:tcW w:w="3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9960" w:type="dxa"/>
            <w:vAlign w:val="bottom"/>
            <w:gridSpan w:val="32"/>
          </w:tcPr>
          <w:p>
            <w:pPr>
              <w:spacing w:after="0"/>
              <w:rPr>
                <w:rFonts w:ascii="Arial" w:cs="Arial" w:eastAsia="Arial" w:hAnsi="Arial"/>
                <w:sz w:val="17"/>
                <w:szCs w:val="17"/>
                <w:color w:val="0000EE"/>
              </w:rPr>
            </w:pPr>
            <w:hyperlink w:anchor="page29">
              <w:r>
                <w:rPr>
                  <w:rFonts w:ascii="Arial" w:cs="Arial" w:eastAsia="Arial" w:hAnsi="Arial"/>
                  <w:sz w:val="17"/>
                  <w:szCs w:val="17"/>
                  <w:color w:val="0000EE"/>
                </w:rPr>
                <w:t>Compensation Discussion and Analysis</w:t>
              </w:r>
            </w:hyperlink>
          </w:p>
        </w:tc>
        <w:tc>
          <w:tcPr>
            <w:tcW w:w="860" w:type="dxa"/>
            <w:vAlign w:val="bottom"/>
          </w:tcPr>
          <w:p>
            <w:pPr>
              <w:jc w:val="right"/>
              <w:spacing w:after="0"/>
              <w:rPr>
                <w:sz w:val="20"/>
                <w:szCs w:val="20"/>
                <w:color w:val="auto"/>
              </w:rPr>
            </w:pPr>
            <w:r>
              <w:rPr>
                <w:rFonts w:ascii="Arial" w:cs="Arial" w:eastAsia="Arial" w:hAnsi="Arial"/>
                <w:sz w:val="17"/>
                <w:szCs w:val="17"/>
                <w:color w:val="auto"/>
              </w:rPr>
              <w:t>23</w:t>
            </w:r>
          </w:p>
        </w:tc>
      </w:tr>
      <w:tr>
        <w:trPr>
          <w:trHeight w:val="277"/>
        </w:trPr>
        <w:tc>
          <w:tcPr>
            <w:tcW w:w="3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740" w:type="dxa"/>
            <w:vAlign w:val="bottom"/>
            <w:tcBorders>
              <w:top w:val="single" w:sz="8" w:color="0000EE"/>
              <w:bottom w:val="single" w:sz="8" w:color="0000EE"/>
            </w:tcBorders>
            <w:gridSpan w:val="16"/>
          </w:tcPr>
          <w:p>
            <w:pPr>
              <w:spacing w:after="0"/>
              <w:rPr>
                <w:rFonts w:ascii="Arial" w:cs="Arial" w:eastAsia="Arial" w:hAnsi="Arial"/>
                <w:sz w:val="17"/>
                <w:szCs w:val="17"/>
                <w:color w:val="0000EE"/>
                <w:w w:val="98"/>
              </w:rPr>
            </w:pPr>
            <w:hyperlink w:anchor="page50">
              <w:r>
                <w:rPr>
                  <w:rFonts w:ascii="Arial" w:cs="Arial" w:eastAsia="Arial" w:hAnsi="Arial"/>
                  <w:sz w:val="17"/>
                  <w:szCs w:val="17"/>
                  <w:color w:val="0000EE"/>
                  <w:w w:val="98"/>
                </w:rPr>
                <w:t>2015 Summary Compensation Table</w:t>
              </w:r>
            </w:hyperlink>
          </w:p>
        </w:tc>
        <w:tc>
          <w:tcPr>
            <w:tcW w:w="220" w:type="dxa"/>
            <w:vAlign w:val="bottom"/>
            <w:tcBorders>
              <w:top w:val="single" w:sz="8" w:color="0000EE"/>
            </w:tcBorders>
            <w:gridSpan w:val="3"/>
          </w:tcPr>
          <w:p>
            <w:pPr>
              <w:spacing w:after="0"/>
              <w:rPr>
                <w:sz w:val="24"/>
                <w:szCs w:val="24"/>
                <w:color w:val="auto"/>
              </w:rPr>
            </w:pPr>
          </w:p>
        </w:tc>
        <w:tc>
          <w:tcPr>
            <w:tcW w:w="7000" w:type="dxa"/>
            <w:vAlign w:val="bottom"/>
            <w:gridSpan w:val="13"/>
          </w:tcPr>
          <w:p>
            <w:pPr>
              <w:spacing w:after="0"/>
              <w:rPr>
                <w:sz w:val="24"/>
                <w:szCs w:val="24"/>
                <w:color w:val="auto"/>
              </w:rPr>
            </w:pPr>
          </w:p>
        </w:tc>
        <w:tc>
          <w:tcPr>
            <w:tcW w:w="860" w:type="dxa"/>
            <w:vAlign w:val="bottom"/>
          </w:tcPr>
          <w:p>
            <w:pPr>
              <w:jc w:val="right"/>
              <w:spacing w:after="0"/>
              <w:rPr>
                <w:sz w:val="20"/>
                <w:szCs w:val="20"/>
                <w:color w:val="auto"/>
              </w:rPr>
            </w:pPr>
            <w:r>
              <w:rPr>
                <w:rFonts w:ascii="Arial" w:cs="Arial" w:eastAsia="Arial" w:hAnsi="Arial"/>
                <w:sz w:val="17"/>
                <w:szCs w:val="17"/>
                <w:color w:val="auto"/>
              </w:rPr>
              <w:t>44</w:t>
            </w:r>
          </w:p>
        </w:tc>
      </w:tr>
      <w:tr>
        <w:trPr>
          <w:trHeight w:val="277"/>
        </w:trPr>
        <w:tc>
          <w:tcPr>
            <w:tcW w:w="3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9960" w:type="dxa"/>
            <w:vAlign w:val="bottom"/>
            <w:gridSpan w:val="32"/>
          </w:tcPr>
          <w:p>
            <w:pPr>
              <w:spacing w:after="0"/>
              <w:rPr>
                <w:rFonts w:ascii="Arial" w:cs="Arial" w:eastAsia="Arial" w:hAnsi="Arial"/>
                <w:sz w:val="17"/>
                <w:szCs w:val="17"/>
                <w:color w:val="0000EE"/>
              </w:rPr>
            </w:pPr>
            <w:hyperlink w:anchor="page53">
              <w:r>
                <w:rPr>
                  <w:rFonts w:ascii="Arial" w:cs="Arial" w:eastAsia="Arial" w:hAnsi="Arial"/>
                  <w:sz w:val="17"/>
                  <w:szCs w:val="17"/>
                  <w:color w:val="0000EE"/>
                </w:rPr>
                <w:t>2015 Grants of Plan-Based Awards Table</w:t>
              </w:r>
            </w:hyperlink>
          </w:p>
        </w:tc>
        <w:tc>
          <w:tcPr>
            <w:tcW w:w="860" w:type="dxa"/>
            <w:vAlign w:val="bottom"/>
          </w:tcPr>
          <w:p>
            <w:pPr>
              <w:jc w:val="right"/>
              <w:spacing w:after="0"/>
              <w:rPr>
                <w:sz w:val="20"/>
                <w:szCs w:val="20"/>
                <w:color w:val="auto"/>
              </w:rPr>
            </w:pPr>
            <w:r>
              <w:rPr>
                <w:rFonts w:ascii="Arial" w:cs="Arial" w:eastAsia="Arial" w:hAnsi="Arial"/>
                <w:sz w:val="17"/>
                <w:szCs w:val="17"/>
                <w:color w:val="auto"/>
              </w:rPr>
              <w:t>47</w:t>
            </w:r>
          </w:p>
        </w:tc>
      </w:tr>
      <w:tr>
        <w:trPr>
          <w:trHeight w:val="20"/>
        </w:trPr>
        <w:tc>
          <w:tcPr>
            <w:tcW w:w="3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60" w:type="dxa"/>
            <w:vAlign w:val="bottom"/>
            <w:gridSpan w:val="4"/>
            <w:shd w:val="clear" w:color="auto" w:fill="0000EE"/>
          </w:tcPr>
          <w:p>
            <w:pPr>
              <w:spacing w:after="0" w:line="20" w:lineRule="exact"/>
              <w:rPr>
                <w:sz w:val="1"/>
                <w:szCs w:val="1"/>
                <w:color w:val="auto"/>
              </w:rPr>
            </w:pPr>
          </w:p>
        </w:tc>
        <w:tc>
          <w:tcPr>
            <w:tcW w:w="1620" w:type="dxa"/>
            <w:vAlign w:val="bottom"/>
            <w:gridSpan w:val="14"/>
            <w:shd w:val="clear" w:color="auto" w:fill="0000EE"/>
          </w:tcPr>
          <w:p>
            <w:pPr>
              <w:spacing w:after="0" w:line="20" w:lineRule="exact"/>
              <w:rPr>
                <w:sz w:val="1"/>
                <w:szCs w:val="1"/>
                <w:color w:val="auto"/>
              </w:rPr>
            </w:pPr>
          </w:p>
        </w:tc>
        <w:tc>
          <w:tcPr>
            <w:tcW w:w="100" w:type="dxa"/>
            <w:vAlign w:val="bottom"/>
            <w:gridSpan w:val="2"/>
            <w:shd w:val="clear" w:color="auto" w:fill="0000EE"/>
          </w:tcPr>
          <w:p>
            <w:pPr>
              <w:spacing w:after="0" w:line="20" w:lineRule="exact"/>
              <w:rPr>
                <w:sz w:val="1"/>
                <w:szCs w:val="1"/>
                <w:color w:val="auto"/>
              </w:rPr>
            </w:pPr>
          </w:p>
        </w:tc>
        <w:tc>
          <w:tcPr>
            <w:tcW w:w="120" w:type="dxa"/>
            <w:vAlign w:val="bottom"/>
            <w:shd w:val="clear" w:color="auto" w:fill="0000EE"/>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52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880" w:type="dxa"/>
            <w:vAlign w:val="bottom"/>
          </w:tcPr>
          <w:p>
            <w:pPr>
              <w:spacing w:after="0" w:line="20" w:lineRule="exact"/>
              <w:rPr>
                <w:sz w:val="1"/>
                <w:szCs w:val="1"/>
                <w:color w:val="auto"/>
              </w:rPr>
            </w:pPr>
          </w:p>
        </w:tc>
        <w:tc>
          <w:tcPr>
            <w:tcW w:w="1260" w:type="dxa"/>
            <w:vAlign w:val="bottom"/>
          </w:tcPr>
          <w:p>
            <w:pPr>
              <w:spacing w:after="0" w:line="20" w:lineRule="exact"/>
              <w:rPr>
                <w:sz w:val="1"/>
                <w:szCs w:val="1"/>
                <w:color w:val="auto"/>
              </w:rPr>
            </w:pPr>
          </w:p>
        </w:tc>
        <w:tc>
          <w:tcPr>
            <w:tcW w:w="152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860" w:type="dxa"/>
            <w:vAlign w:val="bottom"/>
          </w:tcPr>
          <w:p>
            <w:pPr>
              <w:spacing w:after="0" w:line="20" w:lineRule="exact"/>
              <w:rPr>
                <w:sz w:val="1"/>
                <w:szCs w:val="1"/>
                <w:color w:val="auto"/>
              </w:rPr>
            </w:pPr>
          </w:p>
        </w:tc>
      </w:tr>
      <w:tr>
        <w:trPr>
          <w:trHeight w:val="277"/>
        </w:trPr>
        <w:tc>
          <w:tcPr>
            <w:tcW w:w="3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3860" w:type="dxa"/>
            <w:vAlign w:val="bottom"/>
            <w:tcBorders>
              <w:bottom w:val="single" w:sz="8" w:color="0000EE"/>
            </w:tcBorders>
            <w:gridSpan w:val="24"/>
          </w:tcPr>
          <w:p>
            <w:pPr>
              <w:spacing w:after="0"/>
              <w:rPr>
                <w:rFonts w:ascii="Arial" w:cs="Arial" w:eastAsia="Arial" w:hAnsi="Arial"/>
                <w:sz w:val="17"/>
                <w:szCs w:val="17"/>
                <w:color w:val="0000EE"/>
                <w:w w:val="98"/>
              </w:rPr>
            </w:pPr>
            <w:hyperlink w:anchor="page54">
              <w:r>
                <w:rPr>
                  <w:rFonts w:ascii="Arial" w:cs="Arial" w:eastAsia="Arial" w:hAnsi="Arial"/>
                  <w:sz w:val="17"/>
                  <w:szCs w:val="17"/>
                  <w:color w:val="0000EE"/>
                  <w:w w:val="98"/>
                </w:rPr>
                <w:t>Outstanding Equity Awards at 2015 Year-End Table</w:t>
              </w:r>
            </w:hyperlink>
          </w:p>
        </w:tc>
        <w:tc>
          <w:tcPr>
            <w:tcW w:w="6100" w:type="dxa"/>
            <w:vAlign w:val="bottom"/>
            <w:gridSpan w:val="8"/>
          </w:tcPr>
          <w:p>
            <w:pPr>
              <w:spacing w:after="0"/>
              <w:rPr>
                <w:sz w:val="24"/>
                <w:szCs w:val="24"/>
                <w:color w:val="auto"/>
              </w:rPr>
            </w:pPr>
          </w:p>
        </w:tc>
        <w:tc>
          <w:tcPr>
            <w:tcW w:w="860" w:type="dxa"/>
            <w:vAlign w:val="bottom"/>
          </w:tcPr>
          <w:p>
            <w:pPr>
              <w:jc w:val="right"/>
              <w:spacing w:after="0"/>
              <w:rPr>
                <w:sz w:val="20"/>
                <w:szCs w:val="20"/>
                <w:color w:val="auto"/>
              </w:rPr>
            </w:pPr>
            <w:r>
              <w:rPr>
                <w:rFonts w:ascii="Arial" w:cs="Arial" w:eastAsia="Arial" w:hAnsi="Arial"/>
                <w:sz w:val="17"/>
                <w:szCs w:val="17"/>
                <w:color w:val="auto"/>
              </w:rPr>
              <w:t>48</w:t>
            </w:r>
          </w:p>
        </w:tc>
      </w:tr>
      <w:tr>
        <w:trPr>
          <w:trHeight w:val="277"/>
        </w:trPr>
        <w:tc>
          <w:tcPr>
            <w:tcW w:w="3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9960" w:type="dxa"/>
            <w:vAlign w:val="bottom"/>
            <w:gridSpan w:val="32"/>
          </w:tcPr>
          <w:p>
            <w:pPr>
              <w:spacing w:after="0"/>
              <w:rPr>
                <w:rFonts w:ascii="Arial" w:cs="Arial" w:eastAsia="Arial" w:hAnsi="Arial"/>
                <w:sz w:val="17"/>
                <w:szCs w:val="17"/>
                <w:color w:val="0000EE"/>
              </w:rPr>
            </w:pPr>
            <w:hyperlink w:anchor="page55">
              <w:r>
                <w:rPr>
                  <w:rFonts w:ascii="Arial" w:cs="Arial" w:eastAsia="Arial" w:hAnsi="Arial"/>
                  <w:sz w:val="17"/>
                  <w:szCs w:val="17"/>
                  <w:color w:val="0000EE"/>
                </w:rPr>
                <w:t>2015 Option Exercises and Stock Vested Table</w:t>
              </w:r>
            </w:hyperlink>
          </w:p>
        </w:tc>
        <w:tc>
          <w:tcPr>
            <w:tcW w:w="860" w:type="dxa"/>
            <w:vAlign w:val="bottom"/>
          </w:tcPr>
          <w:p>
            <w:pPr>
              <w:jc w:val="right"/>
              <w:spacing w:after="0"/>
              <w:rPr>
                <w:sz w:val="20"/>
                <w:szCs w:val="20"/>
                <w:color w:val="auto"/>
              </w:rPr>
            </w:pPr>
            <w:r>
              <w:rPr>
                <w:rFonts w:ascii="Arial" w:cs="Arial" w:eastAsia="Arial" w:hAnsi="Arial"/>
                <w:sz w:val="17"/>
                <w:szCs w:val="17"/>
                <w:color w:val="auto"/>
              </w:rPr>
              <w:t>49</w:t>
            </w:r>
          </w:p>
        </w:tc>
      </w:tr>
      <w:tr>
        <w:trPr>
          <w:trHeight w:val="277"/>
        </w:trPr>
        <w:tc>
          <w:tcPr>
            <w:tcW w:w="3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260" w:type="dxa"/>
            <w:vAlign w:val="bottom"/>
            <w:tcBorders>
              <w:top w:val="single" w:sz="8" w:color="0000EE"/>
              <w:bottom w:val="single" w:sz="8" w:color="0000EE"/>
            </w:tcBorders>
            <w:gridSpan w:val="4"/>
          </w:tcPr>
          <w:p>
            <w:pPr>
              <w:spacing w:after="0"/>
              <w:rPr>
                <w:rFonts w:ascii="Arial" w:cs="Arial" w:eastAsia="Arial" w:hAnsi="Arial"/>
                <w:sz w:val="17"/>
                <w:szCs w:val="17"/>
                <w:color w:val="0000EE"/>
                <w:w w:val="97"/>
              </w:rPr>
            </w:pPr>
            <w:hyperlink w:anchor="page56">
              <w:r>
                <w:rPr>
                  <w:rFonts w:ascii="Arial" w:cs="Arial" w:eastAsia="Arial" w:hAnsi="Arial"/>
                  <w:sz w:val="17"/>
                  <w:szCs w:val="17"/>
                  <w:color w:val="0000EE"/>
                  <w:w w:val="97"/>
                </w:rPr>
                <w:t>Pension Benefits</w:t>
              </w:r>
            </w:hyperlink>
          </w:p>
        </w:tc>
        <w:tc>
          <w:tcPr>
            <w:tcW w:w="2260" w:type="dxa"/>
            <w:vAlign w:val="bottom"/>
            <w:tcBorders>
              <w:top w:val="single" w:sz="8" w:color="0000EE"/>
            </w:tcBorders>
            <w:gridSpan w:val="18"/>
          </w:tcPr>
          <w:p>
            <w:pPr>
              <w:spacing w:after="0"/>
              <w:rPr>
                <w:sz w:val="24"/>
                <w:szCs w:val="24"/>
                <w:color w:val="auto"/>
              </w:rPr>
            </w:pPr>
          </w:p>
        </w:tc>
        <w:tc>
          <w:tcPr>
            <w:tcW w:w="6440" w:type="dxa"/>
            <w:vAlign w:val="bottom"/>
            <w:gridSpan w:val="10"/>
          </w:tcPr>
          <w:p>
            <w:pPr>
              <w:spacing w:after="0"/>
              <w:rPr>
                <w:sz w:val="24"/>
                <w:szCs w:val="24"/>
                <w:color w:val="auto"/>
              </w:rPr>
            </w:pPr>
          </w:p>
        </w:tc>
        <w:tc>
          <w:tcPr>
            <w:tcW w:w="860" w:type="dxa"/>
            <w:vAlign w:val="bottom"/>
          </w:tcPr>
          <w:p>
            <w:pPr>
              <w:jc w:val="right"/>
              <w:spacing w:after="0"/>
              <w:rPr>
                <w:sz w:val="20"/>
                <w:szCs w:val="20"/>
                <w:color w:val="auto"/>
              </w:rPr>
            </w:pPr>
            <w:r>
              <w:rPr>
                <w:rFonts w:ascii="Arial" w:cs="Arial" w:eastAsia="Arial" w:hAnsi="Arial"/>
                <w:sz w:val="17"/>
                <w:szCs w:val="17"/>
                <w:color w:val="auto"/>
              </w:rPr>
              <w:t>50</w:t>
            </w:r>
          </w:p>
        </w:tc>
      </w:tr>
      <w:tr>
        <w:trPr>
          <w:trHeight w:val="277"/>
        </w:trPr>
        <w:tc>
          <w:tcPr>
            <w:tcW w:w="3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9960" w:type="dxa"/>
            <w:vAlign w:val="bottom"/>
            <w:gridSpan w:val="32"/>
          </w:tcPr>
          <w:p>
            <w:pPr>
              <w:spacing w:after="0"/>
              <w:rPr>
                <w:rFonts w:ascii="Arial" w:cs="Arial" w:eastAsia="Arial" w:hAnsi="Arial"/>
                <w:sz w:val="17"/>
                <w:szCs w:val="17"/>
                <w:color w:val="0000EE"/>
              </w:rPr>
            </w:pPr>
            <w:hyperlink w:anchor="page58">
              <w:r>
                <w:rPr>
                  <w:rFonts w:ascii="Arial" w:cs="Arial" w:eastAsia="Arial" w:hAnsi="Arial"/>
                  <w:sz w:val="17"/>
                  <w:szCs w:val="17"/>
                  <w:color w:val="0000EE"/>
                </w:rPr>
                <w:t>2015 Nonqualified Deferred Compensation Table</w:t>
              </w:r>
            </w:hyperlink>
          </w:p>
        </w:tc>
        <w:tc>
          <w:tcPr>
            <w:tcW w:w="860" w:type="dxa"/>
            <w:vAlign w:val="bottom"/>
          </w:tcPr>
          <w:p>
            <w:pPr>
              <w:jc w:val="right"/>
              <w:spacing w:after="0"/>
              <w:rPr>
                <w:sz w:val="20"/>
                <w:szCs w:val="20"/>
                <w:color w:val="auto"/>
              </w:rPr>
            </w:pPr>
            <w:r>
              <w:rPr>
                <w:rFonts w:ascii="Arial" w:cs="Arial" w:eastAsia="Arial" w:hAnsi="Arial"/>
                <w:sz w:val="17"/>
                <w:szCs w:val="17"/>
                <w:color w:val="auto"/>
              </w:rPr>
              <w:t>52</w:t>
            </w:r>
          </w:p>
        </w:tc>
      </w:tr>
      <w:tr>
        <w:trPr>
          <w:trHeight w:val="20"/>
        </w:trPr>
        <w:tc>
          <w:tcPr>
            <w:tcW w:w="3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880" w:type="dxa"/>
            <w:vAlign w:val="bottom"/>
            <w:gridSpan w:val="18"/>
            <w:shd w:val="clear" w:color="auto" w:fill="0000EE"/>
          </w:tcPr>
          <w:p>
            <w:pPr>
              <w:spacing w:after="0" w:line="20" w:lineRule="exact"/>
              <w:rPr>
                <w:sz w:val="1"/>
                <w:szCs w:val="1"/>
                <w:color w:val="auto"/>
              </w:rPr>
            </w:pPr>
          </w:p>
        </w:tc>
        <w:tc>
          <w:tcPr>
            <w:tcW w:w="100" w:type="dxa"/>
            <w:vAlign w:val="bottom"/>
            <w:gridSpan w:val="2"/>
            <w:shd w:val="clear" w:color="auto" w:fill="0000EE"/>
          </w:tcPr>
          <w:p>
            <w:pPr>
              <w:spacing w:after="0" w:line="20" w:lineRule="exact"/>
              <w:rPr>
                <w:sz w:val="1"/>
                <w:szCs w:val="1"/>
                <w:color w:val="auto"/>
              </w:rPr>
            </w:pPr>
          </w:p>
        </w:tc>
        <w:tc>
          <w:tcPr>
            <w:tcW w:w="680" w:type="dxa"/>
            <w:vAlign w:val="bottom"/>
            <w:gridSpan w:val="3"/>
            <w:shd w:val="clear" w:color="auto" w:fill="0000EE"/>
          </w:tcPr>
          <w:p>
            <w:pPr>
              <w:spacing w:after="0" w:line="20" w:lineRule="exact"/>
              <w:rPr>
                <w:sz w:val="1"/>
                <w:szCs w:val="1"/>
                <w:color w:val="auto"/>
              </w:rPr>
            </w:pPr>
          </w:p>
        </w:tc>
        <w:tc>
          <w:tcPr>
            <w:tcW w:w="720" w:type="dxa"/>
            <w:vAlign w:val="bottom"/>
            <w:gridSpan w:val="3"/>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880" w:type="dxa"/>
            <w:vAlign w:val="bottom"/>
          </w:tcPr>
          <w:p>
            <w:pPr>
              <w:spacing w:after="0" w:line="20" w:lineRule="exact"/>
              <w:rPr>
                <w:sz w:val="1"/>
                <w:szCs w:val="1"/>
                <w:color w:val="auto"/>
              </w:rPr>
            </w:pPr>
          </w:p>
        </w:tc>
        <w:tc>
          <w:tcPr>
            <w:tcW w:w="1260" w:type="dxa"/>
            <w:vAlign w:val="bottom"/>
          </w:tcPr>
          <w:p>
            <w:pPr>
              <w:spacing w:after="0" w:line="20" w:lineRule="exact"/>
              <w:rPr>
                <w:sz w:val="1"/>
                <w:szCs w:val="1"/>
                <w:color w:val="auto"/>
              </w:rPr>
            </w:pPr>
          </w:p>
        </w:tc>
        <w:tc>
          <w:tcPr>
            <w:tcW w:w="152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860" w:type="dxa"/>
            <w:vAlign w:val="bottom"/>
          </w:tcPr>
          <w:p>
            <w:pPr>
              <w:spacing w:after="0" w:line="20" w:lineRule="exact"/>
              <w:rPr>
                <w:sz w:val="1"/>
                <w:szCs w:val="1"/>
                <w:color w:val="auto"/>
              </w:rPr>
            </w:pPr>
          </w:p>
        </w:tc>
      </w:tr>
      <w:tr>
        <w:trPr>
          <w:trHeight w:val="277"/>
        </w:trPr>
        <w:tc>
          <w:tcPr>
            <w:tcW w:w="3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460" w:type="dxa"/>
            <w:vAlign w:val="bottom"/>
            <w:tcBorders>
              <w:bottom w:val="single" w:sz="8" w:color="0000EE"/>
            </w:tcBorders>
            <w:gridSpan w:val="27"/>
          </w:tcPr>
          <w:p>
            <w:pPr>
              <w:spacing w:after="0"/>
              <w:rPr>
                <w:rFonts w:ascii="Arial" w:cs="Arial" w:eastAsia="Arial" w:hAnsi="Arial"/>
                <w:sz w:val="17"/>
                <w:szCs w:val="17"/>
                <w:color w:val="0000EE"/>
                <w:w w:val="99"/>
              </w:rPr>
            </w:pPr>
            <w:hyperlink w:anchor="page59">
              <w:r>
                <w:rPr>
                  <w:rFonts w:ascii="Arial" w:cs="Arial" w:eastAsia="Arial" w:hAnsi="Arial"/>
                  <w:sz w:val="17"/>
                  <w:szCs w:val="17"/>
                  <w:color w:val="0000EE"/>
                  <w:w w:val="99"/>
                </w:rPr>
                <w:t>Potential Payments Upon Termination or Change in Control</w:t>
              </w:r>
            </w:hyperlink>
          </w:p>
        </w:tc>
        <w:tc>
          <w:tcPr>
            <w:tcW w:w="5500" w:type="dxa"/>
            <w:vAlign w:val="bottom"/>
            <w:gridSpan w:val="5"/>
          </w:tcPr>
          <w:p>
            <w:pPr>
              <w:spacing w:after="0"/>
              <w:rPr>
                <w:sz w:val="24"/>
                <w:szCs w:val="24"/>
                <w:color w:val="auto"/>
              </w:rPr>
            </w:pPr>
          </w:p>
        </w:tc>
        <w:tc>
          <w:tcPr>
            <w:tcW w:w="860" w:type="dxa"/>
            <w:vAlign w:val="bottom"/>
          </w:tcPr>
          <w:p>
            <w:pPr>
              <w:jc w:val="right"/>
              <w:spacing w:after="0"/>
              <w:rPr>
                <w:sz w:val="20"/>
                <w:szCs w:val="20"/>
                <w:color w:val="auto"/>
              </w:rPr>
            </w:pPr>
            <w:r>
              <w:rPr>
                <w:rFonts w:ascii="Arial" w:cs="Arial" w:eastAsia="Arial" w:hAnsi="Arial"/>
                <w:sz w:val="17"/>
                <w:szCs w:val="17"/>
                <w:color w:val="auto"/>
              </w:rPr>
              <w:t>53</w:t>
            </w:r>
          </w:p>
        </w:tc>
      </w:tr>
      <w:tr>
        <w:trPr>
          <w:trHeight w:val="277"/>
        </w:trPr>
        <w:tc>
          <w:tcPr>
            <w:tcW w:w="3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9960" w:type="dxa"/>
            <w:vAlign w:val="bottom"/>
            <w:gridSpan w:val="32"/>
          </w:tcPr>
          <w:p>
            <w:pPr>
              <w:spacing w:after="0"/>
              <w:rPr>
                <w:rFonts w:ascii="Arial" w:cs="Arial" w:eastAsia="Arial" w:hAnsi="Arial"/>
                <w:sz w:val="17"/>
                <w:szCs w:val="17"/>
                <w:color w:val="0000EE"/>
              </w:rPr>
            </w:pPr>
            <w:hyperlink w:anchor="page63">
              <w:r>
                <w:rPr>
                  <w:rFonts w:ascii="Arial" w:cs="Arial" w:eastAsia="Arial" w:hAnsi="Arial"/>
                  <w:sz w:val="17"/>
                  <w:szCs w:val="17"/>
                  <w:color w:val="0000EE"/>
                </w:rPr>
                <w:t>Proposal 2: Ratification of Appointment of Independent Auditor</w:t>
              </w:r>
            </w:hyperlink>
          </w:p>
        </w:tc>
        <w:tc>
          <w:tcPr>
            <w:tcW w:w="860" w:type="dxa"/>
            <w:vAlign w:val="bottom"/>
          </w:tcPr>
          <w:p>
            <w:pPr>
              <w:jc w:val="right"/>
              <w:spacing w:after="0"/>
              <w:rPr>
                <w:sz w:val="20"/>
                <w:szCs w:val="20"/>
                <w:color w:val="auto"/>
              </w:rPr>
            </w:pPr>
            <w:r>
              <w:rPr>
                <w:rFonts w:ascii="Arial" w:cs="Arial" w:eastAsia="Arial" w:hAnsi="Arial"/>
                <w:sz w:val="17"/>
                <w:szCs w:val="17"/>
                <w:color w:val="auto"/>
              </w:rPr>
              <w:t>57</w:t>
            </w:r>
          </w:p>
        </w:tc>
      </w:tr>
      <w:tr>
        <w:trPr>
          <w:trHeight w:val="20"/>
        </w:trPr>
        <w:tc>
          <w:tcPr>
            <w:tcW w:w="3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880" w:type="dxa"/>
            <w:vAlign w:val="bottom"/>
            <w:gridSpan w:val="18"/>
            <w:shd w:val="clear" w:color="auto" w:fill="0000EE"/>
          </w:tcPr>
          <w:p>
            <w:pPr>
              <w:spacing w:after="0" w:line="20" w:lineRule="exact"/>
              <w:rPr>
                <w:sz w:val="1"/>
                <w:szCs w:val="1"/>
                <w:color w:val="auto"/>
              </w:rPr>
            </w:pPr>
          </w:p>
        </w:tc>
        <w:tc>
          <w:tcPr>
            <w:tcW w:w="100" w:type="dxa"/>
            <w:vAlign w:val="bottom"/>
            <w:gridSpan w:val="2"/>
            <w:shd w:val="clear" w:color="auto" w:fill="0000EE"/>
          </w:tcPr>
          <w:p>
            <w:pPr>
              <w:spacing w:after="0" w:line="20" w:lineRule="exact"/>
              <w:rPr>
                <w:sz w:val="1"/>
                <w:szCs w:val="1"/>
                <w:color w:val="auto"/>
              </w:rPr>
            </w:pPr>
          </w:p>
        </w:tc>
        <w:tc>
          <w:tcPr>
            <w:tcW w:w="1400" w:type="dxa"/>
            <w:vAlign w:val="bottom"/>
            <w:gridSpan w:val="6"/>
            <w:shd w:val="clear" w:color="auto" w:fill="0000EE"/>
          </w:tcPr>
          <w:p>
            <w:pPr>
              <w:spacing w:after="0" w:line="20" w:lineRule="exact"/>
              <w:rPr>
                <w:sz w:val="1"/>
                <w:szCs w:val="1"/>
                <w:color w:val="auto"/>
              </w:rPr>
            </w:pPr>
          </w:p>
        </w:tc>
        <w:tc>
          <w:tcPr>
            <w:tcW w:w="320" w:type="dxa"/>
            <w:vAlign w:val="bottom"/>
            <w:gridSpan w:val="2"/>
            <w:shd w:val="clear" w:color="auto" w:fill="0000EE"/>
          </w:tcPr>
          <w:p>
            <w:pPr>
              <w:spacing w:after="0" w:line="20" w:lineRule="exact"/>
              <w:rPr>
                <w:sz w:val="1"/>
                <w:szCs w:val="1"/>
                <w:color w:val="auto"/>
              </w:rPr>
            </w:pPr>
          </w:p>
        </w:tc>
        <w:tc>
          <w:tcPr>
            <w:tcW w:w="1880" w:type="dxa"/>
            <w:vAlign w:val="bottom"/>
          </w:tcPr>
          <w:p>
            <w:pPr>
              <w:spacing w:after="0" w:line="20" w:lineRule="exact"/>
              <w:rPr>
                <w:sz w:val="1"/>
                <w:szCs w:val="1"/>
                <w:color w:val="auto"/>
              </w:rPr>
            </w:pPr>
          </w:p>
        </w:tc>
        <w:tc>
          <w:tcPr>
            <w:tcW w:w="1260" w:type="dxa"/>
            <w:vAlign w:val="bottom"/>
          </w:tcPr>
          <w:p>
            <w:pPr>
              <w:spacing w:after="0" w:line="20" w:lineRule="exact"/>
              <w:rPr>
                <w:sz w:val="1"/>
                <w:szCs w:val="1"/>
                <w:color w:val="auto"/>
              </w:rPr>
            </w:pPr>
          </w:p>
        </w:tc>
        <w:tc>
          <w:tcPr>
            <w:tcW w:w="152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860" w:type="dxa"/>
            <w:vAlign w:val="bottom"/>
          </w:tcPr>
          <w:p>
            <w:pPr>
              <w:spacing w:after="0" w:line="20" w:lineRule="exact"/>
              <w:rPr>
                <w:sz w:val="1"/>
                <w:szCs w:val="1"/>
                <w:color w:val="auto"/>
              </w:rPr>
            </w:pPr>
          </w:p>
        </w:tc>
      </w:tr>
      <w:tr>
        <w:trPr>
          <w:trHeight w:val="277"/>
        </w:trPr>
        <w:tc>
          <w:tcPr>
            <w:tcW w:w="3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6580" w:type="dxa"/>
            <w:vAlign w:val="bottom"/>
            <w:tcBorders>
              <w:bottom w:val="single" w:sz="8" w:color="0000EE"/>
            </w:tcBorders>
            <w:gridSpan w:val="29"/>
          </w:tcPr>
          <w:p>
            <w:pPr>
              <w:spacing w:after="0"/>
              <w:rPr>
                <w:rFonts w:ascii="Arial" w:cs="Arial" w:eastAsia="Arial" w:hAnsi="Arial"/>
                <w:sz w:val="17"/>
                <w:szCs w:val="17"/>
                <w:color w:val="0000EE"/>
                <w:w w:val="99"/>
              </w:rPr>
            </w:pPr>
            <w:hyperlink w:anchor="page65">
              <w:r>
                <w:rPr>
                  <w:rFonts w:ascii="Arial" w:cs="Arial" w:eastAsia="Arial" w:hAnsi="Arial"/>
                  <w:sz w:val="17"/>
                  <w:szCs w:val="17"/>
                  <w:color w:val="0000EE"/>
                  <w:w w:val="99"/>
                </w:rPr>
                <w:t>Proposal 3: Approval, on an Advisory Basis, of Named Executive Officer Compensation</w:t>
              </w:r>
            </w:hyperlink>
          </w:p>
        </w:tc>
        <w:tc>
          <w:tcPr>
            <w:tcW w:w="3380" w:type="dxa"/>
            <w:vAlign w:val="bottom"/>
            <w:gridSpan w:val="3"/>
          </w:tcPr>
          <w:p>
            <w:pPr>
              <w:spacing w:after="0"/>
              <w:rPr>
                <w:sz w:val="24"/>
                <w:szCs w:val="24"/>
                <w:color w:val="auto"/>
              </w:rPr>
            </w:pPr>
          </w:p>
        </w:tc>
        <w:tc>
          <w:tcPr>
            <w:tcW w:w="860" w:type="dxa"/>
            <w:vAlign w:val="bottom"/>
          </w:tcPr>
          <w:p>
            <w:pPr>
              <w:jc w:val="right"/>
              <w:spacing w:after="0"/>
              <w:rPr>
                <w:sz w:val="20"/>
                <w:szCs w:val="20"/>
                <w:color w:val="auto"/>
              </w:rPr>
            </w:pPr>
            <w:r>
              <w:rPr>
                <w:rFonts w:ascii="Arial" w:cs="Arial" w:eastAsia="Arial" w:hAnsi="Arial"/>
                <w:sz w:val="17"/>
                <w:szCs w:val="17"/>
                <w:color w:val="auto"/>
              </w:rPr>
              <w:t>59</w:t>
            </w:r>
          </w:p>
        </w:tc>
      </w:tr>
      <w:tr>
        <w:trPr>
          <w:trHeight w:val="277"/>
        </w:trPr>
        <w:tc>
          <w:tcPr>
            <w:tcW w:w="360" w:type="dxa"/>
            <w:vAlign w:val="bottom"/>
          </w:tcPr>
          <w:p>
            <w:pPr>
              <w:spacing w:after="0"/>
              <w:rPr>
                <w:sz w:val="24"/>
                <w:szCs w:val="24"/>
                <w:color w:val="auto"/>
              </w:rPr>
            </w:pPr>
          </w:p>
        </w:tc>
        <w:tc>
          <w:tcPr>
            <w:tcW w:w="9980" w:type="dxa"/>
            <w:vAlign w:val="bottom"/>
            <w:gridSpan w:val="33"/>
          </w:tcPr>
          <w:p>
            <w:pPr>
              <w:spacing w:after="0"/>
              <w:rPr>
                <w:rFonts w:ascii="Arial" w:cs="Arial" w:eastAsia="Arial" w:hAnsi="Arial"/>
                <w:sz w:val="17"/>
                <w:szCs w:val="17"/>
                <w:color w:val="0000EE"/>
              </w:rPr>
            </w:pPr>
            <w:hyperlink w:anchor="page66">
              <w:r>
                <w:rPr>
                  <w:rFonts w:ascii="Arial" w:cs="Arial" w:eastAsia="Arial" w:hAnsi="Arial"/>
                  <w:sz w:val="17"/>
                  <w:szCs w:val="17"/>
                  <w:color w:val="0000EE"/>
                </w:rPr>
                <w:t>Proposal 4: Approval of the TimkenSteel Corporation Amended and Restated 2014 Equity and Incentive Compensation Plan</w:t>
              </w:r>
            </w:hyperlink>
          </w:p>
        </w:tc>
        <w:tc>
          <w:tcPr>
            <w:tcW w:w="860" w:type="dxa"/>
            <w:vAlign w:val="bottom"/>
          </w:tcPr>
          <w:p>
            <w:pPr>
              <w:jc w:val="right"/>
              <w:spacing w:after="0"/>
              <w:rPr>
                <w:sz w:val="20"/>
                <w:szCs w:val="20"/>
                <w:color w:val="auto"/>
              </w:rPr>
            </w:pPr>
            <w:r>
              <w:rPr>
                <w:rFonts w:ascii="Arial" w:cs="Arial" w:eastAsia="Arial" w:hAnsi="Arial"/>
                <w:sz w:val="17"/>
                <w:szCs w:val="17"/>
                <w:color w:val="auto"/>
              </w:rPr>
              <w:t>60</w:t>
            </w:r>
          </w:p>
        </w:tc>
      </w:tr>
      <w:tr>
        <w:trPr>
          <w:trHeight w:val="277"/>
        </w:trPr>
        <w:tc>
          <w:tcPr>
            <w:tcW w:w="360" w:type="dxa"/>
            <w:vAlign w:val="bottom"/>
          </w:tcPr>
          <w:p>
            <w:pPr>
              <w:spacing w:after="0"/>
              <w:rPr>
                <w:sz w:val="24"/>
                <w:szCs w:val="24"/>
                <w:color w:val="auto"/>
              </w:rPr>
            </w:pPr>
          </w:p>
        </w:tc>
        <w:tc>
          <w:tcPr>
            <w:tcW w:w="20" w:type="dxa"/>
            <w:vAlign w:val="bottom"/>
            <w:tcBorders>
              <w:top w:val="single" w:sz="8" w:color="0000EE"/>
            </w:tcBorders>
          </w:tcPr>
          <w:p>
            <w:pPr>
              <w:spacing w:after="0"/>
              <w:rPr>
                <w:sz w:val="24"/>
                <w:szCs w:val="24"/>
                <w:color w:val="auto"/>
              </w:rPr>
            </w:pPr>
          </w:p>
        </w:tc>
        <w:tc>
          <w:tcPr>
            <w:tcW w:w="9360" w:type="dxa"/>
            <w:vAlign w:val="bottom"/>
            <w:tcBorders>
              <w:top w:val="single" w:sz="8" w:color="0000EE"/>
            </w:tcBorders>
            <w:gridSpan w:val="31"/>
          </w:tcPr>
          <w:p>
            <w:pPr>
              <w:spacing w:after="0"/>
              <w:rPr>
                <w:rFonts w:ascii="Arial" w:cs="Arial" w:eastAsia="Arial" w:hAnsi="Arial"/>
                <w:sz w:val="17"/>
                <w:szCs w:val="17"/>
                <w:color w:val="0000EE"/>
              </w:rPr>
            </w:pPr>
            <w:hyperlink w:anchor="page83">
              <w:r>
                <w:rPr>
                  <w:rFonts w:ascii="Arial" w:cs="Arial" w:eastAsia="Arial" w:hAnsi="Arial"/>
                  <w:sz w:val="17"/>
                  <w:szCs w:val="17"/>
                  <w:color w:val="0000EE"/>
                </w:rPr>
                <w:t>Equity Compensation Plan Information</w:t>
              </w:r>
            </w:hyperlink>
          </w:p>
        </w:tc>
        <w:tc>
          <w:tcPr>
            <w:tcW w:w="600" w:type="dxa"/>
            <w:vAlign w:val="bottom"/>
          </w:tcPr>
          <w:p>
            <w:pPr>
              <w:spacing w:after="0"/>
              <w:rPr>
                <w:sz w:val="24"/>
                <w:szCs w:val="24"/>
                <w:color w:val="auto"/>
              </w:rPr>
            </w:pPr>
          </w:p>
        </w:tc>
        <w:tc>
          <w:tcPr>
            <w:tcW w:w="860" w:type="dxa"/>
            <w:vAlign w:val="bottom"/>
          </w:tcPr>
          <w:p>
            <w:pPr>
              <w:jc w:val="right"/>
              <w:spacing w:after="0"/>
              <w:rPr>
                <w:sz w:val="20"/>
                <w:szCs w:val="20"/>
                <w:color w:val="auto"/>
              </w:rPr>
            </w:pPr>
            <w:r>
              <w:rPr>
                <w:rFonts w:ascii="Arial" w:cs="Arial" w:eastAsia="Arial" w:hAnsi="Arial"/>
                <w:sz w:val="17"/>
                <w:szCs w:val="17"/>
                <w:color w:val="auto"/>
              </w:rPr>
              <w:t>77</w:t>
            </w:r>
          </w:p>
        </w:tc>
      </w:tr>
      <w:tr>
        <w:trPr>
          <w:trHeight w:val="20"/>
        </w:trPr>
        <w:tc>
          <w:tcPr>
            <w:tcW w:w="3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880" w:type="dxa"/>
            <w:vAlign w:val="bottom"/>
            <w:gridSpan w:val="18"/>
            <w:shd w:val="clear" w:color="auto" w:fill="0000EE"/>
          </w:tcPr>
          <w:p>
            <w:pPr>
              <w:spacing w:after="0" w:line="20" w:lineRule="exact"/>
              <w:rPr>
                <w:sz w:val="1"/>
                <w:szCs w:val="1"/>
                <w:color w:val="auto"/>
              </w:rPr>
            </w:pPr>
          </w:p>
        </w:tc>
        <w:tc>
          <w:tcPr>
            <w:tcW w:w="100" w:type="dxa"/>
            <w:vAlign w:val="bottom"/>
            <w:gridSpan w:val="2"/>
          </w:tcPr>
          <w:p>
            <w:pPr>
              <w:spacing w:after="0" w:line="20" w:lineRule="exact"/>
              <w:rPr>
                <w:sz w:val="1"/>
                <w:szCs w:val="1"/>
                <w:color w:val="auto"/>
              </w:rPr>
            </w:pPr>
          </w:p>
        </w:tc>
        <w:tc>
          <w:tcPr>
            <w:tcW w:w="1400" w:type="dxa"/>
            <w:vAlign w:val="bottom"/>
            <w:gridSpan w:val="6"/>
          </w:tcPr>
          <w:p>
            <w:pPr>
              <w:spacing w:after="0" w:line="20" w:lineRule="exact"/>
              <w:rPr>
                <w:sz w:val="1"/>
                <w:szCs w:val="1"/>
                <w:color w:val="auto"/>
              </w:rPr>
            </w:pPr>
          </w:p>
        </w:tc>
        <w:tc>
          <w:tcPr>
            <w:tcW w:w="3460" w:type="dxa"/>
            <w:vAlign w:val="bottom"/>
            <w:gridSpan w:val="4"/>
          </w:tcPr>
          <w:p>
            <w:pPr>
              <w:spacing w:after="0" w:line="20" w:lineRule="exact"/>
              <w:rPr>
                <w:sz w:val="1"/>
                <w:szCs w:val="1"/>
                <w:color w:val="auto"/>
              </w:rPr>
            </w:pPr>
          </w:p>
        </w:tc>
        <w:tc>
          <w:tcPr>
            <w:tcW w:w="2120" w:type="dxa"/>
            <w:vAlign w:val="bottom"/>
            <w:gridSpan w:val="2"/>
          </w:tcPr>
          <w:p>
            <w:pPr>
              <w:spacing w:after="0" w:line="20" w:lineRule="exact"/>
              <w:rPr>
                <w:sz w:val="1"/>
                <w:szCs w:val="1"/>
                <w:color w:val="auto"/>
              </w:rPr>
            </w:pPr>
          </w:p>
        </w:tc>
        <w:tc>
          <w:tcPr>
            <w:tcW w:w="860" w:type="dxa"/>
            <w:vAlign w:val="bottom"/>
          </w:tcPr>
          <w:p>
            <w:pPr>
              <w:spacing w:after="0" w:line="20" w:lineRule="exact"/>
              <w:rPr>
                <w:sz w:val="1"/>
                <w:szCs w:val="1"/>
                <w:color w:val="auto"/>
              </w:rPr>
            </w:pPr>
          </w:p>
        </w:tc>
      </w:tr>
      <w:tr>
        <w:trPr>
          <w:trHeight w:val="277"/>
        </w:trPr>
        <w:tc>
          <w:tcPr>
            <w:tcW w:w="3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9960" w:type="dxa"/>
            <w:vAlign w:val="bottom"/>
            <w:gridSpan w:val="32"/>
          </w:tcPr>
          <w:p>
            <w:pPr>
              <w:spacing w:after="0"/>
              <w:rPr>
                <w:rFonts w:ascii="Arial" w:cs="Arial" w:eastAsia="Arial" w:hAnsi="Arial"/>
                <w:sz w:val="17"/>
                <w:szCs w:val="17"/>
                <w:color w:val="0000EE"/>
              </w:rPr>
            </w:pPr>
            <w:hyperlink w:anchor="page84">
              <w:r>
                <w:rPr>
                  <w:rFonts w:ascii="Arial" w:cs="Arial" w:eastAsia="Arial" w:hAnsi="Arial"/>
                  <w:sz w:val="17"/>
                  <w:szCs w:val="17"/>
                  <w:color w:val="0000EE"/>
                </w:rPr>
                <w:t>Beneficial Ownership of Common Stock</w:t>
              </w:r>
            </w:hyperlink>
          </w:p>
        </w:tc>
        <w:tc>
          <w:tcPr>
            <w:tcW w:w="860" w:type="dxa"/>
            <w:vAlign w:val="bottom"/>
          </w:tcPr>
          <w:p>
            <w:pPr>
              <w:jc w:val="right"/>
              <w:spacing w:after="0"/>
              <w:rPr>
                <w:sz w:val="20"/>
                <w:szCs w:val="20"/>
                <w:color w:val="auto"/>
              </w:rPr>
            </w:pPr>
            <w:r>
              <w:rPr>
                <w:rFonts w:ascii="Arial" w:cs="Arial" w:eastAsia="Arial" w:hAnsi="Arial"/>
                <w:sz w:val="17"/>
                <w:szCs w:val="17"/>
                <w:color w:val="auto"/>
              </w:rPr>
              <w:t>78</w:t>
            </w:r>
          </w:p>
        </w:tc>
      </w:tr>
      <w:tr>
        <w:trPr>
          <w:trHeight w:val="20"/>
        </w:trPr>
        <w:tc>
          <w:tcPr>
            <w:tcW w:w="3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980" w:type="dxa"/>
            <w:vAlign w:val="bottom"/>
            <w:gridSpan w:val="20"/>
            <w:shd w:val="clear" w:color="auto" w:fill="0000EE"/>
          </w:tcPr>
          <w:p>
            <w:pPr>
              <w:spacing w:after="0" w:line="20" w:lineRule="exact"/>
              <w:rPr>
                <w:sz w:val="1"/>
                <w:szCs w:val="1"/>
                <w:color w:val="auto"/>
              </w:rPr>
            </w:pPr>
          </w:p>
        </w:tc>
        <w:tc>
          <w:tcPr>
            <w:tcW w:w="1400" w:type="dxa"/>
            <w:vAlign w:val="bottom"/>
            <w:gridSpan w:val="6"/>
          </w:tcPr>
          <w:p>
            <w:pPr>
              <w:spacing w:after="0" w:line="20" w:lineRule="exact"/>
              <w:rPr>
                <w:sz w:val="1"/>
                <w:szCs w:val="1"/>
                <w:color w:val="auto"/>
              </w:rPr>
            </w:pPr>
          </w:p>
        </w:tc>
        <w:tc>
          <w:tcPr>
            <w:tcW w:w="3460" w:type="dxa"/>
            <w:vAlign w:val="bottom"/>
            <w:gridSpan w:val="4"/>
          </w:tcPr>
          <w:p>
            <w:pPr>
              <w:spacing w:after="0" w:line="20" w:lineRule="exact"/>
              <w:rPr>
                <w:sz w:val="1"/>
                <w:szCs w:val="1"/>
                <w:color w:val="auto"/>
              </w:rPr>
            </w:pPr>
          </w:p>
        </w:tc>
        <w:tc>
          <w:tcPr>
            <w:tcW w:w="2120" w:type="dxa"/>
            <w:vAlign w:val="bottom"/>
            <w:gridSpan w:val="2"/>
          </w:tcPr>
          <w:p>
            <w:pPr>
              <w:spacing w:after="0" w:line="20" w:lineRule="exact"/>
              <w:rPr>
                <w:sz w:val="1"/>
                <w:szCs w:val="1"/>
                <w:color w:val="auto"/>
              </w:rPr>
            </w:pPr>
          </w:p>
        </w:tc>
        <w:tc>
          <w:tcPr>
            <w:tcW w:w="860" w:type="dxa"/>
            <w:vAlign w:val="bottom"/>
          </w:tcPr>
          <w:p>
            <w:pPr>
              <w:spacing w:after="0" w:line="20" w:lineRule="exact"/>
              <w:rPr>
                <w:sz w:val="1"/>
                <w:szCs w:val="1"/>
                <w:color w:val="auto"/>
              </w:rPr>
            </w:pPr>
          </w:p>
        </w:tc>
      </w:tr>
      <w:tr>
        <w:trPr>
          <w:trHeight w:val="277"/>
        </w:trPr>
        <w:tc>
          <w:tcPr>
            <w:tcW w:w="3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380" w:type="dxa"/>
            <w:vAlign w:val="bottom"/>
            <w:tcBorders>
              <w:bottom w:val="single" w:sz="8" w:color="0000EE"/>
            </w:tcBorders>
            <w:gridSpan w:val="26"/>
          </w:tcPr>
          <w:p>
            <w:pPr>
              <w:spacing w:after="0"/>
              <w:rPr>
                <w:rFonts w:ascii="Arial" w:cs="Arial" w:eastAsia="Arial" w:hAnsi="Arial"/>
                <w:sz w:val="17"/>
                <w:szCs w:val="17"/>
                <w:color w:val="0000EE"/>
                <w:w w:val="99"/>
              </w:rPr>
            </w:pPr>
            <w:hyperlink w:anchor="page88">
              <w:r>
                <w:rPr>
                  <w:rFonts w:ascii="Arial" w:cs="Arial" w:eastAsia="Arial" w:hAnsi="Arial"/>
                  <w:sz w:val="17"/>
                  <w:szCs w:val="17"/>
                  <w:color w:val="0000EE"/>
                  <w:w w:val="99"/>
                </w:rPr>
                <w:t>Section 16(a) Beneficial Ownership Reporting Compliance</w:t>
              </w:r>
            </w:hyperlink>
          </w:p>
        </w:tc>
        <w:tc>
          <w:tcPr>
            <w:tcW w:w="5580" w:type="dxa"/>
            <w:vAlign w:val="bottom"/>
            <w:gridSpan w:val="6"/>
          </w:tcPr>
          <w:p>
            <w:pPr>
              <w:spacing w:after="0"/>
              <w:rPr>
                <w:sz w:val="24"/>
                <w:szCs w:val="24"/>
                <w:color w:val="auto"/>
              </w:rPr>
            </w:pPr>
          </w:p>
        </w:tc>
        <w:tc>
          <w:tcPr>
            <w:tcW w:w="860" w:type="dxa"/>
            <w:vAlign w:val="bottom"/>
          </w:tcPr>
          <w:p>
            <w:pPr>
              <w:jc w:val="right"/>
              <w:spacing w:after="0"/>
              <w:rPr>
                <w:sz w:val="20"/>
                <w:szCs w:val="20"/>
                <w:color w:val="auto"/>
              </w:rPr>
            </w:pPr>
            <w:r>
              <w:rPr>
                <w:rFonts w:ascii="Arial" w:cs="Arial" w:eastAsia="Arial" w:hAnsi="Arial"/>
                <w:sz w:val="17"/>
                <w:szCs w:val="17"/>
                <w:color w:val="auto"/>
              </w:rPr>
              <w:t>82</w:t>
            </w:r>
          </w:p>
        </w:tc>
      </w:tr>
      <w:tr>
        <w:trPr>
          <w:trHeight w:val="277"/>
        </w:trPr>
        <w:tc>
          <w:tcPr>
            <w:tcW w:w="8220" w:type="dxa"/>
            <w:vAlign w:val="bottom"/>
            <w:tcBorders>
              <w:bottom w:val="single" w:sz="8" w:color="0000EE"/>
            </w:tcBorders>
            <w:gridSpan w:val="32"/>
          </w:tcPr>
          <w:p>
            <w:pPr>
              <w:spacing w:after="0"/>
              <w:rPr>
                <w:rFonts w:ascii="Arial" w:cs="Arial" w:eastAsia="Arial" w:hAnsi="Arial"/>
                <w:sz w:val="17"/>
                <w:szCs w:val="17"/>
                <w:color w:val="0000EE"/>
              </w:rPr>
            </w:pPr>
            <w:hyperlink w:anchor="page89">
              <w:r>
                <w:rPr>
                  <w:rFonts w:ascii="Arial" w:cs="Arial" w:eastAsia="Arial" w:hAnsi="Arial"/>
                  <w:sz w:val="17"/>
                  <w:szCs w:val="17"/>
                  <w:color w:val="0000EE"/>
                </w:rPr>
                <w:t>Appendix A TimkenSteel Corporation Amended and Restated 2014 Equity and Incentive Compensation Plan</w:t>
              </w:r>
            </w:hyperlink>
          </w:p>
        </w:tc>
        <w:tc>
          <w:tcPr>
            <w:tcW w:w="2120" w:type="dxa"/>
            <w:vAlign w:val="bottom"/>
            <w:gridSpan w:val="2"/>
          </w:tcPr>
          <w:p>
            <w:pPr>
              <w:spacing w:after="0"/>
              <w:rPr>
                <w:sz w:val="24"/>
                <w:szCs w:val="24"/>
                <w:color w:val="auto"/>
              </w:rPr>
            </w:pPr>
          </w:p>
        </w:tc>
        <w:tc>
          <w:tcPr>
            <w:tcW w:w="860" w:type="dxa"/>
            <w:vAlign w:val="bottom"/>
          </w:tcPr>
          <w:p>
            <w:pPr>
              <w:jc w:val="right"/>
              <w:spacing w:after="0"/>
              <w:rPr>
                <w:sz w:val="20"/>
                <w:szCs w:val="20"/>
                <w:color w:val="auto"/>
              </w:rPr>
            </w:pPr>
            <w:r>
              <w:rPr>
                <w:rFonts w:ascii="Arial" w:cs="Arial" w:eastAsia="Arial" w:hAnsi="Arial"/>
                <w:sz w:val="17"/>
                <w:szCs w:val="17"/>
                <w:color w:val="auto"/>
              </w:rPr>
              <w:t>A-1</w:t>
            </w:r>
          </w:p>
        </w:tc>
      </w:tr>
    </w:tbl>
    <w:p>
      <w:pPr>
        <w:sectPr>
          <w:pgSz w:w="11900" w:h="16838" w:orient="portrait"/>
          <w:cols w:equalWidth="0" w:num="1">
            <w:col w:w="11200"/>
          </w:cols>
          <w:pgMar w:left="240" w:top="459" w:right="459" w:bottom="1440" w:gutter="0" w:footer="0" w:header="0"/>
        </w:sectPr>
      </w:pPr>
    </w:p>
    <w:bookmarkStart w:id="4" w:name="page5"/>
    <w:bookmarkEnd w:id="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1823085</wp:posOffset>
            </wp:positionH>
            <wp:positionV relativeFrom="paragraph">
              <wp:posOffset>205740</wp:posOffset>
            </wp:positionV>
            <wp:extent cx="3610610" cy="46291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3610610" cy="46291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3"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Ward J. Timken, Jr.</w:t>
      </w:r>
    </w:p>
    <w:p>
      <w:pPr>
        <w:spacing w:after="0" w:line="18"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Chairman, CEO &amp; President</w:t>
      </w:r>
    </w:p>
    <w:p>
      <w:pPr>
        <w:spacing w:after="0" w:line="200" w:lineRule="exact"/>
        <w:rPr>
          <w:sz w:val="20"/>
          <w:szCs w:val="20"/>
          <w:color w:val="auto"/>
        </w:rPr>
      </w:pPr>
    </w:p>
    <w:p>
      <w:pPr>
        <w:spacing w:after="0" w:line="222" w:lineRule="exact"/>
        <w:rPr>
          <w:sz w:val="20"/>
          <w:szCs w:val="20"/>
          <w:color w:val="auto"/>
        </w:rPr>
      </w:pPr>
    </w:p>
    <w:p>
      <w:pPr>
        <w:spacing w:after="0"/>
        <w:rPr>
          <w:sz w:val="20"/>
          <w:szCs w:val="20"/>
          <w:color w:val="auto"/>
        </w:rPr>
      </w:pPr>
      <w:r>
        <w:rPr>
          <w:rFonts w:ascii="Arial" w:cs="Arial" w:eastAsia="Arial" w:hAnsi="Arial"/>
          <w:sz w:val="17"/>
          <w:szCs w:val="17"/>
          <w:color w:val="auto"/>
        </w:rPr>
        <w:t>March 16, 2016</w:t>
      </w:r>
    </w:p>
    <w:p>
      <w:pPr>
        <w:spacing w:after="0" w:line="318" w:lineRule="exact"/>
        <w:rPr>
          <w:sz w:val="20"/>
          <w:szCs w:val="20"/>
          <w:color w:val="auto"/>
        </w:rPr>
      </w:pPr>
    </w:p>
    <w:p>
      <w:pPr>
        <w:spacing w:after="0"/>
        <w:rPr>
          <w:sz w:val="20"/>
          <w:szCs w:val="20"/>
          <w:color w:val="auto"/>
        </w:rPr>
      </w:pPr>
      <w:r>
        <w:rPr>
          <w:rFonts w:ascii="Arial" w:cs="Arial" w:eastAsia="Arial" w:hAnsi="Arial"/>
          <w:sz w:val="17"/>
          <w:szCs w:val="17"/>
          <w:color w:val="auto"/>
        </w:rPr>
        <w:t>Dear Shareholder:</w:t>
      </w:r>
    </w:p>
    <w:p>
      <w:pPr>
        <w:spacing w:after="0" w:line="183" w:lineRule="exact"/>
        <w:rPr>
          <w:sz w:val="20"/>
          <w:szCs w:val="20"/>
          <w:color w:val="auto"/>
        </w:rPr>
      </w:pPr>
    </w:p>
    <w:p>
      <w:pPr>
        <w:ind w:right="640"/>
        <w:spacing w:after="0" w:line="243" w:lineRule="auto"/>
        <w:rPr>
          <w:sz w:val="20"/>
          <w:szCs w:val="20"/>
          <w:color w:val="auto"/>
        </w:rPr>
      </w:pPr>
      <w:r>
        <w:rPr>
          <w:rFonts w:ascii="Arial" w:cs="Arial" w:eastAsia="Arial" w:hAnsi="Arial"/>
          <w:sz w:val="17"/>
          <w:szCs w:val="17"/>
          <w:color w:val="auto"/>
        </w:rPr>
        <w:t>The 2016 Annual Meeting of Shareholders of TimkenSteel Corporation will be held on Thursday, April 28, 2016, at 10:00 a.m. local time at our corporate offices in Canton, Ohio.</w:t>
      </w:r>
    </w:p>
    <w:p>
      <w:pPr>
        <w:spacing w:after="0" w:line="158" w:lineRule="exact"/>
        <w:rPr>
          <w:sz w:val="20"/>
          <w:szCs w:val="20"/>
          <w:color w:val="auto"/>
        </w:rPr>
      </w:pPr>
    </w:p>
    <w:p>
      <w:pPr>
        <w:spacing w:after="0" w:line="238" w:lineRule="auto"/>
        <w:rPr>
          <w:sz w:val="20"/>
          <w:szCs w:val="20"/>
          <w:color w:val="auto"/>
        </w:rPr>
      </w:pPr>
      <w:r>
        <w:rPr>
          <w:rFonts w:ascii="Arial" w:cs="Arial" w:eastAsia="Arial" w:hAnsi="Arial"/>
          <w:sz w:val="17"/>
          <w:szCs w:val="17"/>
          <w:color w:val="auto"/>
        </w:rPr>
        <w:t>At this year’s meeting, you will be asked to consider and act upon four matters, all of which are recommended by your Board of Directors: (1) the election of three Directors; (2) the ratification of our independent auditor selection; (3) advisory approval of the compensation of the Company’s named executive officers; and (4) approval of the TimkenSteel Corporation Amended and Restated 2014 Equity and Incentive Compensation Plan.</w:t>
      </w:r>
    </w:p>
    <w:p>
      <w:pPr>
        <w:spacing w:after="0" w:line="161" w:lineRule="exact"/>
        <w:rPr>
          <w:sz w:val="20"/>
          <w:szCs w:val="20"/>
          <w:color w:val="auto"/>
        </w:rPr>
      </w:pPr>
    </w:p>
    <w:p>
      <w:pPr>
        <w:ind w:right="280"/>
        <w:spacing w:after="0" w:line="238" w:lineRule="auto"/>
        <w:rPr>
          <w:sz w:val="20"/>
          <w:szCs w:val="20"/>
          <w:color w:val="auto"/>
        </w:rPr>
      </w:pPr>
      <w:r>
        <w:rPr>
          <w:rFonts w:ascii="Arial" w:cs="Arial" w:eastAsia="Arial" w:hAnsi="Arial"/>
          <w:sz w:val="17"/>
          <w:szCs w:val="17"/>
          <w:color w:val="auto"/>
        </w:rPr>
        <w:t>Details of these matters are contained in the accompanying Notice of 2016 Annual Meeting of Shareholders and Proxy Statement. Please read the enclosed information carefully before voting your shares. Voting your shares as soon as possible will ensure your representation at the meeting, whether or not you plan to attend in person.</w:t>
      </w:r>
    </w:p>
    <w:p>
      <w:pPr>
        <w:spacing w:after="0" w:line="175" w:lineRule="exact"/>
        <w:rPr>
          <w:sz w:val="20"/>
          <w:szCs w:val="20"/>
          <w:color w:val="auto"/>
        </w:rPr>
      </w:pPr>
    </w:p>
    <w:p>
      <w:pPr>
        <w:spacing w:after="0"/>
        <w:rPr>
          <w:sz w:val="20"/>
          <w:szCs w:val="20"/>
          <w:color w:val="auto"/>
        </w:rPr>
      </w:pPr>
      <w:r>
        <w:rPr>
          <w:rFonts w:ascii="Arial" w:cs="Arial" w:eastAsia="Arial" w:hAnsi="Arial"/>
          <w:sz w:val="17"/>
          <w:szCs w:val="17"/>
          <w:color w:val="auto"/>
        </w:rPr>
        <w:t>Thank you for your support.</w:t>
      </w:r>
    </w:p>
    <w:p>
      <w:pPr>
        <w:spacing w:after="0" w:line="169" w:lineRule="exact"/>
        <w:rPr>
          <w:sz w:val="20"/>
          <w:szCs w:val="20"/>
          <w:color w:val="auto"/>
        </w:rPr>
      </w:pPr>
    </w:p>
    <w:p>
      <w:pPr>
        <w:spacing w:after="0"/>
        <w:rPr>
          <w:sz w:val="20"/>
          <w:szCs w:val="20"/>
          <w:color w:val="auto"/>
        </w:rPr>
      </w:pPr>
      <w:r>
        <w:rPr>
          <w:rFonts w:ascii="Arial" w:cs="Arial" w:eastAsia="Arial" w:hAnsi="Arial"/>
          <w:sz w:val="17"/>
          <w:szCs w:val="17"/>
          <w:color w:val="auto"/>
        </w:rPr>
        <w:t>Sincerely,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137160</wp:posOffset>
            </wp:positionV>
            <wp:extent cx="1260475" cy="36004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1260475" cy="3600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2" w:lineRule="exact"/>
        <w:rPr>
          <w:sz w:val="20"/>
          <w:szCs w:val="20"/>
          <w:color w:val="auto"/>
        </w:rPr>
      </w:pPr>
    </w:p>
    <w:p>
      <w:pPr>
        <w:spacing w:after="0"/>
        <w:rPr>
          <w:sz w:val="20"/>
          <w:szCs w:val="20"/>
          <w:color w:val="auto"/>
        </w:rPr>
      </w:pPr>
      <w:r>
        <w:rPr>
          <w:rFonts w:ascii="Arial" w:cs="Arial" w:eastAsia="Arial" w:hAnsi="Arial"/>
          <w:sz w:val="17"/>
          <w:szCs w:val="17"/>
          <w:color w:val="auto"/>
        </w:rPr>
        <w:t>Ward J. Timken, Jr.</w:t>
      </w:r>
    </w:p>
    <w:p>
      <w:pPr>
        <w:spacing w:after="0" w:line="183" w:lineRule="exact"/>
        <w:rPr>
          <w:sz w:val="20"/>
          <w:szCs w:val="20"/>
          <w:color w:val="auto"/>
        </w:rPr>
      </w:pPr>
    </w:p>
    <w:p>
      <w:pPr>
        <w:spacing w:after="0"/>
        <w:rPr>
          <w:sz w:val="20"/>
          <w:szCs w:val="20"/>
          <w:color w:val="auto"/>
        </w:rPr>
      </w:pPr>
      <w:r>
        <w:rPr>
          <w:rFonts w:ascii="Arial" w:cs="Arial" w:eastAsia="Arial" w:hAnsi="Arial"/>
          <w:sz w:val="17"/>
          <w:szCs w:val="17"/>
          <w:color w:val="auto"/>
        </w:rPr>
        <w:t>Enclosure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2889885</wp:posOffset>
            </wp:positionV>
            <wp:extent cx="7246620" cy="2603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246620" cy="2603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5" w:lineRule="exact"/>
        <w:rPr>
          <w:sz w:val="20"/>
          <w:szCs w:val="20"/>
          <w:color w:val="auto"/>
        </w:rPr>
      </w:pPr>
    </w:p>
    <w:p>
      <w:pPr>
        <w:jc w:val="center"/>
        <w:ind w:right="-59"/>
        <w:spacing w:after="0"/>
        <w:rPr>
          <w:sz w:val="20"/>
          <w:szCs w:val="20"/>
          <w:color w:val="auto"/>
        </w:rPr>
      </w:pPr>
      <w:r>
        <w:rPr>
          <w:rFonts w:ascii="Arial" w:cs="Arial" w:eastAsia="Arial" w:hAnsi="Arial"/>
          <w:sz w:val="17"/>
          <w:szCs w:val="17"/>
          <w:color w:val="666666"/>
        </w:rPr>
        <w:t>TimkenSteel Corporation</w:t>
      </w:r>
    </w:p>
    <w:p>
      <w:pPr>
        <w:jc w:val="center"/>
        <w:ind w:right="-59"/>
        <w:spacing w:after="0" w:line="232" w:lineRule="auto"/>
        <w:rPr>
          <w:sz w:val="20"/>
          <w:szCs w:val="20"/>
          <w:color w:val="auto"/>
        </w:rPr>
      </w:pPr>
      <w:r>
        <w:rPr>
          <w:rFonts w:ascii="Arial" w:cs="Arial" w:eastAsia="Arial" w:hAnsi="Arial"/>
          <w:sz w:val="17"/>
          <w:szCs w:val="17"/>
          <w:color w:val="666666"/>
        </w:rPr>
        <w:t>1835 Dueber Ave. S.W.</w:t>
      </w:r>
    </w:p>
    <w:p>
      <w:pPr>
        <w:jc w:val="center"/>
        <w:ind w:right="-59"/>
        <w:spacing w:after="0"/>
        <w:rPr>
          <w:sz w:val="20"/>
          <w:szCs w:val="20"/>
          <w:color w:val="auto"/>
        </w:rPr>
      </w:pPr>
      <w:r>
        <w:rPr>
          <w:rFonts w:ascii="Arial" w:cs="Arial" w:eastAsia="Arial" w:hAnsi="Arial"/>
          <w:sz w:val="17"/>
          <w:szCs w:val="17"/>
          <w:color w:val="666666"/>
        </w:rPr>
        <w:t>Canton, OH 44706</w:t>
      </w:r>
    </w:p>
    <w:p>
      <w:pPr>
        <w:sectPr>
          <w:pgSz w:w="11900" w:h="16838" w:orient="portrait"/>
          <w:cols w:equalWidth="0" w:num="1">
            <w:col w:w="11360"/>
          </w:cols>
          <w:pgMar w:left="240" w:top="459" w:right="299" w:bottom="1440" w:gutter="0" w:footer="0" w:header="0"/>
        </w:sectPr>
      </w:pPr>
    </w:p>
    <w:bookmarkStart w:id="5" w:name="page6"/>
    <w:bookmarkEnd w:id="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677545</wp:posOffset>
            </wp:positionV>
            <wp:extent cx="7246620" cy="2603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246620" cy="26035"/>
                    </a:xfrm>
                    <a:prstGeom prst="rect">
                      <a:avLst/>
                    </a:prstGeom>
                    <a:noFill/>
                  </pic:spPr>
                </pic:pic>
              </a:graphicData>
            </a:graphic>
          </wp:anchor>
        </w:drawing>
        <w:drawing>
          <wp:anchor simplePos="0" relativeHeight="251657728" behindDoc="1" locked="0" layoutInCell="0" allowOverlap="1">
            <wp:simplePos x="0" y="0"/>
            <wp:positionH relativeFrom="column">
              <wp:posOffset>3109595</wp:posOffset>
            </wp:positionH>
            <wp:positionV relativeFrom="paragraph">
              <wp:posOffset>205740</wp:posOffset>
            </wp:positionV>
            <wp:extent cx="1046480" cy="20574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1046480" cy="20574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3" w:lineRule="exact"/>
        <w:rPr>
          <w:sz w:val="20"/>
          <w:szCs w:val="20"/>
          <w:color w:val="auto"/>
        </w:rPr>
      </w:pPr>
    </w:p>
    <w:p>
      <w:pPr>
        <w:jc w:val="center"/>
        <w:ind w:right="-59"/>
        <w:spacing w:after="0"/>
        <w:rPr>
          <w:sz w:val="20"/>
          <w:szCs w:val="20"/>
          <w:color w:val="auto"/>
        </w:rPr>
      </w:pPr>
      <w:r>
        <w:rPr>
          <w:rFonts w:ascii="Arial" w:cs="Arial" w:eastAsia="Arial" w:hAnsi="Arial"/>
          <w:sz w:val="22"/>
          <w:szCs w:val="22"/>
          <w:b w:val="1"/>
          <w:bCs w:val="1"/>
          <w:color w:val="auto"/>
        </w:rPr>
        <w:t>NOTICE OF 2016 ANNUAL MEETING OF SHAREHOLDERS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168910</wp:posOffset>
            </wp:positionV>
            <wp:extent cx="7246620" cy="2603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246620" cy="26035"/>
                    </a:xfrm>
                    <a:prstGeom prst="rect">
                      <a:avLst/>
                    </a:prstGeom>
                    <a:noFill/>
                  </pic:spPr>
                </pic:pic>
              </a:graphicData>
            </a:graphic>
          </wp:anchor>
        </w:drawing>
      </w:r>
    </w:p>
    <w:p>
      <w:pPr>
        <w:spacing w:after="0" w:line="200" w:lineRule="exact"/>
        <w:rPr>
          <w:sz w:val="20"/>
          <w:szCs w:val="20"/>
          <w:color w:val="auto"/>
        </w:rPr>
      </w:pPr>
    </w:p>
    <w:p>
      <w:pPr>
        <w:spacing w:after="0" w:line="249" w:lineRule="exact"/>
        <w:rPr>
          <w:sz w:val="20"/>
          <w:szCs w:val="20"/>
          <w:color w:val="auto"/>
        </w:rPr>
      </w:pPr>
    </w:p>
    <w:p>
      <w:pPr>
        <w:spacing w:after="0"/>
        <w:rPr>
          <w:sz w:val="20"/>
          <w:szCs w:val="20"/>
          <w:color w:val="auto"/>
        </w:rPr>
      </w:pPr>
      <w:r>
        <w:rPr>
          <w:rFonts w:ascii="Arial" w:cs="Arial" w:eastAsia="Arial" w:hAnsi="Arial"/>
          <w:sz w:val="17"/>
          <w:szCs w:val="17"/>
          <w:color w:val="auto"/>
        </w:rPr>
        <w:t>The 2016 Annual Meeting of Shareholders of TimkenSteel Corporation will be held on Thursday, April 28, 2016, at 10:00 a.m. local time, at 1835</w:t>
      </w:r>
    </w:p>
    <w:p>
      <w:pPr>
        <w:spacing w:after="0"/>
        <w:rPr>
          <w:sz w:val="20"/>
          <w:szCs w:val="20"/>
          <w:color w:val="auto"/>
        </w:rPr>
      </w:pPr>
      <w:r>
        <w:rPr>
          <w:rFonts w:ascii="Arial" w:cs="Arial" w:eastAsia="Arial" w:hAnsi="Arial"/>
          <w:sz w:val="17"/>
          <w:szCs w:val="17"/>
          <w:color w:val="auto"/>
        </w:rPr>
        <w:t>Dueber Avenue, S.W., Canton, Ohio 44706, to consider and act on the following matters:</w:t>
      </w:r>
    </w:p>
    <w:p>
      <w:pPr>
        <w:spacing w:after="0" w:line="210" w:lineRule="exact"/>
        <w:rPr>
          <w:sz w:val="20"/>
          <w:szCs w:val="20"/>
          <w:color w:val="auto"/>
        </w:rPr>
      </w:pPr>
    </w:p>
    <w:p>
      <w:pPr>
        <w:ind w:left="340" w:right="160" w:hanging="332"/>
        <w:spacing w:after="0" w:line="243" w:lineRule="auto"/>
        <w:tabs>
          <w:tab w:leader="none" w:pos="340" w:val="left"/>
        </w:tabs>
        <w:numPr>
          <w:ilvl w:val="0"/>
          <w:numId w:val="5"/>
        </w:numPr>
        <w:rPr>
          <w:rFonts w:ascii="Arial" w:cs="Arial" w:eastAsia="Arial" w:hAnsi="Arial"/>
          <w:sz w:val="17"/>
          <w:szCs w:val="17"/>
          <w:color w:val="auto"/>
        </w:rPr>
      </w:pPr>
      <w:r>
        <w:rPr>
          <w:rFonts w:ascii="Arial" w:cs="Arial" w:eastAsia="Arial" w:hAnsi="Arial"/>
          <w:sz w:val="17"/>
          <w:szCs w:val="17"/>
          <w:color w:val="auto"/>
        </w:rPr>
        <w:t>Election of the following Directors to serve a three-year term expiring at the 2019 Annual Meeting: Diane C. Creel, Donald T. Misheff and Ronald A. Rice;</w:t>
      </w:r>
    </w:p>
    <w:p>
      <w:pPr>
        <w:spacing w:after="0" w:line="198" w:lineRule="exact"/>
        <w:rPr>
          <w:rFonts w:ascii="Arial" w:cs="Arial" w:eastAsia="Arial" w:hAnsi="Arial"/>
          <w:sz w:val="17"/>
          <w:szCs w:val="17"/>
          <w:color w:val="auto"/>
        </w:rPr>
      </w:pPr>
    </w:p>
    <w:p>
      <w:pPr>
        <w:ind w:left="340" w:hanging="332"/>
        <w:spacing w:after="0"/>
        <w:tabs>
          <w:tab w:leader="none" w:pos="340" w:val="left"/>
        </w:tabs>
        <w:numPr>
          <w:ilvl w:val="0"/>
          <w:numId w:val="5"/>
        </w:numPr>
        <w:rPr>
          <w:rFonts w:ascii="Arial" w:cs="Arial" w:eastAsia="Arial" w:hAnsi="Arial"/>
          <w:sz w:val="17"/>
          <w:szCs w:val="17"/>
          <w:color w:val="auto"/>
        </w:rPr>
      </w:pPr>
      <w:r>
        <w:rPr>
          <w:rFonts w:ascii="Arial" w:cs="Arial" w:eastAsia="Arial" w:hAnsi="Arial"/>
          <w:sz w:val="17"/>
          <w:szCs w:val="17"/>
          <w:color w:val="auto"/>
        </w:rPr>
        <w:t>Ratification of the selection of Ernst &amp; Young LLP as the Company’s independent auditor for the fiscal year ending December 31, 2016;</w:t>
      </w:r>
    </w:p>
    <w:p>
      <w:pPr>
        <w:spacing w:after="0" w:line="209" w:lineRule="exact"/>
        <w:rPr>
          <w:rFonts w:ascii="Arial" w:cs="Arial" w:eastAsia="Arial" w:hAnsi="Arial"/>
          <w:sz w:val="17"/>
          <w:szCs w:val="17"/>
          <w:color w:val="auto"/>
        </w:rPr>
      </w:pPr>
    </w:p>
    <w:p>
      <w:pPr>
        <w:ind w:left="340" w:hanging="332"/>
        <w:spacing w:after="0"/>
        <w:tabs>
          <w:tab w:leader="none" w:pos="340" w:val="left"/>
        </w:tabs>
        <w:numPr>
          <w:ilvl w:val="0"/>
          <w:numId w:val="5"/>
        </w:numPr>
        <w:rPr>
          <w:rFonts w:ascii="Arial" w:cs="Arial" w:eastAsia="Arial" w:hAnsi="Arial"/>
          <w:sz w:val="17"/>
          <w:szCs w:val="17"/>
          <w:color w:val="auto"/>
        </w:rPr>
      </w:pPr>
      <w:r>
        <w:rPr>
          <w:rFonts w:ascii="Arial" w:cs="Arial" w:eastAsia="Arial" w:hAnsi="Arial"/>
          <w:sz w:val="17"/>
          <w:szCs w:val="17"/>
          <w:color w:val="auto"/>
        </w:rPr>
        <w:t>Approval, on an advisory basis, of the compensation of the Company’s named executive officers;</w:t>
      </w:r>
    </w:p>
    <w:p>
      <w:pPr>
        <w:spacing w:after="0" w:line="209" w:lineRule="exact"/>
        <w:rPr>
          <w:rFonts w:ascii="Arial" w:cs="Arial" w:eastAsia="Arial" w:hAnsi="Arial"/>
          <w:sz w:val="17"/>
          <w:szCs w:val="17"/>
          <w:color w:val="auto"/>
        </w:rPr>
      </w:pPr>
    </w:p>
    <w:p>
      <w:pPr>
        <w:ind w:left="340" w:hanging="332"/>
        <w:spacing w:after="0"/>
        <w:tabs>
          <w:tab w:leader="none" w:pos="340" w:val="left"/>
        </w:tabs>
        <w:numPr>
          <w:ilvl w:val="0"/>
          <w:numId w:val="5"/>
        </w:numPr>
        <w:rPr>
          <w:rFonts w:ascii="Arial" w:cs="Arial" w:eastAsia="Arial" w:hAnsi="Arial"/>
          <w:sz w:val="17"/>
          <w:szCs w:val="17"/>
          <w:color w:val="auto"/>
        </w:rPr>
      </w:pPr>
      <w:r>
        <w:rPr>
          <w:rFonts w:ascii="Arial" w:cs="Arial" w:eastAsia="Arial" w:hAnsi="Arial"/>
          <w:sz w:val="17"/>
          <w:szCs w:val="17"/>
          <w:color w:val="auto"/>
        </w:rPr>
        <w:t>Approval of the TimkenSteel Corporation Amended and Restated 2014 Equity and Incentive Compensation Plan.</w:t>
      </w:r>
    </w:p>
    <w:p>
      <w:pPr>
        <w:spacing w:after="0" w:line="169" w:lineRule="exact"/>
        <w:rPr>
          <w:sz w:val="20"/>
          <w:szCs w:val="20"/>
          <w:color w:val="auto"/>
        </w:rPr>
      </w:pPr>
    </w:p>
    <w:p>
      <w:pPr>
        <w:ind w:right="120"/>
        <w:spacing w:after="0" w:line="243" w:lineRule="auto"/>
        <w:rPr>
          <w:sz w:val="20"/>
          <w:szCs w:val="20"/>
          <w:color w:val="auto"/>
        </w:rPr>
      </w:pPr>
      <w:r>
        <w:rPr>
          <w:rFonts w:ascii="Arial" w:cs="Arial" w:eastAsia="Arial" w:hAnsi="Arial"/>
          <w:sz w:val="17"/>
          <w:szCs w:val="17"/>
          <w:color w:val="auto"/>
        </w:rPr>
        <w:t>Shareholders of record of common shares of TimkenSteel Corporation at the close of business on March 1, 2016, are entitled to notice of and to vote at the meeting.</w:t>
      </w:r>
    </w:p>
    <w:p>
      <w:pPr>
        <w:spacing w:after="0" w:line="198" w:lineRule="exact"/>
        <w:rPr>
          <w:sz w:val="20"/>
          <w:szCs w:val="20"/>
          <w:color w:val="auto"/>
        </w:rPr>
      </w:pPr>
    </w:p>
    <w:p>
      <w:pPr>
        <w:ind w:right="200"/>
        <w:spacing w:after="0" w:line="236" w:lineRule="auto"/>
        <w:rPr>
          <w:sz w:val="20"/>
          <w:szCs w:val="20"/>
          <w:color w:val="auto"/>
        </w:rPr>
      </w:pPr>
      <w:r>
        <w:rPr>
          <w:rFonts w:ascii="Arial" w:cs="Arial" w:eastAsia="Arial" w:hAnsi="Arial"/>
          <w:sz w:val="17"/>
          <w:szCs w:val="17"/>
          <w:color w:val="auto"/>
        </w:rPr>
        <w:t>YOUR VOTE IS IMPORTANT. WHETHER OR NOT YOU PLAN TO ATTEND THE 2016 ANNUAL MEETING OF SHAREHOLDERS, PLEASE SIGN AND DATE THE ENCLOSED PROXY CARD AND RETURN IT IN THE POSTAGE-PAID ENVELOPE PROVIDED, OR VOTE YOUR SHARES ELECTRONICALLY THROUGH THE INTERNET OR BY TELEPHONE. VOTING INSTRUCTIONS ARE PROVIDED ON THE ENCLOSED PROXY CARD.</w:t>
      </w:r>
    </w:p>
    <w:p>
      <w:pPr>
        <w:sectPr>
          <w:pgSz w:w="11900" w:h="16838" w:orient="portrait"/>
          <w:cols w:equalWidth="0" w:num="1">
            <w:col w:w="11380"/>
          </w:cols>
          <w:pgMar w:left="240" w:top="459" w:right="279" w:bottom="1440" w:gutter="0" w:footer="0" w:header="0"/>
        </w:sectPr>
      </w:pPr>
    </w:p>
    <w:p>
      <w:pPr>
        <w:spacing w:after="0" w:line="200" w:lineRule="exact"/>
        <w:rPr>
          <w:sz w:val="20"/>
          <w:szCs w:val="20"/>
          <w:color w:val="auto"/>
        </w:rPr>
      </w:pPr>
    </w:p>
    <w:p>
      <w:pPr>
        <w:spacing w:after="0" w:line="287" w:lineRule="exact"/>
        <w:rPr>
          <w:sz w:val="20"/>
          <w:szCs w:val="20"/>
          <w:color w:val="auto"/>
        </w:rPr>
      </w:pPr>
    </w:p>
    <w:p>
      <w:pPr>
        <w:spacing w:after="0"/>
        <w:rPr>
          <w:sz w:val="20"/>
          <w:szCs w:val="20"/>
          <w:color w:val="auto"/>
        </w:rPr>
      </w:pPr>
      <w:r>
        <w:rPr>
          <w:rFonts w:ascii="Arial" w:cs="Arial" w:eastAsia="Arial" w:hAnsi="Arial"/>
          <w:sz w:val="17"/>
          <w:szCs w:val="17"/>
          <w:color w:val="auto"/>
        </w:rPr>
        <w:t>March 16, 2016</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61" w:lineRule="exact"/>
        <w:rPr>
          <w:sz w:val="20"/>
          <w:szCs w:val="20"/>
          <w:color w:val="auto"/>
        </w:rPr>
      </w:pPr>
    </w:p>
    <w:p>
      <w:pPr>
        <w:spacing w:after="0"/>
        <w:rPr>
          <w:sz w:val="20"/>
          <w:szCs w:val="20"/>
          <w:color w:val="auto"/>
        </w:rPr>
      </w:pPr>
      <w:r>
        <w:rPr>
          <w:rFonts w:ascii="Arial" w:cs="Arial" w:eastAsia="Arial" w:hAnsi="Arial"/>
          <w:sz w:val="17"/>
          <w:szCs w:val="17"/>
          <w:color w:val="auto"/>
        </w:rPr>
        <w:t>Frank A. DiPiero</w:t>
      </w:r>
    </w:p>
    <w:p>
      <w:pPr>
        <w:spacing w:after="0"/>
        <w:rPr>
          <w:sz w:val="20"/>
          <w:szCs w:val="20"/>
          <w:color w:val="auto"/>
        </w:rPr>
      </w:pPr>
      <w:r>
        <w:rPr>
          <w:rFonts w:ascii="Arial" w:cs="Arial" w:eastAsia="Arial" w:hAnsi="Arial"/>
          <w:sz w:val="17"/>
          <w:szCs w:val="17"/>
          <w:color w:val="auto"/>
        </w:rPr>
        <w:t>Executive Vice President, General Counsel and Secretary</w:t>
      </w:r>
    </w:p>
    <w:p>
      <w:pPr>
        <w:spacing w:after="0" w:line="200" w:lineRule="exact"/>
        <w:rPr>
          <w:sz w:val="20"/>
          <w:szCs w:val="20"/>
          <w:color w:val="auto"/>
        </w:rPr>
      </w:pPr>
    </w:p>
    <w:p>
      <w:pPr>
        <w:sectPr>
          <w:pgSz w:w="11900" w:h="16838" w:orient="portrait"/>
          <w:cols w:equalWidth="0" w:num="2">
            <w:col w:w="3860" w:space="720"/>
            <w:col w:w="6800"/>
          </w:cols>
          <w:pgMar w:left="240" w:top="459" w:right="279" w:bottom="1440"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1"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 xml:space="preserve">Important Notice Regarding the Availability of Proxy Materials for the 2016 Annual Meeting of Shareholders to be held on April 28, 2016: </w:t>
      </w:r>
      <w:r>
        <w:rPr>
          <w:rFonts w:ascii="Arial" w:cs="Arial" w:eastAsia="Arial" w:hAnsi="Arial"/>
          <w:sz w:val="17"/>
          <w:szCs w:val="17"/>
          <w:color w:val="auto"/>
        </w:rPr>
        <w:t>This</w:t>
      </w:r>
    </w:p>
    <w:p>
      <w:pPr>
        <w:spacing w:after="0" w:line="7" w:lineRule="exact"/>
        <w:rPr>
          <w:sz w:val="20"/>
          <w:szCs w:val="20"/>
          <w:color w:val="auto"/>
        </w:rPr>
      </w:pPr>
    </w:p>
    <w:p>
      <w:pPr>
        <w:spacing w:after="0"/>
        <w:rPr>
          <w:sz w:val="20"/>
          <w:szCs w:val="20"/>
          <w:color w:val="auto"/>
        </w:rPr>
      </w:pPr>
      <w:r>
        <w:rPr>
          <w:rFonts w:ascii="Arial" w:cs="Arial" w:eastAsia="Arial" w:hAnsi="Arial"/>
          <w:sz w:val="17"/>
          <w:szCs w:val="17"/>
          <w:color w:val="auto"/>
        </w:rPr>
        <w:t>Proxy Statement and our 2015 Annual Report to Shareholders are available free of charge on the following website: www.ReadMaterial.com/TMST.</w:t>
      </w:r>
    </w:p>
    <w:p>
      <w:pPr>
        <w:spacing w:after="0"/>
        <w:rPr>
          <w:sz w:val="20"/>
          <w:szCs w:val="20"/>
          <w:color w:val="auto"/>
        </w:rPr>
      </w:pPr>
      <w:r>
        <w:rPr>
          <w:rFonts w:ascii="Arial" w:cs="Arial" w:eastAsia="Arial" w:hAnsi="Arial"/>
          <w:sz w:val="17"/>
          <w:szCs w:val="17"/>
          <w:color w:val="auto"/>
        </w:rPr>
        <w:t>Directions to the Annual Meeting may be obtained on the investor page on our website at http://investors.timkensteel.com.</w:t>
      </w:r>
    </w:p>
    <w:p>
      <w:pPr>
        <w:sectPr>
          <w:pgSz w:w="11900" w:h="16838" w:orient="portrait"/>
          <w:cols w:equalWidth="0" w:num="1">
            <w:col w:w="11380"/>
          </w:cols>
          <w:pgMar w:left="240" w:top="459" w:right="279" w:bottom="1440" w:gutter="0" w:footer="0" w:header="0"/>
          <w:type w:val="continuous"/>
        </w:sectPr>
      </w:pPr>
    </w:p>
    <w:bookmarkStart w:id="6" w:name="page7"/>
    <w:bookmarkEnd w:id="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677545</wp:posOffset>
            </wp:positionV>
            <wp:extent cx="7246620" cy="2603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246620" cy="26035"/>
                    </a:xfrm>
                    <a:prstGeom prst="rect">
                      <a:avLst/>
                    </a:prstGeom>
                    <a:noFill/>
                  </pic:spPr>
                </pic:pic>
              </a:graphicData>
            </a:graphic>
          </wp:anchor>
        </w:drawing>
        <w:drawing>
          <wp:anchor simplePos="0" relativeHeight="251657728" behindDoc="1" locked="0" layoutInCell="0" allowOverlap="1">
            <wp:simplePos x="0" y="0"/>
            <wp:positionH relativeFrom="column">
              <wp:posOffset>2715260</wp:posOffset>
            </wp:positionH>
            <wp:positionV relativeFrom="paragraph">
              <wp:posOffset>205740</wp:posOffset>
            </wp:positionV>
            <wp:extent cx="1826895" cy="20574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1826895" cy="20574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3" w:lineRule="exact"/>
        <w:rPr>
          <w:sz w:val="20"/>
          <w:szCs w:val="20"/>
          <w:color w:val="auto"/>
        </w:rPr>
      </w:pPr>
    </w:p>
    <w:p>
      <w:pPr>
        <w:jc w:val="center"/>
        <w:ind w:right="-19"/>
        <w:spacing w:after="0"/>
        <w:rPr>
          <w:sz w:val="20"/>
          <w:szCs w:val="20"/>
          <w:color w:val="auto"/>
        </w:rPr>
      </w:pPr>
      <w:r>
        <w:rPr>
          <w:rFonts w:ascii="Arial" w:cs="Arial" w:eastAsia="Arial" w:hAnsi="Arial"/>
          <w:sz w:val="22"/>
          <w:szCs w:val="22"/>
          <w:b w:val="1"/>
          <w:bCs w:val="1"/>
          <w:color w:val="auto"/>
        </w:rPr>
        <w:t>TIMKENSTEEL CORPORATION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168910</wp:posOffset>
            </wp:positionV>
            <wp:extent cx="7246620" cy="2603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7246620" cy="26035"/>
                    </a:xfrm>
                    <a:prstGeom prst="rect">
                      <a:avLst/>
                    </a:prstGeom>
                    <a:noFill/>
                  </pic:spPr>
                </pic:pic>
              </a:graphicData>
            </a:graphic>
          </wp:anchor>
        </w:drawing>
      </w:r>
    </w:p>
    <w:p>
      <w:pPr>
        <w:spacing w:after="0" w:line="200" w:lineRule="exact"/>
        <w:rPr>
          <w:sz w:val="20"/>
          <w:szCs w:val="20"/>
          <w:color w:val="auto"/>
        </w:rPr>
      </w:pPr>
    </w:p>
    <w:p>
      <w:pPr>
        <w:spacing w:after="0" w:line="257" w:lineRule="exact"/>
        <w:rPr>
          <w:sz w:val="20"/>
          <w:szCs w:val="20"/>
          <w:color w:val="auto"/>
        </w:rPr>
      </w:pPr>
    </w:p>
    <w:p>
      <w:pPr>
        <w:spacing w:after="0"/>
        <w:rPr>
          <w:sz w:val="20"/>
          <w:szCs w:val="20"/>
          <w:color w:val="auto"/>
        </w:rPr>
      </w:pPr>
      <w:r>
        <w:rPr>
          <w:rFonts w:ascii="Arial" w:cs="Arial" w:eastAsia="Arial" w:hAnsi="Arial"/>
          <w:sz w:val="18"/>
          <w:szCs w:val="18"/>
          <w:color w:val="auto"/>
        </w:rPr>
        <w:t>PROXY STATEMENT</w:t>
      </w:r>
    </w:p>
    <w:p>
      <w:pPr>
        <w:spacing w:after="0"/>
        <w:rPr>
          <w:sz w:val="20"/>
          <w:szCs w:val="20"/>
          <w:color w:val="auto"/>
        </w:rPr>
      </w:pPr>
      <w:r>
        <w:rPr>
          <w:rFonts w:ascii="Arial" w:cs="Arial" w:eastAsia="Arial" w:hAnsi="Arial"/>
          <w:sz w:val="18"/>
          <w:szCs w:val="18"/>
          <w:color w:val="auto"/>
        </w:rPr>
        <w:t>QUESTIONS &amp; ANSWERS</w:t>
      </w:r>
    </w:p>
    <w:p>
      <w:pPr>
        <w:spacing w:after="0" w:line="146" w:lineRule="exact"/>
        <w:rPr>
          <w:sz w:val="20"/>
          <w:szCs w:val="20"/>
          <w:color w:val="auto"/>
        </w:rPr>
      </w:pPr>
    </w:p>
    <w:p>
      <w:pPr>
        <w:spacing w:after="0"/>
        <w:rPr>
          <w:sz w:val="20"/>
          <w:szCs w:val="20"/>
          <w:color w:val="auto"/>
        </w:rPr>
      </w:pPr>
      <w:r>
        <w:rPr>
          <w:rFonts w:ascii="Arial" w:cs="Arial" w:eastAsia="Arial" w:hAnsi="Arial"/>
          <w:sz w:val="17"/>
          <w:szCs w:val="17"/>
          <w:b w:val="1"/>
          <w:bCs w:val="1"/>
          <w:color w:val="666666"/>
        </w:rPr>
        <w:t>WHAT IS THE PURPOSE OF THIS PROXY STATEMENT?</w:t>
      </w:r>
    </w:p>
    <w:p>
      <w:pPr>
        <w:spacing w:after="0" w:line="14" w:lineRule="exact"/>
        <w:rPr>
          <w:sz w:val="20"/>
          <w:szCs w:val="20"/>
          <w:color w:val="auto"/>
        </w:rPr>
      </w:pPr>
    </w:p>
    <w:p>
      <w:pPr>
        <w:spacing w:after="0" w:line="236" w:lineRule="auto"/>
        <w:rPr>
          <w:sz w:val="20"/>
          <w:szCs w:val="20"/>
          <w:color w:val="auto"/>
        </w:rPr>
      </w:pPr>
      <w:r>
        <w:rPr>
          <w:rFonts w:ascii="Arial" w:cs="Arial" w:eastAsia="Arial" w:hAnsi="Arial"/>
          <w:sz w:val="17"/>
          <w:szCs w:val="17"/>
          <w:color w:val="auto"/>
        </w:rPr>
        <w:t>This Proxy Statement and the accompanying proxy card are being made available to shareholders beginning on or about March 16, 2016, in connection with the Company’s solicitation of proxies for the 2016 Annual Meeting of Shareholders to be held on April 28, 2016, at 10:00 a.m. local time at the corporate offices of the Company at 1835 Dueber Ave. S.W., Canton, Ohio 44706, and at any adjournments and postponements thereof, for the purpose of considering and acting upon the matters specified in the foregoing Notice.</w:t>
      </w:r>
    </w:p>
    <w:p>
      <w:pPr>
        <w:spacing w:after="0" w:line="157" w:lineRule="exact"/>
        <w:rPr>
          <w:sz w:val="20"/>
          <w:szCs w:val="20"/>
          <w:color w:val="auto"/>
        </w:rPr>
      </w:pPr>
    </w:p>
    <w:p>
      <w:pPr>
        <w:spacing w:after="0"/>
        <w:rPr>
          <w:sz w:val="20"/>
          <w:szCs w:val="20"/>
          <w:color w:val="auto"/>
        </w:rPr>
      </w:pPr>
      <w:r>
        <w:rPr>
          <w:rFonts w:ascii="Arial" w:cs="Arial" w:eastAsia="Arial" w:hAnsi="Arial"/>
          <w:sz w:val="17"/>
          <w:szCs w:val="17"/>
          <w:b w:val="1"/>
          <w:bCs w:val="1"/>
          <w:color w:val="666666"/>
        </w:rPr>
        <w:t>WHAT IS A PROXY?</w:t>
      </w:r>
    </w:p>
    <w:p>
      <w:pPr>
        <w:spacing w:after="0" w:line="14" w:lineRule="exact"/>
        <w:rPr>
          <w:sz w:val="20"/>
          <w:szCs w:val="20"/>
          <w:color w:val="auto"/>
        </w:rPr>
      </w:pPr>
    </w:p>
    <w:p>
      <w:pPr>
        <w:ind w:right="80"/>
        <w:spacing w:after="0" w:line="238" w:lineRule="auto"/>
        <w:rPr>
          <w:sz w:val="20"/>
          <w:szCs w:val="20"/>
          <w:color w:val="auto"/>
        </w:rPr>
      </w:pPr>
      <w:r>
        <w:rPr>
          <w:rFonts w:ascii="Arial" w:cs="Arial" w:eastAsia="Arial" w:hAnsi="Arial"/>
          <w:sz w:val="17"/>
          <w:szCs w:val="17"/>
          <w:color w:val="auto"/>
        </w:rPr>
        <w:t>A proxy is your legal appointment of another person to vote the shares that you own in accordance with your instructions. The person you appoint to vote your shares is also called a proxy. On the proxy card, you will find the names of the persons designated by the Company to act as proxies to vote your shares at the Annual Meeting. The designated proxies are required to vote your shares in the manner you instruct.</w:t>
      </w:r>
    </w:p>
    <w:p>
      <w:pPr>
        <w:spacing w:after="0" w:line="141" w:lineRule="exact"/>
        <w:rPr>
          <w:sz w:val="20"/>
          <w:szCs w:val="20"/>
          <w:color w:val="auto"/>
        </w:rPr>
      </w:pPr>
    </w:p>
    <w:p>
      <w:pPr>
        <w:spacing w:after="0"/>
        <w:rPr>
          <w:sz w:val="20"/>
          <w:szCs w:val="20"/>
          <w:color w:val="auto"/>
        </w:rPr>
      </w:pPr>
      <w:r>
        <w:rPr>
          <w:rFonts w:ascii="Arial" w:cs="Arial" w:eastAsia="Arial" w:hAnsi="Arial"/>
          <w:sz w:val="17"/>
          <w:szCs w:val="17"/>
          <w:b w:val="1"/>
          <w:bCs w:val="1"/>
          <w:color w:val="666666"/>
        </w:rPr>
        <w:t>WHO CAN VOTE?</w:t>
      </w:r>
    </w:p>
    <w:p>
      <w:pPr>
        <w:spacing w:after="0" w:line="14" w:lineRule="exact"/>
        <w:rPr>
          <w:sz w:val="20"/>
          <w:szCs w:val="20"/>
          <w:color w:val="auto"/>
        </w:rPr>
      </w:pPr>
    </w:p>
    <w:p>
      <w:pPr>
        <w:spacing w:after="0" w:line="238" w:lineRule="auto"/>
        <w:rPr>
          <w:sz w:val="20"/>
          <w:szCs w:val="20"/>
          <w:color w:val="auto"/>
        </w:rPr>
      </w:pPr>
      <w:r>
        <w:rPr>
          <w:rFonts w:ascii="Arial" w:cs="Arial" w:eastAsia="Arial" w:hAnsi="Arial"/>
          <w:sz w:val="17"/>
          <w:szCs w:val="17"/>
          <w:color w:val="auto"/>
        </w:rPr>
        <w:t>Record holders of TimkenSteel Corporation common stock at the close of business on March 1, 2016 (the “Record Date”) are entitled to vote at the meeting. Shareholders are entitled to one vote for each full share held on the Record Date. On that date, there were 44,219,713 of our common shares outstanding.</w:t>
      </w:r>
    </w:p>
    <w:p>
      <w:pPr>
        <w:spacing w:after="0" w:line="141" w:lineRule="exact"/>
        <w:rPr>
          <w:sz w:val="20"/>
          <w:szCs w:val="20"/>
          <w:color w:val="auto"/>
        </w:rPr>
      </w:pPr>
    </w:p>
    <w:p>
      <w:pPr>
        <w:spacing w:after="0"/>
        <w:rPr>
          <w:sz w:val="20"/>
          <w:szCs w:val="20"/>
          <w:color w:val="auto"/>
        </w:rPr>
      </w:pPr>
      <w:r>
        <w:rPr>
          <w:rFonts w:ascii="Arial" w:cs="Arial" w:eastAsia="Arial" w:hAnsi="Arial"/>
          <w:sz w:val="17"/>
          <w:szCs w:val="17"/>
          <w:b w:val="1"/>
          <w:bCs w:val="1"/>
          <w:color w:val="666666"/>
        </w:rPr>
        <w:t>HOW DO I VOTE?</w:t>
      </w:r>
    </w:p>
    <w:p>
      <w:pPr>
        <w:spacing w:after="0" w:line="14" w:lineRule="exact"/>
        <w:rPr>
          <w:sz w:val="20"/>
          <w:szCs w:val="20"/>
          <w:color w:val="auto"/>
        </w:rPr>
      </w:pPr>
    </w:p>
    <w:p>
      <w:pPr>
        <w:ind w:right="20"/>
        <w:spacing w:after="0" w:line="243" w:lineRule="auto"/>
        <w:rPr>
          <w:sz w:val="20"/>
          <w:szCs w:val="20"/>
          <w:color w:val="auto"/>
        </w:rPr>
      </w:pPr>
      <w:r>
        <w:rPr>
          <w:rFonts w:ascii="Arial" w:cs="Arial" w:eastAsia="Arial" w:hAnsi="Arial"/>
          <w:sz w:val="17"/>
          <w:szCs w:val="17"/>
          <w:b w:val="1"/>
          <w:bCs w:val="1"/>
          <w:color w:val="auto"/>
        </w:rPr>
        <w:t xml:space="preserve">Registered Holders. </w:t>
      </w:r>
      <w:r>
        <w:rPr>
          <w:rFonts w:ascii="Arial" w:cs="Arial" w:eastAsia="Arial" w:hAnsi="Arial"/>
          <w:sz w:val="17"/>
          <w:szCs w:val="17"/>
          <w:color w:val="auto"/>
        </w:rPr>
        <w:t>If your shares are registered in your name, you may vote in person at the meeting or by proxy. If you decide to vote by proxy, you</w:t>
      </w:r>
      <w:r>
        <w:rPr>
          <w:rFonts w:ascii="Arial" w:cs="Arial" w:eastAsia="Arial" w:hAnsi="Arial"/>
          <w:sz w:val="17"/>
          <w:szCs w:val="17"/>
          <w:b w:val="1"/>
          <w:bCs w:val="1"/>
          <w:color w:val="auto"/>
        </w:rPr>
        <w:t xml:space="preserve"> </w:t>
      </w:r>
      <w:r>
        <w:rPr>
          <w:rFonts w:ascii="Arial" w:cs="Arial" w:eastAsia="Arial" w:hAnsi="Arial"/>
          <w:sz w:val="17"/>
          <w:szCs w:val="17"/>
          <w:color w:val="auto"/>
        </w:rPr>
        <w:t xml:space="preserve">may do so in any </w:t>
      </w:r>
      <w:r>
        <w:rPr>
          <w:rFonts w:ascii="Arial" w:cs="Arial" w:eastAsia="Arial" w:hAnsi="Arial"/>
          <w:sz w:val="17"/>
          <w:szCs w:val="17"/>
          <w:b w:val="1"/>
          <w:bCs w:val="1"/>
          <w:color w:val="auto"/>
        </w:rPr>
        <w:t>ONE</w:t>
      </w:r>
      <w:r>
        <w:rPr>
          <w:rFonts w:ascii="Arial" w:cs="Arial" w:eastAsia="Arial" w:hAnsi="Arial"/>
          <w:sz w:val="17"/>
          <w:szCs w:val="17"/>
          <w:color w:val="auto"/>
        </w:rPr>
        <w:t xml:space="preserve"> of the following three ways:</w:t>
      </w:r>
    </w:p>
    <w:p>
      <w:pPr>
        <w:spacing w:after="0" w:line="153" w:lineRule="exact"/>
        <w:rPr>
          <w:sz w:val="20"/>
          <w:szCs w:val="20"/>
          <w:color w:val="auto"/>
        </w:rPr>
      </w:pPr>
    </w:p>
    <w:p>
      <w:pPr>
        <w:ind w:right="40"/>
        <w:spacing w:after="0" w:line="243" w:lineRule="auto"/>
        <w:rPr>
          <w:sz w:val="20"/>
          <w:szCs w:val="20"/>
          <w:color w:val="auto"/>
        </w:rPr>
      </w:pPr>
      <w:r>
        <w:rPr>
          <w:rFonts w:ascii="Arial" w:cs="Arial" w:eastAsia="Arial" w:hAnsi="Arial"/>
          <w:sz w:val="17"/>
          <w:szCs w:val="17"/>
          <w:i w:val="1"/>
          <w:iCs w:val="1"/>
          <w:color w:val="auto"/>
        </w:rPr>
        <w:t xml:space="preserve">By telephone. </w:t>
      </w:r>
      <w:r>
        <w:rPr>
          <w:rFonts w:ascii="Arial" w:cs="Arial" w:eastAsia="Arial" w:hAnsi="Arial"/>
          <w:sz w:val="17"/>
          <w:szCs w:val="17"/>
          <w:color w:val="auto"/>
        </w:rPr>
        <w:t>After reading the proxy materials, you may call the toll-free number 1-888-693-8683, using a touch-tone telephone. You will be prompted</w:t>
      </w:r>
      <w:r>
        <w:rPr>
          <w:rFonts w:ascii="Arial" w:cs="Arial" w:eastAsia="Arial" w:hAnsi="Arial"/>
          <w:sz w:val="17"/>
          <w:szCs w:val="17"/>
          <w:i w:val="1"/>
          <w:iCs w:val="1"/>
          <w:color w:val="auto"/>
        </w:rPr>
        <w:t xml:space="preserve"> </w:t>
      </w:r>
      <w:r>
        <w:rPr>
          <w:rFonts w:ascii="Arial" w:cs="Arial" w:eastAsia="Arial" w:hAnsi="Arial"/>
          <w:sz w:val="17"/>
          <w:szCs w:val="17"/>
          <w:color w:val="auto"/>
        </w:rPr>
        <w:t>to enter your Control Number, which you can find on your Notice of Internet Availability or your proxy card. This number will identify you and the Company. Then you can follow the simple instructions that will be given to you to record your vote. Telephone voting will be available until 6:00 a.m. EDT on April 28, 2016.</w:t>
      </w:r>
    </w:p>
    <w:p>
      <w:pPr>
        <w:spacing w:after="0" w:line="140" w:lineRule="exact"/>
        <w:rPr>
          <w:sz w:val="20"/>
          <w:szCs w:val="20"/>
          <w:color w:val="auto"/>
        </w:rPr>
      </w:pPr>
    </w:p>
    <w:p>
      <w:pPr>
        <w:ind w:right="20"/>
        <w:spacing w:after="0" w:line="243" w:lineRule="auto"/>
        <w:rPr>
          <w:sz w:val="20"/>
          <w:szCs w:val="20"/>
          <w:color w:val="auto"/>
        </w:rPr>
      </w:pPr>
      <w:r>
        <w:rPr>
          <w:rFonts w:ascii="Arial" w:cs="Arial" w:eastAsia="Arial" w:hAnsi="Arial"/>
          <w:sz w:val="17"/>
          <w:szCs w:val="17"/>
          <w:i w:val="1"/>
          <w:iCs w:val="1"/>
          <w:color w:val="auto"/>
        </w:rPr>
        <w:t xml:space="preserve">Over the Internet. </w:t>
      </w:r>
      <w:r>
        <w:rPr>
          <w:rFonts w:ascii="Arial" w:cs="Arial" w:eastAsia="Arial" w:hAnsi="Arial"/>
          <w:sz w:val="17"/>
          <w:szCs w:val="17"/>
          <w:color w:val="auto"/>
        </w:rPr>
        <w:t>After reading the proxy materials, you may use a computer to access the website www.cesvote.com. You will be prompted to enter</w:t>
      </w:r>
      <w:r>
        <w:rPr>
          <w:rFonts w:ascii="Arial" w:cs="Arial" w:eastAsia="Arial" w:hAnsi="Arial"/>
          <w:sz w:val="17"/>
          <w:szCs w:val="17"/>
          <w:i w:val="1"/>
          <w:iCs w:val="1"/>
          <w:color w:val="auto"/>
        </w:rPr>
        <w:t xml:space="preserve"> </w:t>
      </w:r>
      <w:r>
        <w:rPr>
          <w:rFonts w:ascii="Arial" w:cs="Arial" w:eastAsia="Arial" w:hAnsi="Arial"/>
          <w:sz w:val="17"/>
          <w:szCs w:val="17"/>
          <w:color w:val="auto"/>
        </w:rPr>
        <w:t>your Control Number, which you can find on your Notice of Internet Availability or your proxy card. This number will identify you and the Company. Then you can follow the simple instructions that will be given to you to record your vote. Internet voting will be available until 6:00 a.m. EDT on April 28, 2016.</w:t>
      </w:r>
    </w:p>
    <w:p>
      <w:pPr>
        <w:spacing w:after="0" w:line="338" w:lineRule="exact"/>
        <w:rPr>
          <w:sz w:val="20"/>
          <w:szCs w:val="20"/>
          <w:color w:val="auto"/>
        </w:rPr>
      </w:pPr>
    </w:p>
    <w:p>
      <w:pPr>
        <w:ind w:right="440"/>
        <w:spacing w:after="0" w:line="243" w:lineRule="auto"/>
        <w:rPr>
          <w:sz w:val="20"/>
          <w:szCs w:val="20"/>
          <w:color w:val="auto"/>
        </w:rPr>
      </w:pPr>
      <w:r>
        <w:rPr>
          <w:rFonts w:ascii="Arial" w:cs="Arial" w:eastAsia="Arial" w:hAnsi="Arial"/>
          <w:sz w:val="17"/>
          <w:szCs w:val="17"/>
          <w:i w:val="1"/>
          <w:iCs w:val="1"/>
          <w:color w:val="auto"/>
        </w:rPr>
        <w:t xml:space="preserve">By mail. </w:t>
      </w:r>
      <w:r>
        <w:rPr>
          <w:rFonts w:ascii="Arial" w:cs="Arial" w:eastAsia="Arial" w:hAnsi="Arial"/>
          <w:sz w:val="17"/>
          <w:szCs w:val="17"/>
          <w:color w:val="auto"/>
        </w:rPr>
        <w:t>After reading the proxy materials, you may vote your shares by marking, signing, dating and returning your proxy card to the Company’s</w:t>
      </w:r>
      <w:r>
        <w:rPr>
          <w:rFonts w:ascii="Arial" w:cs="Arial" w:eastAsia="Arial" w:hAnsi="Arial"/>
          <w:sz w:val="17"/>
          <w:szCs w:val="17"/>
          <w:i w:val="1"/>
          <w:iCs w:val="1"/>
          <w:color w:val="auto"/>
        </w:rPr>
        <w:t xml:space="preserve"> </w:t>
      </w:r>
      <w:r>
        <w:rPr>
          <w:rFonts w:ascii="Arial" w:cs="Arial" w:eastAsia="Arial" w:hAnsi="Arial"/>
          <w:sz w:val="17"/>
          <w:szCs w:val="17"/>
          <w:color w:val="auto"/>
        </w:rPr>
        <w:t>tabulation agent, Corporate Election Services, Inc. (“Corporate Election Services” or “CES”), in the postage-paid envelope provided, or return it to Corporate Election Services, P.O. Box 3200, Pittsburgh, PA 15230. Proxy cards returned by mail must be received by CES by 6:00 a.m. EDT on April 28, 2016, in order for your vote to be recorded.</w:t>
      </w:r>
    </w:p>
    <w:p>
      <w:pPr>
        <w:spacing w:after="0" w:line="172" w:lineRule="exact"/>
        <w:rPr>
          <w:sz w:val="20"/>
          <w:szCs w:val="20"/>
          <w:color w:val="auto"/>
        </w:rPr>
      </w:pPr>
    </w:p>
    <w:p>
      <w:pPr>
        <w:ind w:right="100"/>
        <w:spacing w:after="0" w:line="243" w:lineRule="auto"/>
        <w:rPr>
          <w:sz w:val="20"/>
          <w:szCs w:val="20"/>
          <w:color w:val="auto"/>
        </w:rPr>
      </w:pPr>
      <w:r>
        <w:rPr>
          <w:rFonts w:ascii="Arial" w:cs="Arial" w:eastAsia="Arial" w:hAnsi="Arial"/>
          <w:sz w:val="17"/>
          <w:szCs w:val="17"/>
          <w:color w:val="auto"/>
        </w:rPr>
        <w:t>The Internet and telephone voting procedures have been set up for your convenience and have been designed to authenticate your identity, allow you to give voting instructions and confirm that those instructions have been recorded properly.</w:t>
      </w:r>
    </w:p>
    <w:p>
      <w:pPr>
        <w:spacing w:after="0" w:line="142" w:lineRule="exact"/>
        <w:rPr>
          <w:sz w:val="20"/>
          <w:szCs w:val="20"/>
          <w:color w:val="auto"/>
        </w:rPr>
      </w:pPr>
    </w:p>
    <w:p>
      <w:pPr>
        <w:ind w:left="11260"/>
        <w:spacing w:after="0"/>
        <w:rPr>
          <w:sz w:val="20"/>
          <w:szCs w:val="20"/>
          <w:color w:val="auto"/>
        </w:rPr>
      </w:pPr>
      <w:r>
        <w:rPr>
          <w:rFonts w:ascii="Arial" w:cs="Arial" w:eastAsia="Arial" w:hAnsi="Arial"/>
          <w:sz w:val="14"/>
          <w:szCs w:val="14"/>
          <w:color w:val="auto"/>
        </w:rPr>
        <w:t>1</w:t>
      </w:r>
    </w:p>
    <w:p>
      <w:pPr>
        <w:sectPr>
          <w:pgSz w:w="11900" w:h="16838" w:orient="portrait"/>
          <w:cols w:equalWidth="0" w:num="1">
            <w:col w:w="11420"/>
          </w:cols>
          <w:pgMar w:left="240" w:top="459" w:right="239" w:bottom="1440" w:gutter="0" w:footer="0" w:header="0"/>
        </w:sectPr>
      </w:pPr>
    </w:p>
    <w:bookmarkStart w:id="7" w:name="page8"/>
    <w:bookmarkEnd w:id="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3109595</wp:posOffset>
            </wp:positionH>
            <wp:positionV relativeFrom="paragraph">
              <wp:posOffset>205740</wp:posOffset>
            </wp:positionV>
            <wp:extent cx="1046480" cy="20574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1046480" cy="20574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70" w:lineRule="exact"/>
        <w:rPr>
          <w:sz w:val="20"/>
          <w:szCs w:val="20"/>
          <w:color w:val="auto"/>
        </w:rPr>
      </w:pPr>
    </w:p>
    <w:p>
      <w:pPr>
        <w:ind w:right="20"/>
        <w:spacing w:after="0" w:line="236" w:lineRule="auto"/>
        <w:rPr>
          <w:sz w:val="20"/>
          <w:szCs w:val="20"/>
          <w:color w:val="auto"/>
        </w:rPr>
      </w:pPr>
      <w:r>
        <w:rPr>
          <w:rFonts w:ascii="Arial" w:cs="Arial" w:eastAsia="Arial" w:hAnsi="Arial"/>
          <w:sz w:val="17"/>
          <w:szCs w:val="17"/>
          <w:color w:val="auto"/>
        </w:rPr>
        <w:t>Whether you choose to vote in person, by telephone, over the Internet or by mail, you can specify whether your shares should be voted for all, some or none of the nominees for Director. You can also specify whether you want to vote for or against, or abstain from voting on, the ratification of the selection of our independent auditor, advisory approval of the compensation of the Company’s named executive officers and the approval of the TimkenSteel Corporation Amended and Restated 2014 Equity and Incentive Compensation Plan.</w:t>
      </w:r>
    </w:p>
    <w:p>
      <w:pPr>
        <w:spacing w:after="0" w:line="177" w:lineRule="exact"/>
        <w:rPr>
          <w:sz w:val="20"/>
          <w:szCs w:val="20"/>
          <w:color w:val="auto"/>
        </w:rPr>
      </w:pPr>
    </w:p>
    <w:p>
      <w:pPr>
        <w:ind w:right="200"/>
        <w:spacing w:after="0" w:line="238" w:lineRule="auto"/>
        <w:rPr>
          <w:sz w:val="20"/>
          <w:szCs w:val="20"/>
          <w:color w:val="auto"/>
        </w:rPr>
      </w:pPr>
      <w:r>
        <w:rPr>
          <w:rFonts w:ascii="Arial" w:cs="Arial" w:eastAsia="Arial" w:hAnsi="Arial"/>
          <w:sz w:val="17"/>
          <w:szCs w:val="17"/>
          <w:color w:val="auto"/>
        </w:rPr>
        <w:t>If you sign, date and return your proxy card but do not specify how you want to vote your shares, your shares will be voted according to the Board’s recommendations as set forth below and, as to any other business as may be properly brought before the 2016 Annual Meeting of Shareholders and any adjournments or postponements thereof, in the discretion of the proxy holders:</w:t>
      </w:r>
    </w:p>
    <w:p>
      <w:pPr>
        <w:spacing w:after="0" w:line="188" w:lineRule="exact"/>
        <w:rPr>
          <w:sz w:val="20"/>
          <w:szCs w:val="20"/>
          <w:color w:val="auto"/>
        </w:rPr>
      </w:pPr>
    </w:p>
    <w:tbl>
      <w:tblPr>
        <w:tblLayout w:type="fixed"/>
        <w:tblInd w:w="0" w:type="dxa"/>
        <w:tblCellMar>
          <w:top w:w="0" w:type="dxa"/>
          <w:left w:w="0" w:type="dxa"/>
          <w:bottom w:w="0" w:type="dxa"/>
          <w:right w:w="0" w:type="dxa"/>
        </w:tblCellMar>
      </w:tblPr>
      <w:tr>
        <w:trPr>
          <w:trHeight w:val="193"/>
        </w:trPr>
        <w:tc>
          <w:tcPr>
            <w:tcW w:w="1080" w:type="dxa"/>
            <w:vAlign w:val="bottom"/>
            <w:tcBorders>
              <w:top w:val="single" w:sz="8" w:color="auto"/>
            </w:tcBorders>
          </w:tcPr>
          <w:p>
            <w:pPr>
              <w:spacing w:after="0"/>
              <w:rPr>
                <w:sz w:val="16"/>
                <w:szCs w:val="16"/>
                <w:color w:val="auto"/>
              </w:rPr>
            </w:pPr>
          </w:p>
        </w:tc>
        <w:tc>
          <w:tcPr>
            <w:tcW w:w="8440" w:type="dxa"/>
            <w:vAlign w:val="bottom"/>
            <w:tcBorders>
              <w:top w:val="single" w:sz="8" w:color="auto"/>
            </w:tcBorders>
          </w:tcPr>
          <w:p>
            <w:pPr>
              <w:spacing w:after="0"/>
              <w:rPr>
                <w:sz w:val="16"/>
                <w:szCs w:val="16"/>
                <w:color w:val="auto"/>
              </w:rPr>
            </w:pPr>
          </w:p>
        </w:tc>
        <w:tc>
          <w:tcPr>
            <w:tcW w:w="1900" w:type="dxa"/>
            <w:vAlign w:val="bottom"/>
            <w:tcBorders>
              <w:top w:val="single" w:sz="8" w:color="auto"/>
            </w:tcBorders>
          </w:tcPr>
          <w:p>
            <w:pPr>
              <w:ind w:left="80"/>
              <w:spacing w:after="0" w:line="194" w:lineRule="exact"/>
              <w:rPr>
                <w:sz w:val="20"/>
                <w:szCs w:val="20"/>
                <w:color w:val="auto"/>
              </w:rPr>
            </w:pPr>
            <w:r>
              <w:rPr>
                <w:rFonts w:ascii="Arial" w:cs="Arial" w:eastAsia="Arial" w:hAnsi="Arial"/>
                <w:sz w:val="18"/>
                <w:szCs w:val="18"/>
                <w:b w:val="1"/>
                <w:bCs w:val="1"/>
                <w:color w:val="auto"/>
              </w:rPr>
              <w:t>Board</w:t>
            </w:r>
          </w:p>
        </w:tc>
      </w:tr>
      <w:tr>
        <w:trPr>
          <w:trHeight w:val="239"/>
        </w:trPr>
        <w:tc>
          <w:tcPr>
            <w:tcW w:w="1080" w:type="dxa"/>
            <w:vAlign w:val="bottom"/>
            <w:tcBorders>
              <w:bottom w:val="single" w:sz="8" w:color="auto"/>
            </w:tcBorders>
          </w:tcPr>
          <w:p>
            <w:pPr>
              <w:spacing w:after="0"/>
              <w:rPr>
                <w:sz w:val="20"/>
                <w:szCs w:val="20"/>
                <w:color w:val="auto"/>
              </w:rPr>
            </w:pPr>
            <w:r>
              <w:rPr>
                <w:rFonts w:ascii="Arial" w:cs="Arial" w:eastAsia="Arial" w:hAnsi="Arial"/>
                <w:sz w:val="18"/>
                <w:szCs w:val="18"/>
                <w:b w:val="1"/>
                <w:bCs w:val="1"/>
                <w:color w:val="auto"/>
              </w:rPr>
              <w:t>Proposal</w:t>
            </w:r>
          </w:p>
        </w:tc>
        <w:tc>
          <w:tcPr>
            <w:tcW w:w="8440" w:type="dxa"/>
            <w:vAlign w:val="bottom"/>
            <w:tcBorders>
              <w:bottom w:val="single" w:sz="8" w:color="auto"/>
            </w:tcBorders>
          </w:tcPr>
          <w:p>
            <w:pPr>
              <w:spacing w:after="0"/>
              <w:rPr>
                <w:sz w:val="20"/>
                <w:szCs w:val="20"/>
                <w:color w:val="auto"/>
              </w:rPr>
            </w:pPr>
          </w:p>
        </w:tc>
        <w:tc>
          <w:tcPr>
            <w:tcW w:w="1900" w:type="dxa"/>
            <w:vAlign w:val="bottom"/>
            <w:tcBorders>
              <w:bottom w:val="single" w:sz="8" w:color="auto"/>
            </w:tcBorders>
          </w:tcPr>
          <w:p>
            <w:pPr>
              <w:ind w:left="80"/>
              <w:spacing w:after="0"/>
              <w:rPr>
                <w:sz w:val="20"/>
                <w:szCs w:val="20"/>
                <w:color w:val="auto"/>
              </w:rPr>
            </w:pPr>
            <w:r>
              <w:rPr>
                <w:rFonts w:ascii="Arial" w:cs="Arial" w:eastAsia="Arial" w:hAnsi="Arial"/>
                <w:sz w:val="18"/>
                <w:szCs w:val="18"/>
                <w:b w:val="1"/>
                <w:bCs w:val="1"/>
                <w:color w:val="auto"/>
              </w:rPr>
              <w:t>Recommendation</w:t>
            </w:r>
          </w:p>
        </w:tc>
      </w:tr>
      <w:tr>
        <w:trPr>
          <w:trHeight w:val="176"/>
        </w:trPr>
        <w:tc>
          <w:tcPr>
            <w:tcW w:w="1080" w:type="dxa"/>
            <w:vAlign w:val="bottom"/>
          </w:tcPr>
          <w:p>
            <w:pPr>
              <w:spacing w:after="0" w:line="176" w:lineRule="exact"/>
              <w:rPr>
                <w:sz w:val="20"/>
                <w:szCs w:val="20"/>
                <w:color w:val="auto"/>
              </w:rPr>
            </w:pPr>
            <w:r>
              <w:rPr>
                <w:rFonts w:ascii="Arial" w:cs="Arial" w:eastAsia="Arial" w:hAnsi="Arial"/>
                <w:sz w:val="17"/>
                <w:szCs w:val="17"/>
                <w:color w:val="auto"/>
              </w:rPr>
              <w:t>1.</w:t>
            </w:r>
          </w:p>
        </w:tc>
        <w:tc>
          <w:tcPr>
            <w:tcW w:w="8440" w:type="dxa"/>
            <w:vAlign w:val="bottom"/>
          </w:tcPr>
          <w:p>
            <w:pPr>
              <w:ind w:left="320"/>
              <w:spacing w:after="0" w:line="176" w:lineRule="exact"/>
              <w:rPr>
                <w:sz w:val="20"/>
                <w:szCs w:val="20"/>
                <w:color w:val="auto"/>
              </w:rPr>
            </w:pPr>
            <w:r>
              <w:rPr>
                <w:rFonts w:ascii="Arial" w:cs="Arial" w:eastAsia="Arial" w:hAnsi="Arial"/>
                <w:sz w:val="17"/>
                <w:szCs w:val="17"/>
                <w:color w:val="auto"/>
              </w:rPr>
              <w:t>Election of the Board’s three nominees as Directors</w:t>
            </w:r>
          </w:p>
        </w:tc>
        <w:tc>
          <w:tcPr>
            <w:tcW w:w="1900" w:type="dxa"/>
            <w:vAlign w:val="bottom"/>
          </w:tcPr>
          <w:p>
            <w:pPr>
              <w:ind w:left="80"/>
              <w:spacing w:after="0" w:line="176" w:lineRule="exact"/>
              <w:rPr>
                <w:sz w:val="20"/>
                <w:szCs w:val="20"/>
                <w:color w:val="auto"/>
              </w:rPr>
            </w:pPr>
            <w:r>
              <w:rPr>
                <w:rFonts w:ascii="Arial" w:cs="Arial" w:eastAsia="Arial" w:hAnsi="Arial"/>
                <w:sz w:val="17"/>
                <w:szCs w:val="17"/>
                <w:color w:val="auto"/>
              </w:rPr>
              <w:t>For</w:t>
            </w:r>
          </w:p>
        </w:tc>
      </w:tr>
      <w:tr>
        <w:trPr>
          <w:trHeight w:val="189"/>
        </w:trPr>
        <w:tc>
          <w:tcPr>
            <w:tcW w:w="1080" w:type="dxa"/>
            <w:vAlign w:val="bottom"/>
          </w:tcPr>
          <w:p>
            <w:pPr>
              <w:spacing w:after="0" w:line="189" w:lineRule="exact"/>
              <w:rPr>
                <w:sz w:val="20"/>
                <w:szCs w:val="20"/>
                <w:color w:val="auto"/>
              </w:rPr>
            </w:pPr>
            <w:r>
              <w:rPr>
                <w:rFonts w:ascii="Arial" w:cs="Arial" w:eastAsia="Arial" w:hAnsi="Arial"/>
                <w:sz w:val="17"/>
                <w:szCs w:val="17"/>
                <w:color w:val="auto"/>
              </w:rPr>
              <w:t>2.</w:t>
            </w:r>
          </w:p>
        </w:tc>
        <w:tc>
          <w:tcPr>
            <w:tcW w:w="8440" w:type="dxa"/>
            <w:vAlign w:val="bottom"/>
          </w:tcPr>
          <w:p>
            <w:pPr>
              <w:ind w:left="320"/>
              <w:spacing w:after="0" w:line="189" w:lineRule="exact"/>
              <w:rPr>
                <w:sz w:val="20"/>
                <w:szCs w:val="20"/>
                <w:color w:val="auto"/>
              </w:rPr>
            </w:pPr>
            <w:r>
              <w:rPr>
                <w:rFonts w:ascii="Arial" w:cs="Arial" w:eastAsia="Arial" w:hAnsi="Arial"/>
                <w:sz w:val="17"/>
                <w:szCs w:val="17"/>
                <w:color w:val="auto"/>
              </w:rPr>
              <w:t>Ratification of the selection of Ernst &amp; Young LLP as the Company’s independent auditor for the fiscal year</w:t>
            </w:r>
          </w:p>
        </w:tc>
        <w:tc>
          <w:tcPr>
            <w:tcW w:w="1900" w:type="dxa"/>
            <w:vAlign w:val="bottom"/>
          </w:tcPr>
          <w:p>
            <w:pPr>
              <w:ind w:left="80"/>
              <w:spacing w:after="0" w:line="189" w:lineRule="exact"/>
              <w:rPr>
                <w:sz w:val="20"/>
                <w:szCs w:val="20"/>
                <w:color w:val="auto"/>
              </w:rPr>
            </w:pPr>
            <w:r>
              <w:rPr>
                <w:rFonts w:ascii="Arial" w:cs="Arial" w:eastAsia="Arial" w:hAnsi="Arial"/>
                <w:sz w:val="17"/>
                <w:szCs w:val="17"/>
                <w:color w:val="auto"/>
              </w:rPr>
              <w:t>For</w:t>
            </w:r>
          </w:p>
        </w:tc>
      </w:tr>
      <w:tr>
        <w:trPr>
          <w:trHeight w:val="189"/>
        </w:trPr>
        <w:tc>
          <w:tcPr>
            <w:tcW w:w="1080" w:type="dxa"/>
            <w:vAlign w:val="bottom"/>
          </w:tcPr>
          <w:p>
            <w:pPr>
              <w:spacing w:after="0"/>
              <w:rPr>
                <w:sz w:val="16"/>
                <w:szCs w:val="16"/>
                <w:color w:val="auto"/>
              </w:rPr>
            </w:pPr>
          </w:p>
        </w:tc>
        <w:tc>
          <w:tcPr>
            <w:tcW w:w="8440" w:type="dxa"/>
            <w:vAlign w:val="bottom"/>
          </w:tcPr>
          <w:p>
            <w:pPr>
              <w:ind w:left="320"/>
              <w:spacing w:after="0" w:line="189" w:lineRule="exact"/>
              <w:rPr>
                <w:sz w:val="20"/>
                <w:szCs w:val="20"/>
                <w:color w:val="auto"/>
              </w:rPr>
            </w:pPr>
            <w:r>
              <w:rPr>
                <w:rFonts w:ascii="Arial" w:cs="Arial" w:eastAsia="Arial" w:hAnsi="Arial"/>
                <w:sz w:val="17"/>
                <w:szCs w:val="17"/>
                <w:color w:val="auto"/>
              </w:rPr>
              <w:t>ending December 31, 2016</w:t>
            </w:r>
          </w:p>
        </w:tc>
        <w:tc>
          <w:tcPr>
            <w:tcW w:w="1900" w:type="dxa"/>
            <w:vAlign w:val="bottom"/>
          </w:tcPr>
          <w:p>
            <w:pPr>
              <w:spacing w:after="0"/>
              <w:rPr>
                <w:sz w:val="16"/>
                <w:szCs w:val="16"/>
                <w:color w:val="auto"/>
              </w:rPr>
            </w:pPr>
          </w:p>
        </w:tc>
      </w:tr>
      <w:tr>
        <w:trPr>
          <w:trHeight w:val="189"/>
        </w:trPr>
        <w:tc>
          <w:tcPr>
            <w:tcW w:w="1080" w:type="dxa"/>
            <w:vAlign w:val="bottom"/>
          </w:tcPr>
          <w:p>
            <w:pPr>
              <w:spacing w:after="0" w:line="189" w:lineRule="exact"/>
              <w:rPr>
                <w:sz w:val="20"/>
                <w:szCs w:val="20"/>
                <w:color w:val="auto"/>
              </w:rPr>
            </w:pPr>
            <w:r>
              <w:rPr>
                <w:rFonts w:ascii="Arial" w:cs="Arial" w:eastAsia="Arial" w:hAnsi="Arial"/>
                <w:sz w:val="17"/>
                <w:szCs w:val="17"/>
                <w:color w:val="auto"/>
              </w:rPr>
              <w:t>3.</w:t>
            </w:r>
          </w:p>
        </w:tc>
        <w:tc>
          <w:tcPr>
            <w:tcW w:w="8440" w:type="dxa"/>
            <w:vAlign w:val="bottom"/>
          </w:tcPr>
          <w:p>
            <w:pPr>
              <w:ind w:left="320"/>
              <w:spacing w:after="0" w:line="189" w:lineRule="exact"/>
              <w:rPr>
                <w:sz w:val="20"/>
                <w:szCs w:val="20"/>
                <w:color w:val="auto"/>
              </w:rPr>
            </w:pPr>
            <w:r>
              <w:rPr>
                <w:rFonts w:ascii="Arial" w:cs="Arial" w:eastAsia="Arial" w:hAnsi="Arial"/>
                <w:sz w:val="17"/>
                <w:szCs w:val="17"/>
                <w:color w:val="auto"/>
              </w:rPr>
              <w:t>Approval, on an advisory basis, of the compensation of the Company’s named executive officers</w:t>
            </w:r>
          </w:p>
        </w:tc>
        <w:tc>
          <w:tcPr>
            <w:tcW w:w="1900" w:type="dxa"/>
            <w:vAlign w:val="bottom"/>
          </w:tcPr>
          <w:p>
            <w:pPr>
              <w:ind w:left="80"/>
              <w:spacing w:after="0" w:line="189" w:lineRule="exact"/>
              <w:rPr>
                <w:sz w:val="20"/>
                <w:szCs w:val="20"/>
                <w:color w:val="auto"/>
              </w:rPr>
            </w:pPr>
            <w:r>
              <w:rPr>
                <w:rFonts w:ascii="Arial" w:cs="Arial" w:eastAsia="Arial" w:hAnsi="Arial"/>
                <w:sz w:val="17"/>
                <w:szCs w:val="17"/>
                <w:color w:val="auto"/>
              </w:rPr>
              <w:t>For</w:t>
            </w:r>
          </w:p>
        </w:tc>
      </w:tr>
    </w:tbl>
    <w:p>
      <w:pPr>
        <w:ind w:left="1400" w:right="1560" w:hanging="1392"/>
        <w:spacing w:after="0" w:line="243" w:lineRule="auto"/>
        <w:tabs>
          <w:tab w:leader="none" w:pos="1400" w:val="left"/>
        </w:tabs>
        <w:numPr>
          <w:ilvl w:val="0"/>
          <w:numId w:val="6"/>
        </w:numPr>
        <w:rPr>
          <w:rFonts w:ascii="Arial" w:cs="Arial" w:eastAsia="Arial" w:hAnsi="Arial"/>
          <w:sz w:val="17"/>
          <w:szCs w:val="17"/>
          <w:color w:val="auto"/>
        </w:rPr>
      </w:pPr>
      <w:r>
        <w:rPr>
          <w:rFonts w:ascii="Arial" w:cs="Arial" w:eastAsia="Arial" w:hAnsi="Arial"/>
          <w:sz w:val="17"/>
          <w:szCs w:val="17"/>
          <w:color w:val="auto"/>
        </w:rPr>
        <w:t>Approval of the TimkenSteel Corporation Amended and Restated 2014 Equity and Incentive Compensation For Plan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-6985</wp:posOffset>
            </wp:positionV>
            <wp:extent cx="7246620" cy="889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131" w:lineRule="exact"/>
        <w:rPr>
          <w:sz w:val="20"/>
          <w:szCs w:val="20"/>
          <w:color w:val="auto"/>
        </w:rPr>
      </w:pPr>
    </w:p>
    <w:p>
      <w:pPr>
        <w:ind w:right="80"/>
        <w:spacing w:after="0" w:line="239" w:lineRule="auto"/>
        <w:rPr>
          <w:sz w:val="20"/>
          <w:szCs w:val="20"/>
          <w:color w:val="auto"/>
        </w:rPr>
      </w:pPr>
      <w:r>
        <w:rPr>
          <w:rFonts w:ascii="Arial" w:cs="Arial" w:eastAsia="Arial" w:hAnsi="Arial"/>
          <w:sz w:val="17"/>
          <w:szCs w:val="17"/>
          <w:b w:val="1"/>
          <w:bCs w:val="1"/>
          <w:color w:val="auto"/>
        </w:rPr>
        <w:t xml:space="preserve">401(k) Plan Participants. </w:t>
      </w:r>
      <w:r>
        <w:rPr>
          <w:rFonts w:ascii="Arial" w:cs="Arial" w:eastAsia="Arial" w:hAnsi="Arial"/>
          <w:sz w:val="17"/>
          <w:szCs w:val="17"/>
          <w:color w:val="auto"/>
        </w:rPr>
        <w:t>If you participate in a 401(k) plan sponsored by the Company, including the TimkenSteel Corporation Savings and</w:t>
      </w:r>
      <w:r>
        <w:rPr>
          <w:rFonts w:ascii="Arial" w:cs="Arial" w:eastAsia="Arial" w:hAnsi="Arial"/>
          <w:sz w:val="17"/>
          <w:szCs w:val="17"/>
          <w:b w:val="1"/>
          <w:bCs w:val="1"/>
          <w:color w:val="auto"/>
        </w:rPr>
        <w:t xml:space="preserve"> </w:t>
      </w:r>
      <w:r>
        <w:rPr>
          <w:rFonts w:ascii="Arial" w:cs="Arial" w:eastAsia="Arial" w:hAnsi="Arial"/>
          <w:sz w:val="17"/>
          <w:szCs w:val="17"/>
          <w:color w:val="auto"/>
        </w:rPr>
        <w:t xml:space="preserve">Investment Pension Plan, the TimkenSteel Corporation Voluntary Investment Pension Plan, or the TimkenSteel Corporation Savings Plan for Certain Bargaining Employees, any shares held for your account in the TimkenSteel Stock Fund of the plan will be voted by the Trustee for the plan, Empower Retirement, according to confidential voting instructions provided by you. You may give your voting instructions to the plan Trustee in any </w:t>
      </w:r>
      <w:r>
        <w:rPr>
          <w:rFonts w:ascii="Arial" w:cs="Arial" w:eastAsia="Arial" w:hAnsi="Arial"/>
          <w:sz w:val="17"/>
          <w:szCs w:val="17"/>
          <w:b w:val="1"/>
          <w:bCs w:val="1"/>
          <w:color w:val="auto"/>
        </w:rPr>
        <w:t>ONE</w:t>
      </w:r>
      <w:r>
        <w:rPr>
          <w:rFonts w:ascii="Arial" w:cs="Arial" w:eastAsia="Arial" w:hAnsi="Arial"/>
          <w:sz w:val="17"/>
          <w:szCs w:val="17"/>
          <w:color w:val="auto"/>
        </w:rPr>
        <w:t xml:space="preserve"> of the three ways set forth above; however, your vote must be received no later than 6:00 a.m. EDT on April 26, 2016. If you do not provide timely voting instructions, your shares will be voted by the Plan Trustee in the same proportion as it votes Plan shares for which it did receive timely instructions.</w:t>
      </w:r>
    </w:p>
    <w:p>
      <w:pPr>
        <w:spacing w:after="0" w:line="142" w:lineRule="exact"/>
        <w:rPr>
          <w:sz w:val="20"/>
          <w:szCs w:val="20"/>
          <w:color w:val="auto"/>
        </w:rPr>
      </w:pPr>
    </w:p>
    <w:p>
      <w:pPr>
        <w:ind w:right="40"/>
        <w:spacing w:after="0" w:line="236" w:lineRule="auto"/>
        <w:rPr>
          <w:sz w:val="20"/>
          <w:szCs w:val="20"/>
          <w:color w:val="auto"/>
        </w:rPr>
      </w:pPr>
      <w:r>
        <w:rPr>
          <w:rFonts w:ascii="Arial" w:cs="Arial" w:eastAsia="Arial" w:hAnsi="Arial"/>
          <w:sz w:val="17"/>
          <w:szCs w:val="17"/>
          <w:b w:val="1"/>
          <w:bCs w:val="1"/>
          <w:color w:val="auto"/>
        </w:rPr>
        <w:t xml:space="preserve">Beneficial Owners/Nominee Shares. </w:t>
      </w:r>
      <w:r>
        <w:rPr>
          <w:rFonts w:ascii="Arial" w:cs="Arial" w:eastAsia="Arial" w:hAnsi="Arial"/>
          <w:sz w:val="17"/>
          <w:szCs w:val="17"/>
          <w:color w:val="auto"/>
        </w:rPr>
        <w:t>If your shares are held by a broker, bank, trustee or some other nominee, that entity will give you information on</w:t>
      </w:r>
      <w:r>
        <w:rPr>
          <w:rFonts w:ascii="Arial" w:cs="Arial" w:eastAsia="Arial" w:hAnsi="Arial"/>
          <w:sz w:val="17"/>
          <w:szCs w:val="17"/>
          <w:b w:val="1"/>
          <w:bCs w:val="1"/>
          <w:color w:val="auto"/>
        </w:rPr>
        <w:t xml:space="preserve"> </w:t>
      </w:r>
      <w:r>
        <w:rPr>
          <w:rFonts w:ascii="Arial" w:cs="Arial" w:eastAsia="Arial" w:hAnsi="Arial"/>
          <w:sz w:val="17"/>
          <w:szCs w:val="17"/>
          <w:color w:val="auto"/>
        </w:rPr>
        <w:t>how you can vote your shares. As the beneficial owner, you have the right to direct your broker, bank or nominee how to vote. Your broker, bank or nominee will provide you with a voting instruction card or some other means for you to use in directing the broker, bank or nominee regarding how to vote your shares. If you do not provide the broker, bank or other nominee with your voting instructions, the broker, bank or other nominee will determine if it has the discretionary authority to vote on the particular matter. Under applicable New York Stock Exchange rules, brokers have the discretion to vote only on any matters deemed by the New York Stock Exchange to be routine, such as the ratification of the selection of the Company’s independent auditor (Proposal 2 of this Proxy Statement). All other matters identified above (Proposals 1, 3 and 4 of this Proxy Statement), are not considered to be routine matters and your broker will not have discretion to vote on those matters. If you do not provide voting instructions to your broker, your shares will not be voted on any matter for which your broker does not have discretionary authority. When the broker does not vote on a proposal because it is a non-routine item and the broker’s customer has not provided voting instructions, this is referred to as a “broker non-vote.”</w:t>
      </w:r>
    </w:p>
    <w:p>
      <w:pPr>
        <w:spacing w:after="0" w:line="158" w:lineRule="exact"/>
        <w:rPr>
          <w:sz w:val="20"/>
          <w:szCs w:val="20"/>
          <w:color w:val="auto"/>
        </w:rPr>
      </w:pPr>
    </w:p>
    <w:p>
      <w:pPr>
        <w:jc w:val="both"/>
        <w:ind w:right="20"/>
        <w:spacing w:after="0" w:line="250" w:lineRule="auto"/>
        <w:rPr>
          <w:sz w:val="20"/>
          <w:szCs w:val="20"/>
          <w:color w:val="auto"/>
        </w:rPr>
      </w:pPr>
      <w:r>
        <w:rPr>
          <w:rFonts w:ascii="Arial" w:cs="Arial" w:eastAsia="Arial" w:hAnsi="Arial"/>
          <w:sz w:val="17"/>
          <w:szCs w:val="17"/>
          <w:b w:val="1"/>
          <w:bCs w:val="1"/>
          <w:color w:val="auto"/>
        </w:rPr>
        <w:t xml:space="preserve">In Person Voting. </w:t>
      </w:r>
      <w:r>
        <w:rPr>
          <w:rFonts w:ascii="Arial" w:cs="Arial" w:eastAsia="Arial" w:hAnsi="Arial"/>
          <w:sz w:val="17"/>
          <w:szCs w:val="17"/>
          <w:color w:val="auto"/>
        </w:rPr>
        <w:t>Registered shareholders and beneficial owners of shares held in street name also may vote in person at the Annual Meeting. If you</w:t>
      </w:r>
      <w:r>
        <w:rPr>
          <w:rFonts w:ascii="Arial" w:cs="Arial" w:eastAsia="Arial" w:hAnsi="Arial"/>
          <w:sz w:val="17"/>
          <w:szCs w:val="17"/>
          <w:b w:val="1"/>
          <w:bCs w:val="1"/>
          <w:color w:val="auto"/>
        </w:rPr>
        <w:t xml:space="preserve"> </w:t>
      </w:r>
      <w:r>
        <w:rPr>
          <w:rFonts w:ascii="Arial" w:cs="Arial" w:eastAsia="Arial" w:hAnsi="Arial"/>
          <w:sz w:val="17"/>
          <w:szCs w:val="17"/>
          <w:color w:val="auto"/>
        </w:rPr>
        <w:t>are a registered shareholder and attend the meeting, you may deliver your completed proxy card in person. Additionally, written ballots will be available for any shareholder who wishes to</w:t>
      </w:r>
    </w:p>
    <w:p>
      <w:pPr>
        <w:spacing w:after="0" w:line="136" w:lineRule="exact"/>
        <w:rPr>
          <w:sz w:val="20"/>
          <w:szCs w:val="20"/>
          <w:color w:val="auto"/>
        </w:rPr>
      </w:pPr>
    </w:p>
    <w:p>
      <w:pPr>
        <w:spacing w:after="0"/>
        <w:rPr>
          <w:sz w:val="20"/>
          <w:szCs w:val="20"/>
          <w:color w:val="auto"/>
        </w:rPr>
      </w:pPr>
      <w:r>
        <w:rPr>
          <w:rFonts w:ascii="Arial" w:cs="Arial" w:eastAsia="Arial" w:hAnsi="Arial"/>
          <w:sz w:val="14"/>
          <w:szCs w:val="14"/>
          <w:color w:val="auto"/>
        </w:rPr>
        <w:t>2</w:t>
      </w:r>
    </w:p>
    <w:p>
      <w:pPr>
        <w:sectPr>
          <w:pgSz w:w="11900" w:h="16838" w:orient="portrait"/>
          <w:cols w:equalWidth="0" w:num="1">
            <w:col w:w="11420"/>
          </w:cols>
          <w:pgMar w:left="240" w:top="459" w:right="239" w:bottom="1440" w:gutter="0" w:footer="0" w:header="0"/>
        </w:sectPr>
      </w:pPr>
    </w:p>
    <w:bookmarkStart w:id="8" w:name="page9"/>
    <w:bookmarkEnd w:id="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2715260</wp:posOffset>
            </wp:positionH>
            <wp:positionV relativeFrom="paragraph">
              <wp:posOffset>205740</wp:posOffset>
            </wp:positionV>
            <wp:extent cx="1826895" cy="20574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1826895" cy="20574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70" w:lineRule="exact"/>
        <w:rPr>
          <w:sz w:val="20"/>
          <w:szCs w:val="20"/>
          <w:color w:val="auto"/>
        </w:rPr>
      </w:pPr>
    </w:p>
    <w:p>
      <w:pPr>
        <w:ind w:right="180"/>
        <w:spacing w:after="0" w:line="243" w:lineRule="auto"/>
        <w:rPr>
          <w:sz w:val="20"/>
          <w:szCs w:val="20"/>
          <w:color w:val="auto"/>
        </w:rPr>
      </w:pPr>
      <w:r>
        <w:rPr>
          <w:rFonts w:ascii="Arial" w:cs="Arial" w:eastAsia="Arial" w:hAnsi="Arial"/>
          <w:sz w:val="17"/>
          <w:szCs w:val="17"/>
          <w:color w:val="auto"/>
        </w:rPr>
        <w:t>vote in person at the meeting. Beneficial owners of shares held in street name who wish to vote at the meeting will need to obtain a legal proxy from the institution that holds their shares as record owner.</w:t>
      </w:r>
    </w:p>
    <w:p>
      <w:pPr>
        <w:spacing w:after="0" w:line="151" w:lineRule="exact"/>
        <w:rPr>
          <w:sz w:val="20"/>
          <w:szCs w:val="20"/>
          <w:color w:val="auto"/>
        </w:rPr>
      </w:pPr>
    </w:p>
    <w:p>
      <w:pPr>
        <w:spacing w:after="0"/>
        <w:rPr>
          <w:sz w:val="20"/>
          <w:szCs w:val="20"/>
          <w:color w:val="auto"/>
        </w:rPr>
      </w:pPr>
      <w:r>
        <w:rPr>
          <w:rFonts w:ascii="Arial" w:cs="Arial" w:eastAsia="Arial" w:hAnsi="Arial"/>
          <w:sz w:val="17"/>
          <w:szCs w:val="17"/>
          <w:b w:val="1"/>
          <w:bCs w:val="1"/>
          <w:color w:val="666666"/>
        </w:rPr>
        <w:t>MAY I CHANGE MY VOTE?</w:t>
      </w:r>
    </w:p>
    <w:p>
      <w:pPr>
        <w:spacing w:after="0" w:line="14" w:lineRule="exact"/>
        <w:rPr>
          <w:sz w:val="20"/>
          <w:szCs w:val="20"/>
          <w:color w:val="auto"/>
        </w:rPr>
      </w:pPr>
    </w:p>
    <w:p>
      <w:pPr>
        <w:spacing w:after="0"/>
        <w:rPr>
          <w:sz w:val="20"/>
          <w:szCs w:val="20"/>
          <w:color w:val="auto"/>
        </w:rPr>
      </w:pPr>
      <w:r>
        <w:rPr>
          <w:rFonts w:ascii="Arial" w:cs="Arial" w:eastAsia="Arial" w:hAnsi="Arial"/>
          <w:sz w:val="17"/>
          <w:szCs w:val="17"/>
          <w:color w:val="auto"/>
        </w:rPr>
        <w:t>You may change your vote after you submit your proxy card by:</w:t>
      </w:r>
    </w:p>
    <w:p>
      <w:pPr>
        <w:spacing w:after="0" w:line="210" w:lineRule="exact"/>
        <w:rPr>
          <w:sz w:val="20"/>
          <w:szCs w:val="20"/>
          <w:color w:val="auto"/>
        </w:rPr>
      </w:pPr>
    </w:p>
    <w:p>
      <w:pPr>
        <w:ind w:left="220" w:right="100" w:hanging="212"/>
        <w:spacing w:after="0" w:line="243" w:lineRule="auto"/>
        <w:tabs>
          <w:tab w:leader="none" w:pos="220" w:val="left"/>
        </w:tabs>
        <w:numPr>
          <w:ilvl w:val="0"/>
          <w:numId w:val="7"/>
        </w:numPr>
        <w:rPr>
          <w:rFonts w:ascii="Arial" w:cs="Arial" w:eastAsia="Arial" w:hAnsi="Arial"/>
          <w:sz w:val="17"/>
          <w:szCs w:val="17"/>
          <w:color w:val="auto"/>
        </w:rPr>
      </w:pPr>
      <w:r>
        <w:rPr>
          <w:rFonts w:ascii="Arial" w:cs="Arial" w:eastAsia="Arial" w:hAnsi="Arial"/>
          <w:sz w:val="17"/>
          <w:szCs w:val="17"/>
          <w:color w:val="auto"/>
        </w:rPr>
        <w:t>Sending a written notice addressed to the Secretary of the Company and received prior to the close of business on April 27, 2016, stating that you want to revoke your proxy;</w:t>
      </w:r>
    </w:p>
    <w:p>
      <w:pPr>
        <w:spacing w:after="0" w:line="198" w:lineRule="exact"/>
        <w:rPr>
          <w:rFonts w:ascii="Arial" w:cs="Arial" w:eastAsia="Arial" w:hAnsi="Arial"/>
          <w:sz w:val="17"/>
          <w:szCs w:val="17"/>
          <w:color w:val="auto"/>
        </w:rPr>
      </w:pPr>
    </w:p>
    <w:p>
      <w:pPr>
        <w:ind w:left="220" w:right="20" w:hanging="212"/>
        <w:spacing w:after="0" w:line="243" w:lineRule="auto"/>
        <w:tabs>
          <w:tab w:leader="none" w:pos="220" w:val="left"/>
        </w:tabs>
        <w:numPr>
          <w:ilvl w:val="0"/>
          <w:numId w:val="7"/>
        </w:numPr>
        <w:rPr>
          <w:rFonts w:ascii="Arial" w:cs="Arial" w:eastAsia="Arial" w:hAnsi="Arial"/>
          <w:sz w:val="17"/>
          <w:szCs w:val="17"/>
          <w:color w:val="auto"/>
        </w:rPr>
      </w:pPr>
      <w:r>
        <w:rPr>
          <w:rFonts w:ascii="Arial" w:cs="Arial" w:eastAsia="Arial" w:hAnsi="Arial"/>
          <w:sz w:val="17"/>
          <w:szCs w:val="17"/>
          <w:color w:val="auto"/>
        </w:rPr>
        <w:t>Submitting another completed proxy card to the Secretary of the Company that is received prior to the close of business on April 27, 2016, that has a later date than the previously submitted proxy;</w:t>
      </w:r>
    </w:p>
    <w:p>
      <w:pPr>
        <w:spacing w:after="0" w:line="198" w:lineRule="exact"/>
        <w:rPr>
          <w:rFonts w:ascii="Arial" w:cs="Arial" w:eastAsia="Arial" w:hAnsi="Arial"/>
          <w:sz w:val="17"/>
          <w:szCs w:val="17"/>
          <w:color w:val="auto"/>
        </w:rPr>
      </w:pPr>
    </w:p>
    <w:p>
      <w:pPr>
        <w:ind w:left="220" w:right="280" w:hanging="212"/>
        <w:spacing w:after="0" w:line="243" w:lineRule="auto"/>
        <w:tabs>
          <w:tab w:leader="none" w:pos="220" w:val="left"/>
        </w:tabs>
        <w:numPr>
          <w:ilvl w:val="0"/>
          <w:numId w:val="7"/>
        </w:numPr>
        <w:rPr>
          <w:rFonts w:ascii="Arial" w:cs="Arial" w:eastAsia="Arial" w:hAnsi="Arial"/>
          <w:sz w:val="17"/>
          <w:szCs w:val="17"/>
          <w:color w:val="auto"/>
        </w:rPr>
      </w:pPr>
      <w:r>
        <w:rPr>
          <w:rFonts w:ascii="Arial" w:cs="Arial" w:eastAsia="Arial" w:hAnsi="Arial"/>
          <w:sz w:val="17"/>
          <w:szCs w:val="17"/>
          <w:color w:val="auto"/>
        </w:rPr>
        <w:t>Entering later-dated telephone or Internet voting instructions prior to 6:00 a.m. EDT on April 28, 2016, which will automatically revoke the earlier proxy; or</w:t>
      </w:r>
    </w:p>
    <w:p>
      <w:pPr>
        <w:spacing w:after="0" w:line="198" w:lineRule="exact"/>
        <w:rPr>
          <w:rFonts w:ascii="Arial" w:cs="Arial" w:eastAsia="Arial" w:hAnsi="Arial"/>
          <w:sz w:val="17"/>
          <w:szCs w:val="17"/>
          <w:color w:val="auto"/>
        </w:rPr>
      </w:pPr>
    </w:p>
    <w:p>
      <w:pPr>
        <w:ind w:left="220" w:right="340" w:hanging="212"/>
        <w:spacing w:after="0" w:line="243" w:lineRule="auto"/>
        <w:tabs>
          <w:tab w:leader="none" w:pos="220" w:val="left"/>
        </w:tabs>
        <w:numPr>
          <w:ilvl w:val="0"/>
          <w:numId w:val="7"/>
        </w:numPr>
        <w:rPr>
          <w:rFonts w:ascii="Arial" w:cs="Arial" w:eastAsia="Arial" w:hAnsi="Arial"/>
          <w:sz w:val="17"/>
          <w:szCs w:val="17"/>
          <w:color w:val="auto"/>
        </w:rPr>
      </w:pPr>
      <w:r>
        <w:rPr>
          <w:rFonts w:ascii="Arial" w:cs="Arial" w:eastAsia="Arial" w:hAnsi="Arial"/>
          <w:sz w:val="17"/>
          <w:szCs w:val="17"/>
          <w:color w:val="auto"/>
        </w:rPr>
        <w:t>Attending the Annual Meeting and voting in person. The mere presence of a shareholder at the meeting will not automatically revoke any proxy previously given.</w:t>
      </w:r>
    </w:p>
    <w:p>
      <w:pPr>
        <w:spacing w:after="0" w:line="138" w:lineRule="exact"/>
        <w:rPr>
          <w:sz w:val="20"/>
          <w:szCs w:val="20"/>
          <w:color w:val="auto"/>
        </w:rPr>
      </w:pPr>
    </w:p>
    <w:p>
      <w:pPr>
        <w:spacing w:after="0"/>
        <w:rPr>
          <w:sz w:val="20"/>
          <w:szCs w:val="20"/>
          <w:color w:val="auto"/>
        </w:rPr>
      </w:pPr>
      <w:r>
        <w:rPr>
          <w:rFonts w:ascii="Arial" w:cs="Arial" w:eastAsia="Arial" w:hAnsi="Arial"/>
          <w:sz w:val="17"/>
          <w:szCs w:val="17"/>
          <w:b w:val="1"/>
          <w:bCs w:val="1"/>
          <w:color w:val="666666"/>
        </w:rPr>
        <w:t>WHO COUNTS THE VOTES?</w:t>
      </w:r>
    </w:p>
    <w:p>
      <w:pPr>
        <w:spacing w:after="0" w:line="14" w:lineRule="exact"/>
        <w:rPr>
          <w:sz w:val="20"/>
          <w:szCs w:val="20"/>
          <w:color w:val="auto"/>
        </w:rPr>
      </w:pPr>
    </w:p>
    <w:p>
      <w:pPr>
        <w:ind w:right="60"/>
        <w:spacing w:after="0" w:line="243" w:lineRule="auto"/>
        <w:rPr>
          <w:sz w:val="20"/>
          <w:szCs w:val="20"/>
          <w:color w:val="auto"/>
        </w:rPr>
      </w:pPr>
      <w:r>
        <w:rPr>
          <w:rFonts w:ascii="Arial" w:cs="Arial" w:eastAsia="Arial" w:hAnsi="Arial"/>
          <w:sz w:val="17"/>
          <w:szCs w:val="17"/>
          <w:color w:val="auto"/>
        </w:rPr>
        <w:t>Corporate Election Services will be responsible for tabulating the results of shareholder voting. CES will submit a total vote only, keeping all individual votes confidential. Representatives of CES will serve as inspectors of election for the 2016 Annual Meeting of Shareholders.</w:t>
      </w:r>
    </w:p>
    <w:p>
      <w:pPr>
        <w:spacing w:after="0" w:line="138" w:lineRule="exact"/>
        <w:rPr>
          <w:sz w:val="20"/>
          <w:szCs w:val="20"/>
          <w:color w:val="auto"/>
        </w:rPr>
      </w:pPr>
    </w:p>
    <w:p>
      <w:pPr>
        <w:spacing w:after="0"/>
        <w:rPr>
          <w:sz w:val="20"/>
          <w:szCs w:val="20"/>
          <w:color w:val="auto"/>
        </w:rPr>
      </w:pPr>
      <w:r>
        <w:rPr>
          <w:rFonts w:ascii="Arial" w:cs="Arial" w:eastAsia="Arial" w:hAnsi="Arial"/>
          <w:sz w:val="17"/>
          <w:szCs w:val="17"/>
          <w:b w:val="1"/>
          <w:bCs w:val="1"/>
          <w:color w:val="666666"/>
        </w:rPr>
        <w:t>WHAT IS A “QUORUM”?</w:t>
      </w:r>
    </w:p>
    <w:p>
      <w:pPr>
        <w:spacing w:after="0" w:line="14" w:lineRule="exact"/>
        <w:rPr>
          <w:sz w:val="20"/>
          <w:szCs w:val="20"/>
          <w:color w:val="auto"/>
        </w:rPr>
      </w:pPr>
    </w:p>
    <w:p>
      <w:pPr>
        <w:spacing w:after="0" w:line="236" w:lineRule="auto"/>
        <w:rPr>
          <w:sz w:val="20"/>
          <w:szCs w:val="20"/>
          <w:color w:val="auto"/>
        </w:rPr>
      </w:pPr>
      <w:r>
        <w:rPr>
          <w:rFonts w:ascii="Arial" w:cs="Arial" w:eastAsia="Arial" w:hAnsi="Arial"/>
          <w:sz w:val="17"/>
          <w:szCs w:val="17"/>
          <w:color w:val="auto"/>
        </w:rPr>
        <w:t>A quorum is necessary to hold a valid meeting of shareholders. A quorum exists if the holders of record of shares entitled to exercise not less than 50% of the voting power of the Company in respect of any one of the purposes for which the meeting is called are present in person or by proxy. If you vote – including by Internet, telephone, or proxy card – your shares will be counted toward the quorum for the Annual Meeting. Withhold votes for election of Directors, proxies marked as abstentions, and broker non-votes are also treated as present for purposes of determining a quorum.</w:t>
      </w:r>
    </w:p>
    <w:p>
      <w:pPr>
        <w:spacing w:after="0" w:line="157" w:lineRule="exact"/>
        <w:rPr>
          <w:sz w:val="20"/>
          <w:szCs w:val="20"/>
          <w:color w:val="auto"/>
        </w:rPr>
      </w:pPr>
    </w:p>
    <w:p>
      <w:pPr>
        <w:spacing w:after="0"/>
        <w:rPr>
          <w:sz w:val="20"/>
          <w:szCs w:val="20"/>
          <w:color w:val="auto"/>
        </w:rPr>
      </w:pPr>
      <w:r>
        <w:rPr>
          <w:rFonts w:ascii="Arial" w:cs="Arial" w:eastAsia="Arial" w:hAnsi="Arial"/>
          <w:sz w:val="17"/>
          <w:szCs w:val="17"/>
          <w:b w:val="1"/>
          <w:bCs w:val="1"/>
          <w:color w:val="666666"/>
        </w:rPr>
        <w:t>WHAT VOTE IS NECESSARY TO PASS THE ITEMS OF BUSINESS AT THE ANNUAL MEETING?</w:t>
      </w:r>
    </w:p>
    <w:p>
      <w:pPr>
        <w:spacing w:after="0" w:line="14" w:lineRule="exact"/>
        <w:rPr>
          <w:sz w:val="20"/>
          <w:szCs w:val="20"/>
          <w:color w:val="auto"/>
        </w:rPr>
      </w:pPr>
    </w:p>
    <w:p>
      <w:pPr>
        <w:ind w:right="80"/>
        <w:spacing w:after="0" w:line="238" w:lineRule="auto"/>
        <w:rPr>
          <w:sz w:val="20"/>
          <w:szCs w:val="20"/>
          <w:color w:val="auto"/>
        </w:rPr>
      </w:pPr>
      <w:r>
        <w:rPr>
          <w:rFonts w:ascii="Arial" w:cs="Arial" w:eastAsia="Arial" w:hAnsi="Arial"/>
          <w:sz w:val="17"/>
          <w:szCs w:val="17"/>
          <w:color w:val="auto"/>
        </w:rPr>
        <w:t>If a quorum is present at the Annual Meeting, the three nominees for election as Directors will be elected if they receive a plurality of the votes cast. If you vote, your shares will be voted for election of all of the Board’s Director nominees unless you give instructions to “withhold” your vote for one or more of the nominees. Withhold votes and broker non-votes will not count either in favor of or against the election of a nominee.</w:t>
      </w:r>
    </w:p>
    <w:p>
      <w:pPr>
        <w:spacing w:after="0" w:line="161" w:lineRule="exact"/>
        <w:rPr>
          <w:sz w:val="20"/>
          <w:szCs w:val="20"/>
          <w:color w:val="auto"/>
        </w:rPr>
      </w:pPr>
    </w:p>
    <w:p>
      <w:pPr>
        <w:ind w:right="100"/>
        <w:spacing w:after="0" w:line="236" w:lineRule="auto"/>
        <w:rPr>
          <w:sz w:val="20"/>
          <w:szCs w:val="20"/>
          <w:color w:val="auto"/>
        </w:rPr>
      </w:pPr>
      <w:r>
        <w:rPr>
          <w:rFonts w:ascii="Arial" w:cs="Arial" w:eastAsia="Arial" w:hAnsi="Arial"/>
          <w:sz w:val="17"/>
          <w:szCs w:val="17"/>
          <w:color w:val="auto"/>
        </w:rPr>
        <w:t>The affirmative vote of a majority of the votes cast on the proposal is required for Proposal 2, ratification of the selection of Ernst &amp; Young LLP as the Company’s independent auditor, and Proposal 4, approval of the TimkenSteel Corporation Amended and Restated 2014 Equity and Incentive Compensation Plan. In determining whether each of these proposals has received the affirmative vote of a majority of the votes cast on the proposal, abstentions and broker non-votes are not considered votes cast and, therefore, will not count either in favor of or against a proposal.</w:t>
      </w:r>
    </w:p>
    <w:p>
      <w:pPr>
        <w:spacing w:after="0" w:line="163" w:lineRule="exact"/>
        <w:rPr>
          <w:sz w:val="20"/>
          <w:szCs w:val="20"/>
          <w:color w:val="auto"/>
        </w:rPr>
      </w:pPr>
    </w:p>
    <w:p>
      <w:pPr>
        <w:ind w:right="60"/>
        <w:spacing w:after="0" w:line="236" w:lineRule="auto"/>
        <w:rPr>
          <w:sz w:val="20"/>
          <w:szCs w:val="20"/>
          <w:color w:val="auto"/>
        </w:rPr>
      </w:pPr>
      <w:r>
        <w:rPr>
          <w:rFonts w:ascii="Arial" w:cs="Arial" w:eastAsia="Arial" w:hAnsi="Arial"/>
          <w:sz w:val="17"/>
          <w:szCs w:val="17"/>
          <w:color w:val="auto"/>
        </w:rPr>
        <w:t>The shareholder vote on Proposal 3, the compensation of the Company’s named executive officers, is advisory in nature and therefore not binding on the Company. Although the vote on named executive officer compensation is an advisory vote, the Board of Directors and the Compensation Committee will consider the affirmative vote of a majority of the votes cast on this proposal as approval of the compensation paid to the Company’s named executive officers.</w:t>
      </w:r>
    </w:p>
    <w:p>
      <w:pPr>
        <w:spacing w:after="0" w:line="147" w:lineRule="exact"/>
        <w:rPr>
          <w:sz w:val="20"/>
          <w:szCs w:val="20"/>
          <w:color w:val="auto"/>
        </w:rPr>
      </w:pPr>
    </w:p>
    <w:p>
      <w:pPr>
        <w:ind w:left="11260"/>
        <w:spacing w:after="0"/>
        <w:rPr>
          <w:sz w:val="20"/>
          <w:szCs w:val="20"/>
          <w:color w:val="auto"/>
        </w:rPr>
      </w:pPr>
      <w:r>
        <w:rPr>
          <w:rFonts w:ascii="Arial" w:cs="Arial" w:eastAsia="Arial" w:hAnsi="Arial"/>
          <w:sz w:val="14"/>
          <w:szCs w:val="14"/>
          <w:color w:val="auto"/>
        </w:rPr>
        <w:t>3</w:t>
      </w:r>
    </w:p>
    <w:p>
      <w:pPr>
        <w:sectPr>
          <w:pgSz w:w="11900" w:h="16838" w:orient="portrait"/>
          <w:cols w:equalWidth="0" w:num="1">
            <w:col w:w="11340"/>
          </w:cols>
          <w:pgMar w:left="240" w:top="459" w:right="319" w:bottom="1440" w:gutter="0" w:footer="0" w:header="0"/>
        </w:sectPr>
      </w:pPr>
    </w:p>
    <w:bookmarkStart w:id="9" w:name="page10"/>
    <w:bookmarkEnd w:id="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3109595</wp:posOffset>
            </wp:positionH>
            <wp:positionV relativeFrom="paragraph">
              <wp:posOffset>205740</wp:posOffset>
            </wp:positionV>
            <wp:extent cx="1046480" cy="20574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1046480" cy="20574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50" w:lineRule="exact"/>
        <w:rPr>
          <w:sz w:val="20"/>
          <w:szCs w:val="20"/>
          <w:color w:val="auto"/>
        </w:rPr>
      </w:pPr>
    </w:p>
    <w:p>
      <w:pPr>
        <w:spacing w:after="0"/>
        <w:rPr>
          <w:sz w:val="20"/>
          <w:szCs w:val="20"/>
          <w:color w:val="auto"/>
        </w:rPr>
      </w:pPr>
      <w:r>
        <w:rPr>
          <w:rFonts w:ascii="Arial" w:cs="Arial" w:eastAsia="Arial" w:hAnsi="Arial"/>
          <w:sz w:val="17"/>
          <w:szCs w:val="17"/>
          <w:b w:val="1"/>
          <w:bCs w:val="1"/>
          <w:color w:val="666666"/>
        </w:rPr>
        <w:t>HOW WILL VOTING ON ANY OTHER BUSINESS BE CONDUCTED?</w:t>
      </w:r>
    </w:p>
    <w:p>
      <w:pPr>
        <w:spacing w:after="0" w:line="14" w:lineRule="exact"/>
        <w:rPr>
          <w:sz w:val="20"/>
          <w:szCs w:val="20"/>
          <w:color w:val="auto"/>
        </w:rPr>
      </w:pPr>
    </w:p>
    <w:p>
      <w:pPr>
        <w:ind w:right="20"/>
        <w:spacing w:after="0" w:line="238" w:lineRule="auto"/>
        <w:rPr>
          <w:sz w:val="20"/>
          <w:szCs w:val="20"/>
          <w:color w:val="auto"/>
        </w:rPr>
      </w:pPr>
      <w:r>
        <w:rPr>
          <w:rFonts w:ascii="Arial" w:cs="Arial" w:eastAsia="Arial" w:hAnsi="Arial"/>
          <w:sz w:val="17"/>
          <w:szCs w:val="17"/>
          <w:color w:val="auto"/>
        </w:rPr>
        <w:t>The Company does not know of any business or proposals to be considered at the Annual Meeting other than the items described in this Proxy Statement. If any other business is properly brought before the meeting, the signed proxies received from you and other shareholders give the persons voting the proxies the authority to vote on the matter according to their judgment.</w:t>
      </w:r>
    </w:p>
    <w:p>
      <w:pPr>
        <w:spacing w:after="0" w:line="155" w:lineRule="exact"/>
        <w:rPr>
          <w:sz w:val="20"/>
          <w:szCs w:val="20"/>
          <w:color w:val="auto"/>
        </w:rPr>
      </w:pPr>
    </w:p>
    <w:p>
      <w:pPr>
        <w:spacing w:after="0"/>
        <w:rPr>
          <w:sz w:val="20"/>
          <w:szCs w:val="20"/>
          <w:color w:val="auto"/>
        </w:rPr>
      </w:pPr>
      <w:r>
        <w:rPr>
          <w:rFonts w:ascii="Arial" w:cs="Arial" w:eastAsia="Arial" w:hAnsi="Arial"/>
          <w:sz w:val="17"/>
          <w:szCs w:val="17"/>
          <w:b w:val="1"/>
          <w:bCs w:val="1"/>
          <w:color w:val="666666"/>
        </w:rPr>
        <w:t>WHO IS SOLICITING PROXIES?</w:t>
      </w:r>
    </w:p>
    <w:p>
      <w:pPr>
        <w:spacing w:after="0" w:line="14" w:lineRule="exact"/>
        <w:rPr>
          <w:sz w:val="20"/>
          <w:szCs w:val="20"/>
          <w:color w:val="auto"/>
        </w:rPr>
      </w:pPr>
    </w:p>
    <w:p>
      <w:pPr>
        <w:spacing w:after="0"/>
        <w:rPr>
          <w:sz w:val="20"/>
          <w:szCs w:val="20"/>
          <w:color w:val="auto"/>
        </w:rPr>
      </w:pPr>
      <w:r>
        <w:rPr>
          <w:rFonts w:ascii="Arial" w:cs="Arial" w:eastAsia="Arial" w:hAnsi="Arial"/>
          <w:sz w:val="17"/>
          <w:szCs w:val="17"/>
          <w:color w:val="auto"/>
        </w:rPr>
        <w:t>The enclosed proxy is being solicited by the Board of Directors of the Company, and the Company will pay the cost of the solicitation.</w:t>
      </w:r>
    </w:p>
    <w:p>
      <w:pPr>
        <w:spacing w:after="0" w:line="169" w:lineRule="exact"/>
        <w:rPr>
          <w:sz w:val="20"/>
          <w:szCs w:val="20"/>
          <w:color w:val="auto"/>
        </w:rPr>
      </w:pPr>
    </w:p>
    <w:p>
      <w:pPr>
        <w:ind w:right="20"/>
        <w:spacing w:after="0" w:line="236" w:lineRule="auto"/>
        <w:rPr>
          <w:sz w:val="20"/>
          <w:szCs w:val="20"/>
          <w:color w:val="auto"/>
        </w:rPr>
      </w:pPr>
      <w:r>
        <w:rPr>
          <w:rFonts w:ascii="Arial" w:cs="Arial" w:eastAsia="Arial" w:hAnsi="Arial"/>
          <w:sz w:val="17"/>
          <w:szCs w:val="17"/>
          <w:color w:val="auto"/>
        </w:rPr>
        <w:t>We have retained Innisfree M&amp;A Incorporated to assist in the solicitation of proxies for a fee of $17,500, plus reasonable out-of-pocket expenses. Solicitations may be made by any means of communication. It is anticipated that the solicitations will consist primarily of requests to brokers, banks, trustees, nominees and fiduciaries to forward the soliciting material to the beneficial owners of shares held of record by those persons. The Company will reimburse brokers and other persons holding shares for others for their reasonable expenses in sending soliciting material to the beneficial owners.</w:t>
      </w:r>
    </w:p>
    <w:p>
      <w:pPr>
        <w:spacing w:after="0" w:line="163" w:lineRule="exact"/>
        <w:rPr>
          <w:sz w:val="20"/>
          <w:szCs w:val="20"/>
          <w:color w:val="auto"/>
        </w:rPr>
      </w:pPr>
    </w:p>
    <w:p>
      <w:pPr>
        <w:ind w:right="340"/>
        <w:spacing w:after="0" w:line="243" w:lineRule="auto"/>
        <w:rPr>
          <w:sz w:val="20"/>
          <w:szCs w:val="20"/>
          <w:color w:val="auto"/>
        </w:rPr>
      </w:pPr>
      <w:r>
        <w:rPr>
          <w:rFonts w:ascii="Arial" w:cs="Arial" w:eastAsia="Arial" w:hAnsi="Arial"/>
          <w:sz w:val="17"/>
          <w:szCs w:val="17"/>
          <w:color w:val="auto"/>
        </w:rPr>
        <w:t>In addition, certain officers and other employees of the Company may, without extra remuneration, solicit the return of proxies. Solicitations may be made by any means of communication, including by telephone, letter, personal visit, facsimile, electronic mail or other electronic means.</w:t>
      </w:r>
    </w:p>
    <w:p>
      <w:pPr>
        <w:spacing w:after="0" w:line="151" w:lineRule="exact"/>
        <w:rPr>
          <w:sz w:val="20"/>
          <w:szCs w:val="20"/>
          <w:color w:val="auto"/>
        </w:rPr>
      </w:pPr>
    </w:p>
    <w:p>
      <w:pPr>
        <w:spacing w:after="0"/>
        <w:rPr>
          <w:sz w:val="20"/>
          <w:szCs w:val="20"/>
          <w:color w:val="auto"/>
        </w:rPr>
      </w:pPr>
      <w:r>
        <w:rPr>
          <w:rFonts w:ascii="Arial" w:cs="Arial" w:eastAsia="Arial" w:hAnsi="Arial"/>
          <w:sz w:val="17"/>
          <w:szCs w:val="17"/>
          <w:b w:val="1"/>
          <w:bCs w:val="1"/>
          <w:color w:val="666666"/>
        </w:rPr>
        <w:t>WHEN ARE SHAREHOLDER PROPOSALS DUE FOR THE NEXT ANNUAL MEETING?</w:t>
      </w:r>
    </w:p>
    <w:p>
      <w:pPr>
        <w:spacing w:after="0" w:line="14" w:lineRule="exact"/>
        <w:rPr>
          <w:sz w:val="20"/>
          <w:szCs w:val="20"/>
          <w:color w:val="auto"/>
        </w:rPr>
      </w:pPr>
    </w:p>
    <w:p>
      <w:pPr>
        <w:jc w:val="both"/>
        <w:ind w:right="60"/>
        <w:spacing w:after="0" w:line="238" w:lineRule="auto"/>
        <w:rPr>
          <w:sz w:val="20"/>
          <w:szCs w:val="20"/>
          <w:color w:val="auto"/>
        </w:rPr>
      </w:pPr>
      <w:r>
        <w:rPr>
          <w:rFonts w:ascii="Arial" w:cs="Arial" w:eastAsia="Arial" w:hAnsi="Arial"/>
          <w:sz w:val="17"/>
          <w:szCs w:val="17"/>
          <w:color w:val="auto"/>
        </w:rPr>
        <w:t>We must receive by November 16, 2016, any proposal of our shareholders intended to be presented at the 2017 Annual Meeting of Shareholders and to be included in our proxy materials related to the 2017 Annual Meeting of Shareholders pursuant to Rule 14a-8 under the Securities Exchange Act of 1934 (the “Exchange Act”). Such proposals should be submitted by certified mail, return receipt requested.</w:t>
      </w:r>
    </w:p>
    <w:p>
      <w:pPr>
        <w:spacing w:after="0" w:line="161" w:lineRule="exact"/>
        <w:rPr>
          <w:sz w:val="20"/>
          <w:szCs w:val="20"/>
          <w:color w:val="auto"/>
        </w:rPr>
      </w:pPr>
    </w:p>
    <w:p>
      <w:pPr>
        <w:spacing w:after="0" w:line="234" w:lineRule="auto"/>
        <w:rPr>
          <w:sz w:val="20"/>
          <w:szCs w:val="20"/>
          <w:color w:val="auto"/>
        </w:rPr>
      </w:pPr>
      <w:r>
        <w:rPr>
          <w:rFonts w:ascii="Arial" w:cs="Arial" w:eastAsia="Arial" w:hAnsi="Arial"/>
          <w:sz w:val="17"/>
          <w:szCs w:val="17"/>
          <w:color w:val="auto"/>
        </w:rPr>
        <w:t>A shareholder submitting a proposal outside the processes of Rule 14a-8 in connection with the 2017 Annual Meeting of Shareholders (“Non-Rule 14a-8 Proposals”) must submit written notice of such proposal in accordance with Article I, Sections 12 and 14 of our Code of Regulations. In general, to be timely, a shareholder’s notice must be delivered to or mailed and received by our Secretary at our principal executive offices not less than 90 nor more than 120 days prior to the first anniversary of the date on which the Company held the preceding year’s Annual Meeting of Shareholders. If the date of the 2017 Annual Meeting of Shareholders is scheduled for a date more than 30 days prior to or more than 30 days after the first anniversary of the 2016 Annual Meeting of Shareholders, then a shareholder’s notice must be delivered to our Secretary at our principal executive offices not later than the close of business on the later of the 90th day prior to the 2017 Annual Meeting of Shareholders or the 10th day following the day on which public announcement of the date of the 2017 Annual Meeting of Shareholders is first made. Our proxy related to the 2017 Annual Meeting of Shareholders will give discretionary authority to the proxy holders to vote with respect to all Non-Rule 14a-8 Proposals received by us after January 28, 2017.</w:t>
      </w:r>
    </w:p>
    <w:p>
      <w:pPr>
        <w:spacing w:after="0" w:line="142" w:lineRule="exact"/>
        <w:rPr>
          <w:sz w:val="20"/>
          <w:szCs w:val="20"/>
          <w:color w:val="auto"/>
        </w:rPr>
      </w:pPr>
    </w:p>
    <w:p>
      <w:pPr>
        <w:spacing w:after="0"/>
        <w:rPr>
          <w:sz w:val="20"/>
          <w:szCs w:val="20"/>
          <w:color w:val="auto"/>
        </w:rPr>
      </w:pPr>
      <w:r>
        <w:rPr>
          <w:rFonts w:ascii="Arial" w:cs="Arial" w:eastAsia="Arial" w:hAnsi="Arial"/>
          <w:sz w:val="17"/>
          <w:szCs w:val="17"/>
          <w:b w:val="1"/>
          <w:bCs w:val="1"/>
          <w:color w:val="666666"/>
        </w:rPr>
        <w:t>HOW CAN A SHAREHOLDER OR OTHER INTERESTED PARTY COMMUNICATE WITH THE BOARD OF DIRECTORS?</w:t>
      </w:r>
    </w:p>
    <w:p>
      <w:pPr>
        <w:spacing w:after="0" w:line="14" w:lineRule="exact"/>
        <w:rPr>
          <w:sz w:val="20"/>
          <w:szCs w:val="20"/>
          <w:color w:val="auto"/>
        </w:rPr>
      </w:pPr>
    </w:p>
    <w:p>
      <w:pPr>
        <w:ind w:right="40"/>
        <w:spacing w:after="0" w:line="236" w:lineRule="auto"/>
        <w:rPr>
          <w:sz w:val="20"/>
          <w:szCs w:val="20"/>
          <w:color w:val="auto"/>
        </w:rPr>
      </w:pPr>
      <w:r>
        <w:rPr>
          <w:rFonts w:ascii="Arial" w:cs="Arial" w:eastAsia="Arial" w:hAnsi="Arial"/>
          <w:sz w:val="17"/>
          <w:szCs w:val="17"/>
          <w:color w:val="auto"/>
        </w:rPr>
        <w:t>Shareholders or interested parties may send communications to the Board of Directors, to any standing committee of the Board, or to any Director, in writing c/o TimkenSteel Corporation, Attn: Secretary, 1835 Dueber Ave. S.W., Canton, Ohio 44706. Shareholders or interested parties also may submit questions, concerns or reports of misconduct through the TimkenSteel Helpline at 1-855-754-2921 (anonymously, if so desired). Communications received may be reviewed by the office of the General Counsel to ensure appropriate and careful consideration of the matter.</w:t>
      </w:r>
    </w:p>
    <w:p>
      <w:pPr>
        <w:spacing w:after="0" w:line="147" w:lineRule="exact"/>
        <w:rPr>
          <w:sz w:val="20"/>
          <w:szCs w:val="20"/>
          <w:color w:val="auto"/>
        </w:rPr>
      </w:pPr>
    </w:p>
    <w:p>
      <w:pPr>
        <w:spacing w:after="0"/>
        <w:rPr>
          <w:sz w:val="20"/>
          <w:szCs w:val="20"/>
          <w:color w:val="auto"/>
        </w:rPr>
      </w:pPr>
      <w:r>
        <w:rPr>
          <w:rFonts w:ascii="Arial" w:cs="Arial" w:eastAsia="Arial" w:hAnsi="Arial"/>
          <w:sz w:val="14"/>
          <w:szCs w:val="14"/>
          <w:color w:val="auto"/>
        </w:rPr>
        <w:t>4</w:t>
      </w:r>
    </w:p>
    <w:p>
      <w:pPr>
        <w:sectPr>
          <w:pgSz w:w="11900" w:h="16838" w:orient="portrait"/>
          <w:cols w:equalWidth="0" w:num="1">
            <w:col w:w="11420"/>
          </w:cols>
          <w:pgMar w:left="240" w:top="459" w:right="239" w:bottom="1440" w:gutter="0" w:footer="0" w:header="0"/>
        </w:sectPr>
      </w:pPr>
    </w:p>
    <w:bookmarkStart w:id="10" w:name="page11"/>
    <w:bookmarkEnd w:id="1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2715260</wp:posOffset>
            </wp:positionH>
            <wp:positionV relativeFrom="paragraph">
              <wp:posOffset>205740</wp:posOffset>
            </wp:positionV>
            <wp:extent cx="1826895" cy="20574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1826895" cy="20574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71" w:lineRule="exact"/>
        <w:rPr>
          <w:sz w:val="20"/>
          <w:szCs w:val="20"/>
          <w:color w:val="auto"/>
        </w:rPr>
      </w:pPr>
    </w:p>
    <w:p>
      <w:pPr>
        <w:spacing w:after="0"/>
        <w:rPr>
          <w:sz w:val="20"/>
          <w:szCs w:val="20"/>
          <w:color w:val="auto"/>
        </w:rPr>
      </w:pPr>
      <w:r>
        <w:rPr>
          <w:rFonts w:ascii="Arial" w:cs="Arial" w:eastAsia="Arial" w:hAnsi="Arial"/>
          <w:sz w:val="18"/>
          <w:szCs w:val="18"/>
          <w:color w:val="auto"/>
        </w:rPr>
        <w:t>PROPOSAL 1</w:t>
      </w:r>
    </w:p>
    <w:p>
      <w:pPr>
        <w:spacing w:after="0"/>
        <w:rPr>
          <w:sz w:val="20"/>
          <w:szCs w:val="20"/>
          <w:color w:val="auto"/>
        </w:rPr>
      </w:pPr>
      <w:r>
        <w:rPr>
          <w:rFonts w:ascii="Arial" w:cs="Arial" w:eastAsia="Arial" w:hAnsi="Arial"/>
          <w:sz w:val="18"/>
          <w:szCs w:val="18"/>
          <w:color w:val="auto"/>
        </w:rPr>
        <w:t>ELECTION OF DIRECTORS</w:t>
      </w:r>
    </w:p>
    <w:p>
      <w:pPr>
        <w:spacing w:after="0" w:line="179" w:lineRule="exact"/>
        <w:rPr>
          <w:sz w:val="20"/>
          <w:szCs w:val="20"/>
          <w:color w:val="auto"/>
        </w:rPr>
      </w:pPr>
    </w:p>
    <w:p>
      <w:pPr>
        <w:ind w:right="200"/>
        <w:spacing w:after="0" w:line="243" w:lineRule="auto"/>
        <w:rPr>
          <w:sz w:val="20"/>
          <w:szCs w:val="20"/>
          <w:color w:val="auto"/>
        </w:rPr>
      </w:pPr>
      <w:r>
        <w:rPr>
          <w:rFonts w:ascii="Arial" w:cs="Arial" w:eastAsia="Arial" w:hAnsi="Arial"/>
          <w:sz w:val="17"/>
          <w:szCs w:val="17"/>
          <w:color w:val="auto"/>
        </w:rPr>
        <w:t>We presently have ten members on our Board of Directors. Our Board is divided into three classes for purposes of election, with three-year terms of office ending in successive years.</w:t>
      </w:r>
    </w:p>
    <w:p>
      <w:pPr>
        <w:spacing w:after="0" w:line="158" w:lineRule="exact"/>
        <w:rPr>
          <w:sz w:val="20"/>
          <w:szCs w:val="20"/>
          <w:color w:val="auto"/>
        </w:rPr>
      </w:pPr>
    </w:p>
    <w:p>
      <w:pPr>
        <w:ind w:right="220"/>
        <w:spacing w:after="0" w:line="235" w:lineRule="auto"/>
        <w:rPr>
          <w:sz w:val="20"/>
          <w:szCs w:val="20"/>
          <w:color w:val="auto"/>
        </w:rPr>
      </w:pPr>
      <w:r>
        <w:rPr>
          <w:rFonts w:ascii="Arial" w:cs="Arial" w:eastAsia="Arial" w:hAnsi="Arial"/>
          <w:sz w:val="17"/>
          <w:szCs w:val="17"/>
          <w:color w:val="auto"/>
        </w:rPr>
        <w:t>The Board of Directors has nominated the following individuals for election as Directors at the 2016 Annual Meeting of Shareholders, to serve for a term of three years expiring at the 2019 Annual Meeting of Shareholders (or until their respective successors are elected and qualified): Diane C. Creel, Donald T. Misheff and Ronald A. Rice. Each of the nominees currently serves as a Director and has agreed to serve as a Director if elected. Biographical information on each of the nominees and a description of their qualifications to serve as a Director, as well as similar information about other Directors, is set forth on the pages that follow.</w:t>
      </w:r>
    </w:p>
    <w:p>
      <w:pPr>
        <w:spacing w:after="0" w:line="164" w:lineRule="exact"/>
        <w:rPr>
          <w:sz w:val="20"/>
          <w:szCs w:val="20"/>
          <w:color w:val="auto"/>
        </w:rPr>
      </w:pPr>
    </w:p>
    <w:p>
      <w:pPr>
        <w:ind w:right="60"/>
        <w:spacing w:after="0" w:line="243" w:lineRule="auto"/>
        <w:rPr>
          <w:sz w:val="20"/>
          <w:szCs w:val="20"/>
          <w:color w:val="auto"/>
        </w:rPr>
      </w:pPr>
      <w:r>
        <w:rPr>
          <w:rFonts w:ascii="Arial" w:cs="Arial" w:eastAsia="Arial" w:hAnsi="Arial"/>
          <w:sz w:val="17"/>
          <w:szCs w:val="17"/>
          <w:color w:val="auto"/>
        </w:rPr>
        <w:t>If any of the nominees is unable to stand for election, the Board of Directors may designate a substitute. Shares represented by proxies may be voted for the substitute but will not be voted for more than three nominees.</w:t>
      </w:r>
    </w:p>
    <w:p>
      <w:pPr>
        <w:spacing w:after="0" w:line="171" w:lineRule="exact"/>
        <w:rPr>
          <w:sz w:val="20"/>
          <w:szCs w:val="20"/>
          <w:color w:val="auto"/>
        </w:rPr>
      </w:pPr>
    </w:p>
    <w:p>
      <w:pPr>
        <w:spacing w:after="0"/>
        <w:rPr>
          <w:sz w:val="20"/>
          <w:szCs w:val="20"/>
          <w:color w:val="auto"/>
        </w:rPr>
      </w:pPr>
      <w:r>
        <w:rPr>
          <w:rFonts w:ascii="Arial" w:cs="Arial" w:eastAsia="Arial" w:hAnsi="Arial"/>
          <w:sz w:val="17"/>
          <w:szCs w:val="17"/>
          <w:color w:val="auto"/>
        </w:rPr>
        <w:t>Directors are elected by a plurality of the votes cast. The three nominees receiving the greatest number of votes will be elected.</w:t>
      </w:r>
    </w:p>
    <w:p>
      <w:pPr>
        <w:spacing w:after="0" w:line="169" w:lineRule="exact"/>
        <w:rPr>
          <w:sz w:val="20"/>
          <w:szCs w:val="20"/>
          <w:color w:val="auto"/>
        </w:rPr>
      </w:pPr>
    </w:p>
    <w:p>
      <w:pPr>
        <w:ind w:right="60"/>
        <w:spacing w:after="0" w:line="234" w:lineRule="auto"/>
        <w:rPr>
          <w:sz w:val="20"/>
          <w:szCs w:val="20"/>
          <w:color w:val="auto"/>
        </w:rPr>
      </w:pPr>
      <w:r>
        <w:rPr>
          <w:rFonts w:ascii="Arial" w:cs="Arial" w:eastAsia="Arial" w:hAnsi="Arial"/>
          <w:sz w:val="17"/>
          <w:szCs w:val="17"/>
          <w:color w:val="auto"/>
        </w:rPr>
        <w:t>Pursuant to the Majority Voting Policy of the Board of Directors, any Director who receives a greater number of “withhold” votes than votes “for” his or her election in an uncontested election will submit his or her resignation to the Board of Directors promptly after the certification of the election results. The Board of Directors and the Nominating and Corporate Governance Committee will then consider the resignation in light of any factors they consider appropriate, including the Director’s qualifications and contributions to the Board of Directors, as well as any reasons given by shareholders regarding why they withheld votes from the Director. The Board of Directors is required to determine whether to accept or reject the tendered resignation within 90 days following the election and to promptly disclose its decision, as well as the reasons for rejecting any tendered resignation, if applicable.</w:t>
      </w:r>
    </w:p>
    <w:p>
      <w:pPr>
        <w:spacing w:after="0" w:line="165" w:lineRule="exact"/>
        <w:rPr>
          <w:sz w:val="20"/>
          <w:szCs w:val="20"/>
          <w:color w:val="auto"/>
        </w:rPr>
      </w:pPr>
    </w:p>
    <w:p>
      <w:pPr>
        <w:spacing w:after="0" w:line="236" w:lineRule="auto"/>
        <w:rPr>
          <w:sz w:val="20"/>
          <w:szCs w:val="20"/>
          <w:color w:val="auto"/>
        </w:rPr>
      </w:pPr>
      <w:r>
        <w:rPr>
          <w:rFonts w:ascii="Arial" w:cs="Arial" w:eastAsia="Arial" w:hAnsi="Arial"/>
          <w:sz w:val="17"/>
          <w:szCs w:val="17"/>
          <w:color w:val="auto"/>
        </w:rPr>
        <w:t>Holders of TimkenSteel common shares are entitled to cast one vote for each share held on the Record Date for up to three nominees for Director. A shareholder may not cumulate his or her shares in voting for Director nominees. What this means is that, for example, a shareholder who owns 100 TimkenSteel common shares may vote 100 shares for each of three nominees. The shareholder may not, however, vote more than 100 shares for any one nominee, nor vote for more than three nominees.</w:t>
      </w:r>
    </w:p>
    <w:p>
      <w:pPr>
        <w:spacing w:after="0" w:line="157"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Shares represented by proxy will be voted FOR these nominees unless you specify otherwise in your voting instructions.</w:t>
      </w:r>
    </w:p>
    <w:p>
      <w:pPr>
        <w:spacing w:after="0" w:line="169" w:lineRule="exact"/>
        <w:rPr>
          <w:sz w:val="20"/>
          <w:szCs w:val="20"/>
          <w:color w:val="auto"/>
        </w:rPr>
      </w:pPr>
    </w:p>
    <w:p>
      <w:pPr>
        <w:ind w:left="2460"/>
        <w:spacing w:after="0"/>
        <w:rPr>
          <w:sz w:val="20"/>
          <w:szCs w:val="20"/>
          <w:color w:val="auto"/>
        </w:rPr>
      </w:pPr>
      <w:r>
        <w:rPr>
          <w:rFonts w:ascii="Arial" w:cs="Arial" w:eastAsia="Arial" w:hAnsi="Arial"/>
          <w:sz w:val="17"/>
          <w:szCs w:val="17"/>
          <w:b w:val="1"/>
          <w:bCs w:val="1"/>
          <w:color w:val="auto"/>
        </w:rPr>
        <w:t>YOUR BOARD OF DIRECTORS RECOMMENDS A VOTE FOR THESE NOMINEES.</w:t>
      </w:r>
    </w:p>
    <w:p>
      <w:pPr>
        <w:spacing w:after="0" w:line="173" w:lineRule="exact"/>
        <w:rPr>
          <w:sz w:val="20"/>
          <w:szCs w:val="20"/>
          <w:color w:val="auto"/>
        </w:rPr>
      </w:pPr>
    </w:p>
    <w:p>
      <w:pPr>
        <w:ind w:left="11260"/>
        <w:spacing w:after="0"/>
        <w:rPr>
          <w:sz w:val="20"/>
          <w:szCs w:val="20"/>
          <w:color w:val="auto"/>
        </w:rPr>
      </w:pPr>
      <w:r>
        <w:rPr>
          <w:rFonts w:ascii="Arial" w:cs="Arial" w:eastAsia="Arial" w:hAnsi="Arial"/>
          <w:sz w:val="14"/>
          <w:szCs w:val="14"/>
          <w:color w:val="auto"/>
        </w:rPr>
        <w:t>5</w:t>
      </w:r>
    </w:p>
    <w:p>
      <w:pPr>
        <w:sectPr>
          <w:pgSz w:w="11900" w:h="16838" w:orient="portrait"/>
          <w:cols w:equalWidth="0" w:num="1">
            <w:col w:w="11360"/>
          </w:cols>
          <w:pgMar w:left="240" w:top="459" w:right="299" w:bottom="1440" w:gutter="0" w:footer="0" w:header="0"/>
        </w:sectPr>
      </w:pPr>
    </w:p>
    <w:bookmarkStart w:id="11" w:name="page12"/>
    <w:bookmarkEnd w:id="1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3109595</wp:posOffset>
            </wp:positionH>
            <wp:positionV relativeFrom="paragraph">
              <wp:posOffset>205740</wp:posOffset>
            </wp:positionV>
            <wp:extent cx="1046480" cy="20574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1046480" cy="20574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76" w:lineRule="exact"/>
        <w:rPr>
          <w:sz w:val="20"/>
          <w:szCs w:val="20"/>
          <w:color w:val="auto"/>
        </w:rPr>
      </w:pPr>
    </w:p>
    <w:p>
      <w:pPr>
        <w:spacing w:after="0"/>
        <w:rPr>
          <w:sz w:val="20"/>
          <w:szCs w:val="20"/>
          <w:color w:val="auto"/>
        </w:rPr>
      </w:pPr>
      <w:r>
        <w:rPr>
          <w:rFonts w:ascii="Arial" w:cs="Arial" w:eastAsia="Arial" w:hAnsi="Arial"/>
          <w:sz w:val="18"/>
          <w:szCs w:val="18"/>
          <w:color w:val="auto"/>
        </w:rPr>
        <w:t>BOARD OF DIRECTORS</w:t>
      </w:r>
    </w:p>
    <w:p>
      <w:pPr>
        <w:spacing w:after="0" w:line="179" w:lineRule="exact"/>
        <w:rPr>
          <w:sz w:val="20"/>
          <w:szCs w:val="20"/>
          <w:color w:val="auto"/>
        </w:rPr>
      </w:pPr>
    </w:p>
    <w:p>
      <w:pPr>
        <w:ind w:right="120"/>
        <w:spacing w:after="0" w:line="238" w:lineRule="auto"/>
        <w:rPr>
          <w:sz w:val="20"/>
          <w:szCs w:val="20"/>
          <w:color w:val="auto"/>
        </w:rPr>
      </w:pPr>
      <w:r>
        <w:rPr>
          <w:rFonts w:ascii="Arial" w:cs="Arial" w:eastAsia="Arial" w:hAnsi="Arial"/>
          <w:sz w:val="17"/>
          <w:szCs w:val="17"/>
          <w:color w:val="auto"/>
        </w:rPr>
        <w:t>Set forth on the following pages is biographical information for each of the nominees for election and the other continuing Directors with unexpired terms of office, and a description of the skills and qualifications that led the Board to conclude that each such person should serve as a Director of the Company. All information is given as of March 1, 2016, unless otherwise indicated.</w:t>
      </w:r>
    </w:p>
    <w:p>
      <w:pPr>
        <w:spacing w:after="0" w:line="167" w:lineRule="exact"/>
        <w:rPr>
          <w:sz w:val="20"/>
          <w:szCs w:val="20"/>
          <w:color w:val="auto"/>
        </w:rPr>
      </w:pPr>
    </w:p>
    <w:p>
      <w:pPr>
        <w:spacing w:after="0"/>
        <w:rPr>
          <w:sz w:val="20"/>
          <w:szCs w:val="20"/>
          <w:color w:val="auto"/>
        </w:rPr>
      </w:pPr>
      <w:r>
        <w:rPr>
          <w:rFonts w:ascii="Arial" w:cs="Arial" w:eastAsia="Arial" w:hAnsi="Arial"/>
          <w:sz w:val="18"/>
          <w:szCs w:val="18"/>
          <w:color w:val="auto"/>
        </w:rPr>
        <w:t>NOMINEES FOR ELECTION</w:t>
      </w:r>
    </w:p>
    <w:p>
      <w:pPr>
        <w:spacing w:after="0" w:line="146" w:lineRule="exact"/>
        <w:rPr>
          <w:sz w:val="20"/>
          <w:szCs w:val="20"/>
          <w:color w:val="auto"/>
        </w:rPr>
      </w:pPr>
    </w:p>
    <w:p>
      <w:pPr>
        <w:ind w:right="3380"/>
        <w:spacing w:after="0" w:line="493" w:lineRule="auto"/>
        <w:rPr>
          <w:sz w:val="20"/>
          <w:szCs w:val="20"/>
          <w:color w:val="auto"/>
        </w:rPr>
      </w:pPr>
      <w:r>
        <w:rPr>
          <w:rFonts w:ascii="Arial" w:cs="Arial" w:eastAsia="Arial" w:hAnsi="Arial"/>
          <w:sz w:val="17"/>
          <w:szCs w:val="17"/>
          <w:b w:val="1"/>
          <w:bCs w:val="1"/>
          <w:color w:val="auto"/>
        </w:rPr>
        <w:t>TO SERVE A THREE-YEAR TERM EXPIRING AT THE 2019 ANNUAL MEETING OF SHAREHOLDERS Diane C. Creel</w:t>
      </w:r>
    </w:p>
    <w:p>
      <w:pPr>
        <w:sectPr>
          <w:pgSz w:w="11900" w:h="16838" w:orient="portrait"/>
          <w:cols w:equalWidth="0" w:num="1">
            <w:col w:w="11420"/>
          </w:cols>
          <w:pgMar w:left="240" w:top="459" w:right="239" w:bottom="1440" w:gutter="0" w:footer="0" w:header="0"/>
        </w:sectPr>
      </w:pPr>
    </w:p>
    <w:p>
      <w:pPr>
        <w:spacing w:after="0"/>
        <w:rPr>
          <w:sz w:val="20"/>
          <w:szCs w:val="20"/>
          <w:color w:val="auto"/>
        </w:rPr>
      </w:pPr>
      <w:r>
        <w:rPr>
          <w:rFonts w:ascii="Arial" w:cs="Arial" w:eastAsia="Arial" w:hAnsi="Arial"/>
          <w:sz w:val="16"/>
          <w:szCs w:val="16"/>
          <w:color w:val="auto"/>
        </w:rPr>
        <w:t>Term:</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7"/>
          <w:szCs w:val="17"/>
          <w:color w:val="auto"/>
        </w:rPr>
        <w:t>Expires in 2016; Director since 2014.</w:t>
      </w:r>
    </w:p>
    <w:p>
      <w:pPr>
        <w:spacing w:after="0" w:line="163" w:lineRule="exact"/>
        <w:rPr>
          <w:sz w:val="20"/>
          <w:szCs w:val="20"/>
          <w:color w:val="auto"/>
        </w:rPr>
      </w:pPr>
    </w:p>
    <w:p>
      <w:pPr>
        <w:sectPr>
          <w:pgSz w:w="11900" w:h="16838" w:orient="portrait"/>
          <w:cols w:equalWidth="0" w:num="2">
            <w:col w:w="2160" w:space="720"/>
            <w:col w:w="8540"/>
          </w:cols>
          <w:pgMar w:left="240" w:top="459" w:right="239" w:bottom="1440" w:gutter="0" w:footer="0" w:header="0"/>
          <w:type w:val="continuous"/>
        </w:sectPr>
      </w:pPr>
    </w:p>
    <w:p>
      <w:pPr>
        <w:spacing w:after="0"/>
        <w:rPr>
          <w:sz w:val="20"/>
          <w:szCs w:val="20"/>
          <w:color w:val="auto"/>
        </w:rPr>
      </w:pPr>
      <w:r>
        <w:rPr>
          <w:rFonts w:ascii="Arial" w:cs="Arial" w:eastAsia="Arial" w:hAnsi="Arial"/>
          <w:sz w:val="17"/>
          <w:szCs w:val="17"/>
          <w:color w:val="auto"/>
        </w:rPr>
        <w:t>Business Experience and</w:t>
      </w:r>
    </w:p>
    <w:p>
      <w:pPr>
        <w:spacing w:after="0"/>
        <w:rPr>
          <w:sz w:val="20"/>
          <w:szCs w:val="20"/>
          <w:color w:val="auto"/>
        </w:rPr>
      </w:pPr>
      <w:r>
        <w:rPr>
          <w:rFonts w:ascii="Arial" w:cs="Arial" w:eastAsia="Arial" w:hAnsi="Arial"/>
          <w:sz w:val="17"/>
          <w:szCs w:val="17"/>
          <w:color w:val="auto"/>
        </w:rPr>
        <w:t>Director Qualifications:</w:t>
      </w:r>
    </w:p>
    <w:p>
      <w:pPr>
        <w:spacing w:after="0" w:line="20" w:lineRule="exact"/>
        <w:rPr>
          <w:sz w:val="20"/>
          <w:szCs w:val="20"/>
          <w:color w:val="auto"/>
        </w:rPr>
      </w:pPr>
      <w:r>
        <w:rPr>
          <w:sz w:val="20"/>
          <w:szCs w:val="20"/>
          <w:color w:val="auto"/>
        </w:rPr>
        <w:br w:type="column"/>
      </w:r>
    </w:p>
    <w:p>
      <w:pPr>
        <w:ind w:right="220"/>
        <w:spacing w:after="0" w:line="236" w:lineRule="auto"/>
        <w:rPr>
          <w:sz w:val="20"/>
          <w:szCs w:val="20"/>
          <w:color w:val="auto"/>
        </w:rPr>
      </w:pPr>
      <w:r>
        <w:rPr>
          <w:rFonts w:ascii="Arial" w:cs="Arial" w:eastAsia="Arial" w:hAnsi="Arial"/>
          <w:sz w:val="17"/>
          <w:szCs w:val="17"/>
          <w:color w:val="auto"/>
        </w:rPr>
        <w:t>Ms. Creel served as Chairman, Chief Executive Officer and President of Ecovation Inc., a subsidiary of Ecolab Inc., a waste stream technology company using patented technologies, until her retirement in 2008. Prior to Ecovation, Ms. Creel was Chairman, Chief Executive Officer and President of Earth Tech, Inc. from 1992 to 2003.</w:t>
      </w:r>
    </w:p>
    <w:p>
      <w:pPr>
        <w:spacing w:after="0" w:line="190" w:lineRule="exact"/>
        <w:rPr>
          <w:sz w:val="20"/>
          <w:szCs w:val="20"/>
          <w:color w:val="auto"/>
        </w:rPr>
      </w:pPr>
    </w:p>
    <w:p>
      <w:pPr>
        <w:sectPr>
          <w:pgSz w:w="11900" w:h="16838" w:orient="portrait"/>
          <w:cols w:equalWidth="0" w:num="2">
            <w:col w:w="2160" w:space="720"/>
            <w:col w:w="8540"/>
          </w:cols>
          <w:pgMar w:left="240" w:top="459" w:right="239" w:bottom="1440" w:gutter="0" w:footer="0" w:header="0"/>
          <w:type w:val="continuous"/>
        </w:sectPr>
      </w:pPr>
    </w:p>
    <w:p>
      <w:pPr>
        <w:ind w:left="2880" w:right="40"/>
        <w:spacing w:after="0" w:line="234" w:lineRule="auto"/>
        <w:rPr>
          <w:sz w:val="20"/>
          <w:szCs w:val="20"/>
          <w:color w:val="auto"/>
        </w:rPr>
      </w:pPr>
      <w:r>
        <w:rPr>
          <w:rFonts w:ascii="Arial" w:cs="Arial" w:eastAsia="Arial" w:hAnsi="Arial"/>
          <w:sz w:val="17"/>
          <w:szCs w:val="17"/>
          <w:color w:val="auto"/>
        </w:rPr>
        <w:t>Ms. Creel brings our Board the benefits of her deep experience as a senior executive and Board member of several industrial companies. Ms. Creel’s expertise in engineering, construction and green technology provides a key industry perspective to the Board. She also has experience in mergers and acquisitions, which serves the Board well when evaluating organic and inorganic growth opportunities. Ms. Creel brings the perspective of a member of several boards, including as Lead Independent Director as well as Chair of the Nominating and Governance Committee and member of the Personnel and Compensation Committees of Allegheny Technologies Incorporated, and as a member of the Audit and Risk Management, Compensation and Human Resources and Nominating and Corporate Governance Committees of Enpro Industries, Inc.</w:t>
      </w:r>
    </w:p>
    <w:p>
      <w:pPr>
        <w:sectPr>
          <w:pgSz w:w="11900" w:h="16838" w:orient="portrait"/>
          <w:cols w:equalWidth="0" w:num="1">
            <w:col w:w="11420"/>
          </w:cols>
          <w:pgMar w:left="240" w:top="459" w:right="239" w:bottom="1440" w:gutter="0" w:footer="0" w:header="0"/>
          <w:type w:val="continuous"/>
        </w:sectPr>
      </w:pPr>
    </w:p>
    <w:p>
      <w:pPr>
        <w:spacing w:after="0" w:line="177" w:lineRule="exact"/>
        <w:rPr>
          <w:sz w:val="20"/>
          <w:szCs w:val="20"/>
          <w:color w:val="auto"/>
        </w:rPr>
      </w:pPr>
    </w:p>
    <w:p>
      <w:pPr>
        <w:spacing w:after="0"/>
        <w:rPr>
          <w:sz w:val="20"/>
          <w:szCs w:val="20"/>
          <w:color w:val="auto"/>
        </w:rPr>
      </w:pPr>
      <w:r>
        <w:rPr>
          <w:rFonts w:ascii="Arial" w:cs="Arial" w:eastAsia="Arial" w:hAnsi="Arial"/>
          <w:sz w:val="17"/>
          <w:szCs w:val="17"/>
          <w:color w:val="auto"/>
        </w:rPr>
        <w:t>Other Directorships:</w:t>
      </w:r>
    </w:p>
    <w:p>
      <w:pPr>
        <w:spacing w:after="0" w:line="20" w:lineRule="exact"/>
        <w:rPr>
          <w:sz w:val="20"/>
          <w:szCs w:val="20"/>
          <w:color w:val="auto"/>
        </w:rPr>
      </w:pPr>
      <w:r>
        <w:rPr>
          <w:sz w:val="20"/>
          <w:szCs w:val="20"/>
          <w:color w:val="auto"/>
        </w:rPr>
        <w:br w:type="column"/>
      </w:r>
    </w:p>
    <w:p>
      <w:pPr>
        <w:spacing w:after="0" w:line="157" w:lineRule="exact"/>
        <w:rPr>
          <w:sz w:val="20"/>
          <w:szCs w:val="20"/>
          <w:color w:val="auto"/>
        </w:rPr>
      </w:pPr>
    </w:p>
    <w:p>
      <w:pPr>
        <w:spacing w:after="0" w:line="238" w:lineRule="auto"/>
        <w:rPr>
          <w:sz w:val="20"/>
          <w:szCs w:val="20"/>
          <w:color w:val="auto"/>
        </w:rPr>
      </w:pPr>
      <w:r>
        <w:rPr>
          <w:rFonts w:ascii="Arial" w:cs="Arial" w:eastAsia="Arial" w:hAnsi="Arial"/>
          <w:sz w:val="17"/>
          <w:szCs w:val="17"/>
          <w:color w:val="auto"/>
        </w:rPr>
        <w:t>Ms. Creel has served as a Director of Allegheny Technologies Incorporated since 1996 and Enpro Industries, Inc. since 2009. Ms. Creel was formerly a Director of Goodrich Corporation until 2012 and of URS Corporation and The Timken Company until 2014.</w:t>
      </w:r>
    </w:p>
    <w:p>
      <w:pPr>
        <w:spacing w:after="0" w:line="161" w:lineRule="exact"/>
        <w:rPr>
          <w:sz w:val="20"/>
          <w:szCs w:val="20"/>
          <w:color w:val="auto"/>
        </w:rPr>
      </w:pPr>
    </w:p>
    <w:p>
      <w:pPr>
        <w:sectPr>
          <w:pgSz w:w="11900" w:h="16838" w:orient="portrait"/>
          <w:cols w:equalWidth="0" w:num="2">
            <w:col w:w="2160" w:space="720"/>
            <w:col w:w="8540"/>
          </w:cols>
          <w:pgMar w:left="240" w:top="459" w:right="239" w:bottom="1440" w:gutter="0" w:footer="0" w:header="0"/>
          <w:type w:val="continuous"/>
        </w:sectPr>
      </w:pPr>
    </w:p>
    <w:p>
      <w:pPr>
        <w:spacing w:after="0"/>
        <w:rPr>
          <w:sz w:val="20"/>
          <w:szCs w:val="20"/>
          <w:color w:val="auto"/>
        </w:rPr>
      </w:pPr>
      <w:r>
        <w:rPr>
          <w:rFonts w:ascii="Arial" w:cs="Arial" w:eastAsia="Arial" w:hAnsi="Arial"/>
          <w:sz w:val="17"/>
          <w:szCs w:val="17"/>
          <w:color w:val="auto"/>
        </w:rPr>
        <w:t>Committees:</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7"/>
          <w:szCs w:val="17"/>
          <w:color w:val="auto"/>
        </w:rPr>
        <w:t>Compensation Committee (Chair) and Nominating and Corporate Governance Committee.</w:t>
      </w:r>
    </w:p>
    <w:p>
      <w:pPr>
        <w:spacing w:after="0" w:line="169" w:lineRule="exact"/>
        <w:rPr>
          <w:sz w:val="20"/>
          <w:szCs w:val="20"/>
          <w:color w:val="auto"/>
        </w:rPr>
      </w:pPr>
    </w:p>
    <w:p>
      <w:pPr>
        <w:sectPr>
          <w:pgSz w:w="11900" w:h="16838" w:orient="portrait"/>
          <w:cols w:equalWidth="0" w:num="2">
            <w:col w:w="2160" w:space="720"/>
            <w:col w:w="8540"/>
          </w:cols>
          <w:pgMar w:left="240" w:top="459" w:right="239" w:bottom="1440" w:gutter="0" w:footer="0" w:header="0"/>
          <w:type w:val="continuous"/>
        </w:sectPr>
      </w:pPr>
    </w:p>
    <w:p>
      <w:pPr>
        <w:spacing w:after="0"/>
        <w:rPr>
          <w:sz w:val="20"/>
          <w:szCs w:val="20"/>
          <w:color w:val="auto"/>
        </w:rPr>
      </w:pPr>
      <w:r>
        <w:rPr>
          <w:rFonts w:ascii="Arial" w:cs="Arial" w:eastAsia="Arial" w:hAnsi="Arial"/>
          <w:sz w:val="17"/>
          <w:szCs w:val="17"/>
          <w:color w:val="auto"/>
        </w:rPr>
        <w:t>Age:</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6"/>
          <w:szCs w:val="16"/>
          <w:color w:val="auto"/>
        </w:rPr>
        <w:t>67</w:t>
      </w:r>
    </w:p>
    <w:p>
      <w:pPr>
        <w:spacing w:after="0" w:line="164" w:lineRule="exact"/>
        <w:rPr>
          <w:sz w:val="20"/>
          <w:szCs w:val="20"/>
          <w:color w:val="auto"/>
        </w:rPr>
      </w:pPr>
    </w:p>
    <w:p>
      <w:pPr>
        <w:sectPr>
          <w:pgSz w:w="11900" w:h="16838" w:orient="portrait"/>
          <w:cols w:equalWidth="0" w:num="2">
            <w:col w:w="2160" w:space="720"/>
            <w:col w:w="8540"/>
          </w:cols>
          <w:pgMar w:left="240" w:top="459" w:right="239" w:bottom="1440" w:gutter="0" w:footer="0" w:header="0"/>
          <w:type w:val="continuous"/>
        </w:sectPr>
      </w:pPr>
    </w:p>
    <w:p>
      <w:pPr>
        <w:spacing w:after="0"/>
        <w:rPr>
          <w:sz w:val="20"/>
          <w:szCs w:val="20"/>
          <w:color w:val="auto"/>
        </w:rPr>
      </w:pPr>
      <w:r>
        <w:rPr>
          <w:rFonts w:ascii="Arial" w:cs="Arial" w:eastAsia="Arial" w:hAnsi="Arial"/>
          <w:sz w:val="14"/>
          <w:szCs w:val="14"/>
          <w:color w:val="auto"/>
        </w:rPr>
        <w:t>6</w:t>
      </w:r>
    </w:p>
    <w:p>
      <w:pPr>
        <w:sectPr>
          <w:pgSz w:w="11900" w:h="16838" w:orient="portrait"/>
          <w:cols w:equalWidth="0" w:num="1">
            <w:col w:w="11420"/>
          </w:cols>
          <w:pgMar w:left="240" w:top="459" w:right="239" w:bottom="1440" w:gutter="0" w:footer="0" w:header="0"/>
          <w:type w:val="continuous"/>
        </w:sectPr>
      </w:pPr>
    </w:p>
    <w:bookmarkStart w:id="12" w:name="page13"/>
    <w:bookmarkEnd w:id="12"/>
    <w:p>
      <w:pPr>
        <w:spacing w:after="0"/>
        <w:rPr>
          <w:rFonts w:ascii="Arial" w:cs="Arial" w:eastAsia="Arial" w:hAnsi="Arial"/>
          <w:sz w:val="16"/>
          <w:szCs w:val="16"/>
          <w:b w:val="1"/>
          <w:bCs w:val="1"/>
          <w:u w:val="single" w:color="auto"/>
          <w:color w:val="0000EE"/>
        </w:rPr>
      </w:pPr>
      <w:r>
        <w:rPr>
          <w:rFonts w:ascii="Arial" w:cs="Arial" w:eastAsia="Arial" w:hAnsi="Arial"/>
          <w:sz w:val="16"/>
          <w:szCs w:val="16"/>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4">
        <w:r>
          <w:rPr>
            <w:rFonts w:ascii="Arial" w:cs="Arial" w:eastAsia="Arial" w:hAnsi="Arial"/>
            <w:sz w:val="16"/>
            <w:szCs w:val="16"/>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2715260</wp:posOffset>
            </wp:positionH>
            <wp:positionV relativeFrom="paragraph">
              <wp:posOffset>220345</wp:posOffset>
            </wp:positionV>
            <wp:extent cx="1826895" cy="20574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1826895" cy="20574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73"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Donald T. Misheff</w:t>
      </w:r>
    </w:p>
    <w:p>
      <w:pPr>
        <w:sectPr>
          <w:pgSz w:w="11900" w:h="16838" w:orient="portrait"/>
          <w:cols w:equalWidth="0" w:num="1">
            <w:col w:w="11400"/>
          </w:cols>
          <w:pgMar w:left="240" w:top="459" w:right="259" w:bottom="1440" w:gutter="0" w:footer="0" w:header="0"/>
        </w:sectPr>
      </w:pPr>
    </w:p>
    <w:p>
      <w:pPr>
        <w:spacing w:after="0" w:line="230" w:lineRule="exact"/>
        <w:rPr>
          <w:sz w:val="20"/>
          <w:szCs w:val="20"/>
          <w:color w:val="auto"/>
        </w:rPr>
      </w:pPr>
    </w:p>
    <w:p>
      <w:pPr>
        <w:spacing w:after="0"/>
        <w:rPr>
          <w:sz w:val="20"/>
          <w:szCs w:val="20"/>
          <w:color w:val="auto"/>
        </w:rPr>
      </w:pPr>
      <w:r>
        <w:rPr>
          <w:rFonts w:ascii="Arial" w:cs="Arial" w:eastAsia="Arial" w:hAnsi="Arial"/>
          <w:sz w:val="16"/>
          <w:szCs w:val="16"/>
          <w:color w:val="auto"/>
        </w:rPr>
        <w:t>Term:</w:t>
      </w:r>
    </w:p>
    <w:p>
      <w:pPr>
        <w:spacing w:after="0" w:line="20" w:lineRule="exact"/>
        <w:rPr>
          <w:sz w:val="20"/>
          <w:szCs w:val="20"/>
          <w:color w:val="auto"/>
        </w:rPr>
      </w:pPr>
      <w:r>
        <w:rPr>
          <w:sz w:val="20"/>
          <w:szCs w:val="20"/>
          <w:color w:val="auto"/>
        </w:rPr>
        <w:br w:type="column"/>
      </w:r>
    </w:p>
    <w:p>
      <w:pPr>
        <w:spacing w:after="0" w:line="210" w:lineRule="exact"/>
        <w:rPr>
          <w:sz w:val="20"/>
          <w:szCs w:val="20"/>
          <w:color w:val="auto"/>
        </w:rPr>
      </w:pPr>
    </w:p>
    <w:p>
      <w:pPr>
        <w:spacing w:after="0"/>
        <w:rPr>
          <w:sz w:val="20"/>
          <w:szCs w:val="20"/>
          <w:color w:val="auto"/>
        </w:rPr>
      </w:pPr>
      <w:r>
        <w:rPr>
          <w:rFonts w:ascii="Arial" w:cs="Arial" w:eastAsia="Arial" w:hAnsi="Arial"/>
          <w:sz w:val="17"/>
          <w:szCs w:val="17"/>
          <w:color w:val="auto"/>
        </w:rPr>
        <w:t>Expires in 2016; Director since 2014.</w:t>
      </w:r>
    </w:p>
    <w:p>
      <w:pPr>
        <w:spacing w:after="0" w:line="163" w:lineRule="exact"/>
        <w:rPr>
          <w:sz w:val="20"/>
          <w:szCs w:val="20"/>
          <w:color w:val="auto"/>
        </w:rPr>
      </w:pPr>
    </w:p>
    <w:p>
      <w:pPr>
        <w:sectPr>
          <w:pgSz w:w="11900" w:h="16838" w:orient="portrait"/>
          <w:cols w:equalWidth="0" w:num="2">
            <w:col w:w="2020" w:space="720"/>
            <w:col w:w="8660"/>
          </w:cols>
          <w:pgMar w:left="240" w:top="459" w:right="259" w:bottom="1440" w:gutter="0" w:footer="0" w:header="0"/>
          <w:type w:val="continuous"/>
        </w:sectPr>
      </w:pPr>
    </w:p>
    <w:p>
      <w:pPr>
        <w:spacing w:after="0"/>
        <w:rPr>
          <w:sz w:val="20"/>
          <w:szCs w:val="20"/>
          <w:color w:val="auto"/>
        </w:rPr>
      </w:pPr>
      <w:r>
        <w:rPr>
          <w:rFonts w:ascii="Arial" w:cs="Arial" w:eastAsia="Arial" w:hAnsi="Arial"/>
          <w:sz w:val="17"/>
          <w:szCs w:val="17"/>
          <w:color w:val="auto"/>
        </w:rPr>
        <w:t>Business Experience and</w:t>
      </w:r>
    </w:p>
    <w:p>
      <w:pPr>
        <w:spacing w:after="0"/>
        <w:rPr>
          <w:sz w:val="20"/>
          <w:szCs w:val="20"/>
          <w:color w:val="auto"/>
        </w:rPr>
      </w:pPr>
      <w:r>
        <w:rPr>
          <w:rFonts w:ascii="Arial" w:cs="Arial" w:eastAsia="Arial" w:hAnsi="Arial"/>
          <w:sz w:val="17"/>
          <w:szCs w:val="17"/>
          <w:color w:val="auto"/>
        </w:rPr>
        <w:t>Director Qualifications:</w:t>
      </w:r>
    </w:p>
    <w:p>
      <w:pPr>
        <w:spacing w:after="0" w:line="20" w:lineRule="exact"/>
        <w:rPr>
          <w:sz w:val="20"/>
          <w:szCs w:val="20"/>
          <w:color w:val="auto"/>
        </w:rPr>
      </w:pPr>
      <w:r>
        <w:rPr>
          <w:sz w:val="20"/>
          <w:szCs w:val="20"/>
          <w:color w:val="auto"/>
        </w:rPr>
        <w:br w:type="column"/>
      </w:r>
    </w:p>
    <w:p>
      <w:pPr>
        <w:ind w:right="60"/>
        <w:spacing w:after="0" w:line="236" w:lineRule="auto"/>
        <w:rPr>
          <w:sz w:val="20"/>
          <w:szCs w:val="20"/>
          <w:color w:val="auto"/>
        </w:rPr>
      </w:pPr>
      <w:r>
        <w:rPr>
          <w:rFonts w:ascii="Arial" w:cs="Arial" w:eastAsia="Arial" w:hAnsi="Arial"/>
          <w:sz w:val="17"/>
          <w:szCs w:val="17"/>
          <w:color w:val="auto"/>
        </w:rPr>
        <w:t>Mr. Misheff was managing partner of the northeast Ohio offices of Ernst &amp; Young LLP, a public accounting firm, from 2003 until his retirement in 2011. He began his career at Ernst &amp; Young in 1978, and has had more than 30 years of experience in taxation and in performing, reviewing and overseeing the audits of financial statements of a wide range of public companies and advising those companies on financial and corporate governance issues.</w:t>
      </w:r>
    </w:p>
    <w:p>
      <w:pPr>
        <w:spacing w:after="0" w:line="200" w:lineRule="exact"/>
        <w:rPr>
          <w:sz w:val="20"/>
          <w:szCs w:val="20"/>
          <w:color w:val="auto"/>
        </w:rPr>
      </w:pPr>
    </w:p>
    <w:p>
      <w:pPr>
        <w:sectPr>
          <w:pgSz w:w="11900" w:h="16838" w:orient="portrait"/>
          <w:cols w:equalWidth="0" w:num="2">
            <w:col w:w="2020" w:space="720"/>
            <w:col w:w="8660"/>
          </w:cols>
          <w:pgMar w:left="240" w:top="459" w:right="259" w:bottom="1440" w:gutter="0" w:footer="0" w:header="0"/>
          <w:type w:val="continuous"/>
        </w:sectPr>
      </w:pPr>
    </w:p>
    <w:p>
      <w:pPr>
        <w:spacing w:after="0" w:line="31" w:lineRule="exact"/>
        <w:rPr>
          <w:sz w:val="20"/>
          <w:szCs w:val="20"/>
          <w:color w:val="auto"/>
        </w:rPr>
      </w:pPr>
    </w:p>
    <w:p>
      <w:pPr>
        <w:ind w:left="2740" w:right="80"/>
        <w:spacing w:after="0" w:line="235" w:lineRule="auto"/>
        <w:rPr>
          <w:sz w:val="20"/>
          <w:szCs w:val="20"/>
          <w:color w:val="auto"/>
        </w:rPr>
      </w:pPr>
      <w:r>
        <w:rPr>
          <w:rFonts w:ascii="Arial" w:cs="Arial" w:eastAsia="Arial" w:hAnsi="Arial"/>
          <w:sz w:val="17"/>
          <w:szCs w:val="17"/>
          <w:color w:val="auto"/>
        </w:rPr>
        <w:t>Mr. Misheff’s perspective from service on numerous community boards and other public company boards (including Aleris, which is a global company focused on the production and sale of aluminum rolled and extruded products, recycled aluminum and specifications alloy manufacturing), coupled with his extensive financial, tax and corporate governance experience, provides him with the experience and qualifications to make significant contributions to the TimkenSteel Board.</w:t>
      </w:r>
    </w:p>
    <w:p>
      <w:pPr>
        <w:sectPr>
          <w:pgSz w:w="11900" w:h="16838" w:orient="portrait"/>
          <w:cols w:equalWidth="0" w:num="1">
            <w:col w:w="11400"/>
          </w:cols>
          <w:pgMar w:left="240" w:top="459" w:right="259" w:bottom="1440" w:gutter="0" w:footer="0" w:header="0"/>
          <w:type w:val="continuous"/>
        </w:sectPr>
      </w:pPr>
    </w:p>
    <w:p>
      <w:pPr>
        <w:spacing w:after="0" w:line="177" w:lineRule="exact"/>
        <w:rPr>
          <w:sz w:val="20"/>
          <w:szCs w:val="20"/>
          <w:color w:val="auto"/>
        </w:rPr>
      </w:pPr>
    </w:p>
    <w:p>
      <w:pPr>
        <w:spacing w:after="0"/>
        <w:rPr>
          <w:sz w:val="20"/>
          <w:szCs w:val="20"/>
          <w:color w:val="auto"/>
        </w:rPr>
      </w:pPr>
      <w:r>
        <w:rPr>
          <w:rFonts w:ascii="Arial" w:cs="Arial" w:eastAsia="Arial" w:hAnsi="Arial"/>
          <w:sz w:val="17"/>
          <w:szCs w:val="17"/>
          <w:color w:val="auto"/>
        </w:rPr>
        <w:t>Other Directorships:</w:t>
      </w:r>
    </w:p>
    <w:p>
      <w:pPr>
        <w:spacing w:after="0" w:line="20" w:lineRule="exact"/>
        <w:rPr>
          <w:sz w:val="20"/>
          <w:szCs w:val="20"/>
          <w:color w:val="auto"/>
        </w:rPr>
      </w:pPr>
      <w:r>
        <w:rPr>
          <w:sz w:val="20"/>
          <w:szCs w:val="20"/>
          <w:color w:val="auto"/>
        </w:rPr>
        <w:br w:type="column"/>
      </w:r>
    </w:p>
    <w:p>
      <w:pPr>
        <w:spacing w:after="0" w:line="157" w:lineRule="exact"/>
        <w:rPr>
          <w:sz w:val="20"/>
          <w:szCs w:val="20"/>
          <w:color w:val="auto"/>
        </w:rPr>
      </w:pPr>
    </w:p>
    <w:p>
      <w:pPr>
        <w:ind w:right="240"/>
        <w:spacing w:after="0" w:line="243" w:lineRule="auto"/>
        <w:rPr>
          <w:sz w:val="20"/>
          <w:szCs w:val="20"/>
          <w:color w:val="auto"/>
        </w:rPr>
      </w:pPr>
      <w:r>
        <w:rPr>
          <w:rFonts w:ascii="Arial" w:cs="Arial" w:eastAsia="Arial" w:hAnsi="Arial"/>
          <w:sz w:val="17"/>
          <w:szCs w:val="17"/>
          <w:color w:val="auto"/>
        </w:rPr>
        <w:t>Mr. Misheff has been a member of the Board of Directors of FirstEnergy Corp. since 2012, of Aleris Corporation since 2013 and of Trinseo S.A. since 2015.</w:t>
      </w:r>
    </w:p>
    <w:p>
      <w:pPr>
        <w:spacing w:after="0" w:line="158" w:lineRule="exact"/>
        <w:rPr>
          <w:sz w:val="20"/>
          <w:szCs w:val="20"/>
          <w:color w:val="auto"/>
        </w:rPr>
      </w:pPr>
    </w:p>
    <w:p>
      <w:pPr>
        <w:sectPr>
          <w:pgSz w:w="11900" w:h="16838" w:orient="portrait"/>
          <w:cols w:equalWidth="0" w:num="2">
            <w:col w:w="2020" w:space="720"/>
            <w:col w:w="8660"/>
          </w:cols>
          <w:pgMar w:left="240" w:top="459" w:right="259" w:bottom="1440" w:gutter="0" w:footer="0" w:header="0"/>
          <w:type w:val="continuous"/>
        </w:sectPr>
      </w:pPr>
    </w:p>
    <w:p>
      <w:pPr>
        <w:spacing w:after="0"/>
        <w:rPr>
          <w:sz w:val="20"/>
          <w:szCs w:val="20"/>
          <w:color w:val="auto"/>
        </w:rPr>
      </w:pPr>
      <w:r>
        <w:rPr>
          <w:rFonts w:ascii="Arial" w:cs="Arial" w:eastAsia="Arial" w:hAnsi="Arial"/>
          <w:sz w:val="17"/>
          <w:szCs w:val="17"/>
          <w:color w:val="auto"/>
        </w:rPr>
        <w:t>Committees:</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7"/>
          <w:szCs w:val="17"/>
          <w:color w:val="auto"/>
        </w:rPr>
        <w:t>Audit Committee (Chair) and Nominating and Corporate Governance Committee.</w:t>
      </w:r>
    </w:p>
    <w:p>
      <w:pPr>
        <w:spacing w:after="0" w:line="169" w:lineRule="exact"/>
        <w:rPr>
          <w:sz w:val="20"/>
          <w:szCs w:val="20"/>
          <w:color w:val="auto"/>
        </w:rPr>
      </w:pPr>
    </w:p>
    <w:p>
      <w:pPr>
        <w:sectPr>
          <w:pgSz w:w="11900" w:h="16838" w:orient="portrait"/>
          <w:cols w:equalWidth="0" w:num="2">
            <w:col w:w="2020" w:space="720"/>
            <w:col w:w="8660"/>
          </w:cols>
          <w:pgMar w:left="240" w:top="459" w:right="259" w:bottom="1440" w:gutter="0" w:footer="0" w:header="0"/>
          <w:type w:val="continuous"/>
        </w:sectPr>
      </w:pPr>
    </w:p>
    <w:p>
      <w:pPr>
        <w:spacing w:after="0"/>
        <w:rPr>
          <w:sz w:val="20"/>
          <w:szCs w:val="20"/>
          <w:color w:val="auto"/>
        </w:rPr>
      </w:pPr>
      <w:r>
        <w:rPr>
          <w:rFonts w:ascii="Arial" w:cs="Arial" w:eastAsia="Arial" w:hAnsi="Arial"/>
          <w:sz w:val="17"/>
          <w:szCs w:val="17"/>
          <w:color w:val="auto"/>
        </w:rPr>
        <w:t>Age:</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7"/>
          <w:szCs w:val="17"/>
          <w:color w:val="auto"/>
        </w:rPr>
        <w:t>59</w:t>
      </w:r>
    </w:p>
    <w:p>
      <w:pPr>
        <w:spacing w:after="0" w:line="163" w:lineRule="exact"/>
        <w:rPr>
          <w:sz w:val="20"/>
          <w:szCs w:val="20"/>
          <w:color w:val="auto"/>
        </w:rPr>
      </w:pPr>
    </w:p>
    <w:p>
      <w:pPr>
        <w:sectPr>
          <w:pgSz w:w="11900" w:h="16838" w:orient="portrait"/>
          <w:cols w:equalWidth="0" w:num="2">
            <w:col w:w="2020" w:space="720"/>
            <w:col w:w="8660"/>
          </w:cols>
          <w:pgMar w:left="240" w:top="459" w:right="259" w:bottom="1440" w:gutter="0" w:footer="0" w:header="0"/>
          <w:type w:val="continuous"/>
        </w:sectPr>
      </w:pPr>
    </w:p>
    <w:p>
      <w:pPr>
        <w:spacing w:after="0"/>
        <w:rPr>
          <w:sz w:val="20"/>
          <w:szCs w:val="20"/>
          <w:color w:val="auto"/>
        </w:rPr>
      </w:pPr>
      <w:r>
        <w:rPr>
          <w:rFonts w:ascii="Arial" w:cs="Arial" w:eastAsia="Arial" w:hAnsi="Arial"/>
          <w:sz w:val="17"/>
          <w:szCs w:val="17"/>
          <w:b w:val="1"/>
          <w:bCs w:val="1"/>
          <w:color w:val="auto"/>
        </w:rPr>
        <w:t>Ronald A. Rice</w:t>
      </w:r>
    </w:p>
    <w:p>
      <w:pPr>
        <w:sectPr>
          <w:pgSz w:w="11900" w:h="16838" w:orient="portrait"/>
          <w:cols w:equalWidth="0" w:num="1">
            <w:col w:w="11400"/>
          </w:cols>
          <w:pgMar w:left="240" w:top="459" w:right="259" w:bottom="1440" w:gutter="0" w:footer="0" w:header="0"/>
          <w:type w:val="continuous"/>
        </w:sectPr>
      </w:pPr>
    </w:p>
    <w:p>
      <w:pPr>
        <w:spacing w:after="0" w:line="230" w:lineRule="exact"/>
        <w:rPr>
          <w:sz w:val="20"/>
          <w:szCs w:val="20"/>
          <w:color w:val="auto"/>
        </w:rPr>
      </w:pPr>
    </w:p>
    <w:p>
      <w:pPr>
        <w:spacing w:after="0"/>
        <w:rPr>
          <w:sz w:val="20"/>
          <w:szCs w:val="20"/>
          <w:color w:val="auto"/>
        </w:rPr>
      </w:pPr>
      <w:r>
        <w:rPr>
          <w:rFonts w:ascii="Arial" w:cs="Arial" w:eastAsia="Arial" w:hAnsi="Arial"/>
          <w:sz w:val="16"/>
          <w:szCs w:val="16"/>
          <w:color w:val="auto"/>
        </w:rPr>
        <w:t>Term:</w:t>
      </w:r>
    </w:p>
    <w:p>
      <w:pPr>
        <w:spacing w:after="0" w:line="20" w:lineRule="exact"/>
        <w:rPr>
          <w:sz w:val="20"/>
          <w:szCs w:val="20"/>
          <w:color w:val="auto"/>
        </w:rPr>
      </w:pPr>
      <w:r>
        <w:rPr>
          <w:sz w:val="20"/>
          <w:szCs w:val="20"/>
          <w:color w:val="auto"/>
        </w:rPr>
        <w:br w:type="column"/>
      </w:r>
    </w:p>
    <w:p>
      <w:pPr>
        <w:spacing w:after="0" w:line="210" w:lineRule="exact"/>
        <w:rPr>
          <w:sz w:val="20"/>
          <w:szCs w:val="20"/>
          <w:color w:val="auto"/>
        </w:rPr>
      </w:pPr>
    </w:p>
    <w:p>
      <w:pPr>
        <w:spacing w:after="0"/>
        <w:rPr>
          <w:sz w:val="20"/>
          <w:szCs w:val="20"/>
          <w:color w:val="auto"/>
        </w:rPr>
      </w:pPr>
      <w:r>
        <w:rPr>
          <w:rFonts w:ascii="Arial" w:cs="Arial" w:eastAsia="Arial" w:hAnsi="Arial"/>
          <w:sz w:val="17"/>
          <w:szCs w:val="17"/>
          <w:color w:val="auto"/>
        </w:rPr>
        <w:t>Expires in 2016; Director since 2015.</w:t>
      </w:r>
    </w:p>
    <w:p>
      <w:pPr>
        <w:spacing w:after="0" w:line="163" w:lineRule="exact"/>
        <w:rPr>
          <w:sz w:val="20"/>
          <w:szCs w:val="20"/>
          <w:color w:val="auto"/>
        </w:rPr>
      </w:pPr>
    </w:p>
    <w:p>
      <w:pPr>
        <w:sectPr>
          <w:pgSz w:w="11900" w:h="16838" w:orient="portrait"/>
          <w:cols w:equalWidth="0" w:num="2">
            <w:col w:w="2020" w:space="720"/>
            <w:col w:w="8660"/>
          </w:cols>
          <w:pgMar w:left="240" w:top="459" w:right="259" w:bottom="1440" w:gutter="0" w:footer="0" w:header="0"/>
          <w:type w:val="continuous"/>
        </w:sectPr>
      </w:pPr>
    </w:p>
    <w:p>
      <w:pPr>
        <w:spacing w:after="0"/>
        <w:rPr>
          <w:sz w:val="20"/>
          <w:szCs w:val="20"/>
          <w:color w:val="auto"/>
        </w:rPr>
      </w:pPr>
      <w:r>
        <w:rPr>
          <w:rFonts w:ascii="Arial" w:cs="Arial" w:eastAsia="Arial" w:hAnsi="Arial"/>
          <w:sz w:val="17"/>
          <w:szCs w:val="17"/>
          <w:color w:val="auto"/>
        </w:rPr>
        <w:t>Business Experience and</w:t>
      </w:r>
    </w:p>
    <w:p>
      <w:pPr>
        <w:spacing w:after="0"/>
        <w:rPr>
          <w:sz w:val="20"/>
          <w:szCs w:val="20"/>
          <w:color w:val="auto"/>
        </w:rPr>
      </w:pPr>
      <w:r>
        <w:rPr>
          <w:rFonts w:ascii="Arial" w:cs="Arial" w:eastAsia="Arial" w:hAnsi="Arial"/>
          <w:sz w:val="17"/>
          <w:szCs w:val="17"/>
          <w:color w:val="auto"/>
        </w:rPr>
        <w:t>Director Qualifications:</w:t>
      </w:r>
    </w:p>
    <w:p>
      <w:pPr>
        <w:spacing w:after="0" w:line="20" w:lineRule="exact"/>
        <w:rPr>
          <w:sz w:val="20"/>
          <w:szCs w:val="20"/>
          <w:color w:val="auto"/>
        </w:rPr>
      </w:pPr>
      <w:r>
        <w:rPr>
          <w:sz w:val="20"/>
          <w:szCs w:val="20"/>
          <w:color w:val="auto"/>
        </w:rPr>
        <w:br w:type="column"/>
      </w:r>
    </w:p>
    <w:p>
      <w:pPr>
        <w:spacing w:after="0" w:line="235" w:lineRule="auto"/>
        <w:rPr>
          <w:sz w:val="20"/>
          <w:szCs w:val="20"/>
          <w:color w:val="auto"/>
        </w:rPr>
      </w:pPr>
      <w:r>
        <w:rPr>
          <w:rFonts w:ascii="Arial" w:cs="Arial" w:eastAsia="Arial" w:hAnsi="Arial"/>
          <w:sz w:val="17"/>
          <w:szCs w:val="17"/>
          <w:color w:val="auto"/>
        </w:rPr>
        <w:t>Mr. Rice has been President and Chief Operating Officer of RPM International Inc., which owns subsidiaries that manufacture specialty coatings, sealants and building materials, and provide related services for industrial and consumer markets globally, since 2008. Prior to his current role, Mr. Rice held a variety of increasingly responsible positions with RPM from 1995 to 2008. He began his career with The Wyatt Company, an actuarial consulting firm, known today as Willis Towers Watson, in 1985.</w:t>
      </w:r>
    </w:p>
    <w:p>
      <w:pPr>
        <w:spacing w:after="0" w:line="200" w:lineRule="exact"/>
        <w:rPr>
          <w:sz w:val="20"/>
          <w:szCs w:val="20"/>
          <w:color w:val="auto"/>
        </w:rPr>
      </w:pPr>
    </w:p>
    <w:p>
      <w:pPr>
        <w:sectPr>
          <w:pgSz w:w="11900" w:h="16838" w:orient="portrait"/>
          <w:cols w:equalWidth="0" w:num="2">
            <w:col w:w="2020" w:space="720"/>
            <w:col w:w="8660"/>
          </w:cols>
          <w:pgMar w:left="240" w:top="459" w:right="259" w:bottom="1440" w:gutter="0" w:footer="0" w:header="0"/>
          <w:type w:val="continuous"/>
        </w:sectPr>
      </w:pPr>
    </w:p>
    <w:p>
      <w:pPr>
        <w:spacing w:after="0" w:line="31" w:lineRule="exact"/>
        <w:rPr>
          <w:sz w:val="20"/>
          <w:szCs w:val="20"/>
          <w:color w:val="auto"/>
        </w:rPr>
      </w:pPr>
    </w:p>
    <w:p>
      <w:pPr>
        <w:ind w:left="2740" w:right="80"/>
        <w:spacing w:after="0" w:line="236" w:lineRule="auto"/>
        <w:rPr>
          <w:sz w:val="20"/>
          <w:szCs w:val="20"/>
          <w:color w:val="auto"/>
        </w:rPr>
      </w:pPr>
      <w:r>
        <w:rPr>
          <w:rFonts w:ascii="Arial" w:cs="Arial" w:eastAsia="Arial" w:hAnsi="Arial"/>
          <w:sz w:val="17"/>
          <w:szCs w:val="17"/>
          <w:color w:val="auto"/>
        </w:rPr>
        <w:t>Mr. Rice brings to the Board expertise in key functional areas at industrial companies, having nearly 30 years of experience in strategy, corporate governance, risk management, administration, employee benefits and executive compensation. This expertise provides the Board with a valuable and unique perspective and enables Mr. Rice to make significant contributions to the Board.</w:t>
      </w:r>
    </w:p>
    <w:p>
      <w:pPr>
        <w:sectPr>
          <w:pgSz w:w="11900" w:h="16838" w:orient="portrait"/>
          <w:cols w:equalWidth="0" w:num="1">
            <w:col w:w="11400"/>
          </w:cols>
          <w:pgMar w:left="240" w:top="459" w:right="259" w:bottom="1440" w:gutter="0" w:footer="0" w:header="0"/>
          <w:type w:val="continuous"/>
        </w:sectPr>
      </w:pPr>
    </w:p>
    <w:p>
      <w:pPr>
        <w:spacing w:after="0" w:line="177" w:lineRule="exact"/>
        <w:rPr>
          <w:sz w:val="20"/>
          <w:szCs w:val="20"/>
          <w:color w:val="auto"/>
        </w:rPr>
      </w:pPr>
    </w:p>
    <w:p>
      <w:pPr>
        <w:spacing w:after="0"/>
        <w:rPr>
          <w:sz w:val="20"/>
          <w:szCs w:val="20"/>
          <w:color w:val="auto"/>
        </w:rPr>
      </w:pPr>
      <w:r>
        <w:rPr>
          <w:rFonts w:ascii="Arial" w:cs="Arial" w:eastAsia="Arial" w:hAnsi="Arial"/>
          <w:sz w:val="17"/>
          <w:szCs w:val="17"/>
          <w:color w:val="auto"/>
        </w:rPr>
        <w:t>Other Directorships:</w:t>
      </w:r>
    </w:p>
    <w:p>
      <w:pPr>
        <w:spacing w:after="0" w:line="20" w:lineRule="exact"/>
        <w:rPr>
          <w:sz w:val="20"/>
          <w:szCs w:val="20"/>
          <w:color w:val="auto"/>
        </w:rPr>
      </w:pPr>
      <w:r>
        <w:rPr>
          <w:sz w:val="20"/>
          <w:szCs w:val="20"/>
          <w:color w:val="auto"/>
        </w:rPr>
        <w:br w:type="column"/>
      </w:r>
    </w:p>
    <w:p>
      <w:pPr>
        <w:spacing w:after="0" w:line="157" w:lineRule="exact"/>
        <w:rPr>
          <w:sz w:val="20"/>
          <w:szCs w:val="20"/>
          <w:color w:val="auto"/>
        </w:rPr>
      </w:pPr>
    </w:p>
    <w:p>
      <w:pPr>
        <w:spacing w:after="0"/>
        <w:rPr>
          <w:sz w:val="20"/>
          <w:szCs w:val="20"/>
          <w:color w:val="auto"/>
        </w:rPr>
      </w:pPr>
      <w:r>
        <w:rPr>
          <w:rFonts w:ascii="Arial" w:cs="Arial" w:eastAsia="Arial" w:hAnsi="Arial"/>
          <w:sz w:val="17"/>
          <w:szCs w:val="17"/>
          <w:color w:val="auto"/>
        </w:rPr>
        <w:t>None.</w:t>
      </w:r>
    </w:p>
    <w:p>
      <w:pPr>
        <w:spacing w:after="0" w:line="169" w:lineRule="exact"/>
        <w:rPr>
          <w:sz w:val="20"/>
          <w:szCs w:val="20"/>
          <w:color w:val="auto"/>
        </w:rPr>
      </w:pPr>
    </w:p>
    <w:p>
      <w:pPr>
        <w:sectPr>
          <w:pgSz w:w="11900" w:h="16838" w:orient="portrait"/>
          <w:cols w:equalWidth="0" w:num="2">
            <w:col w:w="2020" w:space="720"/>
            <w:col w:w="8660"/>
          </w:cols>
          <w:pgMar w:left="240" w:top="459" w:right="259" w:bottom="1440" w:gutter="0" w:footer="0" w:header="0"/>
          <w:type w:val="continuous"/>
        </w:sectPr>
      </w:pPr>
    </w:p>
    <w:p>
      <w:pPr>
        <w:spacing w:after="0"/>
        <w:rPr>
          <w:sz w:val="20"/>
          <w:szCs w:val="20"/>
          <w:color w:val="auto"/>
        </w:rPr>
      </w:pPr>
      <w:r>
        <w:rPr>
          <w:rFonts w:ascii="Arial" w:cs="Arial" w:eastAsia="Arial" w:hAnsi="Arial"/>
          <w:sz w:val="17"/>
          <w:szCs w:val="17"/>
          <w:color w:val="auto"/>
        </w:rPr>
        <w:t>Committees:</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7"/>
          <w:szCs w:val="17"/>
          <w:color w:val="auto"/>
        </w:rPr>
        <w:t>Audit Committee and Compensation Committee.</w:t>
      </w:r>
    </w:p>
    <w:p>
      <w:pPr>
        <w:spacing w:after="0" w:line="169" w:lineRule="exact"/>
        <w:rPr>
          <w:sz w:val="20"/>
          <w:szCs w:val="20"/>
          <w:color w:val="auto"/>
        </w:rPr>
      </w:pPr>
    </w:p>
    <w:p>
      <w:pPr>
        <w:sectPr>
          <w:pgSz w:w="11900" w:h="16838" w:orient="portrait"/>
          <w:cols w:equalWidth="0" w:num="2">
            <w:col w:w="2020" w:space="720"/>
            <w:col w:w="8660"/>
          </w:cols>
          <w:pgMar w:left="240" w:top="459" w:right="259" w:bottom="1440" w:gutter="0" w:footer="0" w:header="0"/>
          <w:type w:val="continuous"/>
        </w:sectPr>
      </w:pPr>
    </w:p>
    <w:p>
      <w:pPr>
        <w:spacing w:after="0"/>
        <w:rPr>
          <w:sz w:val="20"/>
          <w:szCs w:val="20"/>
          <w:color w:val="auto"/>
        </w:rPr>
      </w:pPr>
      <w:r>
        <w:rPr>
          <w:rFonts w:ascii="Arial" w:cs="Arial" w:eastAsia="Arial" w:hAnsi="Arial"/>
          <w:sz w:val="17"/>
          <w:szCs w:val="17"/>
          <w:color w:val="auto"/>
        </w:rPr>
        <w:t>Age:</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7"/>
          <w:szCs w:val="17"/>
          <w:color w:val="auto"/>
        </w:rPr>
        <w:t>53</w:t>
      </w:r>
    </w:p>
    <w:p>
      <w:pPr>
        <w:spacing w:after="0" w:line="153" w:lineRule="exact"/>
        <w:rPr>
          <w:sz w:val="20"/>
          <w:szCs w:val="20"/>
          <w:color w:val="auto"/>
        </w:rPr>
      </w:pPr>
    </w:p>
    <w:p>
      <w:pPr>
        <w:sectPr>
          <w:pgSz w:w="11900" w:h="16838" w:orient="portrait"/>
          <w:cols w:equalWidth="0" w:num="2">
            <w:col w:w="2020" w:space="720"/>
            <w:col w:w="8660"/>
          </w:cols>
          <w:pgMar w:left="240" w:top="459" w:right="259" w:bottom="1440" w:gutter="0" w:footer="0" w:header="0"/>
          <w:type w:val="continuous"/>
        </w:sectPr>
      </w:pPr>
    </w:p>
    <w:p>
      <w:pPr>
        <w:ind w:left="11260"/>
        <w:spacing w:after="0"/>
        <w:rPr>
          <w:sz w:val="20"/>
          <w:szCs w:val="20"/>
          <w:color w:val="auto"/>
        </w:rPr>
      </w:pPr>
      <w:r>
        <w:rPr>
          <w:rFonts w:ascii="Arial" w:cs="Arial" w:eastAsia="Arial" w:hAnsi="Arial"/>
          <w:sz w:val="14"/>
          <w:szCs w:val="14"/>
          <w:color w:val="auto"/>
        </w:rPr>
        <w:t>7</w:t>
      </w:r>
    </w:p>
    <w:p>
      <w:pPr>
        <w:sectPr>
          <w:pgSz w:w="11900" w:h="16838" w:orient="portrait"/>
          <w:cols w:equalWidth="0" w:num="1">
            <w:col w:w="11400"/>
          </w:cols>
          <w:pgMar w:left="240" w:top="459" w:right="259" w:bottom="1440" w:gutter="0" w:footer="0" w:header="0"/>
          <w:type w:val="continuous"/>
        </w:sectPr>
      </w:pPr>
    </w:p>
    <w:bookmarkStart w:id="13" w:name="page14"/>
    <w:bookmarkEnd w:id="1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3109595</wp:posOffset>
            </wp:positionH>
            <wp:positionV relativeFrom="paragraph">
              <wp:posOffset>205740</wp:posOffset>
            </wp:positionV>
            <wp:extent cx="1046480" cy="20574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1046480" cy="20574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76" w:lineRule="exact"/>
        <w:rPr>
          <w:sz w:val="20"/>
          <w:szCs w:val="20"/>
          <w:color w:val="auto"/>
        </w:rPr>
      </w:pPr>
    </w:p>
    <w:p>
      <w:pPr>
        <w:spacing w:after="0"/>
        <w:rPr>
          <w:sz w:val="20"/>
          <w:szCs w:val="20"/>
          <w:color w:val="auto"/>
        </w:rPr>
      </w:pPr>
      <w:r>
        <w:rPr>
          <w:rFonts w:ascii="Arial" w:cs="Arial" w:eastAsia="Arial" w:hAnsi="Arial"/>
          <w:sz w:val="18"/>
          <w:szCs w:val="18"/>
          <w:color w:val="auto"/>
        </w:rPr>
        <w:t>CONTINUING DIRECTORS</w:t>
      </w:r>
    </w:p>
    <w:p>
      <w:pPr>
        <w:spacing w:after="0" w:line="159"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Joseph A. Carrabba</w:t>
      </w:r>
    </w:p>
    <w:p>
      <w:pPr>
        <w:sectPr>
          <w:pgSz w:w="11900" w:h="16838" w:orient="portrait"/>
          <w:cols w:equalWidth="0" w:num="1">
            <w:col w:w="11420"/>
          </w:cols>
          <w:pgMar w:left="240" w:top="459" w:right="239" w:bottom="1440" w:gutter="0" w:footer="0" w:header="0"/>
        </w:sectPr>
      </w:pPr>
    </w:p>
    <w:p>
      <w:pPr>
        <w:spacing w:after="0" w:line="257" w:lineRule="exact"/>
        <w:rPr>
          <w:sz w:val="20"/>
          <w:szCs w:val="20"/>
          <w:color w:val="auto"/>
        </w:rPr>
      </w:pPr>
    </w:p>
    <w:p>
      <w:pPr>
        <w:spacing w:after="0"/>
        <w:rPr>
          <w:sz w:val="20"/>
          <w:szCs w:val="20"/>
          <w:color w:val="auto"/>
        </w:rPr>
      </w:pPr>
      <w:r>
        <w:rPr>
          <w:rFonts w:ascii="Arial" w:cs="Arial" w:eastAsia="Arial" w:hAnsi="Arial"/>
          <w:sz w:val="16"/>
          <w:szCs w:val="16"/>
          <w:color w:val="auto"/>
        </w:rPr>
        <w:t>Term:</w:t>
      </w:r>
    </w:p>
    <w:p>
      <w:pPr>
        <w:spacing w:after="0" w:line="20" w:lineRule="exact"/>
        <w:rPr>
          <w:sz w:val="20"/>
          <w:szCs w:val="20"/>
          <w:color w:val="auto"/>
        </w:rPr>
      </w:pPr>
      <w:r>
        <w:rPr>
          <w:sz w:val="20"/>
          <w:szCs w:val="20"/>
          <w:color w:val="auto"/>
        </w:rPr>
        <w:br w:type="column"/>
      </w:r>
    </w:p>
    <w:p>
      <w:pPr>
        <w:spacing w:after="0" w:line="237" w:lineRule="exact"/>
        <w:rPr>
          <w:sz w:val="20"/>
          <w:szCs w:val="20"/>
          <w:color w:val="auto"/>
        </w:rPr>
      </w:pPr>
    </w:p>
    <w:p>
      <w:pPr>
        <w:spacing w:after="0"/>
        <w:rPr>
          <w:sz w:val="20"/>
          <w:szCs w:val="20"/>
          <w:color w:val="auto"/>
        </w:rPr>
      </w:pPr>
      <w:r>
        <w:rPr>
          <w:rFonts w:ascii="Arial" w:cs="Arial" w:eastAsia="Arial" w:hAnsi="Arial"/>
          <w:sz w:val="17"/>
          <w:szCs w:val="17"/>
          <w:color w:val="auto"/>
        </w:rPr>
        <w:t>Expires in 2018; Director since 2014.</w:t>
      </w:r>
    </w:p>
    <w:p>
      <w:pPr>
        <w:spacing w:after="0" w:line="163" w:lineRule="exact"/>
        <w:rPr>
          <w:sz w:val="20"/>
          <w:szCs w:val="20"/>
          <w:color w:val="auto"/>
        </w:rPr>
      </w:pPr>
    </w:p>
    <w:p>
      <w:pPr>
        <w:sectPr>
          <w:pgSz w:w="11900" w:h="16838" w:orient="portrait"/>
          <w:cols w:equalWidth="0" w:num="2">
            <w:col w:w="2020" w:space="720"/>
            <w:col w:w="8680"/>
          </w:cols>
          <w:pgMar w:left="240" w:top="459" w:right="239" w:bottom="1440" w:gutter="0" w:footer="0" w:header="0"/>
          <w:type w:val="continuous"/>
        </w:sectPr>
      </w:pPr>
    </w:p>
    <w:p>
      <w:pPr>
        <w:spacing w:after="0"/>
        <w:rPr>
          <w:sz w:val="20"/>
          <w:szCs w:val="20"/>
          <w:color w:val="auto"/>
        </w:rPr>
      </w:pPr>
      <w:r>
        <w:rPr>
          <w:rFonts w:ascii="Arial" w:cs="Arial" w:eastAsia="Arial" w:hAnsi="Arial"/>
          <w:sz w:val="17"/>
          <w:szCs w:val="17"/>
          <w:color w:val="auto"/>
        </w:rPr>
        <w:t>Business Experience and</w:t>
      </w:r>
    </w:p>
    <w:p>
      <w:pPr>
        <w:spacing w:after="0"/>
        <w:rPr>
          <w:sz w:val="20"/>
          <w:szCs w:val="20"/>
          <w:color w:val="auto"/>
        </w:rPr>
      </w:pPr>
      <w:r>
        <w:rPr>
          <w:rFonts w:ascii="Arial" w:cs="Arial" w:eastAsia="Arial" w:hAnsi="Arial"/>
          <w:sz w:val="17"/>
          <w:szCs w:val="17"/>
          <w:color w:val="auto"/>
        </w:rPr>
        <w:t>Director Qualifications:</w:t>
      </w:r>
    </w:p>
    <w:p>
      <w:pPr>
        <w:spacing w:after="0" w:line="20" w:lineRule="exact"/>
        <w:rPr>
          <w:sz w:val="20"/>
          <w:szCs w:val="20"/>
          <w:color w:val="auto"/>
        </w:rPr>
      </w:pPr>
      <w:r>
        <w:rPr>
          <w:sz w:val="20"/>
          <w:szCs w:val="20"/>
          <w:color w:val="auto"/>
        </w:rPr>
        <w:br w:type="column"/>
      </w:r>
    </w:p>
    <w:p>
      <w:pPr>
        <w:ind w:right="180"/>
        <w:spacing w:after="0" w:line="236" w:lineRule="auto"/>
        <w:rPr>
          <w:sz w:val="20"/>
          <w:szCs w:val="20"/>
          <w:color w:val="auto"/>
        </w:rPr>
      </w:pPr>
      <w:r>
        <w:rPr>
          <w:rFonts w:ascii="Arial" w:cs="Arial" w:eastAsia="Arial" w:hAnsi="Arial"/>
          <w:sz w:val="17"/>
          <w:szCs w:val="17"/>
          <w:color w:val="auto"/>
        </w:rPr>
        <w:t>Mr. Carrabba served as the Chairman, Chief Executive Officer and President of Cliffs Natural Resources Inc., an international mining and natural resources company, until his retirement in 2013. Prior to joining Cliffs Natural Resources in 2005, Mr. Carrabba served for over 20 years in a variety of leadership capacities at Rio Tinto, a global mining company, at locations worldwide, including the United States, Asia, Australia, Canada and Europe.</w:t>
      </w:r>
    </w:p>
    <w:p>
      <w:pPr>
        <w:spacing w:after="0" w:line="200" w:lineRule="exact"/>
        <w:rPr>
          <w:sz w:val="20"/>
          <w:szCs w:val="20"/>
          <w:color w:val="auto"/>
        </w:rPr>
      </w:pPr>
    </w:p>
    <w:p>
      <w:pPr>
        <w:sectPr>
          <w:pgSz w:w="11900" w:h="16838" w:orient="portrait"/>
          <w:cols w:equalWidth="0" w:num="2">
            <w:col w:w="2020" w:space="720"/>
            <w:col w:w="8680"/>
          </w:cols>
          <w:pgMar w:left="240" w:top="459" w:right="239" w:bottom="1440" w:gutter="0" w:footer="0" w:header="0"/>
          <w:type w:val="continuous"/>
        </w:sectPr>
      </w:pPr>
    </w:p>
    <w:p>
      <w:pPr>
        <w:spacing w:after="0" w:line="31" w:lineRule="exact"/>
        <w:rPr>
          <w:sz w:val="20"/>
          <w:szCs w:val="20"/>
          <w:color w:val="auto"/>
        </w:rPr>
      </w:pPr>
    </w:p>
    <w:p>
      <w:pPr>
        <w:ind w:left="2740"/>
        <w:spacing w:after="0" w:line="235" w:lineRule="auto"/>
        <w:rPr>
          <w:sz w:val="20"/>
          <w:szCs w:val="20"/>
          <w:color w:val="auto"/>
        </w:rPr>
      </w:pPr>
      <w:r>
        <w:rPr>
          <w:rFonts w:ascii="Arial" w:cs="Arial" w:eastAsia="Arial" w:hAnsi="Arial"/>
          <w:sz w:val="17"/>
          <w:szCs w:val="17"/>
          <w:color w:val="auto"/>
        </w:rPr>
        <w:t>Having served as Chairman, President and Chief Executive Officer of a large, global, mining and exploration public company (which is a major supplier to many of the world’s largest steel companies), and having served on the Board and as Chairman of the American Iron and Steel Institute from 2012 to 2013, Mr. Carrabba has a deep understanding of the global steel industry and the raw material supply chain, and provides the Board with an important perspective regarding TimkenSteel’s business.</w:t>
      </w:r>
    </w:p>
    <w:p>
      <w:pPr>
        <w:sectPr>
          <w:pgSz w:w="11900" w:h="16838" w:orient="portrait"/>
          <w:cols w:equalWidth="0" w:num="1">
            <w:col w:w="11420"/>
          </w:cols>
          <w:pgMar w:left="240" w:top="459" w:right="239" w:bottom="1440" w:gutter="0" w:footer="0" w:header="0"/>
          <w:type w:val="continuous"/>
        </w:sectPr>
      </w:pPr>
    </w:p>
    <w:p>
      <w:pPr>
        <w:spacing w:after="0" w:line="177" w:lineRule="exact"/>
        <w:rPr>
          <w:sz w:val="20"/>
          <w:szCs w:val="20"/>
          <w:color w:val="auto"/>
        </w:rPr>
      </w:pPr>
    </w:p>
    <w:p>
      <w:pPr>
        <w:spacing w:after="0"/>
        <w:rPr>
          <w:sz w:val="20"/>
          <w:szCs w:val="20"/>
          <w:color w:val="auto"/>
        </w:rPr>
      </w:pPr>
      <w:r>
        <w:rPr>
          <w:rFonts w:ascii="Arial" w:cs="Arial" w:eastAsia="Arial" w:hAnsi="Arial"/>
          <w:sz w:val="17"/>
          <w:szCs w:val="17"/>
          <w:color w:val="auto"/>
        </w:rPr>
        <w:t>Other Directorships:</w:t>
      </w:r>
    </w:p>
    <w:p>
      <w:pPr>
        <w:spacing w:after="0" w:line="20" w:lineRule="exact"/>
        <w:rPr>
          <w:sz w:val="20"/>
          <w:szCs w:val="20"/>
          <w:color w:val="auto"/>
        </w:rPr>
      </w:pPr>
      <w:r>
        <w:rPr>
          <w:sz w:val="20"/>
          <w:szCs w:val="20"/>
          <w:color w:val="auto"/>
        </w:rPr>
        <w:br w:type="column"/>
      </w:r>
    </w:p>
    <w:p>
      <w:pPr>
        <w:spacing w:after="0" w:line="157" w:lineRule="exact"/>
        <w:rPr>
          <w:sz w:val="20"/>
          <w:szCs w:val="20"/>
          <w:color w:val="auto"/>
        </w:rPr>
      </w:pPr>
    </w:p>
    <w:p>
      <w:pPr>
        <w:spacing w:after="0" w:line="236" w:lineRule="auto"/>
        <w:rPr>
          <w:sz w:val="20"/>
          <w:szCs w:val="20"/>
          <w:color w:val="auto"/>
        </w:rPr>
      </w:pPr>
      <w:r>
        <w:rPr>
          <w:rFonts w:ascii="Arial" w:cs="Arial" w:eastAsia="Arial" w:hAnsi="Arial"/>
          <w:sz w:val="17"/>
          <w:szCs w:val="17"/>
          <w:color w:val="auto"/>
        </w:rPr>
        <w:t>Mr. Carrabba has been a Director of Newmont Mining Corporation since 2007, a Director of KeyCorp since 2009, a Director of Aecon Group lnc. since 2013 and a Director of Niocorp Developments Ltd. since 2014. Mr. Carrabba formerly was a Director of Cliffs Natural Resources from 2006 through November 2013 and of the American lron and Steel Institute from 2006 to 2013.</w:t>
      </w:r>
    </w:p>
    <w:p>
      <w:pPr>
        <w:spacing w:after="0" w:line="163" w:lineRule="exact"/>
        <w:rPr>
          <w:sz w:val="20"/>
          <w:szCs w:val="20"/>
          <w:color w:val="auto"/>
        </w:rPr>
      </w:pPr>
    </w:p>
    <w:p>
      <w:pPr>
        <w:sectPr>
          <w:pgSz w:w="11900" w:h="16838" w:orient="portrait"/>
          <w:cols w:equalWidth="0" w:num="2">
            <w:col w:w="2020" w:space="720"/>
            <w:col w:w="8680"/>
          </w:cols>
          <w:pgMar w:left="240" w:top="459" w:right="239" w:bottom="1440" w:gutter="0" w:footer="0" w:header="0"/>
          <w:type w:val="continuous"/>
        </w:sectPr>
      </w:pPr>
    </w:p>
    <w:p>
      <w:pPr>
        <w:spacing w:after="0"/>
        <w:rPr>
          <w:sz w:val="20"/>
          <w:szCs w:val="20"/>
          <w:color w:val="auto"/>
        </w:rPr>
      </w:pPr>
      <w:r>
        <w:rPr>
          <w:rFonts w:ascii="Arial" w:cs="Arial" w:eastAsia="Arial" w:hAnsi="Arial"/>
          <w:sz w:val="17"/>
          <w:szCs w:val="17"/>
          <w:color w:val="auto"/>
        </w:rPr>
        <w:t>Committees:</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7"/>
          <w:szCs w:val="17"/>
          <w:color w:val="auto"/>
        </w:rPr>
        <w:t>Compensation Committee and Nominating and Corporate Governance Committee.</w:t>
      </w:r>
    </w:p>
    <w:p>
      <w:pPr>
        <w:spacing w:after="0" w:line="169" w:lineRule="exact"/>
        <w:rPr>
          <w:sz w:val="20"/>
          <w:szCs w:val="20"/>
          <w:color w:val="auto"/>
        </w:rPr>
      </w:pPr>
    </w:p>
    <w:p>
      <w:pPr>
        <w:sectPr>
          <w:pgSz w:w="11900" w:h="16838" w:orient="portrait"/>
          <w:cols w:equalWidth="0" w:num="2">
            <w:col w:w="2020" w:space="720"/>
            <w:col w:w="8680"/>
          </w:cols>
          <w:pgMar w:left="240" w:top="459" w:right="239" w:bottom="1440" w:gutter="0" w:footer="0" w:header="0"/>
          <w:type w:val="continuous"/>
        </w:sectPr>
      </w:pPr>
    </w:p>
    <w:p>
      <w:pPr>
        <w:spacing w:after="0"/>
        <w:rPr>
          <w:sz w:val="20"/>
          <w:szCs w:val="20"/>
          <w:color w:val="auto"/>
        </w:rPr>
      </w:pPr>
      <w:r>
        <w:rPr>
          <w:rFonts w:ascii="Arial" w:cs="Arial" w:eastAsia="Arial" w:hAnsi="Arial"/>
          <w:sz w:val="17"/>
          <w:szCs w:val="17"/>
          <w:color w:val="auto"/>
        </w:rPr>
        <w:t>Age:</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7"/>
          <w:szCs w:val="17"/>
          <w:color w:val="auto"/>
        </w:rPr>
        <w:t>63</w:t>
      </w:r>
    </w:p>
    <w:p>
      <w:pPr>
        <w:spacing w:after="0" w:line="153" w:lineRule="exact"/>
        <w:rPr>
          <w:sz w:val="20"/>
          <w:szCs w:val="20"/>
          <w:color w:val="auto"/>
        </w:rPr>
      </w:pPr>
    </w:p>
    <w:p>
      <w:pPr>
        <w:sectPr>
          <w:pgSz w:w="11900" w:h="16838" w:orient="portrait"/>
          <w:cols w:equalWidth="0" w:num="2">
            <w:col w:w="2020" w:space="720"/>
            <w:col w:w="8680"/>
          </w:cols>
          <w:pgMar w:left="240" w:top="459" w:right="239" w:bottom="1440" w:gutter="0" w:footer="0" w:header="0"/>
          <w:type w:val="continuous"/>
        </w:sectPr>
      </w:pPr>
    </w:p>
    <w:p>
      <w:pPr>
        <w:spacing w:after="0"/>
        <w:rPr>
          <w:sz w:val="20"/>
          <w:szCs w:val="20"/>
          <w:color w:val="auto"/>
        </w:rPr>
      </w:pPr>
      <w:r>
        <w:rPr>
          <w:rFonts w:ascii="Arial" w:cs="Arial" w:eastAsia="Arial" w:hAnsi="Arial"/>
          <w:sz w:val="14"/>
          <w:szCs w:val="14"/>
          <w:color w:val="auto"/>
        </w:rPr>
        <w:t>8</w:t>
      </w:r>
    </w:p>
    <w:p>
      <w:pPr>
        <w:sectPr>
          <w:pgSz w:w="11900" w:h="16838" w:orient="portrait"/>
          <w:cols w:equalWidth="0" w:num="1">
            <w:col w:w="11420"/>
          </w:cols>
          <w:pgMar w:left="240" w:top="459" w:right="239" w:bottom="1440" w:gutter="0" w:footer="0" w:header="0"/>
          <w:type w:val="continuous"/>
        </w:sectPr>
      </w:pPr>
    </w:p>
    <w:bookmarkStart w:id="14" w:name="page15"/>
    <w:bookmarkEnd w:id="14"/>
    <w:p>
      <w:pPr>
        <w:spacing w:after="0"/>
        <w:rPr>
          <w:rFonts w:ascii="Arial" w:cs="Arial" w:eastAsia="Arial" w:hAnsi="Arial"/>
          <w:sz w:val="16"/>
          <w:szCs w:val="16"/>
          <w:b w:val="1"/>
          <w:bCs w:val="1"/>
          <w:u w:val="single" w:color="auto"/>
          <w:color w:val="0000EE"/>
        </w:rPr>
      </w:pPr>
      <w:r>
        <w:rPr>
          <w:rFonts w:ascii="Arial" w:cs="Arial" w:eastAsia="Arial" w:hAnsi="Arial"/>
          <w:sz w:val="16"/>
          <w:szCs w:val="16"/>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4">
        <w:r>
          <w:rPr>
            <w:rFonts w:ascii="Arial" w:cs="Arial" w:eastAsia="Arial" w:hAnsi="Arial"/>
            <w:sz w:val="16"/>
            <w:szCs w:val="16"/>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2715260</wp:posOffset>
            </wp:positionH>
            <wp:positionV relativeFrom="paragraph">
              <wp:posOffset>220345</wp:posOffset>
            </wp:positionV>
            <wp:extent cx="1826895" cy="20574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1826895" cy="20574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73"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Phillip R. Cox</w:t>
      </w:r>
    </w:p>
    <w:p>
      <w:pPr>
        <w:sectPr>
          <w:pgSz w:w="11900" w:h="16838" w:orient="portrait"/>
          <w:cols w:equalWidth="0" w:num="1">
            <w:col w:w="11400"/>
          </w:cols>
          <w:pgMar w:left="240" w:top="459" w:right="259" w:bottom="1440" w:gutter="0" w:footer="0" w:header="0"/>
        </w:sectPr>
      </w:pPr>
    </w:p>
    <w:p>
      <w:pPr>
        <w:spacing w:after="0" w:line="230" w:lineRule="exact"/>
        <w:rPr>
          <w:sz w:val="20"/>
          <w:szCs w:val="20"/>
          <w:color w:val="auto"/>
        </w:rPr>
      </w:pPr>
    </w:p>
    <w:p>
      <w:pPr>
        <w:spacing w:after="0"/>
        <w:rPr>
          <w:sz w:val="20"/>
          <w:szCs w:val="20"/>
          <w:color w:val="auto"/>
        </w:rPr>
      </w:pPr>
      <w:r>
        <w:rPr>
          <w:rFonts w:ascii="Arial" w:cs="Arial" w:eastAsia="Arial" w:hAnsi="Arial"/>
          <w:sz w:val="16"/>
          <w:szCs w:val="16"/>
          <w:color w:val="auto"/>
        </w:rPr>
        <w:t>Term:</w:t>
      </w:r>
    </w:p>
    <w:p>
      <w:pPr>
        <w:spacing w:after="0" w:line="20" w:lineRule="exact"/>
        <w:rPr>
          <w:sz w:val="20"/>
          <w:szCs w:val="20"/>
          <w:color w:val="auto"/>
        </w:rPr>
      </w:pPr>
      <w:r>
        <w:rPr>
          <w:sz w:val="20"/>
          <w:szCs w:val="20"/>
          <w:color w:val="auto"/>
        </w:rPr>
        <w:br w:type="column"/>
      </w:r>
    </w:p>
    <w:p>
      <w:pPr>
        <w:spacing w:after="0" w:line="210" w:lineRule="exact"/>
        <w:rPr>
          <w:sz w:val="20"/>
          <w:szCs w:val="20"/>
          <w:color w:val="auto"/>
        </w:rPr>
      </w:pPr>
    </w:p>
    <w:p>
      <w:pPr>
        <w:spacing w:after="0"/>
        <w:rPr>
          <w:sz w:val="20"/>
          <w:szCs w:val="20"/>
          <w:color w:val="auto"/>
        </w:rPr>
      </w:pPr>
      <w:r>
        <w:rPr>
          <w:rFonts w:ascii="Arial" w:cs="Arial" w:eastAsia="Arial" w:hAnsi="Arial"/>
          <w:sz w:val="17"/>
          <w:szCs w:val="17"/>
          <w:color w:val="auto"/>
        </w:rPr>
        <w:t>Expires in 2018; Director since 2014.</w:t>
      </w:r>
    </w:p>
    <w:p>
      <w:pPr>
        <w:spacing w:after="0" w:line="163" w:lineRule="exact"/>
        <w:rPr>
          <w:sz w:val="20"/>
          <w:szCs w:val="20"/>
          <w:color w:val="auto"/>
        </w:rPr>
      </w:pPr>
    </w:p>
    <w:p>
      <w:pPr>
        <w:sectPr>
          <w:pgSz w:w="11900" w:h="16838" w:orient="portrait"/>
          <w:cols w:equalWidth="0" w:num="2">
            <w:col w:w="2020" w:space="720"/>
            <w:col w:w="8660"/>
          </w:cols>
          <w:pgMar w:left="240" w:top="459" w:right="259" w:bottom="1440" w:gutter="0" w:footer="0" w:header="0"/>
          <w:type w:val="continuous"/>
        </w:sectPr>
      </w:pPr>
    </w:p>
    <w:p>
      <w:pPr>
        <w:spacing w:after="0"/>
        <w:rPr>
          <w:sz w:val="20"/>
          <w:szCs w:val="20"/>
          <w:color w:val="auto"/>
        </w:rPr>
      </w:pPr>
      <w:r>
        <w:rPr>
          <w:rFonts w:ascii="Arial" w:cs="Arial" w:eastAsia="Arial" w:hAnsi="Arial"/>
          <w:sz w:val="17"/>
          <w:szCs w:val="17"/>
          <w:color w:val="auto"/>
        </w:rPr>
        <w:t>Business Experience and</w:t>
      </w:r>
    </w:p>
    <w:p>
      <w:pPr>
        <w:spacing w:after="0"/>
        <w:rPr>
          <w:sz w:val="20"/>
          <w:szCs w:val="20"/>
          <w:color w:val="auto"/>
        </w:rPr>
      </w:pPr>
      <w:r>
        <w:rPr>
          <w:rFonts w:ascii="Arial" w:cs="Arial" w:eastAsia="Arial" w:hAnsi="Arial"/>
          <w:sz w:val="17"/>
          <w:szCs w:val="17"/>
          <w:color w:val="auto"/>
        </w:rPr>
        <w:t>Director Qualifications:</w:t>
      </w:r>
    </w:p>
    <w:p>
      <w:pPr>
        <w:spacing w:after="0" w:line="20" w:lineRule="exact"/>
        <w:rPr>
          <w:sz w:val="20"/>
          <w:szCs w:val="20"/>
          <w:color w:val="auto"/>
        </w:rPr>
      </w:pPr>
      <w:r>
        <w:rPr>
          <w:sz w:val="20"/>
          <w:szCs w:val="20"/>
          <w:color w:val="auto"/>
        </w:rPr>
        <w:br w:type="column"/>
      </w:r>
    </w:p>
    <w:p>
      <w:pPr>
        <w:ind w:right="680"/>
        <w:spacing w:after="0" w:line="243" w:lineRule="auto"/>
        <w:rPr>
          <w:sz w:val="20"/>
          <w:szCs w:val="20"/>
          <w:color w:val="auto"/>
        </w:rPr>
      </w:pPr>
      <w:r>
        <w:rPr>
          <w:rFonts w:ascii="Arial" w:cs="Arial" w:eastAsia="Arial" w:hAnsi="Arial"/>
          <w:sz w:val="17"/>
          <w:szCs w:val="17"/>
          <w:color w:val="auto"/>
        </w:rPr>
        <w:t>Mr. Cox has been President and Chief Executive Officer of Cox Financial Corporation, a financial services company that he founded, for over 35 years.</w:t>
      </w:r>
    </w:p>
    <w:p>
      <w:pPr>
        <w:spacing w:after="0" w:line="185" w:lineRule="exact"/>
        <w:rPr>
          <w:sz w:val="20"/>
          <w:szCs w:val="20"/>
          <w:color w:val="auto"/>
        </w:rPr>
      </w:pPr>
    </w:p>
    <w:p>
      <w:pPr>
        <w:sectPr>
          <w:pgSz w:w="11900" w:h="16838" w:orient="portrait"/>
          <w:cols w:equalWidth="0" w:num="2">
            <w:col w:w="2020" w:space="720"/>
            <w:col w:w="8660"/>
          </w:cols>
          <w:pgMar w:left="240" w:top="459" w:right="259" w:bottom="1440" w:gutter="0" w:footer="0" w:header="0"/>
          <w:type w:val="continuous"/>
        </w:sectPr>
      </w:pPr>
    </w:p>
    <w:p>
      <w:pPr>
        <w:ind w:left="2740" w:right="140"/>
        <w:spacing w:after="0" w:line="235" w:lineRule="auto"/>
        <w:rPr>
          <w:sz w:val="20"/>
          <w:szCs w:val="20"/>
          <w:color w:val="auto"/>
        </w:rPr>
      </w:pPr>
      <w:r>
        <w:rPr>
          <w:rFonts w:ascii="Arial" w:cs="Arial" w:eastAsia="Arial" w:hAnsi="Arial"/>
          <w:sz w:val="17"/>
          <w:szCs w:val="17"/>
          <w:color w:val="auto"/>
        </w:rPr>
        <w:t>Mr. Cox provides guidance to our Board based on his extensive knowledge of finance, investments and capital markets. Mr. Cox brings the perspective of a member of several corporate boards, including as non-executive Chairman and a member of the Audit and Finance, Governance and Nominating and Compensation Committees of Cincinnati Bell Inc., and as Chairman of the Compensation Committee and member of the Board Governance Committee of Diebold, Incorporated.</w:t>
      </w:r>
    </w:p>
    <w:p>
      <w:pPr>
        <w:sectPr>
          <w:pgSz w:w="11900" w:h="16838" w:orient="portrait"/>
          <w:cols w:equalWidth="0" w:num="1">
            <w:col w:w="11400"/>
          </w:cols>
          <w:pgMar w:left="240" w:top="459" w:right="259" w:bottom="1440" w:gutter="0" w:footer="0" w:header="0"/>
          <w:type w:val="continuous"/>
        </w:sectPr>
      </w:pPr>
    </w:p>
    <w:p>
      <w:pPr>
        <w:spacing w:after="0" w:line="177" w:lineRule="exact"/>
        <w:rPr>
          <w:sz w:val="20"/>
          <w:szCs w:val="20"/>
          <w:color w:val="auto"/>
        </w:rPr>
      </w:pPr>
    </w:p>
    <w:p>
      <w:pPr>
        <w:spacing w:after="0"/>
        <w:rPr>
          <w:sz w:val="20"/>
          <w:szCs w:val="20"/>
          <w:color w:val="auto"/>
        </w:rPr>
      </w:pPr>
      <w:r>
        <w:rPr>
          <w:rFonts w:ascii="Arial" w:cs="Arial" w:eastAsia="Arial" w:hAnsi="Arial"/>
          <w:sz w:val="17"/>
          <w:szCs w:val="17"/>
          <w:color w:val="auto"/>
        </w:rPr>
        <w:t>Other Directorships:</w:t>
      </w:r>
    </w:p>
    <w:p>
      <w:pPr>
        <w:spacing w:after="0" w:line="20" w:lineRule="exact"/>
        <w:rPr>
          <w:sz w:val="20"/>
          <w:szCs w:val="20"/>
          <w:color w:val="auto"/>
        </w:rPr>
      </w:pPr>
      <w:r>
        <w:rPr>
          <w:sz w:val="20"/>
          <w:szCs w:val="20"/>
          <w:color w:val="auto"/>
        </w:rPr>
        <w:br w:type="column"/>
      </w:r>
    </w:p>
    <w:p>
      <w:pPr>
        <w:spacing w:after="0" w:line="157" w:lineRule="exact"/>
        <w:rPr>
          <w:sz w:val="20"/>
          <w:szCs w:val="20"/>
          <w:color w:val="auto"/>
        </w:rPr>
      </w:pPr>
    </w:p>
    <w:p>
      <w:pPr>
        <w:ind w:right="60"/>
        <w:spacing w:after="0" w:line="238" w:lineRule="auto"/>
        <w:rPr>
          <w:sz w:val="20"/>
          <w:szCs w:val="20"/>
          <w:color w:val="auto"/>
        </w:rPr>
      </w:pPr>
      <w:r>
        <w:rPr>
          <w:rFonts w:ascii="Arial" w:cs="Arial" w:eastAsia="Arial" w:hAnsi="Arial"/>
          <w:sz w:val="17"/>
          <w:szCs w:val="17"/>
          <w:color w:val="auto"/>
        </w:rPr>
        <w:t>As noted, Mr. Cox is currently non-executive Chairman of Cincinnati Bell, where he has served as a Director since 1993. He also has served as a Director of Touchstone Mutual Funds since 1994 and Diebold since 2005. Previously, Mr. Cox served as a Director of The Timken Company from 2004 to 2014.</w:t>
      </w:r>
    </w:p>
    <w:p>
      <w:pPr>
        <w:spacing w:after="0" w:line="161" w:lineRule="exact"/>
        <w:rPr>
          <w:sz w:val="20"/>
          <w:szCs w:val="20"/>
          <w:color w:val="auto"/>
        </w:rPr>
      </w:pPr>
    </w:p>
    <w:p>
      <w:pPr>
        <w:sectPr>
          <w:pgSz w:w="11900" w:h="16838" w:orient="portrait"/>
          <w:cols w:equalWidth="0" w:num="2">
            <w:col w:w="2020" w:space="720"/>
            <w:col w:w="8660"/>
          </w:cols>
          <w:pgMar w:left="240" w:top="459" w:right="259" w:bottom="1440" w:gutter="0" w:footer="0" w:header="0"/>
          <w:type w:val="continuous"/>
        </w:sectPr>
      </w:pPr>
    </w:p>
    <w:p>
      <w:pPr>
        <w:spacing w:after="0"/>
        <w:rPr>
          <w:sz w:val="20"/>
          <w:szCs w:val="20"/>
          <w:color w:val="auto"/>
        </w:rPr>
      </w:pPr>
      <w:r>
        <w:rPr>
          <w:rFonts w:ascii="Arial" w:cs="Arial" w:eastAsia="Arial" w:hAnsi="Arial"/>
          <w:sz w:val="17"/>
          <w:szCs w:val="17"/>
          <w:color w:val="auto"/>
        </w:rPr>
        <w:t>Committees:</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7"/>
          <w:szCs w:val="17"/>
          <w:color w:val="auto"/>
        </w:rPr>
        <w:t>Audit Committee and Compensation Committee.</w:t>
      </w:r>
    </w:p>
    <w:p>
      <w:pPr>
        <w:spacing w:after="0" w:line="169" w:lineRule="exact"/>
        <w:rPr>
          <w:sz w:val="20"/>
          <w:szCs w:val="20"/>
          <w:color w:val="auto"/>
        </w:rPr>
      </w:pPr>
    </w:p>
    <w:p>
      <w:pPr>
        <w:sectPr>
          <w:pgSz w:w="11900" w:h="16838" w:orient="portrait"/>
          <w:cols w:equalWidth="0" w:num="2">
            <w:col w:w="2020" w:space="720"/>
            <w:col w:w="8660"/>
          </w:cols>
          <w:pgMar w:left="240" w:top="459" w:right="259" w:bottom="1440" w:gutter="0" w:footer="0" w:header="0"/>
          <w:type w:val="continuous"/>
        </w:sectPr>
      </w:pPr>
    </w:p>
    <w:p>
      <w:pPr>
        <w:spacing w:after="0"/>
        <w:rPr>
          <w:sz w:val="20"/>
          <w:szCs w:val="20"/>
          <w:color w:val="auto"/>
        </w:rPr>
      </w:pPr>
      <w:r>
        <w:rPr>
          <w:rFonts w:ascii="Arial" w:cs="Arial" w:eastAsia="Arial" w:hAnsi="Arial"/>
          <w:sz w:val="17"/>
          <w:szCs w:val="17"/>
          <w:color w:val="auto"/>
        </w:rPr>
        <w:t>Age:</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7"/>
          <w:szCs w:val="17"/>
          <w:color w:val="auto"/>
        </w:rPr>
        <w:t>68</w:t>
      </w:r>
    </w:p>
    <w:p>
      <w:pPr>
        <w:spacing w:after="0" w:line="163" w:lineRule="exact"/>
        <w:rPr>
          <w:sz w:val="20"/>
          <w:szCs w:val="20"/>
          <w:color w:val="auto"/>
        </w:rPr>
      </w:pPr>
    </w:p>
    <w:p>
      <w:pPr>
        <w:sectPr>
          <w:pgSz w:w="11900" w:h="16838" w:orient="portrait"/>
          <w:cols w:equalWidth="0" w:num="2">
            <w:col w:w="2020" w:space="720"/>
            <w:col w:w="8660"/>
          </w:cols>
          <w:pgMar w:left="240" w:top="459" w:right="259" w:bottom="1440" w:gutter="0" w:footer="0" w:header="0"/>
          <w:type w:val="continuous"/>
        </w:sectPr>
      </w:pPr>
    </w:p>
    <w:p>
      <w:pPr>
        <w:spacing w:after="0"/>
        <w:rPr>
          <w:sz w:val="20"/>
          <w:szCs w:val="20"/>
          <w:color w:val="auto"/>
        </w:rPr>
      </w:pPr>
      <w:r>
        <w:rPr>
          <w:rFonts w:ascii="Arial" w:cs="Arial" w:eastAsia="Arial" w:hAnsi="Arial"/>
          <w:sz w:val="16"/>
          <w:szCs w:val="16"/>
          <w:b w:val="1"/>
          <w:bCs w:val="1"/>
          <w:color w:val="auto"/>
        </w:rPr>
        <w:t>Terry L. Dunlap</w:t>
      </w:r>
    </w:p>
    <w:p>
      <w:pPr>
        <w:sectPr>
          <w:pgSz w:w="11900" w:h="16838" w:orient="portrait"/>
          <w:cols w:equalWidth="0" w:num="1">
            <w:col w:w="11400"/>
          </w:cols>
          <w:pgMar w:left="240" w:top="459" w:right="259" w:bottom="1440" w:gutter="0" w:footer="0" w:header="0"/>
          <w:type w:val="continuous"/>
        </w:sectPr>
      </w:pPr>
    </w:p>
    <w:p>
      <w:pPr>
        <w:spacing w:after="0" w:line="268" w:lineRule="exact"/>
        <w:rPr>
          <w:sz w:val="20"/>
          <w:szCs w:val="20"/>
          <w:color w:val="auto"/>
        </w:rPr>
      </w:pPr>
    </w:p>
    <w:p>
      <w:pPr>
        <w:spacing w:after="0"/>
        <w:rPr>
          <w:sz w:val="20"/>
          <w:szCs w:val="20"/>
          <w:color w:val="auto"/>
        </w:rPr>
      </w:pPr>
      <w:r>
        <w:rPr>
          <w:rFonts w:ascii="Arial" w:cs="Arial" w:eastAsia="Arial" w:hAnsi="Arial"/>
          <w:sz w:val="16"/>
          <w:szCs w:val="16"/>
          <w:color w:val="auto"/>
        </w:rPr>
        <w:t>Term:</w:t>
      </w:r>
    </w:p>
    <w:p>
      <w:pPr>
        <w:spacing w:after="0" w:line="20" w:lineRule="exact"/>
        <w:rPr>
          <w:sz w:val="20"/>
          <w:szCs w:val="20"/>
          <w:color w:val="auto"/>
        </w:rPr>
      </w:pPr>
      <w:r>
        <w:rPr>
          <w:sz w:val="20"/>
          <w:szCs w:val="20"/>
          <w:color w:val="auto"/>
        </w:rPr>
        <w:br w:type="column"/>
      </w:r>
    </w:p>
    <w:p>
      <w:pPr>
        <w:spacing w:after="0" w:line="248" w:lineRule="exact"/>
        <w:rPr>
          <w:sz w:val="20"/>
          <w:szCs w:val="20"/>
          <w:color w:val="auto"/>
        </w:rPr>
      </w:pPr>
    </w:p>
    <w:p>
      <w:pPr>
        <w:spacing w:after="0"/>
        <w:rPr>
          <w:sz w:val="20"/>
          <w:szCs w:val="20"/>
          <w:color w:val="auto"/>
        </w:rPr>
      </w:pPr>
      <w:r>
        <w:rPr>
          <w:rFonts w:ascii="Arial" w:cs="Arial" w:eastAsia="Arial" w:hAnsi="Arial"/>
          <w:sz w:val="17"/>
          <w:szCs w:val="17"/>
          <w:color w:val="auto"/>
        </w:rPr>
        <w:t>Expires in 2018; Director since 2015.</w:t>
      </w:r>
    </w:p>
    <w:p>
      <w:pPr>
        <w:spacing w:after="0" w:line="163" w:lineRule="exact"/>
        <w:rPr>
          <w:sz w:val="20"/>
          <w:szCs w:val="20"/>
          <w:color w:val="auto"/>
        </w:rPr>
      </w:pPr>
    </w:p>
    <w:p>
      <w:pPr>
        <w:sectPr>
          <w:pgSz w:w="11900" w:h="16838" w:orient="portrait"/>
          <w:cols w:equalWidth="0" w:num="2">
            <w:col w:w="2020" w:space="720"/>
            <w:col w:w="8660"/>
          </w:cols>
          <w:pgMar w:left="240" w:top="459" w:right="259" w:bottom="1440" w:gutter="0" w:footer="0" w:header="0"/>
          <w:type w:val="continuous"/>
        </w:sectPr>
      </w:pPr>
    </w:p>
    <w:p>
      <w:pPr>
        <w:spacing w:after="0"/>
        <w:rPr>
          <w:sz w:val="20"/>
          <w:szCs w:val="20"/>
          <w:color w:val="auto"/>
        </w:rPr>
      </w:pPr>
      <w:r>
        <w:rPr>
          <w:rFonts w:ascii="Arial" w:cs="Arial" w:eastAsia="Arial" w:hAnsi="Arial"/>
          <w:sz w:val="17"/>
          <w:szCs w:val="17"/>
          <w:color w:val="auto"/>
        </w:rPr>
        <w:t>Business Experience and</w:t>
      </w:r>
    </w:p>
    <w:p>
      <w:pPr>
        <w:spacing w:after="0"/>
        <w:rPr>
          <w:sz w:val="20"/>
          <w:szCs w:val="20"/>
          <w:color w:val="auto"/>
        </w:rPr>
      </w:pPr>
      <w:r>
        <w:rPr>
          <w:rFonts w:ascii="Arial" w:cs="Arial" w:eastAsia="Arial" w:hAnsi="Arial"/>
          <w:sz w:val="17"/>
          <w:szCs w:val="17"/>
          <w:color w:val="auto"/>
        </w:rPr>
        <w:t>Director Qualifications:</w:t>
      </w:r>
    </w:p>
    <w:p>
      <w:pPr>
        <w:spacing w:after="0" w:line="20" w:lineRule="exact"/>
        <w:rPr>
          <w:sz w:val="20"/>
          <w:szCs w:val="20"/>
          <w:color w:val="auto"/>
        </w:rPr>
      </w:pPr>
      <w:r>
        <w:rPr>
          <w:sz w:val="20"/>
          <w:szCs w:val="20"/>
          <w:color w:val="auto"/>
        </w:rPr>
        <w:br w:type="column"/>
      </w:r>
    </w:p>
    <w:p>
      <w:pPr>
        <w:spacing w:after="0" w:line="235" w:lineRule="auto"/>
        <w:rPr>
          <w:sz w:val="20"/>
          <w:szCs w:val="20"/>
          <w:color w:val="auto"/>
        </w:rPr>
      </w:pPr>
      <w:r>
        <w:rPr>
          <w:rFonts w:ascii="Arial" w:cs="Arial" w:eastAsia="Arial" w:hAnsi="Arial"/>
          <w:sz w:val="17"/>
          <w:szCs w:val="17"/>
          <w:color w:val="auto"/>
        </w:rPr>
        <w:t>Mr. Dunlap is the principal at Sweetwater LLC, a consulting and investing business with a focus on manufacturing and technology. Previously, Mr. Dunlap spent 31 years with Allegheny Technologies (ATI), a diversified specialty metals producer, where he held numerous positions in sales, marketing, manufacturing, supply chain, logistics and information technology. He served as executive vice president of ATI’s flat-rolled products group from 2011 until his retirement in December 2014. He also was president of ATI Allegheny Ludlum from 2002 to 2014 and served on the boards of two ATI joint venture companies.</w:t>
      </w:r>
    </w:p>
    <w:p>
      <w:pPr>
        <w:spacing w:after="0" w:line="189" w:lineRule="exact"/>
        <w:rPr>
          <w:sz w:val="20"/>
          <w:szCs w:val="20"/>
          <w:color w:val="auto"/>
        </w:rPr>
      </w:pPr>
    </w:p>
    <w:p>
      <w:pPr>
        <w:sectPr>
          <w:pgSz w:w="11900" w:h="16838" w:orient="portrait"/>
          <w:cols w:equalWidth="0" w:num="2">
            <w:col w:w="2020" w:space="720"/>
            <w:col w:w="8660"/>
          </w:cols>
          <w:pgMar w:left="240" w:top="459" w:right="259" w:bottom="1440" w:gutter="0" w:footer="0" w:header="0"/>
          <w:type w:val="continuous"/>
        </w:sectPr>
      </w:pPr>
    </w:p>
    <w:p>
      <w:pPr>
        <w:ind w:left="2740" w:right="180"/>
        <w:spacing w:after="0" w:line="243" w:lineRule="auto"/>
        <w:rPr>
          <w:sz w:val="20"/>
          <w:szCs w:val="20"/>
          <w:color w:val="auto"/>
        </w:rPr>
      </w:pPr>
      <w:r>
        <w:rPr>
          <w:rFonts w:ascii="Arial" w:cs="Arial" w:eastAsia="Arial" w:hAnsi="Arial"/>
          <w:sz w:val="17"/>
          <w:szCs w:val="17"/>
          <w:color w:val="auto"/>
        </w:rPr>
        <w:t>Mr. Dunlap brings to the Board expertise in all aspects of the metals industry, adding further depth to the Board’s already significant understanding of the market and supply chain dynamics that affect the Company’s business.</w:t>
      </w:r>
    </w:p>
    <w:p>
      <w:pPr>
        <w:sectPr>
          <w:pgSz w:w="11900" w:h="16838" w:orient="portrait"/>
          <w:cols w:equalWidth="0" w:num="1">
            <w:col w:w="11400"/>
          </w:cols>
          <w:pgMar w:left="240" w:top="459" w:right="259" w:bottom="1440" w:gutter="0" w:footer="0" w:header="0"/>
          <w:type w:val="continuous"/>
        </w:sectPr>
      </w:pPr>
    </w:p>
    <w:p>
      <w:pPr>
        <w:spacing w:after="0" w:line="171" w:lineRule="exact"/>
        <w:rPr>
          <w:sz w:val="20"/>
          <w:szCs w:val="20"/>
          <w:color w:val="auto"/>
        </w:rPr>
      </w:pPr>
    </w:p>
    <w:p>
      <w:pPr>
        <w:spacing w:after="0"/>
        <w:rPr>
          <w:sz w:val="20"/>
          <w:szCs w:val="20"/>
          <w:color w:val="auto"/>
        </w:rPr>
      </w:pPr>
      <w:r>
        <w:rPr>
          <w:rFonts w:ascii="Arial" w:cs="Arial" w:eastAsia="Arial" w:hAnsi="Arial"/>
          <w:sz w:val="17"/>
          <w:szCs w:val="17"/>
          <w:color w:val="auto"/>
        </w:rPr>
        <w:t>Other Directorships:</w:t>
      </w:r>
    </w:p>
    <w:p>
      <w:pPr>
        <w:spacing w:after="0" w:line="20" w:lineRule="exact"/>
        <w:rPr>
          <w:sz w:val="20"/>
          <w:szCs w:val="20"/>
          <w:color w:val="auto"/>
        </w:rPr>
      </w:pPr>
      <w:r>
        <w:rPr>
          <w:sz w:val="20"/>
          <w:szCs w:val="20"/>
          <w:color w:val="auto"/>
        </w:rPr>
        <w:br w:type="column"/>
      </w:r>
    </w:p>
    <w:p>
      <w:pPr>
        <w:spacing w:after="0" w:line="151" w:lineRule="exact"/>
        <w:rPr>
          <w:sz w:val="20"/>
          <w:szCs w:val="20"/>
          <w:color w:val="auto"/>
        </w:rPr>
      </w:pPr>
    </w:p>
    <w:p>
      <w:pPr>
        <w:spacing w:after="0"/>
        <w:rPr>
          <w:sz w:val="20"/>
          <w:szCs w:val="20"/>
          <w:color w:val="auto"/>
        </w:rPr>
      </w:pPr>
      <w:r>
        <w:rPr>
          <w:rFonts w:ascii="Arial" w:cs="Arial" w:eastAsia="Arial" w:hAnsi="Arial"/>
          <w:sz w:val="17"/>
          <w:szCs w:val="17"/>
          <w:color w:val="auto"/>
        </w:rPr>
        <w:t>Mr. Dunlap has been a Director of Matthews International Corporation since 2015.</w:t>
      </w:r>
    </w:p>
    <w:p>
      <w:pPr>
        <w:spacing w:after="0" w:line="169" w:lineRule="exact"/>
        <w:rPr>
          <w:sz w:val="20"/>
          <w:szCs w:val="20"/>
          <w:color w:val="auto"/>
        </w:rPr>
      </w:pPr>
    </w:p>
    <w:p>
      <w:pPr>
        <w:sectPr>
          <w:pgSz w:w="11900" w:h="16838" w:orient="portrait"/>
          <w:cols w:equalWidth="0" w:num="2">
            <w:col w:w="2020" w:space="720"/>
            <w:col w:w="8660"/>
          </w:cols>
          <w:pgMar w:left="240" w:top="459" w:right="259" w:bottom="1440" w:gutter="0" w:footer="0" w:header="0"/>
          <w:type w:val="continuous"/>
        </w:sectPr>
      </w:pPr>
    </w:p>
    <w:p>
      <w:pPr>
        <w:spacing w:after="0"/>
        <w:rPr>
          <w:sz w:val="20"/>
          <w:szCs w:val="20"/>
          <w:color w:val="auto"/>
        </w:rPr>
      </w:pPr>
      <w:r>
        <w:rPr>
          <w:rFonts w:ascii="Arial" w:cs="Arial" w:eastAsia="Arial" w:hAnsi="Arial"/>
          <w:sz w:val="17"/>
          <w:szCs w:val="17"/>
          <w:color w:val="auto"/>
        </w:rPr>
        <w:t>Committees:</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7"/>
          <w:szCs w:val="17"/>
          <w:color w:val="auto"/>
        </w:rPr>
        <w:t>Compensation Committee.</w:t>
      </w:r>
    </w:p>
    <w:p>
      <w:pPr>
        <w:spacing w:after="0" w:line="169" w:lineRule="exact"/>
        <w:rPr>
          <w:sz w:val="20"/>
          <w:szCs w:val="20"/>
          <w:color w:val="auto"/>
        </w:rPr>
      </w:pPr>
    </w:p>
    <w:p>
      <w:pPr>
        <w:sectPr>
          <w:pgSz w:w="11900" w:h="16838" w:orient="portrait"/>
          <w:cols w:equalWidth="0" w:num="2">
            <w:col w:w="2020" w:space="720"/>
            <w:col w:w="8660"/>
          </w:cols>
          <w:pgMar w:left="240" w:top="459" w:right="259" w:bottom="1440" w:gutter="0" w:footer="0" w:header="0"/>
          <w:type w:val="continuous"/>
        </w:sectPr>
      </w:pPr>
    </w:p>
    <w:p>
      <w:pPr>
        <w:spacing w:after="0"/>
        <w:rPr>
          <w:sz w:val="20"/>
          <w:szCs w:val="20"/>
          <w:color w:val="auto"/>
        </w:rPr>
      </w:pPr>
      <w:r>
        <w:rPr>
          <w:rFonts w:ascii="Arial" w:cs="Arial" w:eastAsia="Arial" w:hAnsi="Arial"/>
          <w:sz w:val="17"/>
          <w:szCs w:val="17"/>
          <w:color w:val="auto"/>
        </w:rPr>
        <w:t>Age:</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7"/>
          <w:szCs w:val="17"/>
          <w:color w:val="auto"/>
        </w:rPr>
        <w:t>56</w:t>
      </w:r>
    </w:p>
    <w:p>
      <w:pPr>
        <w:spacing w:after="0" w:line="153" w:lineRule="exact"/>
        <w:rPr>
          <w:sz w:val="20"/>
          <w:szCs w:val="20"/>
          <w:color w:val="auto"/>
        </w:rPr>
      </w:pPr>
    </w:p>
    <w:p>
      <w:pPr>
        <w:sectPr>
          <w:pgSz w:w="11900" w:h="16838" w:orient="portrait"/>
          <w:cols w:equalWidth="0" w:num="2">
            <w:col w:w="2020" w:space="720"/>
            <w:col w:w="8660"/>
          </w:cols>
          <w:pgMar w:left="240" w:top="459" w:right="259" w:bottom="1440" w:gutter="0" w:footer="0" w:header="0"/>
          <w:type w:val="continuous"/>
        </w:sectPr>
      </w:pPr>
    </w:p>
    <w:p>
      <w:pPr>
        <w:ind w:left="11260"/>
        <w:spacing w:after="0"/>
        <w:rPr>
          <w:sz w:val="20"/>
          <w:szCs w:val="20"/>
          <w:color w:val="auto"/>
        </w:rPr>
      </w:pPr>
      <w:r>
        <w:rPr>
          <w:rFonts w:ascii="Arial" w:cs="Arial" w:eastAsia="Arial" w:hAnsi="Arial"/>
          <w:sz w:val="14"/>
          <w:szCs w:val="14"/>
          <w:color w:val="auto"/>
        </w:rPr>
        <w:t>9</w:t>
      </w:r>
    </w:p>
    <w:p>
      <w:pPr>
        <w:sectPr>
          <w:pgSz w:w="11900" w:h="16838" w:orient="portrait"/>
          <w:cols w:equalWidth="0" w:num="1">
            <w:col w:w="11400"/>
          </w:cols>
          <w:pgMar w:left="240" w:top="459" w:right="259" w:bottom="1440" w:gutter="0" w:footer="0" w:header="0"/>
          <w:type w:val="continuous"/>
        </w:sectPr>
      </w:pPr>
    </w:p>
    <w:bookmarkStart w:id="15" w:name="page16"/>
    <w:bookmarkEnd w:id="1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3109595</wp:posOffset>
            </wp:positionH>
            <wp:positionV relativeFrom="paragraph">
              <wp:posOffset>205740</wp:posOffset>
            </wp:positionV>
            <wp:extent cx="1046480" cy="20574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1046480" cy="20574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50"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Randall H. Edwards</w:t>
      </w:r>
    </w:p>
    <w:p>
      <w:pPr>
        <w:sectPr>
          <w:pgSz w:w="11900" w:h="16838" w:orient="portrait"/>
          <w:cols w:equalWidth="0" w:num="1">
            <w:col w:w="11340"/>
          </w:cols>
          <w:pgMar w:left="240" w:top="459" w:right="319" w:bottom="1440" w:gutter="0" w:footer="0" w:header="0"/>
        </w:sectPr>
      </w:pPr>
    </w:p>
    <w:p>
      <w:pPr>
        <w:spacing w:after="0" w:line="230" w:lineRule="exact"/>
        <w:rPr>
          <w:sz w:val="20"/>
          <w:szCs w:val="20"/>
          <w:color w:val="auto"/>
        </w:rPr>
      </w:pPr>
    </w:p>
    <w:p>
      <w:pPr>
        <w:spacing w:after="0"/>
        <w:rPr>
          <w:sz w:val="20"/>
          <w:szCs w:val="20"/>
          <w:color w:val="auto"/>
        </w:rPr>
      </w:pPr>
      <w:r>
        <w:rPr>
          <w:rFonts w:ascii="Arial" w:cs="Arial" w:eastAsia="Arial" w:hAnsi="Arial"/>
          <w:sz w:val="16"/>
          <w:szCs w:val="16"/>
          <w:color w:val="auto"/>
        </w:rPr>
        <w:t>Term:</w:t>
      </w:r>
    </w:p>
    <w:p>
      <w:pPr>
        <w:spacing w:after="0" w:line="20" w:lineRule="exact"/>
        <w:rPr>
          <w:sz w:val="20"/>
          <w:szCs w:val="20"/>
          <w:color w:val="auto"/>
        </w:rPr>
      </w:pPr>
      <w:r>
        <w:rPr>
          <w:sz w:val="20"/>
          <w:szCs w:val="20"/>
          <w:color w:val="auto"/>
        </w:rPr>
        <w:br w:type="column"/>
      </w:r>
    </w:p>
    <w:p>
      <w:pPr>
        <w:spacing w:after="0" w:line="210" w:lineRule="exact"/>
        <w:rPr>
          <w:sz w:val="20"/>
          <w:szCs w:val="20"/>
          <w:color w:val="auto"/>
        </w:rPr>
      </w:pPr>
    </w:p>
    <w:p>
      <w:pPr>
        <w:spacing w:after="0"/>
        <w:rPr>
          <w:sz w:val="20"/>
          <w:szCs w:val="20"/>
          <w:color w:val="auto"/>
        </w:rPr>
      </w:pPr>
      <w:r>
        <w:rPr>
          <w:rFonts w:ascii="Arial" w:cs="Arial" w:eastAsia="Arial" w:hAnsi="Arial"/>
          <w:sz w:val="17"/>
          <w:szCs w:val="17"/>
          <w:color w:val="auto"/>
        </w:rPr>
        <w:t>Expires in 2017; Director since 2015.</w:t>
      </w:r>
    </w:p>
    <w:p>
      <w:pPr>
        <w:spacing w:after="0" w:line="163" w:lineRule="exact"/>
        <w:rPr>
          <w:sz w:val="20"/>
          <w:szCs w:val="20"/>
          <w:color w:val="auto"/>
        </w:rPr>
      </w:pPr>
    </w:p>
    <w:p>
      <w:pPr>
        <w:sectPr>
          <w:pgSz w:w="11900" w:h="16838" w:orient="portrait"/>
          <w:cols w:equalWidth="0" w:num="2">
            <w:col w:w="2020" w:space="720"/>
            <w:col w:w="8600"/>
          </w:cols>
          <w:pgMar w:left="240" w:top="459" w:right="319" w:bottom="1440" w:gutter="0" w:footer="0" w:header="0"/>
          <w:type w:val="continuous"/>
        </w:sectPr>
      </w:pPr>
    </w:p>
    <w:p>
      <w:pPr>
        <w:spacing w:after="0"/>
        <w:rPr>
          <w:sz w:val="20"/>
          <w:szCs w:val="20"/>
          <w:color w:val="auto"/>
        </w:rPr>
      </w:pPr>
      <w:r>
        <w:rPr>
          <w:rFonts w:ascii="Arial" w:cs="Arial" w:eastAsia="Arial" w:hAnsi="Arial"/>
          <w:sz w:val="17"/>
          <w:szCs w:val="17"/>
          <w:color w:val="auto"/>
        </w:rPr>
        <w:t>Business Experience and</w:t>
      </w:r>
    </w:p>
    <w:p>
      <w:pPr>
        <w:spacing w:after="0"/>
        <w:rPr>
          <w:sz w:val="20"/>
          <w:szCs w:val="20"/>
          <w:color w:val="auto"/>
        </w:rPr>
      </w:pPr>
      <w:r>
        <w:rPr>
          <w:rFonts w:ascii="Arial" w:cs="Arial" w:eastAsia="Arial" w:hAnsi="Arial"/>
          <w:sz w:val="17"/>
          <w:szCs w:val="17"/>
          <w:color w:val="auto"/>
        </w:rPr>
        <w:t>Director Qualifications:</w:t>
      </w:r>
    </w:p>
    <w:p>
      <w:pPr>
        <w:spacing w:after="0" w:line="20" w:lineRule="exact"/>
        <w:rPr>
          <w:sz w:val="20"/>
          <w:szCs w:val="20"/>
          <w:color w:val="auto"/>
        </w:rPr>
      </w:pPr>
      <w:r>
        <w:rPr>
          <w:sz w:val="20"/>
          <w:szCs w:val="20"/>
          <w:color w:val="auto"/>
        </w:rPr>
        <w:br w:type="column"/>
      </w:r>
    </w:p>
    <w:p>
      <w:pPr>
        <w:spacing w:after="0" w:line="235" w:lineRule="auto"/>
        <w:rPr>
          <w:sz w:val="20"/>
          <w:szCs w:val="20"/>
          <w:color w:val="auto"/>
        </w:rPr>
      </w:pPr>
      <w:r>
        <w:rPr>
          <w:rFonts w:ascii="Arial" w:cs="Arial" w:eastAsia="Arial" w:hAnsi="Arial"/>
          <w:sz w:val="17"/>
          <w:szCs w:val="17"/>
          <w:color w:val="auto"/>
        </w:rPr>
        <w:t>Mr. Edwards has been the Chief Executive Officer of Premier Pipe, LLC, a leader in the supply and management of engineered premium oil country tubular goods, since 2015. Previously, he served as President and Chief Operating Officer of Premier Pipe from 2014 to 2015. Prior to that, Mr. Edwards held various positions with NOV Grant Prideco, a leading supplier of oil field drill stem components, from 1999 to 2014, including President of NOV Grant Prideco from 2008 to 2014. He began his career at Wilson Supply, where he managed oil country tubular goods and the company’s drill pipe product line.</w:t>
      </w:r>
    </w:p>
    <w:p>
      <w:pPr>
        <w:spacing w:after="0" w:line="200" w:lineRule="exact"/>
        <w:rPr>
          <w:sz w:val="20"/>
          <w:szCs w:val="20"/>
          <w:color w:val="auto"/>
        </w:rPr>
      </w:pPr>
    </w:p>
    <w:p>
      <w:pPr>
        <w:sectPr>
          <w:pgSz w:w="11900" w:h="16838" w:orient="portrait"/>
          <w:cols w:equalWidth="0" w:num="2">
            <w:col w:w="2020" w:space="720"/>
            <w:col w:w="8600"/>
          </w:cols>
          <w:pgMar w:left="240" w:top="459" w:right="319" w:bottom="1440" w:gutter="0" w:footer="0" w:header="0"/>
          <w:type w:val="continuous"/>
        </w:sectPr>
      </w:pPr>
    </w:p>
    <w:p>
      <w:pPr>
        <w:spacing w:after="0" w:line="29" w:lineRule="exact"/>
        <w:rPr>
          <w:sz w:val="20"/>
          <w:szCs w:val="20"/>
          <w:color w:val="auto"/>
        </w:rPr>
      </w:pPr>
    </w:p>
    <w:p>
      <w:pPr>
        <w:ind w:left="2740" w:right="120"/>
        <w:spacing w:after="0" w:line="236" w:lineRule="auto"/>
        <w:rPr>
          <w:sz w:val="20"/>
          <w:szCs w:val="20"/>
          <w:color w:val="auto"/>
        </w:rPr>
      </w:pPr>
      <w:r>
        <w:rPr>
          <w:rFonts w:ascii="Arial" w:cs="Arial" w:eastAsia="Arial" w:hAnsi="Arial"/>
          <w:sz w:val="17"/>
          <w:szCs w:val="17"/>
          <w:color w:val="auto"/>
        </w:rPr>
        <w:t>Mr. Edwards brings to the Board expertise in the oil and gas industry, with a deep understanding of that market’s supply chain, including the steel mills supporting it. This expertise, together with Mr. Edwards’ experience overseeing global operations, provides the Board with valuable market expertise and enables Mr. Edwards to make significant contributions to the Board.</w:t>
      </w:r>
    </w:p>
    <w:p>
      <w:pPr>
        <w:sectPr>
          <w:pgSz w:w="11900" w:h="16838" w:orient="portrait"/>
          <w:cols w:equalWidth="0" w:num="1">
            <w:col w:w="11340"/>
          </w:cols>
          <w:pgMar w:left="240" w:top="459" w:right="319" w:bottom="1440" w:gutter="0" w:footer="0" w:header="0"/>
          <w:type w:val="continuous"/>
        </w:sectPr>
      </w:pPr>
    </w:p>
    <w:p>
      <w:pPr>
        <w:spacing w:after="0" w:line="177" w:lineRule="exact"/>
        <w:rPr>
          <w:sz w:val="20"/>
          <w:szCs w:val="20"/>
          <w:color w:val="auto"/>
        </w:rPr>
      </w:pPr>
    </w:p>
    <w:p>
      <w:pPr>
        <w:spacing w:after="0"/>
        <w:rPr>
          <w:sz w:val="20"/>
          <w:szCs w:val="20"/>
          <w:color w:val="auto"/>
        </w:rPr>
      </w:pPr>
      <w:r>
        <w:rPr>
          <w:rFonts w:ascii="Arial" w:cs="Arial" w:eastAsia="Arial" w:hAnsi="Arial"/>
          <w:sz w:val="17"/>
          <w:szCs w:val="17"/>
          <w:color w:val="auto"/>
        </w:rPr>
        <w:t>Other Directorships:</w:t>
      </w:r>
    </w:p>
    <w:p>
      <w:pPr>
        <w:spacing w:after="0" w:line="20" w:lineRule="exact"/>
        <w:rPr>
          <w:sz w:val="20"/>
          <w:szCs w:val="20"/>
          <w:color w:val="auto"/>
        </w:rPr>
      </w:pPr>
      <w:r>
        <w:rPr>
          <w:sz w:val="20"/>
          <w:szCs w:val="20"/>
          <w:color w:val="auto"/>
        </w:rPr>
        <w:br w:type="column"/>
      </w:r>
    </w:p>
    <w:p>
      <w:pPr>
        <w:spacing w:after="0" w:line="157" w:lineRule="exact"/>
        <w:rPr>
          <w:sz w:val="20"/>
          <w:szCs w:val="20"/>
          <w:color w:val="auto"/>
        </w:rPr>
      </w:pPr>
    </w:p>
    <w:p>
      <w:pPr>
        <w:spacing w:after="0"/>
        <w:rPr>
          <w:sz w:val="20"/>
          <w:szCs w:val="20"/>
          <w:color w:val="auto"/>
        </w:rPr>
      </w:pPr>
      <w:r>
        <w:rPr>
          <w:rFonts w:ascii="Arial" w:cs="Arial" w:eastAsia="Arial" w:hAnsi="Arial"/>
          <w:sz w:val="17"/>
          <w:szCs w:val="17"/>
          <w:color w:val="auto"/>
        </w:rPr>
        <w:t>None.</w:t>
      </w:r>
    </w:p>
    <w:p>
      <w:pPr>
        <w:spacing w:after="0" w:line="169" w:lineRule="exact"/>
        <w:rPr>
          <w:sz w:val="20"/>
          <w:szCs w:val="20"/>
          <w:color w:val="auto"/>
        </w:rPr>
      </w:pPr>
    </w:p>
    <w:p>
      <w:pPr>
        <w:sectPr>
          <w:pgSz w:w="11900" w:h="16838" w:orient="portrait"/>
          <w:cols w:equalWidth="0" w:num="2">
            <w:col w:w="2020" w:space="720"/>
            <w:col w:w="8600"/>
          </w:cols>
          <w:pgMar w:left="240" w:top="459" w:right="319" w:bottom="1440" w:gutter="0" w:footer="0" w:header="0"/>
          <w:type w:val="continuous"/>
        </w:sectPr>
      </w:pPr>
    </w:p>
    <w:p>
      <w:pPr>
        <w:spacing w:after="0"/>
        <w:rPr>
          <w:sz w:val="20"/>
          <w:szCs w:val="20"/>
          <w:color w:val="auto"/>
        </w:rPr>
      </w:pPr>
      <w:r>
        <w:rPr>
          <w:rFonts w:ascii="Arial" w:cs="Arial" w:eastAsia="Arial" w:hAnsi="Arial"/>
          <w:sz w:val="17"/>
          <w:szCs w:val="17"/>
          <w:color w:val="auto"/>
        </w:rPr>
        <w:t>Committees:</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7"/>
          <w:szCs w:val="17"/>
          <w:color w:val="auto"/>
        </w:rPr>
        <w:t>Nominating and Corporate Governance Committee.</w:t>
      </w:r>
    </w:p>
    <w:p>
      <w:pPr>
        <w:spacing w:after="0" w:line="169" w:lineRule="exact"/>
        <w:rPr>
          <w:sz w:val="20"/>
          <w:szCs w:val="20"/>
          <w:color w:val="auto"/>
        </w:rPr>
      </w:pPr>
    </w:p>
    <w:p>
      <w:pPr>
        <w:sectPr>
          <w:pgSz w:w="11900" w:h="16838" w:orient="portrait"/>
          <w:cols w:equalWidth="0" w:num="2">
            <w:col w:w="2020" w:space="720"/>
            <w:col w:w="8600"/>
          </w:cols>
          <w:pgMar w:left="240" w:top="459" w:right="319" w:bottom="1440" w:gutter="0" w:footer="0" w:header="0"/>
          <w:type w:val="continuous"/>
        </w:sectPr>
      </w:pPr>
    </w:p>
    <w:p>
      <w:pPr>
        <w:spacing w:after="0"/>
        <w:rPr>
          <w:sz w:val="20"/>
          <w:szCs w:val="20"/>
          <w:color w:val="auto"/>
        </w:rPr>
      </w:pPr>
      <w:r>
        <w:rPr>
          <w:rFonts w:ascii="Arial" w:cs="Arial" w:eastAsia="Arial" w:hAnsi="Arial"/>
          <w:sz w:val="17"/>
          <w:szCs w:val="17"/>
          <w:color w:val="auto"/>
        </w:rPr>
        <w:t>Age:</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7"/>
          <w:szCs w:val="17"/>
          <w:color w:val="auto"/>
        </w:rPr>
        <w:t>57</w:t>
      </w:r>
    </w:p>
    <w:p>
      <w:pPr>
        <w:spacing w:after="0" w:line="153" w:lineRule="exact"/>
        <w:rPr>
          <w:sz w:val="20"/>
          <w:szCs w:val="20"/>
          <w:color w:val="auto"/>
        </w:rPr>
      </w:pPr>
    </w:p>
    <w:p>
      <w:pPr>
        <w:sectPr>
          <w:pgSz w:w="11900" w:h="16838" w:orient="portrait"/>
          <w:cols w:equalWidth="0" w:num="2">
            <w:col w:w="2020" w:space="720"/>
            <w:col w:w="8600"/>
          </w:cols>
          <w:pgMar w:left="240" w:top="459" w:right="319" w:bottom="1440" w:gutter="0" w:footer="0" w:header="0"/>
          <w:type w:val="continuous"/>
        </w:sectPr>
      </w:pPr>
    </w:p>
    <w:p>
      <w:pPr>
        <w:spacing w:after="0"/>
        <w:rPr>
          <w:sz w:val="20"/>
          <w:szCs w:val="20"/>
          <w:color w:val="auto"/>
        </w:rPr>
      </w:pPr>
      <w:r>
        <w:rPr>
          <w:rFonts w:ascii="Arial" w:cs="Arial" w:eastAsia="Arial" w:hAnsi="Arial"/>
          <w:sz w:val="14"/>
          <w:szCs w:val="14"/>
          <w:color w:val="auto"/>
        </w:rPr>
        <w:t>10</w:t>
      </w:r>
    </w:p>
    <w:p>
      <w:pPr>
        <w:sectPr>
          <w:pgSz w:w="11900" w:h="16838" w:orient="portrait"/>
          <w:cols w:equalWidth="0" w:num="1">
            <w:col w:w="11340"/>
          </w:cols>
          <w:pgMar w:left="240" w:top="459" w:right="319" w:bottom="1440" w:gutter="0" w:footer="0" w:header="0"/>
          <w:type w:val="continuous"/>
        </w:sectPr>
      </w:pPr>
    </w:p>
    <w:bookmarkStart w:id="16" w:name="page17"/>
    <w:bookmarkEnd w:id="16"/>
    <w:p>
      <w:pPr>
        <w:spacing w:after="0"/>
        <w:rPr>
          <w:rFonts w:ascii="Arial" w:cs="Arial" w:eastAsia="Arial" w:hAnsi="Arial"/>
          <w:sz w:val="16"/>
          <w:szCs w:val="16"/>
          <w:b w:val="1"/>
          <w:bCs w:val="1"/>
          <w:u w:val="single" w:color="auto"/>
          <w:color w:val="0000EE"/>
        </w:rPr>
      </w:pPr>
      <w:r>
        <w:rPr>
          <w:rFonts w:ascii="Arial" w:cs="Arial" w:eastAsia="Arial" w:hAnsi="Arial"/>
          <w:sz w:val="16"/>
          <w:szCs w:val="16"/>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4">
        <w:r>
          <w:rPr>
            <w:rFonts w:ascii="Arial" w:cs="Arial" w:eastAsia="Arial" w:hAnsi="Arial"/>
            <w:sz w:val="16"/>
            <w:szCs w:val="16"/>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2715260</wp:posOffset>
            </wp:positionH>
            <wp:positionV relativeFrom="paragraph">
              <wp:posOffset>220345</wp:posOffset>
            </wp:positionV>
            <wp:extent cx="1826895" cy="20574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1826895" cy="20574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73"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John P. Reilly</w:t>
      </w:r>
    </w:p>
    <w:p>
      <w:pPr>
        <w:sectPr>
          <w:pgSz w:w="11900" w:h="16838" w:orient="portrait"/>
          <w:cols w:equalWidth="0" w:num="1">
            <w:col w:w="11420"/>
          </w:cols>
          <w:pgMar w:left="240" w:top="459" w:right="239" w:bottom="1440" w:gutter="0" w:footer="0" w:header="0"/>
        </w:sectPr>
      </w:pPr>
    </w:p>
    <w:p>
      <w:pPr>
        <w:spacing w:after="0" w:line="230" w:lineRule="exact"/>
        <w:rPr>
          <w:sz w:val="20"/>
          <w:szCs w:val="20"/>
          <w:color w:val="auto"/>
        </w:rPr>
      </w:pPr>
    </w:p>
    <w:p>
      <w:pPr>
        <w:spacing w:after="0"/>
        <w:rPr>
          <w:sz w:val="20"/>
          <w:szCs w:val="20"/>
          <w:color w:val="auto"/>
        </w:rPr>
      </w:pPr>
      <w:r>
        <w:rPr>
          <w:rFonts w:ascii="Arial" w:cs="Arial" w:eastAsia="Arial" w:hAnsi="Arial"/>
          <w:sz w:val="16"/>
          <w:szCs w:val="16"/>
          <w:color w:val="auto"/>
        </w:rPr>
        <w:t>Term:</w:t>
      </w:r>
    </w:p>
    <w:p>
      <w:pPr>
        <w:spacing w:after="0" w:line="20" w:lineRule="exact"/>
        <w:rPr>
          <w:sz w:val="20"/>
          <w:szCs w:val="20"/>
          <w:color w:val="auto"/>
        </w:rPr>
      </w:pPr>
      <w:r>
        <w:rPr>
          <w:sz w:val="20"/>
          <w:szCs w:val="20"/>
          <w:color w:val="auto"/>
        </w:rPr>
        <w:br w:type="column"/>
      </w:r>
    </w:p>
    <w:p>
      <w:pPr>
        <w:spacing w:after="0" w:line="210" w:lineRule="exact"/>
        <w:rPr>
          <w:sz w:val="20"/>
          <w:szCs w:val="20"/>
          <w:color w:val="auto"/>
        </w:rPr>
      </w:pPr>
    </w:p>
    <w:p>
      <w:pPr>
        <w:spacing w:after="0"/>
        <w:rPr>
          <w:sz w:val="20"/>
          <w:szCs w:val="20"/>
          <w:color w:val="auto"/>
        </w:rPr>
      </w:pPr>
      <w:r>
        <w:rPr>
          <w:rFonts w:ascii="Arial" w:cs="Arial" w:eastAsia="Arial" w:hAnsi="Arial"/>
          <w:sz w:val="17"/>
          <w:szCs w:val="17"/>
          <w:color w:val="auto"/>
        </w:rPr>
        <w:t>Expires in 2018; Director since 2014.</w:t>
      </w:r>
    </w:p>
    <w:p>
      <w:pPr>
        <w:spacing w:after="0" w:line="163" w:lineRule="exact"/>
        <w:rPr>
          <w:sz w:val="20"/>
          <w:szCs w:val="20"/>
          <w:color w:val="auto"/>
        </w:rPr>
      </w:pPr>
    </w:p>
    <w:p>
      <w:pPr>
        <w:sectPr>
          <w:pgSz w:w="11900" w:h="16838" w:orient="portrait"/>
          <w:cols w:equalWidth="0" w:num="2">
            <w:col w:w="2020" w:space="720"/>
            <w:col w:w="8680"/>
          </w:cols>
          <w:pgMar w:left="240" w:top="459" w:right="239" w:bottom="1440" w:gutter="0" w:footer="0" w:header="0"/>
          <w:type w:val="continuous"/>
        </w:sectPr>
      </w:pPr>
    </w:p>
    <w:p>
      <w:pPr>
        <w:spacing w:after="0"/>
        <w:rPr>
          <w:sz w:val="20"/>
          <w:szCs w:val="20"/>
          <w:color w:val="auto"/>
        </w:rPr>
      </w:pPr>
      <w:r>
        <w:rPr>
          <w:rFonts w:ascii="Arial" w:cs="Arial" w:eastAsia="Arial" w:hAnsi="Arial"/>
          <w:sz w:val="17"/>
          <w:szCs w:val="17"/>
          <w:color w:val="auto"/>
        </w:rPr>
        <w:t>Business Experience and</w:t>
      </w:r>
    </w:p>
    <w:p>
      <w:pPr>
        <w:spacing w:after="0"/>
        <w:rPr>
          <w:sz w:val="20"/>
          <w:szCs w:val="20"/>
          <w:color w:val="auto"/>
        </w:rPr>
      </w:pPr>
      <w:r>
        <w:rPr>
          <w:rFonts w:ascii="Arial" w:cs="Arial" w:eastAsia="Arial" w:hAnsi="Arial"/>
          <w:sz w:val="17"/>
          <w:szCs w:val="17"/>
          <w:color w:val="auto"/>
        </w:rPr>
        <w:t>Director Qualifications:</w:t>
      </w:r>
    </w:p>
    <w:p>
      <w:pPr>
        <w:spacing w:after="0" w:line="20" w:lineRule="exact"/>
        <w:rPr>
          <w:sz w:val="20"/>
          <w:szCs w:val="20"/>
          <w:color w:val="auto"/>
        </w:rPr>
      </w:pPr>
      <w:r>
        <w:rPr>
          <w:sz w:val="20"/>
          <w:szCs w:val="20"/>
          <w:color w:val="auto"/>
        </w:rPr>
        <w:br w:type="column"/>
      </w:r>
    </w:p>
    <w:p>
      <w:pPr>
        <w:ind w:right="220"/>
        <w:spacing w:after="0" w:line="235" w:lineRule="auto"/>
        <w:rPr>
          <w:sz w:val="20"/>
          <w:szCs w:val="20"/>
          <w:color w:val="auto"/>
        </w:rPr>
      </w:pPr>
      <w:r>
        <w:rPr>
          <w:rFonts w:ascii="Arial" w:cs="Arial" w:eastAsia="Arial" w:hAnsi="Arial"/>
          <w:sz w:val="17"/>
          <w:szCs w:val="17"/>
          <w:color w:val="auto"/>
        </w:rPr>
        <w:t>Mr. Reilly served as the Chairman, President and Chief Executive Officer of Figgie International, an international diversified operating company, until 1998. He has more than 30 years of experience in the automotive industry, where he served as President and Chief Executive Officer of several automotive suppliers, including Stant Corporation and Tenneco Automotive. He also held leadership positions at Chrysler Corporation and Navistar International and served as President of Brunswick Corporation.</w:t>
      </w:r>
    </w:p>
    <w:p>
      <w:pPr>
        <w:spacing w:after="0" w:line="200" w:lineRule="exact"/>
        <w:rPr>
          <w:sz w:val="20"/>
          <w:szCs w:val="20"/>
          <w:color w:val="auto"/>
        </w:rPr>
      </w:pPr>
    </w:p>
    <w:p>
      <w:pPr>
        <w:sectPr>
          <w:pgSz w:w="11900" w:h="16838" w:orient="portrait"/>
          <w:cols w:equalWidth="0" w:num="2">
            <w:col w:w="2020" w:space="720"/>
            <w:col w:w="8680"/>
          </w:cols>
          <w:pgMar w:left="240" w:top="459" w:right="239" w:bottom="1440" w:gutter="0" w:footer="0" w:header="0"/>
          <w:type w:val="continuous"/>
        </w:sectPr>
      </w:pPr>
    </w:p>
    <w:p>
      <w:pPr>
        <w:spacing w:after="0" w:line="31" w:lineRule="exact"/>
        <w:rPr>
          <w:sz w:val="20"/>
          <w:szCs w:val="20"/>
          <w:color w:val="auto"/>
        </w:rPr>
      </w:pPr>
    </w:p>
    <w:p>
      <w:pPr>
        <w:ind w:left="2740"/>
        <w:spacing w:after="0" w:line="234" w:lineRule="auto"/>
        <w:rPr>
          <w:sz w:val="20"/>
          <w:szCs w:val="20"/>
          <w:color w:val="auto"/>
        </w:rPr>
      </w:pPr>
      <w:r>
        <w:rPr>
          <w:rFonts w:ascii="Arial" w:cs="Arial" w:eastAsia="Arial" w:hAnsi="Arial"/>
          <w:sz w:val="17"/>
          <w:szCs w:val="17"/>
          <w:color w:val="auto"/>
        </w:rPr>
        <w:t>Mr. Reilly brings to our Board the benefits of his extensive automotive industry experience and provides the Board with valuable insight in a significant market for the Company. Based on his 40 years of successful executive leadership with Figgie International, Stant Corporation and Tenneco Automotive, Mr. Reilly is also able to help guide the Board in making strategic and business decisions. Mr. Reilly has served as the Company’s Lead Director since the separation of the Company from The Timken Company. Mr. Reilly brings his perspective and prior experience as non-executive Chairman of another corporate board, as well as his experience as a member of the Audit and Compensation Committees of The Timken Company.</w:t>
      </w:r>
    </w:p>
    <w:p>
      <w:pPr>
        <w:sectPr>
          <w:pgSz w:w="11900" w:h="16838" w:orient="portrait"/>
          <w:cols w:equalWidth="0" w:num="1">
            <w:col w:w="11420"/>
          </w:cols>
          <w:pgMar w:left="240" w:top="459" w:right="239" w:bottom="1440" w:gutter="0" w:footer="0" w:header="0"/>
          <w:type w:val="continuous"/>
        </w:sectPr>
      </w:pPr>
    </w:p>
    <w:p>
      <w:pPr>
        <w:spacing w:after="0" w:line="178" w:lineRule="exact"/>
        <w:rPr>
          <w:sz w:val="20"/>
          <w:szCs w:val="20"/>
          <w:color w:val="auto"/>
        </w:rPr>
      </w:pPr>
    </w:p>
    <w:p>
      <w:pPr>
        <w:spacing w:after="0"/>
        <w:rPr>
          <w:sz w:val="20"/>
          <w:szCs w:val="20"/>
          <w:color w:val="auto"/>
        </w:rPr>
      </w:pPr>
      <w:r>
        <w:rPr>
          <w:rFonts w:ascii="Arial" w:cs="Arial" w:eastAsia="Arial" w:hAnsi="Arial"/>
          <w:sz w:val="17"/>
          <w:szCs w:val="17"/>
          <w:color w:val="auto"/>
        </w:rPr>
        <w:t>Other Directorships:</w:t>
      </w:r>
    </w:p>
    <w:p>
      <w:pPr>
        <w:spacing w:after="0" w:line="20" w:lineRule="exact"/>
        <w:rPr>
          <w:sz w:val="20"/>
          <w:szCs w:val="20"/>
          <w:color w:val="auto"/>
        </w:rPr>
      </w:pPr>
      <w:r>
        <w:rPr>
          <w:sz w:val="20"/>
          <w:szCs w:val="20"/>
          <w:color w:val="auto"/>
        </w:rPr>
        <w:br w:type="column"/>
      </w:r>
    </w:p>
    <w:p>
      <w:pPr>
        <w:spacing w:after="0" w:line="158" w:lineRule="exact"/>
        <w:rPr>
          <w:sz w:val="20"/>
          <w:szCs w:val="20"/>
          <w:color w:val="auto"/>
        </w:rPr>
      </w:pPr>
    </w:p>
    <w:p>
      <w:pPr>
        <w:ind w:right="600"/>
        <w:spacing w:after="0" w:line="238" w:lineRule="auto"/>
        <w:rPr>
          <w:sz w:val="20"/>
          <w:szCs w:val="20"/>
          <w:color w:val="auto"/>
        </w:rPr>
      </w:pPr>
      <w:r>
        <w:rPr>
          <w:rFonts w:ascii="Arial" w:cs="Arial" w:eastAsia="Arial" w:hAnsi="Arial"/>
          <w:sz w:val="17"/>
          <w:szCs w:val="17"/>
          <w:color w:val="auto"/>
        </w:rPr>
        <w:t>Mr. Reilly serves as a Director of The Timken Company, where he has served as a member of the Board of Directors since 2006. Mr. Reilly previously served as a Director and non-executive Chairman of Exide Technologies from 2004 to 2015, and as a Director of Material Sciences Corporation from 2004 to 2014.</w:t>
      </w:r>
    </w:p>
    <w:p>
      <w:pPr>
        <w:spacing w:after="0" w:line="161" w:lineRule="exact"/>
        <w:rPr>
          <w:sz w:val="20"/>
          <w:szCs w:val="20"/>
          <w:color w:val="auto"/>
        </w:rPr>
      </w:pPr>
    </w:p>
    <w:p>
      <w:pPr>
        <w:sectPr>
          <w:pgSz w:w="11900" w:h="16838" w:orient="portrait"/>
          <w:cols w:equalWidth="0" w:num="2">
            <w:col w:w="2020" w:space="720"/>
            <w:col w:w="8680"/>
          </w:cols>
          <w:pgMar w:left="240" w:top="459" w:right="239" w:bottom="1440" w:gutter="0" w:footer="0" w:header="0"/>
          <w:type w:val="continuous"/>
        </w:sectPr>
      </w:pPr>
    </w:p>
    <w:p>
      <w:pPr>
        <w:spacing w:after="0"/>
        <w:rPr>
          <w:sz w:val="20"/>
          <w:szCs w:val="20"/>
          <w:color w:val="auto"/>
        </w:rPr>
      </w:pPr>
      <w:r>
        <w:rPr>
          <w:rFonts w:ascii="Arial" w:cs="Arial" w:eastAsia="Arial" w:hAnsi="Arial"/>
          <w:sz w:val="17"/>
          <w:szCs w:val="17"/>
          <w:color w:val="auto"/>
        </w:rPr>
        <w:t>Committees:</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7"/>
          <w:szCs w:val="17"/>
          <w:color w:val="auto"/>
        </w:rPr>
        <w:t>Nominating and Corporate Governance Committee (Chair) and Audit Committee.</w:t>
      </w:r>
    </w:p>
    <w:p>
      <w:pPr>
        <w:spacing w:after="0" w:line="169" w:lineRule="exact"/>
        <w:rPr>
          <w:sz w:val="20"/>
          <w:szCs w:val="20"/>
          <w:color w:val="auto"/>
        </w:rPr>
      </w:pPr>
    </w:p>
    <w:p>
      <w:pPr>
        <w:sectPr>
          <w:pgSz w:w="11900" w:h="16838" w:orient="portrait"/>
          <w:cols w:equalWidth="0" w:num="2">
            <w:col w:w="2020" w:space="720"/>
            <w:col w:w="8680"/>
          </w:cols>
          <w:pgMar w:left="240" w:top="459" w:right="239" w:bottom="1440" w:gutter="0" w:footer="0" w:header="0"/>
          <w:type w:val="continuous"/>
        </w:sectPr>
      </w:pPr>
    </w:p>
    <w:p>
      <w:pPr>
        <w:spacing w:after="0"/>
        <w:rPr>
          <w:sz w:val="20"/>
          <w:szCs w:val="20"/>
          <w:color w:val="auto"/>
        </w:rPr>
      </w:pPr>
      <w:r>
        <w:rPr>
          <w:rFonts w:ascii="Arial" w:cs="Arial" w:eastAsia="Arial" w:hAnsi="Arial"/>
          <w:sz w:val="17"/>
          <w:szCs w:val="17"/>
          <w:color w:val="auto"/>
        </w:rPr>
        <w:t>Age:</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7"/>
          <w:szCs w:val="17"/>
          <w:color w:val="auto"/>
        </w:rPr>
        <w:t>72</w:t>
      </w:r>
    </w:p>
    <w:p>
      <w:pPr>
        <w:spacing w:after="0" w:line="153" w:lineRule="exact"/>
        <w:rPr>
          <w:sz w:val="20"/>
          <w:szCs w:val="20"/>
          <w:color w:val="auto"/>
        </w:rPr>
      </w:pPr>
    </w:p>
    <w:p>
      <w:pPr>
        <w:sectPr>
          <w:pgSz w:w="11900" w:h="16838" w:orient="portrait"/>
          <w:cols w:equalWidth="0" w:num="2">
            <w:col w:w="2020" w:space="720"/>
            <w:col w:w="8680"/>
          </w:cols>
          <w:pgMar w:left="240" w:top="459" w:right="239" w:bottom="1440" w:gutter="0" w:footer="0" w:header="0"/>
          <w:type w:val="continuous"/>
        </w:sectPr>
      </w:pPr>
    </w:p>
    <w:p>
      <w:pPr>
        <w:ind w:left="11180"/>
        <w:spacing w:after="0"/>
        <w:rPr>
          <w:sz w:val="20"/>
          <w:szCs w:val="20"/>
          <w:color w:val="auto"/>
        </w:rPr>
      </w:pPr>
      <w:r>
        <w:rPr>
          <w:rFonts w:ascii="Arial" w:cs="Arial" w:eastAsia="Arial" w:hAnsi="Arial"/>
          <w:sz w:val="14"/>
          <w:szCs w:val="14"/>
          <w:color w:val="auto"/>
        </w:rPr>
        <w:t>11</w:t>
      </w:r>
    </w:p>
    <w:p>
      <w:pPr>
        <w:sectPr>
          <w:pgSz w:w="11900" w:h="16838" w:orient="portrait"/>
          <w:cols w:equalWidth="0" w:num="1">
            <w:col w:w="11420"/>
          </w:cols>
          <w:pgMar w:left="240" w:top="459" w:right="239" w:bottom="1440" w:gutter="0" w:footer="0" w:header="0"/>
          <w:type w:val="continuous"/>
        </w:sectPr>
      </w:pPr>
    </w:p>
    <w:bookmarkStart w:id="17" w:name="page18"/>
    <w:bookmarkEnd w:id="1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3109595</wp:posOffset>
            </wp:positionH>
            <wp:positionV relativeFrom="paragraph">
              <wp:posOffset>205740</wp:posOffset>
            </wp:positionV>
            <wp:extent cx="1046480" cy="20574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extLst>
                    </a:blip>
                    <a:srcRect/>
                    <a:stretch>
                      <a:fillRect/>
                    </a:stretch>
                  </pic:blipFill>
                  <pic:spPr bwMode="auto">
                    <a:xfrm>
                      <a:off x="0" y="0"/>
                      <a:ext cx="1046480" cy="20574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50"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Ward J. Timken, Jr.</w:t>
      </w:r>
    </w:p>
    <w:p>
      <w:pPr>
        <w:sectPr>
          <w:pgSz w:w="11900" w:h="16838" w:orient="portrait"/>
          <w:cols w:equalWidth="0" w:num="1">
            <w:col w:w="11420"/>
          </w:cols>
          <w:pgMar w:left="240" w:top="459" w:right="239" w:bottom="1440" w:gutter="0" w:footer="0" w:header="0"/>
        </w:sectPr>
      </w:pPr>
    </w:p>
    <w:p>
      <w:pPr>
        <w:spacing w:after="0" w:line="230" w:lineRule="exact"/>
        <w:rPr>
          <w:sz w:val="20"/>
          <w:szCs w:val="20"/>
          <w:color w:val="auto"/>
        </w:rPr>
      </w:pPr>
    </w:p>
    <w:p>
      <w:pPr>
        <w:spacing w:after="0"/>
        <w:rPr>
          <w:sz w:val="20"/>
          <w:szCs w:val="20"/>
          <w:color w:val="auto"/>
        </w:rPr>
      </w:pPr>
      <w:r>
        <w:rPr>
          <w:rFonts w:ascii="Arial" w:cs="Arial" w:eastAsia="Arial" w:hAnsi="Arial"/>
          <w:sz w:val="16"/>
          <w:szCs w:val="16"/>
          <w:color w:val="auto"/>
        </w:rPr>
        <w:t>Term:</w:t>
      </w:r>
    </w:p>
    <w:p>
      <w:pPr>
        <w:spacing w:after="0" w:line="20" w:lineRule="exact"/>
        <w:rPr>
          <w:sz w:val="20"/>
          <w:szCs w:val="20"/>
          <w:color w:val="auto"/>
        </w:rPr>
      </w:pPr>
      <w:r>
        <w:rPr>
          <w:sz w:val="20"/>
          <w:szCs w:val="20"/>
          <w:color w:val="auto"/>
        </w:rPr>
        <w:br w:type="column"/>
      </w:r>
    </w:p>
    <w:p>
      <w:pPr>
        <w:spacing w:after="0" w:line="210" w:lineRule="exact"/>
        <w:rPr>
          <w:sz w:val="20"/>
          <w:szCs w:val="20"/>
          <w:color w:val="auto"/>
        </w:rPr>
      </w:pPr>
    </w:p>
    <w:p>
      <w:pPr>
        <w:spacing w:after="0"/>
        <w:rPr>
          <w:sz w:val="20"/>
          <w:szCs w:val="20"/>
          <w:color w:val="auto"/>
        </w:rPr>
      </w:pPr>
      <w:r>
        <w:rPr>
          <w:rFonts w:ascii="Arial" w:cs="Arial" w:eastAsia="Arial" w:hAnsi="Arial"/>
          <w:sz w:val="17"/>
          <w:szCs w:val="17"/>
          <w:color w:val="auto"/>
        </w:rPr>
        <w:t>Expires in 2017; Director since 2014.</w:t>
      </w:r>
    </w:p>
    <w:p>
      <w:pPr>
        <w:spacing w:after="0" w:line="163" w:lineRule="exact"/>
        <w:rPr>
          <w:sz w:val="20"/>
          <w:szCs w:val="20"/>
          <w:color w:val="auto"/>
        </w:rPr>
      </w:pPr>
    </w:p>
    <w:p>
      <w:pPr>
        <w:sectPr>
          <w:pgSz w:w="11900" w:h="16838" w:orient="portrait"/>
          <w:cols w:equalWidth="0" w:num="2">
            <w:col w:w="2020" w:space="720"/>
            <w:col w:w="8680"/>
          </w:cols>
          <w:pgMar w:left="240" w:top="459" w:right="239" w:bottom="1440" w:gutter="0" w:footer="0" w:header="0"/>
          <w:type w:val="continuous"/>
        </w:sectPr>
      </w:pPr>
    </w:p>
    <w:p>
      <w:pPr>
        <w:spacing w:after="0"/>
        <w:rPr>
          <w:sz w:val="20"/>
          <w:szCs w:val="20"/>
          <w:color w:val="auto"/>
        </w:rPr>
      </w:pPr>
      <w:r>
        <w:rPr>
          <w:rFonts w:ascii="Arial" w:cs="Arial" w:eastAsia="Arial" w:hAnsi="Arial"/>
          <w:sz w:val="17"/>
          <w:szCs w:val="17"/>
          <w:color w:val="auto"/>
        </w:rPr>
        <w:t>Business Experience and</w:t>
      </w:r>
    </w:p>
    <w:p>
      <w:pPr>
        <w:spacing w:after="0"/>
        <w:rPr>
          <w:sz w:val="20"/>
          <w:szCs w:val="20"/>
          <w:color w:val="auto"/>
        </w:rPr>
      </w:pPr>
      <w:r>
        <w:rPr>
          <w:rFonts w:ascii="Arial" w:cs="Arial" w:eastAsia="Arial" w:hAnsi="Arial"/>
          <w:sz w:val="17"/>
          <w:szCs w:val="17"/>
          <w:color w:val="auto"/>
        </w:rPr>
        <w:t>Director Qualifications:</w:t>
      </w:r>
    </w:p>
    <w:p>
      <w:pPr>
        <w:spacing w:after="0" w:line="20" w:lineRule="exact"/>
        <w:rPr>
          <w:sz w:val="20"/>
          <w:szCs w:val="20"/>
          <w:color w:val="auto"/>
        </w:rPr>
      </w:pPr>
      <w:r>
        <w:rPr>
          <w:sz w:val="20"/>
          <w:szCs w:val="20"/>
          <w:color w:val="auto"/>
        </w:rPr>
        <w:br w:type="column"/>
      </w:r>
    </w:p>
    <w:p>
      <w:pPr>
        <w:ind w:right="40"/>
        <w:spacing w:after="0" w:line="234" w:lineRule="auto"/>
        <w:rPr>
          <w:sz w:val="20"/>
          <w:szCs w:val="20"/>
          <w:color w:val="auto"/>
        </w:rPr>
      </w:pPr>
      <w:r>
        <w:rPr>
          <w:rFonts w:ascii="Arial" w:cs="Arial" w:eastAsia="Arial" w:hAnsi="Arial"/>
          <w:sz w:val="17"/>
          <w:szCs w:val="17"/>
          <w:color w:val="auto"/>
        </w:rPr>
        <w:t>Mr. Timken is the Chairman, Chief Executive Officer and President of TimkenSteel Corporation, a role he assumed in connection with the spinoff of TimkenSteel from The Timken Company in June 2014. Prior to being named as TimkenSteel’s Chairman, CEO and President, Mr. Timken served as a Director of The Timken Company beginning in 2002 (a position which he still holds) and as Chairman of the Board of Directors of The Timken Company from 2005 until mid-2014. Previously, Mr. Timken was President of The Timken Company’s steel business from 2004 to 2005, Corporate Vice President of The Timken Company from 2000 to 2003 and held key leadership positions in The Timken Company’s European and Latin American businesses from 1992 to 2000. Prior to joining The Timken Company, Mr. Timken opened and managed the Washington, D.C. office of McGough &amp; Associates, a Columbus, Ohio-based government affairs consulting firm.</w:t>
      </w:r>
    </w:p>
    <w:p>
      <w:pPr>
        <w:spacing w:after="0" w:line="200" w:lineRule="exact"/>
        <w:rPr>
          <w:sz w:val="20"/>
          <w:szCs w:val="20"/>
          <w:color w:val="auto"/>
        </w:rPr>
      </w:pPr>
    </w:p>
    <w:p>
      <w:pPr>
        <w:sectPr>
          <w:pgSz w:w="11900" w:h="16838" w:orient="portrait"/>
          <w:cols w:equalWidth="0" w:num="2">
            <w:col w:w="2020" w:space="720"/>
            <w:col w:w="8680"/>
          </w:cols>
          <w:pgMar w:left="240" w:top="459" w:right="239" w:bottom="1440" w:gutter="0" w:footer="0" w:header="0"/>
          <w:type w:val="continuous"/>
        </w:sectPr>
      </w:pPr>
    </w:p>
    <w:p>
      <w:pPr>
        <w:spacing w:after="0" w:line="29" w:lineRule="exact"/>
        <w:rPr>
          <w:sz w:val="20"/>
          <w:szCs w:val="20"/>
          <w:color w:val="auto"/>
        </w:rPr>
      </w:pPr>
    </w:p>
    <w:p>
      <w:pPr>
        <w:ind w:left="2740"/>
        <w:spacing w:after="0" w:line="234" w:lineRule="auto"/>
        <w:rPr>
          <w:sz w:val="20"/>
          <w:szCs w:val="20"/>
          <w:color w:val="auto"/>
        </w:rPr>
      </w:pPr>
      <w:r>
        <w:rPr>
          <w:rFonts w:ascii="Arial" w:cs="Arial" w:eastAsia="Arial" w:hAnsi="Arial"/>
          <w:sz w:val="17"/>
          <w:szCs w:val="17"/>
          <w:color w:val="auto"/>
        </w:rPr>
        <w:t>Mr. Timken provides TimkenSteel’s Board of Directors with relevant experience from having served in several key leadership positions during his previous tenure with The Timken Company. As President of the steel business at The Timken Company, Mr. Timken led the business to record levels of profitability, and as Corporate Vice President, he was responsible for strategy development, including leading The Timken Company’s diversification efforts in its Process Industries segment. Mr. Timken’s broad-based experience, along with his deep understanding of the global industry dynamics across TimkenSteel’s markets, allow him to play a key role in all matters involving TimkenSteel’s Board of Directors.</w:t>
      </w:r>
    </w:p>
    <w:p>
      <w:pPr>
        <w:sectPr>
          <w:pgSz w:w="11900" w:h="16838" w:orient="portrait"/>
          <w:cols w:equalWidth="0" w:num="1">
            <w:col w:w="11420"/>
          </w:cols>
          <w:pgMar w:left="240" w:top="459" w:right="239" w:bottom="1440" w:gutter="0" w:footer="0" w:header="0"/>
          <w:type w:val="continuous"/>
        </w:sectPr>
      </w:pPr>
    </w:p>
    <w:p>
      <w:pPr>
        <w:spacing w:after="0" w:line="178" w:lineRule="exact"/>
        <w:rPr>
          <w:sz w:val="20"/>
          <w:szCs w:val="20"/>
          <w:color w:val="auto"/>
        </w:rPr>
      </w:pPr>
    </w:p>
    <w:p>
      <w:pPr>
        <w:spacing w:after="0"/>
        <w:rPr>
          <w:sz w:val="20"/>
          <w:szCs w:val="20"/>
          <w:color w:val="auto"/>
        </w:rPr>
      </w:pPr>
      <w:r>
        <w:rPr>
          <w:rFonts w:ascii="Arial" w:cs="Arial" w:eastAsia="Arial" w:hAnsi="Arial"/>
          <w:sz w:val="17"/>
          <w:szCs w:val="17"/>
          <w:color w:val="auto"/>
        </w:rPr>
        <w:t>Other Directorships:</w:t>
      </w:r>
    </w:p>
    <w:p>
      <w:pPr>
        <w:spacing w:after="0" w:line="20" w:lineRule="exact"/>
        <w:rPr>
          <w:sz w:val="20"/>
          <w:szCs w:val="20"/>
          <w:color w:val="auto"/>
        </w:rPr>
      </w:pPr>
      <w:r>
        <w:rPr>
          <w:sz w:val="20"/>
          <w:szCs w:val="20"/>
          <w:color w:val="auto"/>
        </w:rPr>
        <w:br w:type="column"/>
      </w:r>
    </w:p>
    <w:p>
      <w:pPr>
        <w:spacing w:after="0" w:line="158" w:lineRule="exact"/>
        <w:rPr>
          <w:sz w:val="20"/>
          <w:szCs w:val="20"/>
          <w:color w:val="auto"/>
        </w:rPr>
      </w:pPr>
    </w:p>
    <w:p>
      <w:pPr>
        <w:spacing w:after="0"/>
        <w:rPr>
          <w:sz w:val="20"/>
          <w:szCs w:val="20"/>
          <w:color w:val="auto"/>
        </w:rPr>
      </w:pPr>
      <w:r>
        <w:rPr>
          <w:rFonts w:ascii="Arial" w:cs="Arial" w:eastAsia="Arial" w:hAnsi="Arial"/>
          <w:sz w:val="17"/>
          <w:szCs w:val="17"/>
          <w:color w:val="auto"/>
        </w:rPr>
        <w:t>Mr. Timken also is a member of the Board of Directors of The Timken Company, where he has served since 2002.</w:t>
      </w:r>
    </w:p>
    <w:p>
      <w:pPr>
        <w:spacing w:after="0" w:line="169" w:lineRule="exact"/>
        <w:rPr>
          <w:sz w:val="20"/>
          <w:szCs w:val="20"/>
          <w:color w:val="auto"/>
        </w:rPr>
      </w:pPr>
    </w:p>
    <w:p>
      <w:pPr>
        <w:sectPr>
          <w:pgSz w:w="11900" w:h="16838" w:orient="portrait"/>
          <w:cols w:equalWidth="0" w:num="2">
            <w:col w:w="2020" w:space="720"/>
            <w:col w:w="8680"/>
          </w:cols>
          <w:pgMar w:left="240" w:top="459" w:right="239" w:bottom="1440" w:gutter="0" w:footer="0" w:header="0"/>
          <w:type w:val="continuous"/>
        </w:sectPr>
      </w:pPr>
    </w:p>
    <w:p>
      <w:pPr>
        <w:spacing w:after="0"/>
        <w:rPr>
          <w:sz w:val="20"/>
          <w:szCs w:val="20"/>
          <w:color w:val="auto"/>
        </w:rPr>
      </w:pPr>
      <w:r>
        <w:rPr>
          <w:rFonts w:ascii="Arial" w:cs="Arial" w:eastAsia="Arial" w:hAnsi="Arial"/>
          <w:sz w:val="17"/>
          <w:szCs w:val="17"/>
          <w:color w:val="auto"/>
        </w:rPr>
        <w:t>Committees:</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7"/>
          <w:szCs w:val="17"/>
          <w:color w:val="auto"/>
        </w:rPr>
        <w:t>None.</w:t>
      </w:r>
    </w:p>
    <w:p>
      <w:pPr>
        <w:spacing w:after="0" w:line="169" w:lineRule="exact"/>
        <w:rPr>
          <w:sz w:val="20"/>
          <w:szCs w:val="20"/>
          <w:color w:val="auto"/>
        </w:rPr>
      </w:pPr>
    </w:p>
    <w:p>
      <w:pPr>
        <w:sectPr>
          <w:pgSz w:w="11900" w:h="16838" w:orient="portrait"/>
          <w:cols w:equalWidth="0" w:num="2">
            <w:col w:w="2020" w:space="720"/>
            <w:col w:w="8680"/>
          </w:cols>
          <w:pgMar w:left="240" w:top="459" w:right="239" w:bottom="1440" w:gutter="0" w:footer="0" w:header="0"/>
          <w:type w:val="continuous"/>
        </w:sectPr>
      </w:pPr>
    </w:p>
    <w:p>
      <w:pPr>
        <w:spacing w:after="0"/>
        <w:rPr>
          <w:sz w:val="20"/>
          <w:szCs w:val="20"/>
          <w:color w:val="auto"/>
        </w:rPr>
      </w:pPr>
      <w:r>
        <w:rPr>
          <w:rFonts w:ascii="Arial" w:cs="Arial" w:eastAsia="Arial" w:hAnsi="Arial"/>
          <w:sz w:val="17"/>
          <w:szCs w:val="17"/>
          <w:color w:val="auto"/>
        </w:rPr>
        <w:t>Age:</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7"/>
          <w:szCs w:val="17"/>
          <w:color w:val="auto"/>
        </w:rPr>
        <w:t>48</w:t>
      </w:r>
    </w:p>
    <w:p>
      <w:pPr>
        <w:spacing w:after="0" w:line="153" w:lineRule="exact"/>
        <w:rPr>
          <w:sz w:val="20"/>
          <w:szCs w:val="20"/>
          <w:color w:val="auto"/>
        </w:rPr>
      </w:pPr>
    </w:p>
    <w:p>
      <w:pPr>
        <w:sectPr>
          <w:pgSz w:w="11900" w:h="16838" w:orient="portrait"/>
          <w:cols w:equalWidth="0" w:num="2">
            <w:col w:w="2020" w:space="720"/>
            <w:col w:w="8680"/>
          </w:cols>
          <w:pgMar w:left="240" w:top="459" w:right="239" w:bottom="1440" w:gutter="0" w:footer="0" w:header="0"/>
          <w:type w:val="continuous"/>
        </w:sectPr>
      </w:pPr>
    </w:p>
    <w:p>
      <w:pPr>
        <w:spacing w:after="0"/>
        <w:rPr>
          <w:sz w:val="20"/>
          <w:szCs w:val="20"/>
          <w:color w:val="auto"/>
        </w:rPr>
      </w:pPr>
      <w:r>
        <w:rPr>
          <w:rFonts w:ascii="Arial" w:cs="Arial" w:eastAsia="Arial" w:hAnsi="Arial"/>
          <w:sz w:val="14"/>
          <w:szCs w:val="14"/>
          <w:color w:val="auto"/>
        </w:rPr>
        <w:t>12</w:t>
      </w:r>
    </w:p>
    <w:p>
      <w:pPr>
        <w:sectPr>
          <w:pgSz w:w="11900" w:h="16838" w:orient="portrait"/>
          <w:cols w:equalWidth="0" w:num="1">
            <w:col w:w="11420"/>
          </w:cols>
          <w:pgMar w:left="240" w:top="459" w:right="239" w:bottom="1440" w:gutter="0" w:footer="0" w:header="0"/>
          <w:type w:val="continuous"/>
        </w:sectPr>
      </w:pPr>
    </w:p>
    <w:bookmarkStart w:id="18" w:name="page19"/>
    <w:bookmarkEnd w:id="1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2715260</wp:posOffset>
            </wp:positionH>
            <wp:positionV relativeFrom="paragraph">
              <wp:posOffset>205740</wp:posOffset>
            </wp:positionV>
            <wp:extent cx="1826895" cy="20574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extLst>
                    </a:blip>
                    <a:srcRect/>
                    <a:stretch>
                      <a:fillRect/>
                    </a:stretch>
                  </pic:blipFill>
                  <pic:spPr bwMode="auto">
                    <a:xfrm>
                      <a:off x="0" y="0"/>
                      <a:ext cx="1826895" cy="20574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50"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Randall A. Wotring</w:t>
      </w:r>
    </w:p>
    <w:p>
      <w:pPr>
        <w:sectPr>
          <w:pgSz w:w="11900" w:h="16838" w:orient="portrait"/>
          <w:cols w:equalWidth="0" w:num="1">
            <w:col w:w="11400"/>
          </w:cols>
          <w:pgMar w:left="240" w:top="459" w:right="259" w:bottom="1440" w:gutter="0" w:footer="0" w:header="0"/>
        </w:sectPr>
      </w:pPr>
    </w:p>
    <w:p>
      <w:pPr>
        <w:spacing w:after="0" w:line="230" w:lineRule="exact"/>
        <w:rPr>
          <w:sz w:val="20"/>
          <w:szCs w:val="20"/>
          <w:color w:val="auto"/>
        </w:rPr>
      </w:pPr>
    </w:p>
    <w:p>
      <w:pPr>
        <w:spacing w:after="0"/>
        <w:rPr>
          <w:sz w:val="20"/>
          <w:szCs w:val="20"/>
          <w:color w:val="auto"/>
        </w:rPr>
      </w:pPr>
      <w:r>
        <w:rPr>
          <w:rFonts w:ascii="Arial" w:cs="Arial" w:eastAsia="Arial" w:hAnsi="Arial"/>
          <w:sz w:val="16"/>
          <w:szCs w:val="16"/>
          <w:color w:val="auto"/>
        </w:rPr>
        <w:t>Term:</w:t>
      </w:r>
    </w:p>
    <w:p>
      <w:pPr>
        <w:spacing w:after="0" w:line="20" w:lineRule="exact"/>
        <w:rPr>
          <w:sz w:val="20"/>
          <w:szCs w:val="20"/>
          <w:color w:val="auto"/>
        </w:rPr>
      </w:pPr>
      <w:r>
        <w:rPr>
          <w:sz w:val="20"/>
          <w:szCs w:val="20"/>
          <w:color w:val="auto"/>
        </w:rPr>
        <w:br w:type="column"/>
      </w:r>
    </w:p>
    <w:p>
      <w:pPr>
        <w:spacing w:after="0" w:line="210" w:lineRule="exact"/>
        <w:rPr>
          <w:sz w:val="20"/>
          <w:szCs w:val="20"/>
          <w:color w:val="auto"/>
        </w:rPr>
      </w:pPr>
    </w:p>
    <w:p>
      <w:pPr>
        <w:spacing w:after="0"/>
        <w:rPr>
          <w:sz w:val="20"/>
          <w:szCs w:val="20"/>
          <w:color w:val="auto"/>
        </w:rPr>
      </w:pPr>
      <w:r>
        <w:rPr>
          <w:rFonts w:ascii="Arial" w:cs="Arial" w:eastAsia="Arial" w:hAnsi="Arial"/>
          <w:sz w:val="17"/>
          <w:szCs w:val="17"/>
          <w:color w:val="auto"/>
        </w:rPr>
        <w:t>Expires in 2017; Director since 2014.</w:t>
      </w:r>
    </w:p>
    <w:p>
      <w:pPr>
        <w:spacing w:after="0" w:line="163" w:lineRule="exact"/>
        <w:rPr>
          <w:sz w:val="20"/>
          <w:szCs w:val="20"/>
          <w:color w:val="auto"/>
        </w:rPr>
      </w:pPr>
    </w:p>
    <w:p>
      <w:pPr>
        <w:sectPr>
          <w:pgSz w:w="11900" w:h="16838" w:orient="portrait"/>
          <w:cols w:equalWidth="0" w:num="2">
            <w:col w:w="2020" w:space="720"/>
            <w:col w:w="8660"/>
          </w:cols>
          <w:pgMar w:left="240" w:top="459" w:right="259" w:bottom="1440" w:gutter="0" w:footer="0" w:header="0"/>
          <w:type w:val="continuous"/>
        </w:sectPr>
      </w:pPr>
    </w:p>
    <w:p>
      <w:pPr>
        <w:spacing w:after="0"/>
        <w:rPr>
          <w:sz w:val="20"/>
          <w:szCs w:val="20"/>
          <w:color w:val="auto"/>
        </w:rPr>
      </w:pPr>
      <w:r>
        <w:rPr>
          <w:rFonts w:ascii="Arial" w:cs="Arial" w:eastAsia="Arial" w:hAnsi="Arial"/>
          <w:sz w:val="17"/>
          <w:szCs w:val="17"/>
          <w:color w:val="auto"/>
        </w:rPr>
        <w:t>Business Experience and</w:t>
      </w:r>
    </w:p>
    <w:p>
      <w:pPr>
        <w:spacing w:after="0"/>
        <w:rPr>
          <w:sz w:val="20"/>
          <w:szCs w:val="20"/>
          <w:color w:val="auto"/>
        </w:rPr>
      </w:pPr>
      <w:r>
        <w:rPr>
          <w:rFonts w:ascii="Arial" w:cs="Arial" w:eastAsia="Arial" w:hAnsi="Arial"/>
          <w:sz w:val="17"/>
          <w:szCs w:val="17"/>
          <w:color w:val="auto"/>
        </w:rPr>
        <w:t>Director Qualifications:</w:t>
      </w:r>
    </w:p>
    <w:p>
      <w:pPr>
        <w:spacing w:after="0" w:line="20" w:lineRule="exact"/>
        <w:rPr>
          <w:sz w:val="20"/>
          <w:szCs w:val="20"/>
          <w:color w:val="auto"/>
        </w:rPr>
      </w:pPr>
      <w:r>
        <w:rPr>
          <w:sz w:val="20"/>
          <w:szCs w:val="20"/>
          <w:color w:val="auto"/>
        </w:rPr>
        <w:br w:type="column"/>
      </w:r>
    </w:p>
    <w:p>
      <w:pPr>
        <w:ind w:right="20"/>
        <w:spacing w:after="0" w:line="236" w:lineRule="auto"/>
        <w:rPr>
          <w:sz w:val="20"/>
          <w:szCs w:val="20"/>
          <w:color w:val="auto"/>
        </w:rPr>
      </w:pPr>
      <w:r>
        <w:rPr>
          <w:rFonts w:ascii="Arial" w:cs="Arial" w:eastAsia="Arial" w:hAnsi="Arial"/>
          <w:sz w:val="17"/>
          <w:szCs w:val="17"/>
          <w:color w:val="auto"/>
        </w:rPr>
        <w:t>Mr. Wotring is President, Management Services of AECOM Technology Corporation, a premier, fully integrated infrastructure and support services firm and the largest engineering design firm in the world, a position he has held since October 2014. Mr. Wotring previously served as Corporate Vice President and President of the Federal Services division of URS Corporation from 2004 until October 2014 when URS was acquired by AECOM.</w:t>
      </w:r>
    </w:p>
    <w:p>
      <w:pPr>
        <w:spacing w:after="0" w:line="190" w:lineRule="exact"/>
        <w:rPr>
          <w:sz w:val="20"/>
          <w:szCs w:val="20"/>
          <w:color w:val="auto"/>
        </w:rPr>
      </w:pPr>
    </w:p>
    <w:p>
      <w:pPr>
        <w:sectPr>
          <w:pgSz w:w="11900" w:h="16838" w:orient="portrait"/>
          <w:cols w:equalWidth="0" w:num="2">
            <w:col w:w="2020" w:space="720"/>
            <w:col w:w="8660"/>
          </w:cols>
          <w:pgMar w:left="240" w:top="459" w:right="259" w:bottom="1440" w:gutter="0" w:footer="0" w:header="0"/>
          <w:type w:val="continuous"/>
        </w:sectPr>
      </w:pPr>
    </w:p>
    <w:p>
      <w:pPr>
        <w:ind w:left="2740"/>
        <w:spacing w:after="0" w:line="235" w:lineRule="auto"/>
        <w:rPr>
          <w:sz w:val="20"/>
          <w:szCs w:val="20"/>
          <w:color w:val="auto"/>
        </w:rPr>
      </w:pPr>
      <w:r>
        <w:rPr>
          <w:rFonts w:ascii="Arial" w:cs="Arial" w:eastAsia="Arial" w:hAnsi="Arial"/>
          <w:sz w:val="17"/>
          <w:szCs w:val="17"/>
          <w:color w:val="auto"/>
        </w:rPr>
        <w:t>Mr. Wotring is a seasoned executive with more than 30 years of operational experience managing engineering and technical services, much of which involved government and international customers. Mr. Wotring’s understanding of the challenges inherent in global growth, coupled with his experience with mergers and acquisitions, enables him to provide valuable contributions to the Board in connection with the execution of TimkenSteel’s growth strategies.</w:t>
      </w:r>
    </w:p>
    <w:p>
      <w:pPr>
        <w:sectPr>
          <w:pgSz w:w="11900" w:h="16838" w:orient="portrait"/>
          <w:cols w:equalWidth="0" w:num="1">
            <w:col w:w="11400"/>
          </w:cols>
          <w:pgMar w:left="240" w:top="459" w:right="259" w:bottom="1440" w:gutter="0" w:footer="0" w:header="0"/>
          <w:type w:val="continuous"/>
        </w:sectPr>
      </w:pPr>
    </w:p>
    <w:p>
      <w:pPr>
        <w:spacing w:after="0" w:line="177" w:lineRule="exact"/>
        <w:rPr>
          <w:sz w:val="20"/>
          <w:szCs w:val="20"/>
          <w:color w:val="auto"/>
        </w:rPr>
      </w:pPr>
    </w:p>
    <w:p>
      <w:pPr>
        <w:spacing w:after="0"/>
        <w:rPr>
          <w:sz w:val="20"/>
          <w:szCs w:val="20"/>
          <w:color w:val="auto"/>
        </w:rPr>
      </w:pPr>
      <w:r>
        <w:rPr>
          <w:rFonts w:ascii="Arial" w:cs="Arial" w:eastAsia="Arial" w:hAnsi="Arial"/>
          <w:sz w:val="17"/>
          <w:szCs w:val="17"/>
          <w:color w:val="auto"/>
        </w:rPr>
        <w:t>Other Directorships:</w:t>
      </w:r>
    </w:p>
    <w:p>
      <w:pPr>
        <w:spacing w:after="0" w:line="20" w:lineRule="exact"/>
        <w:rPr>
          <w:sz w:val="20"/>
          <w:szCs w:val="20"/>
          <w:color w:val="auto"/>
        </w:rPr>
      </w:pPr>
      <w:r>
        <w:rPr>
          <w:sz w:val="20"/>
          <w:szCs w:val="20"/>
          <w:color w:val="auto"/>
        </w:rPr>
        <w:br w:type="column"/>
      </w:r>
    </w:p>
    <w:p>
      <w:pPr>
        <w:spacing w:after="0" w:line="157" w:lineRule="exact"/>
        <w:rPr>
          <w:sz w:val="20"/>
          <w:szCs w:val="20"/>
          <w:color w:val="auto"/>
        </w:rPr>
      </w:pPr>
    </w:p>
    <w:p>
      <w:pPr>
        <w:spacing w:after="0"/>
        <w:rPr>
          <w:sz w:val="20"/>
          <w:szCs w:val="20"/>
          <w:color w:val="auto"/>
        </w:rPr>
      </w:pPr>
      <w:r>
        <w:rPr>
          <w:rFonts w:ascii="Arial" w:cs="Arial" w:eastAsia="Arial" w:hAnsi="Arial"/>
          <w:sz w:val="17"/>
          <w:szCs w:val="17"/>
          <w:color w:val="auto"/>
        </w:rPr>
        <w:t>None.</w:t>
      </w:r>
    </w:p>
    <w:p>
      <w:pPr>
        <w:spacing w:after="0" w:line="169" w:lineRule="exact"/>
        <w:rPr>
          <w:sz w:val="20"/>
          <w:szCs w:val="20"/>
          <w:color w:val="auto"/>
        </w:rPr>
      </w:pPr>
    </w:p>
    <w:p>
      <w:pPr>
        <w:sectPr>
          <w:pgSz w:w="11900" w:h="16838" w:orient="portrait"/>
          <w:cols w:equalWidth="0" w:num="2">
            <w:col w:w="2020" w:space="720"/>
            <w:col w:w="8660"/>
          </w:cols>
          <w:pgMar w:left="240" w:top="459" w:right="259" w:bottom="1440" w:gutter="0" w:footer="0" w:header="0"/>
          <w:type w:val="continuous"/>
        </w:sectPr>
      </w:pPr>
    </w:p>
    <w:p>
      <w:pPr>
        <w:spacing w:after="0"/>
        <w:rPr>
          <w:sz w:val="20"/>
          <w:szCs w:val="20"/>
          <w:color w:val="auto"/>
        </w:rPr>
      </w:pPr>
      <w:r>
        <w:rPr>
          <w:rFonts w:ascii="Arial" w:cs="Arial" w:eastAsia="Arial" w:hAnsi="Arial"/>
          <w:sz w:val="17"/>
          <w:szCs w:val="17"/>
          <w:color w:val="auto"/>
        </w:rPr>
        <w:t>Committees:</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7"/>
          <w:szCs w:val="17"/>
          <w:color w:val="auto"/>
        </w:rPr>
        <w:t>Audit Committee and Compensation Committee.</w:t>
      </w:r>
    </w:p>
    <w:p>
      <w:pPr>
        <w:spacing w:after="0" w:line="169" w:lineRule="exact"/>
        <w:rPr>
          <w:sz w:val="20"/>
          <w:szCs w:val="20"/>
          <w:color w:val="auto"/>
        </w:rPr>
      </w:pPr>
    </w:p>
    <w:p>
      <w:pPr>
        <w:sectPr>
          <w:pgSz w:w="11900" w:h="16838" w:orient="portrait"/>
          <w:cols w:equalWidth="0" w:num="2">
            <w:col w:w="2020" w:space="720"/>
            <w:col w:w="8660"/>
          </w:cols>
          <w:pgMar w:left="240" w:top="459" w:right="259" w:bottom="1440" w:gutter="0" w:footer="0" w:header="0"/>
          <w:type w:val="continuous"/>
        </w:sectPr>
      </w:pPr>
    </w:p>
    <w:p>
      <w:pPr>
        <w:spacing w:after="0"/>
        <w:rPr>
          <w:sz w:val="20"/>
          <w:szCs w:val="20"/>
          <w:color w:val="auto"/>
        </w:rPr>
      </w:pPr>
      <w:r>
        <w:rPr>
          <w:rFonts w:ascii="Arial" w:cs="Arial" w:eastAsia="Arial" w:hAnsi="Arial"/>
          <w:sz w:val="17"/>
          <w:szCs w:val="17"/>
          <w:color w:val="auto"/>
        </w:rPr>
        <w:t>Age:</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7"/>
          <w:szCs w:val="17"/>
          <w:color w:val="auto"/>
        </w:rPr>
        <w:t>59</w:t>
      </w:r>
    </w:p>
    <w:p>
      <w:pPr>
        <w:spacing w:after="0" w:line="153" w:lineRule="exact"/>
        <w:rPr>
          <w:sz w:val="20"/>
          <w:szCs w:val="20"/>
          <w:color w:val="auto"/>
        </w:rPr>
      </w:pPr>
    </w:p>
    <w:p>
      <w:pPr>
        <w:sectPr>
          <w:pgSz w:w="11900" w:h="16838" w:orient="portrait"/>
          <w:cols w:equalWidth="0" w:num="2">
            <w:col w:w="2020" w:space="720"/>
            <w:col w:w="8660"/>
          </w:cols>
          <w:pgMar w:left="240" w:top="459" w:right="259" w:bottom="1440" w:gutter="0" w:footer="0" w:header="0"/>
          <w:type w:val="continuous"/>
        </w:sectPr>
      </w:pPr>
    </w:p>
    <w:p>
      <w:pPr>
        <w:ind w:left="11180"/>
        <w:spacing w:after="0"/>
        <w:rPr>
          <w:sz w:val="20"/>
          <w:szCs w:val="20"/>
          <w:color w:val="auto"/>
        </w:rPr>
      </w:pPr>
      <w:r>
        <w:rPr>
          <w:rFonts w:ascii="Arial" w:cs="Arial" w:eastAsia="Arial" w:hAnsi="Arial"/>
          <w:sz w:val="14"/>
          <w:szCs w:val="14"/>
          <w:color w:val="auto"/>
        </w:rPr>
        <w:t>13</w:t>
      </w:r>
    </w:p>
    <w:p>
      <w:pPr>
        <w:sectPr>
          <w:pgSz w:w="11900" w:h="16838" w:orient="portrait"/>
          <w:cols w:equalWidth="0" w:num="1">
            <w:col w:w="11400"/>
          </w:cols>
          <w:pgMar w:left="240" w:top="459" w:right="259" w:bottom="1440" w:gutter="0" w:footer="0" w:header="0"/>
          <w:type w:val="continuous"/>
        </w:sectPr>
      </w:pPr>
    </w:p>
    <w:bookmarkStart w:id="19" w:name="page20"/>
    <w:bookmarkEnd w:id="1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3109595</wp:posOffset>
            </wp:positionH>
            <wp:positionV relativeFrom="paragraph">
              <wp:posOffset>205740</wp:posOffset>
            </wp:positionV>
            <wp:extent cx="1046480" cy="20574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extLst>
                    </a:blip>
                    <a:srcRect/>
                    <a:stretch>
                      <a:fillRect/>
                    </a:stretch>
                  </pic:blipFill>
                  <pic:spPr bwMode="auto">
                    <a:xfrm>
                      <a:off x="0" y="0"/>
                      <a:ext cx="1046480" cy="20574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76" w:lineRule="exact"/>
        <w:rPr>
          <w:sz w:val="20"/>
          <w:szCs w:val="20"/>
          <w:color w:val="auto"/>
        </w:rPr>
      </w:pPr>
    </w:p>
    <w:p>
      <w:pPr>
        <w:spacing w:after="0"/>
        <w:rPr>
          <w:sz w:val="20"/>
          <w:szCs w:val="20"/>
          <w:color w:val="auto"/>
        </w:rPr>
      </w:pPr>
      <w:r>
        <w:rPr>
          <w:rFonts w:ascii="Arial" w:cs="Arial" w:eastAsia="Arial" w:hAnsi="Arial"/>
          <w:sz w:val="18"/>
          <w:szCs w:val="18"/>
          <w:color w:val="auto"/>
        </w:rPr>
        <w:t>BOARD OF DIRECTORS INFORMATION</w:t>
      </w:r>
    </w:p>
    <w:p>
      <w:pPr>
        <w:spacing w:after="0" w:line="159" w:lineRule="exact"/>
        <w:rPr>
          <w:sz w:val="20"/>
          <w:szCs w:val="20"/>
          <w:color w:val="auto"/>
        </w:rPr>
      </w:pPr>
    </w:p>
    <w:p>
      <w:pPr>
        <w:spacing w:after="0"/>
        <w:rPr>
          <w:sz w:val="20"/>
          <w:szCs w:val="20"/>
          <w:color w:val="auto"/>
        </w:rPr>
      </w:pPr>
      <w:r>
        <w:rPr>
          <w:rFonts w:ascii="Arial" w:cs="Arial" w:eastAsia="Arial" w:hAnsi="Arial"/>
          <w:sz w:val="17"/>
          <w:szCs w:val="17"/>
          <w:b w:val="1"/>
          <w:bCs w:val="1"/>
          <w:color w:val="666666"/>
        </w:rPr>
        <w:t>MEETINGS AND COMMITTEES</w:t>
      </w:r>
    </w:p>
    <w:p>
      <w:pPr>
        <w:spacing w:after="0" w:line="14" w:lineRule="exact"/>
        <w:rPr>
          <w:sz w:val="20"/>
          <w:szCs w:val="20"/>
          <w:color w:val="auto"/>
        </w:rPr>
      </w:pPr>
    </w:p>
    <w:p>
      <w:pPr>
        <w:ind w:right="60"/>
        <w:spacing w:after="0" w:line="234" w:lineRule="auto"/>
        <w:rPr>
          <w:sz w:val="20"/>
          <w:szCs w:val="20"/>
          <w:color w:val="auto"/>
        </w:rPr>
      </w:pPr>
      <w:r>
        <w:rPr>
          <w:rFonts w:ascii="Arial" w:cs="Arial" w:eastAsia="Arial" w:hAnsi="Arial"/>
          <w:sz w:val="17"/>
          <w:szCs w:val="17"/>
          <w:color w:val="auto"/>
        </w:rPr>
        <w:t>The Board of Directors has an Audit Committee, a Compensation Committee, and a Nominating and Corporate Governance Committee. During the 2015 fiscal year, there were seven meetings of the Board of Directors, eight meetings of its Audit Committee, four meetings of its Compensation Committee and four meetings of its Nominating and Corporate Governance Committee. All Directors attended 75% or more of the aggregate number of meetings of the Board and its committees on which they served. It is our policy that all members of the Board of Directors should attend the Annual Meeting of Shareholders, and all then-serving Directors were in attendance at the 2015 Annual Meeting of Shareholders. The independent Directors met separately in executive session without management present in each of the regularly scheduled meetings of the Board in 2015, and intends to meet separately in executive sessions without management present at least quarterly in conjunction with regularly scheduled meetings of the Board of Directors in 2016 and thereafter.</w:t>
      </w:r>
    </w:p>
    <w:p>
      <w:pPr>
        <w:spacing w:after="0" w:line="143" w:lineRule="exact"/>
        <w:rPr>
          <w:sz w:val="20"/>
          <w:szCs w:val="20"/>
          <w:color w:val="auto"/>
        </w:rPr>
      </w:pPr>
    </w:p>
    <w:p>
      <w:pPr>
        <w:spacing w:after="0"/>
        <w:rPr>
          <w:sz w:val="20"/>
          <w:szCs w:val="20"/>
          <w:color w:val="auto"/>
        </w:rPr>
      </w:pPr>
      <w:r>
        <w:rPr>
          <w:rFonts w:ascii="Arial" w:cs="Arial" w:eastAsia="Arial" w:hAnsi="Arial"/>
          <w:sz w:val="17"/>
          <w:szCs w:val="17"/>
          <w:b w:val="1"/>
          <w:bCs w:val="1"/>
          <w:color w:val="666666"/>
        </w:rPr>
        <w:t>AUDIT COMMITTEE</w:t>
      </w:r>
    </w:p>
    <w:p>
      <w:pPr>
        <w:spacing w:after="0" w:line="14" w:lineRule="exact"/>
        <w:rPr>
          <w:sz w:val="20"/>
          <w:szCs w:val="20"/>
          <w:color w:val="auto"/>
        </w:rPr>
      </w:pPr>
    </w:p>
    <w:p>
      <w:pPr>
        <w:ind w:right="40"/>
        <w:spacing w:after="0" w:line="235" w:lineRule="auto"/>
        <w:rPr>
          <w:sz w:val="20"/>
          <w:szCs w:val="20"/>
          <w:color w:val="auto"/>
        </w:rPr>
      </w:pPr>
      <w:r>
        <w:rPr>
          <w:rFonts w:ascii="Arial" w:cs="Arial" w:eastAsia="Arial" w:hAnsi="Arial"/>
          <w:sz w:val="17"/>
          <w:szCs w:val="17"/>
          <w:color w:val="auto"/>
        </w:rPr>
        <w:t>We have a standing Audit Committee that has oversight responsibility with respect to our independent auditor and the integrity of our financial statements. The Audit Committee is composed of Donald T. Misheff (Audit Committee Chairman), Phillip R. Cox, John P. Reilly, Ronald A. Rice and Randall A. Wotring. Our Board of Directors has determined that each member of the Audit Committee is financially literate and independent as defined in the listing standards of the New York Stock Exchange and the rules of the SEC. Our Board of Directors also has determined that Donald T. Misheff qualifies as an Audit Committee financial expert.</w:t>
      </w:r>
    </w:p>
    <w:p>
      <w:pPr>
        <w:spacing w:after="0" w:line="164" w:lineRule="exact"/>
        <w:rPr>
          <w:sz w:val="20"/>
          <w:szCs w:val="20"/>
          <w:color w:val="auto"/>
        </w:rPr>
      </w:pPr>
    </w:p>
    <w:p>
      <w:pPr>
        <w:ind w:right="220"/>
        <w:spacing w:after="0" w:line="238" w:lineRule="auto"/>
        <w:rPr>
          <w:sz w:val="20"/>
          <w:szCs w:val="20"/>
          <w:color w:val="auto"/>
        </w:rPr>
      </w:pPr>
      <w:r>
        <w:rPr>
          <w:rFonts w:ascii="Arial" w:cs="Arial" w:eastAsia="Arial" w:hAnsi="Arial"/>
          <w:sz w:val="17"/>
          <w:szCs w:val="17"/>
          <w:color w:val="auto"/>
        </w:rPr>
        <w:t>The Board of Directors has adopted a written Audit Committee charter, which is reviewed and reassessed annually. A current copy of the Audit Committee charter is available on the Company’s website at www.timkensteel.com and in print to any shareholder who requests a copy. All requests must be made in writing, addressed to TimkenSteel Corporation, Attn: Secretary, 1835 Dueber Ave. S.W., Canton, Ohio 44706.</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color w:val="auto"/>
        </w:rPr>
        <w:t>AUDIT COMMITTEE REPORT</w:t>
      </w:r>
    </w:p>
    <w:p>
      <w:pPr>
        <w:ind w:right="100"/>
        <w:spacing w:after="0" w:line="236" w:lineRule="auto"/>
        <w:rPr>
          <w:sz w:val="20"/>
          <w:szCs w:val="20"/>
          <w:color w:val="auto"/>
        </w:rPr>
      </w:pPr>
      <w:r>
        <w:rPr>
          <w:rFonts w:ascii="Arial" w:cs="Arial" w:eastAsia="Arial" w:hAnsi="Arial"/>
          <w:sz w:val="17"/>
          <w:szCs w:val="17"/>
          <w:color w:val="auto"/>
        </w:rPr>
        <w:t>The Audit Committee has reviewed and discussed with management and our independent auditor the audited financial statements contained in our Annual Report on Form 10-K for the fiscal year ended December 31, 2015. The Audit Committee also has discussed with our independent auditor the matters required to be discussed pursuant to Statement on Auditing Standards No. 16, as adopted by the Public Company Accounting Oversight Board.</w:t>
      </w:r>
    </w:p>
    <w:p>
      <w:pPr>
        <w:spacing w:after="0" w:line="163" w:lineRule="exact"/>
        <w:rPr>
          <w:sz w:val="20"/>
          <w:szCs w:val="20"/>
          <w:color w:val="auto"/>
        </w:rPr>
      </w:pPr>
    </w:p>
    <w:p>
      <w:pPr>
        <w:spacing w:after="0" w:line="236" w:lineRule="auto"/>
        <w:rPr>
          <w:sz w:val="20"/>
          <w:szCs w:val="20"/>
          <w:color w:val="auto"/>
        </w:rPr>
      </w:pPr>
      <w:r>
        <w:rPr>
          <w:rFonts w:ascii="Arial" w:cs="Arial" w:eastAsia="Arial" w:hAnsi="Arial"/>
          <w:sz w:val="17"/>
          <w:szCs w:val="17"/>
          <w:color w:val="auto"/>
        </w:rPr>
        <w:t>The Audit Committee has received and reviewed the written disclosure and the letter from our independent auditor required by applicable requirements of the Public Company Accounting Oversight Board regarding the independent accountant’s communications with the Audit Committee concerning independence, has discussed with our independent auditor such independent auditor’s independence, and has considered the compatibility of non-audit services with the auditor’s independence.</w:t>
      </w:r>
    </w:p>
    <w:p>
      <w:pPr>
        <w:spacing w:after="0" w:line="163" w:lineRule="exact"/>
        <w:rPr>
          <w:sz w:val="20"/>
          <w:szCs w:val="20"/>
          <w:color w:val="auto"/>
        </w:rPr>
      </w:pPr>
    </w:p>
    <w:p>
      <w:pPr>
        <w:ind w:right="640"/>
        <w:spacing w:after="0" w:line="243" w:lineRule="auto"/>
        <w:rPr>
          <w:sz w:val="20"/>
          <w:szCs w:val="20"/>
          <w:color w:val="auto"/>
        </w:rPr>
      </w:pPr>
      <w:r>
        <w:rPr>
          <w:rFonts w:ascii="Arial" w:cs="Arial" w:eastAsia="Arial" w:hAnsi="Arial"/>
          <w:sz w:val="17"/>
          <w:szCs w:val="17"/>
          <w:color w:val="auto"/>
        </w:rPr>
        <w:t>Based on the review and discussions referred to above, the Audit Committee recommended to our Board of Directors that the audited financial statements be included in our Annual Report on Form 10-K for the fiscal year ended December 31, 2015, filed with the SEC.</w:t>
      </w:r>
    </w:p>
    <w:p>
      <w:pPr>
        <w:spacing w:after="0" w:line="165" w:lineRule="exact"/>
        <w:rPr>
          <w:sz w:val="20"/>
          <w:szCs w:val="20"/>
          <w:color w:val="auto"/>
        </w:rPr>
      </w:pPr>
    </w:p>
    <w:p>
      <w:pPr>
        <w:spacing w:after="0"/>
        <w:rPr>
          <w:sz w:val="20"/>
          <w:szCs w:val="20"/>
          <w:color w:val="auto"/>
        </w:rPr>
      </w:pPr>
      <w:r>
        <w:rPr>
          <w:rFonts w:ascii="Arial" w:cs="Arial" w:eastAsia="Arial" w:hAnsi="Arial"/>
          <w:sz w:val="17"/>
          <w:szCs w:val="17"/>
          <w:color w:val="auto"/>
        </w:rPr>
        <w:t>Donald T. Misheff (Audit Committee Chairman)</w:t>
      </w:r>
    </w:p>
    <w:p>
      <w:pPr>
        <w:spacing w:after="0" w:line="232" w:lineRule="auto"/>
        <w:rPr>
          <w:sz w:val="20"/>
          <w:szCs w:val="20"/>
          <w:color w:val="auto"/>
        </w:rPr>
      </w:pPr>
      <w:r>
        <w:rPr>
          <w:rFonts w:ascii="Arial" w:cs="Arial" w:eastAsia="Arial" w:hAnsi="Arial"/>
          <w:sz w:val="17"/>
          <w:szCs w:val="17"/>
          <w:color w:val="auto"/>
        </w:rPr>
        <w:t>Phillip R. Cox</w:t>
      </w:r>
    </w:p>
    <w:p>
      <w:pPr>
        <w:spacing w:after="0" w:line="232" w:lineRule="auto"/>
        <w:rPr>
          <w:sz w:val="20"/>
          <w:szCs w:val="20"/>
          <w:color w:val="auto"/>
        </w:rPr>
      </w:pPr>
      <w:r>
        <w:rPr>
          <w:rFonts w:ascii="Arial" w:cs="Arial" w:eastAsia="Arial" w:hAnsi="Arial"/>
          <w:sz w:val="17"/>
          <w:szCs w:val="17"/>
          <w:color w:val="auto"/>
        </w:rPr>
        <w:t>John P. Reilly</w:t>
      </w:r>
    </w:p>
    <w:p>
      <w:pPr>
        <w:spacing w:after="0" w:line="232" w:lineRule="auto"/>
        <w:rPr>
          <w:sz w:val="20"/>
          <w:szCs w:val="20"/>
          <w:color w:val="auto"/>
        </w:rPr>
      </w:pPr>
      <w:r>
        <w:rPr>
          <w:rFonts w:ascii="Arial" w:cs="Arial" w:eastAsia="Arial" w:hAnsi="Arial"/>
          <w:sz w:val="17"/>
          <w:szCs w:val="17"/>
          <w:color w:val="auto"/>
        </w:rPr>
        <w:t>Ronald A. Rice</w:t>
      </w:r>
    </w:p>
    <w:p>
      <w:pPr>
        <w:spacing w:after="0"/>
        <w:rPr>
          <w:sz w:val="20"/>
          <w:szCs w:val="20"/>
          <w:color w:val="auto"/>
        </w:rPr>
      </w:pPr>
      <w:r>
        <w:rPr>
          <w:rFonts w:ascii="Arial" w:cs="Arial" w:eastAsia="Arial" w:hAnsi="Arial"/>
          <w:sz w:val="17"/>
          <w:szCs w:val="17"/>
          <w:color w:val="auto"/>
        </w:rPr>
        <w:t>Randall A. Wotring</w:t>
      </w:r>
    </w:p>
    <w:p>
      <w:pPr>
        <w:spacing w:after="0" w:line="153" w:lineRule="exact"/>
        <w:rPr>
          <w:sz w:val="20"/>
          <w:szCs w:val="20"/>
          <w:color w:val="auto"/>
        </w:rPr>
      </w:pPr>
    </w:p>
    <w:p>
      <w:pPr>
        <w:spacing w:after="0"/>
        <w:rPr>
          <w:sz w:val="20"/>
          <w:szCs w:val="20"/>
          <w:color w:val="auto"/>
        </w:rPr>
      </w:pPr>
      <w:r>
        <w:rPr>
          <w:rFonts w:ascii="Arial" w:cs="Arial" w:eastAsia="Arial" w:hAnsi="Arial"/>
          <w:sz w:val="14"/>
          <w:szCs w:val="14"/>
          <w:color w:val="auto"/>
        </w:rPr>
        <w:t>14</w:t>
      </w:r>
    </w:p>
    <w:p>
      <w:pPr>
        <w:sectPr>
          <w:pgSz w:w="11900" w:h="16838" w:orient="portrait"/>
          <w:cols w:equalWidth="0" w:num="1">
            <w:col w:w="11400"/>
          </w:cols>
          <w:pgMar w:left="240" w:top="459" w:right="259" w:bottom="1440" w:gutter="0" w:footer="0" w:header="0"/>
        </w:sectPr>
      </w:pPr>
    </w:p>
    <w:bookmarkStart w:id="20" w:name="page21"/>
    <w:bookmarkEnd w:id="2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2715260</wp:posOffset>
            </wp:positionH>
            <wp:positionV relativeFrom="paragraph">
              <wp:posOffset>205740</wp:posOffset>
            </wp:positionV>
            <wp:extent cx="1826895" cy="20574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a:extLst>
                        <a:ext uri="{28A0092B-C50C-407E-A947-70E740481C1C}"/>
                      </a:extLst>
                    </a:blip>
                    <a:srcRect/>
                    <a:stretch>
                      <a:fillRect/>
                    </a:stretch>
                  </pic:blipFill>
                  <pic:spPr bwMode="auto">
                    <a:xfrm>
                      <a:off x="0" y="0"/>
                      <a:ext cx="1826895" cy="20574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50" w:lineRule="exact"/>
        <w:rPr>
          <w:sz w:val="20"/>
          <w:szCs w:val="20"/>
          <w:color w:val="auto"/>
        </w:rPr>
      </w:pPr>
    </w:p>
    <w:p>
      <w:pPr>
        <w:spacing w:after="0"/>
        <w:rPr>
          <w:sz w:val="20"/>
          <w:szCs w:val="20"/>
          <w:color w:val="auto"/>
        </w:rPr>
      </w:pPr>
      <w:r>
        <w:rPr>
          <w:rFonts w:ascii="Arial" w:cs="Arial" w:eastAsia="Arial" w:hAnsi="Arial"/>
          <w:sz w:val="17"/>
          <w:szCs w:val="17"/>
          <w:b w:val="1"/>
          <w:bCs w:val="1"/>
          <w:color w:val="666666"/>
        </w:rPr>
        <w:t>COMPENSATION COMMITTEE</w:t>
      </w:r>
    </w:p>
    <w:p>
      <w:pPr>
        <w:spacing w:after="0" w:line="14" w:lineRule="exact"/>
        <w:rPr>
          <w:sz w:val="20"/>
          <w:szCs w:val="20"/>
          <w:color w:val="auto"/>
        </w:rPr>
      </w:pPr>
    </w:p>
    <w:p>
      <w:pPr>
        <w:ind w:right="100"/>
        <w:spacing w:after="0" w:line="234" w:lineRule="auto"/>
        <w:rPr>
          <w:sz w:val="20"/>
          <w:szCs w:val="20"/>
          <w:color w:val="auto"/>
        </w:rPr>
      </w:pPr>
      <w:r>
        <w:rPr>
          <w:rFonts w:ascii="Arial" w:cs="Arial" w:eastAsia="Arial" w:hAnsi="Arial"/>
          <w:sz w:val="17"/>
          <w:szCs w:val="17"/>
          <w:color w:val="auto"/>
        </w:rPr>
        <w:t>We have a standing Compensation Committee that establishes and administers our policies, programs and procedures for compensating our senior management and Board of Directors. Members of the Compensation Committee are Diane C. Creel (Compensation Committee Chairperson), Joseph A. Carrabba, Phillip R. Cox, Terry L. Dunlap, Ronald A. Rice and Randall A. Wotring. Our Board of Directors has determined that all members of the Compensation Committee are independent as defined in the listing standards of the New York Stock Exchange and that no member of the Compensation Committee has any relationship to the Company that is material to his or her ability to be independent from management in connection with the duties of a member of the Compensation Committee. Each member of the Committee is also a “non-employee director” for purposes of Section 16 of the Exchange Act, and is an “outside director” for purposes of Section 162(m) of the Internal Revenue Code.</w:t>
      </w:r>
    </w:p>
    <w:p>
      <w:pPr>
        <w:spacing w:after="0" w:line="178" w:lineRule="exact"/>
        <w:rPr>
          <w:sz w:val="20"/>
          <w:szCs w:val="20"/>
          <w:color w:val="auto"/>
        </w:rPr>
      </w:pPr>
    </w:p>
    <w:p>
      <w:pPr>
        <w:ind w:right="220"/>
        <w:spacing w:after="0" w:line="238" w:lineRule="auto"/>
        <w:rPr>
          <w:sz w:val="20"/>
          <w:szCs w:val="20"/>
          <w:color w:val="auto"/>
        </w:rPr>
      </w:pPr>
      <w:r>
        <w:rPr>
          <w:rFonts w:ascii="Arial" w:cs="Arial" w:eastAsia="Arial" w:hAnsi="Arial"/>
          <w:sz w:val="17"/>
          <w:szCs w:val="17"/>
          <w:color w:val="auto"/>
        </w:rPr>
        <w:t>The Compensation Committee has adopted a written charter, which is reviewed and reassessed annually. A current copy of the Compensation Committee charter is available on the Company’s website at www.timkensteel.com and in print to any shareholder who requests a copy. All requests must be made in writing, addressed to TimkenSteel Corporation, Attn: Secretary, 1835 Dueber Ave. S.W., Canton, Ohio 44706.</w:t>
      </w:r>
    </w:p>
    <w:p>
      <w:pPr>
        <w:spacing w:after="0" w:line="161" w:lineRule="exact"/>
        <w:rPr>
          <w:sz w:val="20"/>
          <w:szCs w:val="20"/>
          <w:color w:val="auto"/>
        </w:rPr>
      </w:pPr>
    </w:p>
    <w:p>
      <w:pPr>
        <w:spacing w:after="0" w:line="236" w:lineRule="auto"/>
        <w:rPr>
          <w:sz w:val="20"/>
          <w:szCs w:val="20"/>
          <w:color w:val="auto"/>
        </w:rPr>
      </w:pPr>
      <w:r>
        <w:rPr>
          <w:rFonts w:ascii="Arial" w:cs="Arial" w:eastAsia="Arial" w:hAnsi="Arial"/>
          <w:sz w:val="17"/>
          <w:szCs w:val="17"/>
          <w:color w:val="auto"/>
        </w:rPr>
        <w:t>With the guidance and approval of the Compensation Committee, we have developed compensation programs for our executive officers, including the CEO and the other executive officers named in the Summary Compensation Table, that are intended to align the interests of our executives, shareholders and communities; reward executives for sustained, strong business and financial results; and enable us to attract, retain and motivate the best talent.</w:t>
      </w:r>
    </w:p>
    <w:p>
      <w:pPr>
        <w:spacing w:after="0" w:line="163" w:lineRule="exact"/>
        <w:rPr>
          <w:sz w:val="20"/>
          <w:szCs w:val="20"/>
          <w:color w:val="auto"/>
        </w:rPr>
      </w:pPr>
    </w:p>
    <w:p>
      <w:pPr>
        <w:ind w:right="40"/>
        <w:spacing w:after="0"/>
        <w:rPr>
          <w:sz w:val="20"/>
          <w:szCs w:val="20"/>
          <w:color w:val="auto"/>
        </w:rPr>
      </w:pPr>
      <w:r>
        <w:rPr>
          <w:rFonts w:ascii="Arial" w:cs="Arial" w:eastAsia="Arial" w:hAnsi="Arial"/>
          <w:sz w:val="17"/>
          <w:szCs w:val="17"/>
          <w:color w:val="auto"/>
        </w:rPr>
        <w:t>The agenda for meetings of the Compensation Committee is determined by its Chairman with the assistance of the Executive Vice President – Human Resources and Organizational Advancement. The meetings are regularly attended by the Chairman, CEO and President, the Executive Vice President – Human Resources and Organizational Advancement, the Executive Vice President and Chief Financial Officer, the Executive Vice President and General Counsel and the Vice President, Total Rewards. At each meeting, the Compensation Committee meets in executive session. The Chairperson of the Compensation Committee reports the Committee’s actions regarding compensation of executive officers to the full Board of Directors. Our Human Resources and Organizational Advancement department supports the Compensation Committee in its duties and may be delegated certain administrative duties in connection with our compensation programs. The Compensation Committee has the sole authority to retain and terminate compensation consultants to assist in the evaluation of Director or executive officer compensation and the sole authority to approve the fees and other retention terms of any compensation consultants. In May of 2015 the Compensation Committee selected Meridian Compensation Partners, LLC, an independent executive compensation consultant, to replace Willis Towers Watson as its compensation consultant. The Compensation Committee has engaged Meridian and, previously, Willis Towers Watson, to analyze our executive compensation structure and plan designs, to assess whether the compensation program is competitive and supports the Compensation Committee’s goal to align the interests of executive officers with those of shareholders, and, from time to time, to review the total compensation of Directors. Meridian and, previously, Willis Towers Watson also provide market data directly to the Compensation Committee, which the Compensation Committee references when determining compensation for executive officers. Additional information regarding the Committee’s engagement of Meridian, including a discussion of the Committee’s assessment of the independence of Meridian, is available in the Compensation Discussion &amp; Analysis under the caption “Role of the Compensation Consultant.”</w:t>
      </w:r>
    </w:p>
    <w:p>
      <w:pPr>
        <w:spacing w:after="0" w:line="276" w:lineRule="exact"/>
        <w:rPr>
          <w:sz w:val="20"/>
          <w:szCs w:val="20"/>
          <w:color w:val="auto"/>
        </w:rPr>
      </w:pPr>
    </w:p>
    <w:p>
      <w:pPr>
        <w:ind w:right="180"/>
        <w:spacing w:after="0" w:line="238" w:lineRule="auto"/>
        <w:rPr>
          <w:sz w:val="20"/>
          <w:szCs w:val="20"/>
          <w:color w:val="auto"/>
        </w:rPr>
      </w:pPr>
      <w:r>
        <w:rPr>
          <w:rFonts w:ascii="Arial" w:cs="Arial" w:eastAsia="Arial" w:hAnsi="Arial"/>
          <w:sz w:val="17"/>
          <w:szCs w:val="17"/>
          <w:color w:val="auto"/>
        </w:rPr>
        <w:t>The Compensation Committee engaged Meridian in 2015 to review Director compensation, and intends to engage Meridian and/or other consultants periodically to conduct reviews of total Director compensation, to enable the Committee to recommend to the full Board of Directors changes in Director compensation that will enhance our ability to attract and retain qualified Directors.</w:t>
      </w:r>
    </w:p>
    <w:p>
      <w:pPr>
        <w:spacing w:after="0" w:line="145" w:lineRule="exact"/>
        <w:rPr>
          <w:sz w:val="20"/>
          <w:szCs w:val="20"/>
          <w:color w:val="auto"/>
        </w:rPr>
      </w:pPr>
    </w:p>
    <w:p>
      <w:pPr>
        <w:ind w:left="11180"/>
        <w:spacing w:after="0"/>
        <w:rPr>
          <w:sz w:val="20"/>
          <w:szCs w:val="20"/>
          <w:color w:val="auto"/>
        </w:rPr>
      </w:pPr>
      <w:r>
        <w:rPr>
          <w:rFonts w:ascii="Arial" w:cs="Arial" w:eastAsia="Arial" w:hAnsi="Arial"/>
          <w:sz w:val="14"/>
          <w:szCs w:val="14"/>
          <w:color w:val="auto"/>
        </w:rPr>
        <w:t>15</w:t>
      </w:r>
    </w:p>
    <w:p>
      <w:pPr>
        <w:sectPr>
          <w:pgSz w:w="11900" w:h="16838" w:orient="portrait"/>
          <w:cols w:equalWidth="0" w:num="1">
            <w:col w:w="11400"/>
          </w:cols>
          <w:pgMar w:left="240" w:top="459" w:right="259" w:bottom="1440" w:gutter="0" w:footer="0" w:header="0"/>
        </w:sectPr>
      </w:pPr>
    </w:p>
    <w:bookmarkStart w:id="21" w:name="page22"/>
    <w:bookmarkEnd w:id="2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3">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3109595</wp:posOffset>
            </wp:positionH>
            <wp:positionV relativeFrom="paragraph">
              <wp:posOffset>205740</wp:posOffset>
            </wp:positionV>
            <wp:extent cx="1046480" cy="20574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4">
                      <a:extLst>
                        <a:ext uri="{28A0092B-C50C-407E-A947-70E740481C1C}"/>
                      </a:extLst>
                    </a:blip>
                    <a:srcRect/>
                    <a:stretch>
                      <a:fillRect/>
                    </a:stretch>
                  </pic:blipFill>
                  <pic:spPr bwMode="auto">
                    <a:xfrm>
                      <a:off x="0" y="0"/>
                      <a:ext cx="1046480" cy="20574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70" w:lineRule="exact"/>
        <w:rPr>
          <w:sz w:val="20"/>
          <w:szCs w:val="20"/>
          <w:color w:val="auto"/>
        </w:rPr>
      </w:pPr>
    </w:p>
    <w:p>
      <w:pPr>
        <w:ind w:right="100"/>
        <w:spacing w:after="0" w:line="243" w:lineRule="auto"/>
        <w:rPr>
          <w:sz w:val="20"/>
          <w:szCs w:val="20"/>
          <w:color w:val="auto"/>
        </w:rPr>
      </w:pPr>
      <w:r>
        <w:rPr>
          <w:rFonts w:ascii="Arial" w:cs="Arial" w:eastAsia="Arial" w:hAnsi="Arial"/>
          <w:sz w:val="17"/>
          <w:szCs w:val="17"/>
          <w:color w:val="auto"/>
        </w:rPr>
        <w:t>The Compensation Committee also plays an active role in our executive officer succession planning process. The Compensation Committee meets regularly with senior management to ensure that an effective succession process is in place and to discuss potential successors for executive officers.</w:t>
      </w:r>
    </w:p>
    <w:p>
      <w:pPr>
        <w:spacing w:after="0" w:line="167" w:lineRule="exact"/>
        <w:rPr>
          <w:sz w:val="20"/>
          <w:szCs w:val="20"/>
          <w:color w:val="auto"/>
        </w:rPr>
      </w:pPr>
    </w:p>
    <w:p>
      <w:pPr>
        <w:spacing w:after="0"/>
        <w:rPr>
          <w:sz w:val="20"/>
          <w:szCs w:val="20"/>
          <w:color w:val="auto"/>
        </w:rPr>
      </w:pPr>
      <w:r>
        <w:rPr>
          <w:rFonts w:ascii="Arial" w:cs="Arial" w:eastAsia="Arial" w:hAnsi="Arial"/>
          <w:sz w:val="18"/>
          <w:szCs w:val="18"/>
          <w:color w:val="auto"/>
        </w:rPr>
        <w:t>COMPENSATION COMMITTEE INTERLOCKS AND INSIDER PARTICIPATION</w:t>
      </w:r>
    </w:p>
    <w:p>
      <w:pPr>
        <w:ind w:right="440"/>
        <w:spacing w:after="0" w:line="236" w:lineRule="auto"/>
        <w:rPr>
          <w:sz w:val="20"/>
          <w:szCs w:val="20"/>
          <w:color w:val="auto"/>
        </w:rPr>
      </w:pPr>
      <w:r>
        <w:rPr>
          <w:rFonts w:ascii="Arial" w:cs="Arial" w:eastAsia="Arial" w:hAnsi="Arial"/>
          <w:sz w:val="17"/>
          <w:szCs w:val="17"/>
          <w:color w:val="auto"/>
        </w:rPr>
        <w:t>No member of the Compensation Committee is, or was during fiscal 2015, an officer or employee of the Company or was formerly an officer or employee of the Company. No executive officer of the Company serves or served on the compensation committee or board of directors of any company where any member of the Compensation Committee of the TimkenSteel Corporation Board of Directors is, or was during fiscal 2015, an executive officer.</w:t>
      </w:r>
    </w:p>
    <w:p>
      <w:pPr>
        <w:spacing w:after="0" w:line="159" w:lineRule="exact"/>
        <w:rPr>
          <w:sz w:val="20"/>
          <w:szCs w:val="20"/>
          <w:color w:val="auto"/>
        </w:rPr>
      </w:pPr>
    </w:p>
    <w:p>
      <w:pPr>
        <w:spacing w:after="0"/>
        <w:rPr>
          <w:sz w:val="20"/>
          <w:szCs w:val="20"/>
          <w:color w:val="auto"/>
        </w:rPr>
      </w:pPr>
      <w:r>
        <w:rPr>
          <w:rFonts w:ascii="Arial" w:cs="Arial" w:eastAsia="Arial" w:hAnsi="Arial"/>
          <w:sz w:val="18"/>
          <w:szCs w:val="18"/>
          <w:color w:val="auto"/>
        </w:rPr>
        <w:t>COMPENSATION COMMITTEE REPORT</w:t>
      </w:r>
    </w:p>
    <w:p>
      <w:pPr>
        <w:ind w:right="60"/>
        <w:spacing w:after="0" w:line="236" w:lineRule="auto"/>
        <w:rPr>
          <w:sz w:val="20"/>
          <w:szCs w:val="20"/>
          <w:color w:val="auto"/>
        </w:rPr>
      </w:pPr>
      <w:r>
        <w:rPr>
          <w:rFonts w:ascii="Arial" w:cs="Arial" w:eastAsia="Arial" w:hAnsi="Arial"/>
          <w:sz w:val="17"/>
          <w:szCs w:val="17"/>
          <w:color w:val="auto"/>
        </w:rPr>
        <w:t>The Compensation Committee has reviewed and discussed the Compensation Discussion and Analysis (“CD&amp;A”) for the year ended December 31, 2015, with our management. Following and based on the review and discussion referred to above, the Compensation Committee recommended to our Board of Directors, and our Board approved, the inclusion of the CD&amp;A in our Annual Report on Form 10-K for the fiscal year ended December 31, 2015, and this Proxy Statement for filing with the SEC.</w:t>
      </w:r>
    </w:p>
    <w:p>
      <w:pPr>
        <w:spacing w:after="0" w:line="157" w:lineRule="exact"/>
        <w:rPr>
          <w:sz w:val="20"/>
          <w:szCs w:val="20"/>
          <w:color w:val="auto"/>
        </w:rPr>
      </w:pPr>
    </w:p>
    <w:p>
      <w:pPr>
        <w:spacing w:after="0"/>
        <w:rPr>
          <w:sz w:val="20"/>
          <w:szCs w:val="20"/>
          <w:color w:val="auto"/>
        </w:rPr>
      </w:pPr>
      <w:r>
        <w:rPr>
          <w:rFonts w:ascii="Arial" w:cs="Arial" w:eastAsia="Arial" w:hAnsi="Arial"/>
          <w:sz w:val="17"/>
          <w:szCs w:val="17"/>
          <w:color w:val="auto"/>
        </w:rPr>
        <w:t>Diane C. Creel (Compensation Committee Chairperson)</w:t>
      </w:r>
    </w:p>
    <w:p>
      <w:pPr>
        <w:spacing w:after="0" w:line="232" w:lineRule="auto"/>
        <w:rPr>
          <w:sz w:val="20"/>
          <w:szCs w:val="20"/>
          <w:color w:val="auto"/>
        </w:rPr>
      </w:pPr>
      <w:r>
        <w:rPr>
          <w:rFonts w:ascii="Arial" w:cs="Arial" w:eastAsia="Arial" w:hAnsi="Arial"/>
          <w:sz w:val="17"/>
          <w:szCs w:val="17"/>
          <w:color w:val="auto"/>
        </w:rPr>
        <w:t>Joseph A. Carrabba</w:t>
      </w:r>
    </w:p>
    <w:p>
      <w:pPr>
        <w:spacing w:after="0" w:line="232" w:lineRule="auto"/>
        <w:rPr>
          <w:sz w:val="20"/>
          <w:szCs w:val="20"/>
          <w:color w:val="auto"/>
        </w:rPr>
      </w:pPr>
      <w:r>
        <w:rPr>
          <w:rFonts w:ascii="Arial" w:cs="Arial" w:eastAsia="Arial" w:hAnsi="Arial"/>
          <w:sz w:val="17"/>
          <w:szCs w:val="17"/>
          <w:color w:val="auto"/>
        </w:rPr>
        <w:t>Phillip R. Cox</w:t>
      </w:r>
    </w:p>
    <w:p>
      <w:pPr>
        <w:spacing w:after="0" w:line="232" w:lineRule="auto"/>
        <w:rPr>
          <w:sz w:val="20"/>
          <w:szCs w:val="20"/>
          <w:color w:val="auto"/>
        </w:rPr>
      </w:pPr>
      <w:r>
        <w:rPr>
          <w:rFonts w:ascii="Arial" w:cs="Arial" w:eastAsia="Arial" w:hAnsi="Arial"/>
          <w:sz w:val="17"/>
          <w:szCs w:val="17"/>
          <w:color w:val="auto"/>
        </w:rPr>
        <w:t>Terry L. Dunlap</w:t>
      </w:r>
    </w:p>
    <w:p>
      <w:pPr>
        <w:spacing w:after="0" w:line="232" w:lineRule="auto"/>
        <w:rPr>
          <w:sz w:val="20"/>
          <w:szCs w:val="20"/>
          <w:color w:val="auto"/>
        </w:rPr>
      </w:pPr>
      <w:r>
        <w:rPr>
          <w:rFonts w:ascii="Arial" w:cs="Arial" w:eastAsia="Arial" w:hAnsi="Arial"/>
          <w:sz w:val="17"/>
          <w:szCs w:val="17"/>
          <w:color w:val="auto"/>
        </w:rPr>
        <w:t>Ronald A. Rice</w:t>
      </w:r>
    </w:p>
    <w:p>
      <w:pPr>
        <w:spacing w:after="0"/>
        <w:rPr>
          <w:sz w:val="20"/>
          <w:szCs w:val="20"/>
          <w:color w:val="auto"/>
        </w:rPr>
      </w:pPr>
      <w:r>
        <w:rPr>
          <w:rFonts w:ascii="Arial" w:cs="Arial" w:eastAsia="Arial" w:hAnsi="Arial"/>
          <w:sz w:val="17"/>
          <w:szCs w:val="17"/>
          <w:color w:val="auto"/>
        </w:rPr>
        <w:t>Randall A. Wotring</w:t>
      </w:r>
    </w:p>
    <w:p>
      <w:pPr>
        <w:spacing w:after="0" w:line="163" w:lineRule="exact"/>
        <w:rPr>
          <w:sz w:val="20"/>
          <w:szCs w:val="20"/>
          <w:color w:val="auto"/>
        </w:rPr>
      </w:pPr>
    </w:p>
    <w:p>
      <w:pPr>
        <w:spacing w:after="0"/>
        <w:rPr>
          <w:sz w:val="20"/>
          <w:szCs w:val="20"/>
          <w:color w:val="auto"/>
        </w:rPr>
      </w:pPr>
      <w:r>
        <w:rPr>
          <w:rFonts w:ascii="Arial" w:cs="Arial" w:eastAsia="Arial" w:hAnsi="Arial"/>
          <w:sz w:val="17"/>
          <w:szCs w:val="17"/>
          <w:b w:val="1"/>
          <w:bCs w:val="1"/>
          <w:color w:val="666666"/>
        </w:rPr>
        <w:t>NOMINATING AND CORPORATE GOVERNANCE COMMITTEE</w:t>
      </w:r>
    </w:p>
    <w:p>
      <w:pPr>
        <w:spacing w:after="0" w:line="14" w:lineRule="exact"/>
        <w:rPr>
          <w:sz w:val="20"/>
          <w:szCs w:val="20"/>
          <w:color w:val="auto"/>
        </w:rPr>
      </w:pPr>
    </w:p>
    <w:p>
      <w:pPr>
        <w:ind w:right="20"/>
        <w:spacing w:after="0" w:line="235" w:lineRule="auto"/>
        <w:rPr>
          <w:sz w:val="20"/>
          <w:szCs w:val="20"/>
          <w:color w:val="auto"/>
        </w:rPr>
      </w:pPr>
      <w:r>
        <w:rPr>
          <w:rFonts w:ascii="Arial" w:cs="Arial" w:eastAsia="Arial" w:hAnsi="Arial"/>
          <w:sz w:val="17"/>
          <w:szCs w:val="17"/>
          <w:color w:val="auto"/>
        </w:rPr>
        <w:t>We have a standing Nominating and Corporate Governance Committee that is responsible for, among other things, evaluating new Director candidates and incumbent Directors and recommending Directors to serve as members of our Board committees. Members of the Nominating and Corporate Governance Committee are John P. Reilly (Nominating and Corporate Governance Committee Chairman), Joseph A. Carrabba, Diane C. Creel, Randall H. Edwards and Donald T. Misheff. Our Board of Directors has determined that all members of the Nominating and Corporate Governance Committee are independent as defined in the listing standards of the New York Stock Exchange.</w:t>
      </w:r>
    </w:p>
    <w:p>
      <w:pPr>
        <w:spacing w:after="0" w:line="164" w:lineRule="exact"/>
        <w:rPr>
          <w:sz w:val="20"/>
          <w:szCs w:val="20"/>
          <w:color w:val="auto"/>
        </w:rPr>
      </w:pPr>
    </w:p>
    <w:p>
      <w:pPr>
        <w:spacing w:after="0" w:line="235" w:lineRule="auto"/>
        <w:rPr>
          <w:sz w:val="20"/>
          <w:szCs w:val="20"/>
          <w:color w:val="auto"/>
        </w:rPr>
      </w:pPr>
      <w:r>
        <w:rPr>
          <w:rFonts w:ascii="Arial" w:cs="Arial" w:eastAsia="Arial" w:hAnsi="Arial"/>
          <w:sz w:val="17"/>
          <w:szCs w:val="17"/>
          <w:color w:val="auto"/>
        </w:rPr>
        <w:t>Director candidates recommended by our shareholders will be considered in accordance with the criteria outlined below. In order for a shareholder to submit a recommendation, the shareholder must deliver a communication by registered mail or in person to the Nominating and Corporate Governance Committee, c/o TimkenSteel Corporation, Attn: Secretary, 1835 Dueber Ave. S.W., Canton, Ohio 44706. Such communication should include the proposed candidate’s qualifications, any relationship between the shareholder and the proposed candidate, and any other information that the shareholder would consider useful for the Nominating and Corporate Governance Committee to consider in evaluating such candidate.</w:t>
      </w:r>
    </w:p>
    <w:p>
      <w:pPr>
        <w:spacing w:after="0" w:line="164" w:lineRule="exact"/>
        <w:rPr>
          <w:sz w:val="20"/>
          <w:szCs w:val="20"/>
          <w:color w:val="auto"/>
        </w:rPr>
      </w:pPr>
    </w:p>
    <w:p>
      <w:pPr>
        <w:ind w:right="180"/>
        <w:spacing w:after="0" w:line="235" w:lineRule="auto"/>
        <w:rPr>
          <w:sz w:val="20"/>
          <w:szCs w:val="20"/>
          <w:color w:val="auto"/>
        </w:rPr>
      </w:pPr>
      <w:r>
        <w:rPr>
          <w:rFonts w:ascii="Arial" w:cs="Arial" w:eastAsia="Arial" w:hAnsi="Arial"/>
          <w:sz w:val="17"/>
          <w:szCs w:val="17"/>
          <w:color w:val="auto"/>
        </w:rPr>
        <w:t>A shareholder who wishes to nominate a person for election as a Director must provide written notice to our Secretary in accordance with the procedures specified in Article I, Sections 13 and 14 of our Code of Regulations. In general, to be timely, the written notice must be delivered and received by our Secretary at our principal executive offices not less than 90 nor more than 120 days prior to the first anniversary of the date on which the Company held the preceding year’s Annual Meeting of Shareholders. If the date of the Annual Meeting of Shareholders is scheduled for a date more than 30 days prior to or more than 30 days after the first anniversary of the preceding year’s Annual Meeting of Shareholders, then a shareholder’s notice must be delivered to our Secretary</w:t>
      </w:r>
    </w:p>
    <w:p>
      <w:pPr>
        <w:spacing w:after="0" w:line="146" w:lineRule="exact"/>
        <w:rPr>
          <w:sz w:val="20"/>
          <w:szCs w:val="20"/>
          <w:color w:val="auto"/>
        </w:rPr>
      </w:pPr>
    </w:p>
    <w:p>
      <w:pPr>
        <w:spacing w:after="0"/>
        <w:rPr>
          <w:sz w:val="20"/>
          <w:szCs w:val="20"/>
          <w:color w:val="auto"/>
        </w:rPr>
      </w:pPr>
      <w:r>
        <w:rPr>
          <w:rFonts w:ascii="Arial" w:cs="Arial" w:eastAsia="Arial" w:hAnsi="Arial"/>
          <w:sz w:val="14"/>
          <w:szCs w:val="14"/>
          <w:color w:val="auto"/>
        </w:rPr>
        <w:t>16</w:t>
      </w:r>
    </w:p>
    <w:p>
      <w:pPr>
        <w:sectPr>
          <w:pgSz w:w="11900" w:h="16838" w:orient="portrait"/>
          <w:cols w:equalWidth="0" w:num="1">
            <w:col w:w="11420"/>
          </w:cols>
          <w:pgMar w:left="240" w:top="459" w:right="239" w:bottom="1440" w:gutter="0" w:footer="0" w:header="0"/>
        </w:sectPr>
      </w:pPr>
    </w:p>
    <w:bookmarkStart w:id="22" w:name="page23"/>
    <w:bookmarkEnd w:id="2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5">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2715260</wp:posOffset>
            </wp:positionH>
            <wp:positionV relativeFrom="paragraph">
              <wp:posOffset>205740</wp:posOffset>
            </wp:positionV>
            <wp:extent cx="1826895" cy="20574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6">
                      <a:extLst>
                        <a:ext uri="{28A0092B-C50C-407E-A947-70E740481C1C}"/>
                      </a:extLst>
                    </a:blip>
                    <a:srcRect/>
                    <a:stretch>
                      <a:fillRect/>
                    </a:stretch>
                  </pic:blipFill>
                  <pic:spPr bwMode="auto">
                    <a:xfrm>
                      <a:off x="0" y="0"/>
                      <a:ext cx="1826895" cy="20574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70" w:lineRule="exact"/>
        <w:rPr>
          <w:sz w:val="20"/>
          <w:szCs w:val="20"/>
          <w:color w:val="auto"/>
        </w:rPr>
      </w:pPr>
    </w:p>
    <w:p>
      <w:pPr>
        <w:ind w:right="280"/>
        <w:spacing w:after="0" w:line="234" w:lineRule="auto"/>
        <w:rPr>
          <w:sz w:val="20"/>
          <w:szCs w:val="20"/>
          <w:color w:val="auto"/>
        </w:rPr>
      </w:pPr>
      <w:r>
        <w:rPr>
          <w:rFonts w:ascii="Arial" w:cs="Arial" w:eastAsia="Arial" w:hAnsi="Arial"/>
          <w:sz w:val="17"/>
          <w:szCs w:val="17"/>
          <w:color w:val="auto"/>
        </w:rPr>
        <w:t>at our principal executive offices not later than the close of business on the later of the 90th day prior to the Annual Meeting of Shareholders or the 10th day following the day on which public announcement of the date of the Annual Meeting of Shareholders is first made. The notice must provide certain information required by the Code of Regulations, including but not limited to (a) biographical and share ownership information of the shareholder (and certain affiliates), (b) descriptions of any material interests of the shareholder (and certain affiliates) in the nomination and any arrangements between the shareholder (and certain affiliates) and another person or entity with respect to the nomination, (c) biographical and employment information of each nominee, and (d) a brief description of any arrangement or understanding between each individual proposed as a nominee and any other person pursuant to which the individual was selected as a nominee.</w:t>
      </w:r>
    </w:p>
    <w:p>
      <w:pPr>
        <w:spacing w:after="0" w:line="178" w:lineRule="exact"/>
        <w:rPr>
          <w:sz w:val="20"/>
          <w:szCs w:val="20"/>
          <w:color w:val="auto"/>
        </w:rPr>
      </w:pPr>
    </w:p>
    <w:p>
      <w:pPr>
        <w:spacing w:after="0" w:line="234" w:lineRule="auto"/>
        <w:rPr>
          <w:sz w:val="20"/>
          <w:szCs w:val="20"/>
          <w:color w:val="auto"/>
        </w:rPr>
      </w:pPr>
      <w:r>
        <w:rPr>
          <w:rFonts w:ascii="Arial" w:cs="Arial" w:eastAsia="Arial" w:hAnsi="Arial"/>
          <w:sz w:val="17"/>
          <w:szCs w:val="17"/>
          <w:color w:val="auto"/>
        </w:rPr>
        <w:t>The Nominating and Corporate Governance Committee expects to utilize a variety of sources to identify possible Director candidates, including professional associations and Board member recommendations. In recommending candidates, the Nominating and Corporate Governance Committee considers the qualifications of candidates such as business experience and other attributes and skills, including high standards of integrity and ethical behavior, which qualify the candidate to serve as a Director of the Company in light of the Company’s business and structure. The Nominating and Corporate Governance Committee also may consider such other elements as it deems appropriate, consistent with the factors in the Company’s Corporate Governance Guidelines, including whether the candidate enhances the diversity of the Board. Such diversity includes professional background and capabilities, knowledge of specific industries and geographic experience, as well as the more traditional diversity concepts of race, gender and national origin. The Nominating and Corporate Governance Committee also is responsible for reviewing the qualifications of, and making recommendations to the Board of Directors regarding, Director nominations submitted by our shareholders. The Committee will consider all potential candidates in the same manner regardless of the source of recommendation.</w:t>
      </w:r>
    </w:p>
    <w:p>
      <w:pPr>
        <w:spacing w:after="0" w:line="160" w:lineRule="exact"/>
        <w:rPr>
          <w:sz w:val="20"/>
          <w:szCs w:val="20"/>
          <w:color w:val="auto"/>
        </w:rPr>
      </w:pPr>
    </w:p>
    <w:p>
      <w:pPr>
        <w:spacing w:after="0" w:line="236" w:lineRule="auto"/>
        <w:rPr>
          <w:sz w:val="20"/>
          <w:szCs w:val="20"/>
          <w:color w:val="auto"/>
        </w:rPr>
      </w:pPr>
      <w:r>
        <w:rPr>
          <w:rFonts w:ascii="Arial" w:cs="Arial" w:eastAsia="Arial" w:hAnsi="Arial"/>
          <w:sz w:val="17"/>
          <w:szCs w:val="17"/>
          <w:color w:val="auto"/>
        </w:rPr>
        <w:t>The Nominating and Corporate Governance Committee also plans for Director succession. The Committee will periodically review the appropriate size of the Board. In the event that vacancies are anticipated, or otherwise arise, the Committee will consider potential Director candidates. As part of this process, the Committee will assess the skills and attributes of our Board as a whole and of each individual Director and evaluate whether prospective candidates possess complementary skills and attributes that would strengthen our Board.</w:t>
      </w:r>
    </w:p>
    <w:p>
      <w:pPr>
        <w:spacing w:after="0" w:line="163" w:lineRule="exact"/>
        <w:rPr>
          <w:sz w:val="20"/>
          <w:szCs w:val="20"/>
          <w:color w:val="auto"/>
        </w:rPr>
      </w:pPr>
    </w:p>
    <w:p>
      <w:pPr>
        <w:ind w:right="160"/>
        <w:spacing w:after="0" w:line="236" w:lineRule="auto"/>
        <w:rPr>
          <w:sz w:val="20"/>
          <w:szCs w:val="20"/>
          <w:color w:val="auto"/>
        </w:rPr>
      </w:pPr>
      <w:r>
        <w:rPr>
          <w:rFonts w:ascii="Arial" w:cs="Arial" w:eastAsia="Arial" w:hAnsi="Arial"/>
          <w:sz w:val="17"/>
          <w:szCs w:val="17"/>
          <w:color w:val="auto"/>
        </w:rPr>
        <w:t>The Nominating and Corporate Governance Committee has adopted a written charter, which is reviewed and reassessed annually. A current copy of the Nominating and Corporate Governance Committee charter is available on the Company’s website at www.timkensteel.com and in print to any shareholder who requests a copy. All requests must be made in writing, addressed to TimkenSteel Corporation, Attn: Secretary, 1835 Dueber Ave. S.W., Canton, Ohio 44706.</w:t>
      </w:r>
    </w:p>
    <w:p>
      <w:pPr>
        <w:spacing w:after="0" w:line="147" w:lineRule="exact"/>
        <w:rPr>
          <w:sz w:val="20"/>
          <w:szCs w:val="20"/>
          <w:color w:val="auto"/>
        </w:rPr>
      </w:pPr>
    </w:p>
    <w:p>
      <w:pPr>
        <w:ind w:left="11180"/>
        <w:spacing w:after="0"/>
        <w:rPr>
          <w:sz w:val="20"/>
          <w:szCs w:val="20"/>
          <w:color w:val="auto"/>
        </w:rPr>
      </w:pPr>
      <w:r>
        <w:rPr>
          <w:rFonts w:ascii="Arial" w:cs="Arial" w:eastAsia="Arial" w:hAnsi="Arial"/>
          <w:sz w:val="14"/>
          <w:szCs w:val="14"/>
          <w:color w:val="auto"/>
        </w:rPr>
        <w:t>17</w:t>
      </w:r>
    </w:p>
    <w:p>
      <w:pPr>
        <w:sectPr>
          <w:pgSz w:w="11900" w:h="16838" w:orient="portrait"/>
          <w:cols w:equalWidth="0" w:num="1">
            <w:col w:w="11360"/>
          </w:cols>
          <w:pgMar w:left="240" w:top="459" w:right="299" w:bottom="1440" w:gutter="0" w:footer="0" w:header="0"/>
        </w:sectPr>
      </w:pPr>
    </w:p>
    <w:bookmarkStart w:id="23" w:name="page24"/>
    <w:bookmarkEnd w:id="2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7">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3109595</wp:posOffset>
            </wp:positionH>
            <wp:positionV relativeFrom="paragraph">
              <wp:posOffset>205740</wp:posOffset>
            </wp:positionV>
            <wp:extent cx="1046480" cy="20574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8">
                      <a:extLst>
                        <a:ext uri="{28A0092B-C50C-407E-A947-70E740481C1C}"/>
                      </a:extLst>
                    </a:blip>
                    <a:srcRect/>
                    <a:stretch>
                      <a:fillRect/>
                    </a:stretch>
                  </pic:blipFill>
                  <pic:spPr bwMode="auto">
                    <a:xfrm>
                      <a:off x="0" y="0"/>
                      <a:ext cx="1046480" cy="20574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76" w:lineRule="exact"/>
        <w:rPr>
          <w:sz w:val="20"/>
          <w:szCs w:val="20"/>
          <w:color w:val="auto"/>
        </w:rPr>
      </w:pPr>
    </w:p>
    <w:p>
      <w:pPr>
        <w:spacing w:after="0"/>
        <w:rPr>
          <w:sz w:val="20"/>
          <w:szCs w:val="20"/>
          <w:color w:val="auto"/>
        </w:rPr>
      </w:pPr>
      <w:r>
        <w:rPr>
          <w:rFonts w:ascii="Arial" w:cs="Arial" w:eastAsia="Arial" w:hAnsi="Arial"/>
          <w:sz w:val="18"/>
          <w:szCs w:val="18"/>
          <w:color w:val="auto"/>
        </w:rPr>
        <w:t>DIRECTOR COMPENSATION</w:t>
      </w:r>
    </w:p>
    <w:p>
      <w:pPr>
        <w:spacing w:after="0" w:line="179" w:lineRule="exact"/>
        <w:rPr>
          <w:sz w:val="20"/>
          <w:szCs w:val="20"/>
          <w:color w:val="auto"/>
        </w:rPr>
      </w:pPr>
    </w:p>
    <w:p>
      <w:pPr>
        <w:ind w:right="400"/>
        <w:spacing w:after="0" w:line="235" w:lineRule="auto"/>
        <w:rPr>
          <w:sz w:val="20"/>
          <w:szCs w:val="20"/>
          <w:color w:val="auto"/>
        </w:rPr>
      </w:pPr>
      <w:r>
        <w:rPr>
          <w:rFonts w:ascii="Arial" w:cs="Arial" w:eastAsia="Arial" w:hAnsi="Arial"/>
          <w:sz w:val="17"/>
          <w:szCs w:val="17"/>
          <w:color w:val="auto"/>
        </w:rPr>
        <w:t>The compensation program under which non-employee Directors were compensated for their services as Directors during 2015 is summarized below. As noted previously, this program is reviewed periodically by the Board to ensure that Director compensation remains appropriate and competitive. In light of current business conditions, the Board determined in February 2016 to reduce the Directors’ 2016 base compensation from $80,000 to $65,000 and to reduce the targeted value of 2016 stock compensation from $120,000 to $105,000. All other elements of the Director compensation program for 2016 are expected to remain the same as in the 2015 program described below.</w:t>
      </w:r>
    </w:p>
    <w:p>
      <w:pPr>
        <w:spacing w:after="0" w:line="144" w:lineRule="exact"/>
        <w:rPr>
          <w:sz w:val="20"/>
          <w:szCs w:val="20"/>
          <w:color w:val="auto"/>
        </w:rPr>
      </w:pPr>
    </w:p>
    <w:p>
      <w:pPr>
        <w:spacing w:after="0"/>
        <w:rPr>
          <w:sz w:val="20"/>
          <w:szCs w:val="20"/>
          <w:color w:val="auto"/>
        </w:rPr>
      </w:pPr>
      <w:r>
        <w:rPr>
          <w:rFonts w:ascii="Arial" w:cs="Arial" w:eastAsia="Arial" w:hAnsi="Arial"/>
          <w:sz w:val="17"/>
          <w:szCs w:val="17"/>
          <w:b w:val="1"/>
          <w:bCs w:val="1"/>
          <w:color w:val="666666"/>
        </w:rPr>
        <w:t>CASH COMPENSATION</w:t>
      </w:r>
    </w:p>
    <w:p>
      <w:pPr>
        <w:spacing w:after="0" w:line="14" w:lineRule="exact"/>
        <w:rPr>
          <w:sz w:val="20"/>
          <w:szCs w:val="20"/>
          <w:color w:val="auto"/>
        </w:rPr>
      </w:pPr>
    </w:p>
    <w:p>
      <w:pPr>
        <w:ind w:right="360"/>
        <w:spacing w:after="0" w:line="243" w:lineRule="auto"/>
        <w:rPr>
          <w:sz w:val="20"/>
          <w:szCs w:val="20"/>
          <w:color w:val="auto"/>
        </w:rPr>
      </w:pPr>
      <w:r>
        <w:rPr>
          <w:rFonts w:ascii="Arial" w:cs="Arial" w:eastAsia="Arial" w:hAnsi="Arial"/>
          <w:sz w:val="17"/>
          <w:szCs w:val="17"/>
          <w:color w:val="auto"/>
        </w:rPr>
        <w:t>Each non-employee Director is paid at an annual rate of $80,000 for services as a Director. An additional annual fee of $20,000 is paid to the Lead Director. In addition to base compensation, the following annual fees are paid for service on a committee of our Board of Directors.</w:t>
      </w:r>
    </w:p>
    <w:p>
      <w:pPr>
        <w:spacing w:after="0" w:line="185" w:lineRule="exact"/>
        <w:rPr>
          <w:sz w:val="20"/>
          <w:szCs w:val="20"/>
          <w:color w:val="auto"/>
        </w:rPr>
      </w:pPr>
    </w:p>
    <w:tbl>
      <w:tblPr>
        <w:tblLayout w:type="fixed"/>
        <w:tblInd w:w="0" w:type="dxa"/>
        <w:tblCellMar>
          <w:top w:w="0" w:type="dxa"/>
          <w:left w:w="0" w:type="dxa"/>
          <w:bottom w:w="0" w:type="dxa"/>
          <w:right w:w="0" w:type="dxa"/>
        </w:tblCellMar>
      </w:tblPr>
      <w:tr>
        <w:trPr>
          <w:trHeight w:val="203"/>
        </w:trPr>
        <w:tc>
          <w:tcPr>
            <w:tcW w:w="5200" w:type="dxa"/>
            <w:vAlign w:val="bottom"/>
            <w:tcBorders>
              <w:top w:val="single" w:sz="8" w:color="auto"/>
              <w:bottom w:val="single" w:sz="8" w:color="auto"/>
            </w:tcBorders>
          </w:tcPr>
          <w:p>
            <w:pPr>
              <w:spacing w:after="0"/>
              <w:rPr>
                <w:sz w:val="20"/>
                <w:szCs w:val="20"/>
                <w:color w:val="auto"/>
              </w:rPr>
            </w:pPr>
            <w:r>
              <w:rPr>
                <w:rFonts w:ascii="Arial" w:cs="Arial" w:eastAsia="Arial" w:hAnsi="Arial"/>
                <w:sz w:val="17"/>
                <w:szCs w:val="17"/>
                <w:b w:val="1"/>
                <w:bCs w:val="1"/>
                <w:color w:val="auto"/>
              </w:rPr>
              <w:t>Committee</w:t>
            </w:r>
          </w:p>
        </w:tc>
        <w:tc>
          <w:tcPr>
            <w:tcW w:w="4080" w:type="dxa"/>
            <w:vAlign w:val="bottom"/>
            <w:tcBorders>
              <w:top w:val="single" w:sz="8" w:color="auto"/>
              <w:bottom w:val="single" w:sz="8" w:color="auto"/>
            </w:tcBorders>
            <w:gridSpan w:val="2"/>
          </w:tcPr>
          <w:p>
            <w:pPr>
              <w:ind w:left="2200"/>
              <w:spacing w:after="0"/>
              <w:rPr>
                <w:sz w:val="20"/>
                <w:szCs w:val="20"/>
                <w:color w:val="auto"/>
              </w:rPr>
            </w:pPr>
            <w:r>
              <w:rPr>
                <w:rFonts w:ascii="Arial" w:cs="Arial" w:eastAsia="Arial" w:hAnsi="Arial"/>
                <w:sz w:val="17"/>
                <w:szCs w:val="17"/>
                <w:b w:val="1"/>
                <w:bCs w:val="1"/>
                <w:color w:val="auto"/>
              </w:rPr>
              <w:t>Chairperson Fee</w:t>
            </w:r>
          </w:p>
        </w:tc>
        <w:tc>
          <w:tcPr>
            <w:tcW w:w="2140" w:type="dxa"/>
            <w:vAlign w:val="bottom"/>
            <w:tcBorders>
              <w:top w:val="single" w:sz="8" w:color="auto"/>
              <w:bottom w:val="single" w:sz="8" w:color="auto"/>
            </w:tcBorders>
            <w:gridSpan w:val="2"/>
          </w:tcPr>
          <w:p>
            <w:pPr>
              <w:ind w:left="520"/>
              <w:spacing w:after="0"/>
              <w:rPr>
                <w:sz w:val="20"/>
                <w:szCs w:val="20"/>
                <w:color w:val="auto"/>
              </w:rPr>
            </w:pPr>
            <w:r>
              <w:rPr>
                <w:rFonts w:ascii="Arial" w:cs="Arial" w:eastAsia="Arial" w:hAnsi="Arial"/>
                <w:sz w:val="17"/>
                <w:szCs w:val="17"/>
                <w:b w:val="1"/>
                <w:bCs w:val="1"/>
                <w:color w:val="auto"/>
              </w:rPr>
              <w:t>Member Fee</w:t>
            </w:r>
          </w:p>
        </w:tc>
      </w:tr>
      <w:tr>
        <w:trPr>
          <w:trHeight w:val="183"/>
        </w:trPr>
        <w:tc>
          <w:tcPr>
            <w:tcW w:w="5200" w:type="dxa"/>
            <w:vAlign w:val="bottom"/>
            <w:shd w:val="clear" w:color="auto" w:fill="CCEEFF"/>
          </w:tcPr>
          <w:p>
            <w:pPr>
              <w:spacing w:after="0" w:line="183" w:lineRule="exact"/>
              <w:rPr>
                <w:sz w:val="20"/>
                <w:szCs w:val="20"/>
                <w:color w:val="auto"/>
              </w:rPr>
            </w:pPr>
            <w:r>
              <w:rPr>
                <w:rFonts w:ascii="Arial" w:cs="Arial" w:eastAsia="Arial" w:hAnsi="Arial"/>
                <w:sz w:val="17"/>
                <w:szCs w:val="17"/>
                <w:color w:val="auto"/>
              </w:rPr>
              <w:t>Audit</w:t>
            </w:r>
          </w:p>
        </w:tc>
        <w:tc>
          <w:tcPr>
            <w:tcW w:w="2660" w:type="dxa"/>
            <w:vAlign w:val="bottom"/>
            <w:shd w:val="clear" w:color="auto" w:fill="CCEEFF"/>
          </w:tcPr>
          <w:p>
            <w:pPr>
              <w:ind w:left="2200"/>
              <w:spacing w:after="0" w:line="183" w:lineRule="exact"/>
              <w:rPr>
                <w:sz w:val="20"/>
                <w:szCs w:val="20"/>
                <w:color w:val="auto"/>
              </w:rPr>
            </w:pPr>
            <w:r>
              <w:rPr>
                <w:rFonts w:ascii="Arial" w:cs="Arial" w:eastAsia="Arial" w:hAnsi="Arial"/>
                <w:sz w:val="17"/>
                <w:szCs w:val="17"/>
                <w:color w:val="auto"/>
              </w:rPr>
              <w:t>$</w:t>
            </w:r>
          </w:p>
        </w:tc>
        <w:tc>
          <w:tcPr>
            <w:tcW w:w="1420" w:type="dxa"/>
            <w:vAlign w:val="bottom"/>
            <w:shd w:val="clear" w:color="auto" w:fill="CCEEFF"/>
          </w:tcPr>
          <w:p>
            <w:pPr>
              <w:jc w:val="right"/>
              <w:ind w:right="455"/>
              <w:spacing w:after="0" w:line="183" w:lineRule="exact"/>
              <w:rPr>
                <w:sz w:val="20"/>
                <w:szCs w:val="20"/>
                <w:color w:val="auto"/>
              </w:rPr>
            </w:pPr>
            <w:r>
              <w:rPr>
                <w:rFonts w:ascii="Arial" w:cs="Arial" w:eastAsia="Arial" w:hAnsi="Arial"/>
                <w:sz w:val="17"/>
                <w:szCs w:val="17"/>
                <w:color w:val="auto"/>
              </w:rPr>
              <w:t>30,000</w:t>
            </w:r>
          </w:p>
        </w:tc>
        <w:tc>
          <w:tcPr>
            <w:tcW w:w="800" w:type="dxa"/>
            <w:vAlign w:val="bottom"/>
            <w:shd w:val="clear" w:color="auto" w:fill="CCEEFF"/>
          </w:tcPr>
          <w:p>
            <w:pPr>
              <w:ind w:left="520"/>
              <w:spacing w:after="0" w:line="183" w:lineRule="exact"/>
              <w:rPr>
                <w:sz w:val="20"/>
                <w:szCs w:val="20"/>
                <w:color w:val="auto"/>
              </w:rPr>
            </w:pPr>
            <w:r>
              <w:rPr>
                <w:rFonts w:ascii="Arial" w:cs="Arial" w:eastAsia="Arial" w:hAnsi="Arial"/>
                <w:sz w:val="17"/>
                <w:szCs w:val="17"/>
                <w:color w:val="auto"/>
              </w:rPr>
              <w:t>$</w:t>
            </w:r>
          </w:p>
        </w:tc>
        <w:tc>
          <w:tcPr>
            <w:tcW w:w="1340" w:type="dxa"/>
            <w:vAlign w:val="bottom"/>
            <w:shd w:val="clear" w:color="auto" w:fill="CCEEFF"/>
          </w:tcPr>
          <w:p>
            <w:pPr>
              <w:jc w:val="right"/>
              <w:ind w:right="535"/>
              <w:spacing w:after="0" w:line="183" w:lineRule="exact"/>
              <w:rPr>
                <w:sz w:val="20"/>
                <w:szCs w:val="20"/>
                <w:color w:val="auto"/>
              </w:rPr>
            </w:pPr>
            <w:r>
              <w:rPr>
                <w:rFonts w:ascii="Arial" w:cs="Arial" w:eastAsia="Arial" w:hAnsi="Arial"/>
                <w:sz w:val="17"/>
                <w:szCs w:val="17"/>
                <w:color w:val="auto"/>
              </w:rPr>
              <w:t>15,000</w:t>
            </w:r>
          </w:p>
        </w:tc>
      </w:tr>
      <w:tr>
        <w:trPr>
          <w:trHeight w:val="189"/>
        </w:trPr>
        <w:tc>
          <w:tcPr>
            <w:tcW w:w="5200" w:type="dxa"/>
            <w:vAlign w:val="bottom"/>
          </w:tcPr>
          <w:p>
            <w:pPr>
              <w:spacing w:after="0" w:line="189" w:lineRule="exact"/>
              <w:rPr>
                <w:sz w:val="20"/>
                <w:szCs w:val="20"/>
                <w:color w:val="auto"/>
              </w:rPr>
            </w:pPr>
            <w:r>
              <w:rPr>
                <w:rFonts w:ascii="Arial" w:cs="Arial" w:eastAsia="Arial" w:hAnsi="Arial"/>
                <w:sz w:val="17"/>
                <w:szCs w:val="17"/>
                <w:color w:val="auto"/>
              </w:rPr>
              <w:t>Compensation</w:t>
            </w:r>
          </w:p>
        </w:tc>
        <w:tc>
          <w:tcPr>
            <w:tcW w:w="2660" w:type="dxa"/>
            <w:vAlign w:val="bottom"/>
          </w:tcPr>
          <w:p>
            <w:pPr>
              <w:ind w:left="2200"/>
              <w:spacing w:after="0" w:line="189" w:lineRule="exact"/>
              <w:rPr>
                <w:sz w:val="20"/>
                <w:szCs w:val="20"/>
                <w:color w:val="auto"/>
              </w:rPr>
            </w:pPr>
            <w:r>
              <w:rPr>
                <w:rFonts w:ascii="Arial" w:cs="Arial" w:eastAsia="Arial" w:hAnsi="Arial"/>
                <w:sz w:val="17"/>
                <w:szCs w:val="17"/>
                <w:color w:val="auto"/>
              </w:rPr>
              <w:t>$</w:t>
            </w:r>
          </w:p>
        </w:tc>
        <w:tc>
          <w:tcPr>
            <w:tcW w:w="1420" w:type="dxa"/>
            <w:vAlign w:val="bottom"/>
          </w:tcPr>
          <w:p>
            <w:pPr>
              <w:jc w:val="right"/>
              <w:ind w:right="455"/>
              <w:spacing w:after="0" w:line="189" w:lineRule="exact"/>
              <w:rPr>
                <w:sz w:val="20"/>
                <w:szCs w:val="20"/>
                <w:color w:val="auto"/>
              </w:rPr>
            </w:pPr>
            <w:r>
              <w:rPr>
                <w:rFonts w:ascii="Arial" w:cs="Arial" w:eastAsia="Arial" w:hAnsi="Arial"/>
                <w:sz w:val="17"/>
                <w:szCs w:val="17"/>
                <w:color w:val="auto"/>
              </w:rPr>
              <w:t>17,500</w:t>
            </w:r>
          </w:p>
        </w:tc>
        <w:tc>
          <w:tcPr>
            <w:tcW w:w="800" w:type="dxa"/>
            <w:vAlign w:val="bottom"/>
          </w:tcPr>
          <w:p>
            <w:pPr>
              <w:ind w:left="520"/>
              <w:spacing w:after="0" w:line="189" w:lineRule="exact"/>
              <w:rPr>
                <w:sz w:val="20"/>
                <w:szCs w:val="20"/>
                <w:color w:val="auto"/>
              </w:rPr>
            </w:pPr>
            <w:r>
              <w:rPr>
                <w:rFonts w:ascii="Arial" w:cs="Arial" w:eastAsia="Arial" w:hAnsi="Arial"/>
                <w:sz w:val="17"/>
                <w:szCs w:val="17"/>
                <w:color w:val="auto"/>
              </w:rPr>
              <w:t>$</w:t>
            </w:r>
          </w:p>
        </w:tc>
        <w:tc>
          <w:tcPr>
            <w:tcW w:w="1340" w:type="dxa"/>
            <w:vAlign w:val="bottom"/>
          </w:tcPr>
          <w:p>
            <w:pPr>
              <w:jc w:val="right"/>
              <w:ind w:right="535"/>
              <w:spacing w:after="0" w:line="189" w:lineRule="exact"/>
              <w:rPr>
                <w:sz w:val="20"/>
                <w:szCs w:val="20"/>
                <w:color w:val="auto"/>
              </w:rPr>
            </w:pPr>
            <w:r>
              <w:rPr>
                <w:rFonts w:ascii="Arial" w:cs="Arial" w:eastAsia="Arial" w:hAnsi="Arial"/>
                <w:sz w:val="17"/>
                <w:szCs w:val="17"/>
                <w:color w:val="auto"/>
              </w:rPr>
              <w:t>7,500</w:t>
            </w:r>
          </w:p>
        </w:tc>
      </w:tr>
      <w:tr>
        <w:trPr>
          <w:trHeight w:val="189"/>
        </w:trPr>
        <w:tc>
          <w:tcPr>
            <w:tcW w:w="5200" w:type="dxa"/>
            <w:vAlign w:val="bottom"/>
            <w:tcBorders>
              <w:bottom w:val="single" w:sz="8" w:color="auto"/>
            </w:tcBorders>
            <w:shd w:val="clear" w:color="auto" w:fill="CCEEFF"/>
          </w:tcPr>
          <w:p>
            <w:pPr>
              <w:spacing w:after="0" w:line="189" w:lineRule="exact"/>
              <w:rPr>
                <w:sz w:val="20"/>
                <w:szCs w:val="20"/>
                <w:color w:val="auto"/>
              </w:rPr>
            </w:pPr>
            <w:r>
              <w:rPr>
                <w:rFonts w:ascii="Arial" w:cs="Arial" w:eastAsia="Arial" w:hAnsi="Arial"/>
                <w:sz w:val="17"/>
                <w:szCs w:val="17"/>
                <w:color w:val="auto"/>
              </w:rPr>
              <w:t>Nominating and Corporate Governance</w:t>
            </w:r>
          </w:p>
        </w:tc>
        <w:tc>
          <w:tcPr>
            <w:tcW w:w="2660" w:type="dxa"/>
            <w:vAlign w:val="bottom"/>
            <w:tcBorders>
              <w:bottom w:val="single" w:sz="8" w:color="auto"/>
            </w:tcBorders>
            <w:shd w:val="clear" w:color="auto" w:fill="CCEEFF"/>
          </w:tcPr>
          <w:p>
            <w:pPr>
              <w:ind w:left="2200"/>
              <w:spacing w:after="0" w:line="189" w:lineRule="exact"/>
              <w:rPr>
                <w:sz w:val="20"/>
                <w:szCs w:val="20"/>
                <w:color w:val="auto"/>
              </w:rPr>
            </w:pPr>
            <w:r>
              <w:rPr>
                <w:rFonts w:ascii="Arial" w:cs="Arial" w:eastAsia="Arial" w:hAnsi="Arial"/>
                <w:sz w:val="17"/>
                <w:szCs w:val="17"/>
                <w:color w:val="auto"/>
              </w:rPr>
              <w:t>$</w:t>
            </w:r>
          </w:p>
        </w:tc>
        <w:tc>
          <w:tcPr>
            <w:tcW w:w="1420" w:type="dxa"/>
            <w:vAlign w:val="bottom"/>
            <w:tcBorders>
              <w:bottom w:val="single" w:sz="8" w:color="auto"/>
            </w:tcBorders>
            <w:shd w:val="clear" w:color="auto" w:fill="CCEEFF"/>
          </w:tcPr>
          <w:p>
            <w:pPr>
              <w:jc w:val="right"/>
              <w:ind w:right="455"/>
              <w:spacing w:after="0" w:line="189" w:lineRule="exact"/>
              <w:rPr>
                <w:sz w:val="20"/>
                <w:szCs w:val="20"/>
                <w:color w:val="auto"/>
              </w:rPr>
            </w:pPr>
            <w:r>
              <w:rPr>
                <w:rFonts w:ascii="Arial" w:cs="Arial" w:eastAsia="Arial" w:hAnsi="Arial"/>
                <w:sz w:val="17"/>
                <w:szCs w:val="17"/>
                <w:color w:val="auto"/>
              </w:rPr>
              <w:t>17,500</w:t>
            </w:r>
          </w:p>
        </w:tc>
        <w:tc>
          <w:tcPr>
            <w:tcW w:w="800" w:type="dxa"/>
            <w:vAlign w:val="bottom"/>
            <w:tcBorders>
              <w:bottom w:val="single" w:sz="8" w:color="auto"/>
            </w:tcBorders>
            <w:shd w:val="clear" w:color="auto" w:fill="CCEEFF"/>
          </w:tcPr>
          <w:p>
            <w:pPr>
              <w:ind w:left="520"/>
              <w:spacing w:after="0" w:line="189" w:lineRule="exact"/>
              <w:rPr>
                <w:sz w:val="20"/>
                <w:szCs w:val="20"/>
                <w:color w:val="auto"/>
              </w:rPr>
            </w:pPr>
            <w:r>
              <w:rPr>
                <w:rFonts w:ascii="Arial" w:cs="Arial" w:eastAsia="Arial" w:hAnsi="Arial"/>
                <w:sz w:val="17"/>
                <w:szCs w:val="17"/>
                <w:color w:val="auto"/>
              </w:rPr>
              <w:t>$</w:t>
            </w:r>
          </w:p>
        </w:tc>
        <w:tc>
          <w:tcPr>
            <w:tcW w:w="1340" w:type="dxa"/>
            <w:vAlign w:val="bottom"/>
            <w:tcBorders>
              <w:bottom w:val="single" w:sz="8" w:color="auto"/>
            </w:tcBorders>
            <w:shd w:val="clear" w:color="auto" w:fill="CCEEFF"/>
          </w:tcPr>
          <w:p>
            <w:pPr>
              <w:jc w:val="right"/>
              <w:ind w:right="535"/>
              <w:spacing w:after="0" w:line="189" w:lineRule="exact"/>
              <w:rPr>
                <w:sz w:val="20"/>
                <w:szCs w:val="20"/>
                <w:color w:val="auto"/>
              </w:rPr>
            </w:pPr>
            <w:r>
              <w:rPr>
                <w:rFonts w:ascii="Arial" w:cs="Arial" w:eastAsia="Arial" w:hAnsi="Arial"/>
                <w:sz w:val="17"/>
                <w:szCs w:val="17"/>
                <w:color w:val="auto"/>
              </w:rPr>
              <w:t>7,500</w:t>
            </w:r>
          </w:p>
        </w:tc>
      </w:tr>
    </w:tbl>
    <w:p>
      <w:pPr>
        <w:spacing w:after="0" w:line="169" w:lineRule="exact"/>
        <w:rPr>
          <w:sz w:val="20"/>
          <w:szCs w:val="20"/>
          <w:color w:val="auto"/>
        </w:rPr>
      </w:pPr>
    </w:p>
    <w:p>
      <w:pPr>
        <w:spacing w:after="0"/>
        <w:rPr>
          <w:sz w:val="20"/>
          <w:szCs w:val="20"/>
          <w:color w:val="auto"/>
        </w:rPr>
      </w:pPr>
      <w:r>
        <w:rPr>
          <w:rFonts w:ascii="Arial" w:cs="Arial" w:eastAsia="Arial" w:hAnsi="Arial"/>
          <w:sz w:val="17"/>
          <w:szCs w:val="17"/>
          <w:color w:val="auto"/>
        </w:rPr>
        <w:t>Directors who are also our employees are not paid any additional compensation for serving as Directors.</w:t>
      </w:r>
    </w:p>
    <w:p>
      <w:pPr>
        <w:spacing w:after="0" w:line="163" w:lineRule="exact"/>
        <w:rPr>
          <w:sz w:val="20"/>
          <w:szCs w:val="20"/>
          <w:color w:val="auto"/>
        </w:rPr>
      </w:pPr>
    </w:p>
    <w:p>
      <w:pPr>
        <w:spacing w:after="0"/>
        <w:rPr>
          <w:sz w:val="20"/>
          <w:szCs w:val="20"/>
          <w:color w:val="auto"/>
        </w:rPr>
      </w:pPr>
      <w:r>
        <w:rPr>
          <w:rFonts w:ascii="Arial" w:cs="Arial" w:eastAsia="Arial" w:hAnsi="Arial"/>
          <w:sz w:val="17"/>
          <w:szCs w:val="17"/>
          <w:b w:val="1"/>
          <w:bCs w:val="1"/>
          <w:color w:val="666666"/>
        </w:rPr>
        <w:t>STOCK COMPENSATION</w:t>
      </w:r>
    </w:p>
    <w:p>
      <w:pPr>
        <w:spacing w:after="0" w:line="14" w:lineRule="exact"/>
        <w:rPr>
          <w:sz w:val="20"/>
          <w:szCs w:val="20"/>
          <w:color w:val="auto"/>
        </w:rPr>
      </w:pPr>
    </w:p>
    <w:p>
      <w:pPr>
        <w:ind w:right="40"/>
        <w:spacing w:after="0" w:line="236" w:lineRule="auto"/>
        <w:rPr>
          <w:sz w:val="20"/>
          <w:szCs w:val="20"/>
          <w:color w:val="auto"/>
        </w:rPr>
      </w:pPr>
      <w:r>
        <w:rPr>
          <w:rFonts w:ascii="Arial" w:cs="Arial" w:eastAsia="Arial" w:hAnsi="Arial"/>
          <w:sz w:val="17"/>
          <w:szCs w:val="17"/>
          <w:color w:val="auto"/>
        </w:rPr>
        <w:t>Each non-employee Director serving at the time of our Annual Meeting of Shareholders will receive a grant of our common shares with an approximate target value of $120,000 following the meeting. A non-employee Director who is first elected to the Board after the date of the Annual Meeting will receive a grant of common shares at the time of his or her election to the Board. The value of such grant may be prorated to reflect the portion of the year during which such Director will serve on the Board.</w:t>
      </w:r>
    </w:p>
    <w:p>
      <w:pPr>
        <w:spacing w:after="0" w:line="163" w:lineRule="exact"/>
        <w:rPr>
          <w:sz w:val="20"/>
          <w:szCs w:val="20"/>
          <w:color w:val="auto"/>
        </w:rPr>
      </w:pPr>
    </w:p>
    <w:p>
      <w:pPr>
        <w:spacing w:after="0"/>
        <w:rPr>
          <w:sz w:val="20"/>
          <w:szCs w:val="20"/>
          <w:color w:val="auto"/>
        </w:rPr>
      </w:pPr>
      <w:r>
        <w:rPr>
          <w:rFonts w:ascii="Arial" w:cs="Arial" w:eastAsia="Arial" w:hAnsi="Arial"/>
          <w:sz w:val="17"/>
          <w:szCs w:val="17"/>
          <w:color w:val="auto"/>
        </w:rPr>
        <w:t>The common shares granted to a Director are required to be held for as long as the Director remains on the Board of Directors of TimkenSteel.</w:t>
      </w:r>
    </w:p>
    <w:p>
      <w:pPr>
        <w:spacing w:after="0" w:line="169" w:lineRule="exact"/>
        <w:rPr>
          <w:sz w:val="20"/>
          <w:szCs w:val="20"/>
          <w:color w:val="auto"/>
        </w:rPr>
      </w:pPr>
    </w:p>
    <w:p>
      <w:pPr>
        <w:ind w:right="280"/>
        <w:spacing w:after="0" w:line="243" w:lineRule="auto"/>
        <w:rPr>
          <w:sz w:val="20"/>
          <w:szCs w:val="20"/>
          <w:color w:val="auto"/>
        </w:rPr>
      </w:pPr>
      <w:r>
        <w:rPr>
          <w:rFonts w:ascii="Arial" w:cs="Arial" w:eastAsia="Arial" w:hAnsi="Arial"/>
          <w:sz w:val="17"/>
          <w:szCs w:val="17"/>
          <w:color w:val="auto"/>
        </w:rPr>
        <w:t>The Compensation Committee of the Board of Directors has adopted share ownership guidelines that require non-employee Directors to own 8,000 common shares. As of February 18, 2016, Messrs. Cox, Reilly, Rice and Wotring and Ms. Creel had met their ownership requirements.</w:t>
      </w:r>
    </w:p>
    <w:p>
      <w:pPr>
        <w:spacing w:after="0" w:line="151" w:lineRule="exact"/>
        <w:rPr>
          <w:sz w:val="20"/>
          <w:szCs w:val="20"/>
          <w:color w:val="auto"/>
        </w:rPr>
      </w:pPr>
    </w:p>
    <w:p>
      <w:pPr>
        <w:spacing w:after="0"/>
        <w:rPr>
          <w:sz w:val="20"/>
          <w:szCs w:val="20"/>
          <w:color w:val="auto"/>
        </w:rPr>
      </w:pPr>
      <w:r>
        <w:rPr>
          <w:rFonts w:ascii="Arial" w:cs="Arial" w:eastAsia="Arial" w:hAnsi="Arial"/>
          <w:sz w:val="17"/>
          <w:szCs w:val="17"/>
          <w:b w:val="1"/>
          <w:bCs w:val="1"/>
          <w:color w:val="666666"/>
        </w:rPr>
        <w:t>COMPENSATION DEFERRAL</w:t>
      </w:r>
    </w:p>
    <w:p>
      <w:pPr>
        <w:spacing w:after="0" w:line="14" w:lineRule="exact"/>
        <w:rPr>
          <w:sz w:val="20"/>
          <w:szCs w:val="20"/>
          <w:color w:val="auto"/>
        </w:rPr>
      </w:pPr>
    </w:p>
    <w:p>
      <w:pPr>
        <w:ind w:right="160"/>
        <w:spacing w:after="0" w:line="235" w:lineRule="auto"/>
        <w:rPr>
          <w:sz w:val="20"/>
          <w:szCs w:val="20"/>
          <w:color w:val="auto"/>
        </w:rPr>
      </w:pPr>
      <w:r>
        <w:rPr>
          <w:rFonts w:ascii="Arial" w:cs="Arial" w:eastAsia="Arial" w:hAnsi="Arial"/>
          <w:sz w:val="17"/>
          <w:szCs w:val="17"/>
          <w:color w:val="auto"/>
        </w:rPr>
        <w:t>Any Director may elect to defer the receipt of all or a specified portion of his or her cash and/or stock compensation in accordance with the provisions of the TimkenSteel Corporation Director Deferred Compensation Plan. Pursuant to the plan, cash fees can be deferred and paid at a future date requested by the Director. The amount will be adjusted based on investment crediting options, which include interest earned quarterly at a rate based on the prime rate plus one percent or the total shareholder return of our common shares, with amounts paid either in a lump sum or in installments in cash. Stock compensation can be deferred to a future date and paid either in a lump sum or installments and is payable in shares plus an amount representing dividend equivalents during the deferral period.</w:t>
      </w:r>
    </w:p>
    <w:p>
      <w:pPr>
        <w:spacing w:after="0" w:line="146" w:lineRule="exact"/>
        <w:rPr>
          <w:sz w:val="20"/>
          <w:szCs w:val="20"/>
          <w:color w:val="auto"/>
        </w:rPr>
      </w:pPr>
    </w:p>
    <w:p>
      <w:pPr>
        <w:spacing w:after="0"/>
        <w:rPr>
          <w:sz w:val="20"/>
          <w:szCs w:val="20"/>
          <w:color w:val="auto"/>
        </w:rPr>
      </w:pPr>
      <w:r>
        <w:rPr>
          <w:rFonts w:ascii="Arial" w:cs="Arial" w:eastAsia="Arial" w:hAnsi="Arial"/>
          <w:sz w:val="14"/>
          <w:szCs w:val="14"/>
          <w:color w:val="auto"/>
        </w:rPr>
        <w:t>18</w:t>
      </w:r>
    </w:p>
    <w:p>
      <w:pPr>
        <w:sectPr>
          <w:pgSz w:w="11900" w:h="16838" w:orient="portrait"/>
          <w:cols w:equalWidth="0" w:num="1">
            <w:col w:w="11420"/>
          </w:cols>
          <w:pgMar w:left="240" w:top="459" w:right="239" w:bottom="1440" w:gutter="0" w:footer="0" w:header="0"/>
        </w:sectPr>
      </w:pPr>
    </w:p>
    <w:bookmarkStart w:id="24" w:name="page25"/>
    <w:bookmarkEnd w:id="2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9">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2715260</wp:posOffset>
            </wp:positionH>
            <wp:positionV relativeFrom="paragraph">
              <wp:posOffset>205740</wp:posOffset>
            </wp:positionV>
            <wp:extent cx="1826895" cy="20574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0">
                      <a:extLst>
                        <a:ext uri="{28A0092B-C50C-407E-A947-70E740481C1C}"/>
                      </a:extLst>
                    </a:blip>
                    <a:srcRect/>
                    <a:stretch>
                      <a:fillRect/>
                    </a:stretch>
                  </pic:blipFill>
                  <pic:spPr bwMode="auto">
                    <a:xfrm>
                      <a:off x="0" y="0"/>
                      <a:ext cx="1826895" cy="20574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50" w:lineRule="exact"/>
        <w:rPr>
          <w:sz w:val="20"/>
          <w:szCs w:val="20"/>
          <w:color w:val="auto"/>
        </w:rPr>
      </w:pPr>
    </w:p>
    <w:p>
      <w:pPr>
        <w:spacing w:after="0"/>
        <w:rPr>
          <w:sz w:val="20"/>
          <w:szCs w:val="20"/>
          <w:color w:val="auto"/>
        </w:rPr>
      </w:pPr>
      <w:r>
        <w:rPr>
          <w:rFonts w:ascii="Arial" w:cs="Arial" w:eastAsia="Arial" w:hAnsi="Arial"/>
          <w:sz w:val="17"/>
          <w:szCs w:val="17"/>
          <w:b w:val="1"/>
          <w:bCs w:val="1"/>
          <w:color w:val="666666"/>
        </w:rPr>
        <w:t>2015 DIRECTOR COMPENSATION TABLE</w:t>
      </w:r>
    </w:p>
    <w:p>
      <w:pPr>
        <w:spacing w:after="0" w:line="14" w:lineRule="exact"/>
        <w:rPr>
          <w:sz w:val="20"/>
          <w:szCs w:val="20"/>
          <w:color w:val="auto"/>
        </w:rPr>
      </w:pPr>
    </w:p>
    <w:p>
      <w:pPr>
        <w:spacing w:after="0"/>
        <w:rPr>
          <w:sz w:val="20"/>
          <w:szCs w:val="20"/>
          <w:color w:val="auto"/>
        </w:rPr>
      </w:pPr>
      <w:r>
        <w:rPr>
          <w:rFonts w:ascii="Arial" w:cs="Arial" w:eastAsia="Arial" w:hAnsi="Arial"/>
          <w:sz w:val="17"/>
          <w:szCs w:val="17"/>
          <w:color w:val="auto"/>
        </w:rPr>
        <w:t>The following table provides details of non-employee Director compensation in 2015:</w:t>
      </w:r>
    </w:p>
    <w:p>
      <w:pPr>
        <w:spacing w:after="0" w:line="196" w:lineRule="exact"/>
        <w:rPr>
          <w:sz w:val="20"/>
          <w:szCs w:val="20"/>
          <w:color w:val="auto"/>
        </w:rPr>
      </w:pPr>
    </w:p>
    <w:tbl>
      <w:tblPr>
        <w:tblLayout w:type="fixed"/>
        <w:tblInd w:w="0" w:type="dxa"/>
        <w:tblCellMar>
          <w:top w:w="0" w:type="dxa"/>
          <w:left w:w="0" w:type="dxa"/>
          <w:bottom w:w="0" w:type="dxa"/>
          <w:right w:w="0" w:type="dxa"/>
        </w:tblCellMar>
      </w:tblPr>
      <w:tr>
        <w:trPr>
          <w:trHeight w:val="176"/>
        </w:trPr>
        <w:tc>
          <w:tcPr>
            <w:tcW w:w="3680" w:type="dxa"/>
            <w:vAlign w:val="bottom"/>
            <w:tcBorders>
              <w:top w:val="single" w:sz="8" w:color="auto"/>
            </w:tcBorders>
          </w:tcPr>
          <w:p>
            <w:pPr>
              <w:spacing w:after="0"/>
              <w:rPr>
                <w:sz w:val="15"/>
                <w:szCs w:val="15"/>
                <w:color w:val="auto"/>
              </w:rPr>
            </w:pPr>
          </w:p>
        </w:tc>
        <w:tc>
          <w:tcPr>
            <w:tcW w:w="3820" w:type="dxa"/>
            <w:vAlign w:val="bottom"/>
            <w:tcBorders>
              <w:top w:val="single" w:sz="8" w:color="auto"/>
            </w:tcBorders>
            <w:gridSpan w:val="2"/>
          </w:tcPr>
          <w:p>
            <w:pPr>
              <w:ind w:left="2160"/>
              <w:spacing w:after="0" w:line="176" w:lineRule="exact"/>
              <w:rPr>
                <w:sz w:val="20"/>
                <w:szCs w:val="20"/>
                <w:color w:val="auto"/>
              </w:rPr>
            </w:pPr>
            <w:r>
              <w:rPr>
                <w:rFonts w:ascii="Arial" w:cs="Arial" w:eastAsia="Arial" w:hAnsi="Arial"/>
                <w:sz w:val="17"/>
                <w:szCs w:val="17"/>
                <w:b w:val="1"/>
                <w:bCs w:val="1"/>
                <w:color w:val="auto"/>
              </w:rPr>
              <w:t>Fees Earned or</w:t>
            </w:r>
          </w:p>
        </w:tc>
        <w:tc>
          <w:tcPr>
            <w:tcW w:w="800" w:type="dxa"/>
            <w:vAlign w:val="bottom"/>
            <w:tcBorders>
              <w:top w:val="single" w:sz="8" w:color="auto"/>
            </w:tcBorders>
          </w:tcPr>
          <w:p>
            <w:pPr>
              <w:spacing w:after="0"/>
              <w:rPr>
                <w:sz w:val="15"/>
                <w:szCs w:val="15"/>
                <w:color w:val="auto"/>
              </w:rPr>
            </w:pPr>
          </w:p>
        </w:tc>
        <w:tc>
          <w:tcPr>
            <w:tcW w:w="1400" w:type="dxa"/>
            <w:vAlign w:val="bottom"/>
            <w:tcBorders>
              <w:top w:val="single" w:sz="8" w:color="auto"/>
            </w:tcBorders>
          </w:tcPr>
          <w:p>
            <w:pPr>
              <w:spacing w:after="0"/>
              <w:rPr>
                <w:sz w:val="15"/>
                <w:szCs w:val="15"/>
                <w:color w:val="auto"/>
              </w:rPr>
            </w:pPr>
          </w:p>
        </w:tc>
        <w:tc>
          <w:tcPr>
            <w:tcW w:w="1720" w:type="dxa"/>
            <w:vAlign w:val="bottom"/>
            <w:tcBorders>
              <w:top w:val="single" w:sz="8" w:color="auto"/>
            </w:tcBorders>
          </w:tcPr>
          <w:p>
            <w:pPr>
              <w:spacing w:after="0"/>
              <w:rPr>
                <w:sz w:val="15"/>
                <w:szCs w:val="15"/>
                <w:color w:val="auto"/>
              </w:rPr>
            </w:pPr>
          </w:p>
        </w:tc>
      </w:tr>
      <w:tr>
        <w:trPr>
          <w:trHeight w:val="215"/>
        </w:trPr>
        <w:tc>
          <w:tcPr>
            <w:tcW w:w="3680" w:type="dxa"/>
            <w:vAlign w:val="bottom"/>
            <w:tcBorders>
              <w:bottom w:val="single" w:sz="8" w:color="auto"/>
            </w:tcBorders>
          </w:tcPr>
          <w:p>
            <w:pPr>
              <w:spacing w:after="0"/>
              <w:rPr>
                <w:sz w:val="20"/>
                <w:szCs w:val="20"/>
                <w:color w:val="auto"/>
              </w:rPr>
            </w:pPr>
            <w:r>
              <w:rPr>
                <w:rFonts w:ascii="Arial" w:cs="Arial" w:eastAsia="Arial" w:hAnsi="Arial"/>
                <w:sz w:val="17"/>
                <w:szCs w:val="17"/>
                <w:b w:val="1"/>
                <w:bCs w:val="1"/>
                <w:color w:val="auto"/>
              </w:rPr>
              <w:t>Name</w:t>
            </w:r>
            <w:r>
              <w:rPr>
                <w:rFonts w:ascii="Arial" w:cs="Arial" w:eastAsia="Arial" w:hAnsi="Arial"/>
                <w:sz w:val="14"/>
                <w:szCs w:val="14"/>
                <w:b w:val="1"/>
                <w:bCs w:val="1"/>
                <w:color w:val="auto"/>
              </w:rPr>
              <w:t>(1)</w:t>
            </w:r>
          </w:p>
        </w:tc>
        <w:tc>
          <w:tcPr>
            <w:tcW w:w="2260" w:type="dxa"/>
            <w:vAlign w:val="bottom"/>
            <w:tcBorders>
              <w:bottom w:val="single" w:sz="8" w:color="auto"/>
            </w:tcBorders>
          </w:tcPr>
          <w:p>
            <w:pPr>
              <w:spacing w:after="0"/>
              <w:rPr>
                <w:sz w:val="18"/>
                <w:szCs w:val="18"/>
                <w:color w:val="auto"/>
              </w:rPr>
            </w:pPr>
          </w:p>
        </w:tc>
        <w:tc>
          <w:tcPr>
            <w:tcW w:w="1560" w:type="dxa"/>
            <w:vAlign w:val="bottom"/>
            <w:tcBorders>
              <w:bottom w:val="single" w:sz="8" w:color="auto"/>
            </w:tcBorders>
          </w:tcPr>
          <w:p>
            <w:pPr>
              <w:jc w:val="right"/>
              <w:ind w:right="455"/>
              <w:spacing w:after="0"/>
              <w:rPr>
                <w:sz w:val="20"/>
                <w:szCs w:val="20"/>
                <w:color w:val="auto"/>
              </w:rPr>
            </w:pPr>
            <w:r>
              <w:rPr>
                <w:rFonts w:ascii="Arial" w:cs="Arial" w:eastAsia="Arial" w:hAnsi="Arial"/>
                <w:sz w:val="17"/>
                <w:szCs w:val="17"/>
                <w:b w:val="1"/>
                <w:bCs w:val="1"/>
                <w:color w:val="auto"/>
                <w:w w:val="97"/>
              </w:rPr>
              <w:t>Paid in Cash</w:t>
            </w:r>
          </w:p>
        </w:tc>
        <w:tc>
          <w:tcPr>
            <w:tcW w:w="2200" w:type="dxa"/>
            <w:vAlign w:val="bottom"/>
            <w:tcBorders>
              <w:bottom w:val="single" w:sz="8" w:color="auto"/>
            </w:tcBorders>
            <w:gridSpan w:val="2"/>
          </w:tcPr>
          <w:p>
            <w:pPr>
              <w:ind w:left="420"/>
              <w:spacing w:after="0"/>
              <w:rPr>
                <w:sz w:val="20"/>
                <w:szCs w:val="20"/>
                <w:color w:val="auto"/>
              </w:rPr>
            </w:pPr>
            <w:r>
              <w:rPr>
                <w:rFonts w:ascii="Arial" w:cs="Arial" w:eastAsia="Arial" w:hAnsi="Arial"/>
                <w:sz w:val="17"/>
                <w:szCs w:val="17"/>
                <w:b w:val="1"/>
                <w:bCs w:val="1"/>
                <w:color w:val="auto"/>
              </w:rPr>
              <w:t>Stock Awards</w:t>
            </w:r>
            <w:r>
              <w:rPr>
                <w:rFonts w:ascii="Arial" w:cs="Arial" w:eastAsia="Arial" w:hAnsi="Arial"/>
                <w:sz w:val="14"/>
                <w:szCs w:val="14"/>
                <w:b w:val="1"/>
                <w:bCs w:val="1"/>
                <w:color w:val="auto"/>
              </w:rPr>
              <w:t>(2)</w:t>
            </w:r>
          </w:p>
        </w:tc>
        <w:tc>
          <w:tcPr>
            <w:tcW w:w="1720" w:type="dxa"/>
            <w:vAlign w:val="bottom"/>
            <w:tcBorders>
              <w:bottom w:val="single" w:sz="8" w:color="auto"/>
            </w:tcBorders>
          </w:tcPr>
          <w:p>
            <w:pPr>
              <w:jc w:val="center"/>
              <w:spacing w:after="0"/>
              <w:rPr>
                <w:sz w:val="20"/>
                <w:szCs w:val="20"/>
                <w:color w:val="auto"/>
              </w:rPr>
            </w:pPr>
            <w:r>
              <w:rPr>
                <w:rFonts w:ascii="Arial" w:cs="Arial" w:eastAsia="Arial" w:hAnsi="Arial"/>
                <w:sz w:val="17"/>
                <w:szCs w:val="17"/>
                <w:b w:val="1"/>
                <w:bCs w:val="1"/>
                <w:color w:val="auto"/>
                <w:w w:val="93"/>
              </w:rPr>
              <w:t>Total</w:t>
            </w:r>
          </w:p>
        </w:tc>
      </w:tr>
      <w:tr>
        <w:trPr>
          <w:trHeight w:val="183"/>
        </w:trPr>
        <w:tc>
          <w:tcPr>
            <w:tcW w:w="3680" w:type="dxa"/>
            <w:vAlign w:val="bottom"/>
            <w:shd w:val="clear" w:color="auto" w:fill="CCEEFF"/>
          </w:tcPr>
          <w:p>
            <w:pPr>
              <w:spacing w:after="0" w:line="183" w:lineRule="exact"/>
              <w:rPr>
                <w:sz w:val="20"/>
                <w:szCs w:val="20"/>
                <w:color w:val="auto"/>
              </w:rPr>
            </w:pPr>
            <w:r>
              <w:rPr>
                <w:rFonts w:ascii="Arial" w:cs="Arial" w:eastAsia="Arial" w:hAnsi="Arial"/>
                <w:sz w:val="17"/>
                <w:szCs w:val="17"/>
                <w:color w:val="auto"/>
              </w:rPr>
              <w:t>Joseph A. Carrabba</w:t>
            </w:r>
          </w:p>
        </w:tc>
        <w:tc>
          <w:tcPr>
            <w:tcW w:w="2260" w:type="dxa"/>
            <w:vAlign w:val="bottom"/>
            <w:shd w:val="clear" w:color="auto" w:fill="CCEEFF"/>
          </w:tcPr>
          <w:p>
            <w:pPr>
              <w:ind w:left="2140"/>
              <w:spacing w:after="0" w:line="183" w:lineRule="exact"/>
              <w:rPr>
                <w:sz w:val="20"/>
                <w:szCs w:val="20"/>
                <w:color w:val="auto"/>
              </w:rPr>
            </w:pPr>
            <w:r>
              <w:rPr>
                <w:rFonts w:ascii="Arial" w:cs="Arial" w:eastAsia="Arial" w:hAnsi="Arial"/>
                <w:sz w:val="17"/>
                <w:szCs w:val="17"/>
                <w:color w:val="auto"/>
              </w:rPr>
              <w:t>$</w:t>
            </w:r>
          </w:p>
        </w:tc>
        <w:tc>
          <w:tcPr>
            <w:tcW w:w="1560" w:type="dxa"/>
            <w:vAlign w:val="bottom"/>
            <w:shd w:val="clear" w:color="auto" w:fill="CCEEFF"/>
          </w:tcPr>
          <w:p>
            <w:pPr>
              <w:jc w:val="right"/>
              <w:ind w:right="335"/>
              <w:spacing w:after="0" w:line="183" w:lineRule="exact"/>
              <w:rPr>
                <w:sz w:val="20"/>
                <w:szCs w:val="20"/>
                <w:color w:val="auto"/>
              </w:rPr>
            </w:pPr>
            <w:r>
              <w:rPr>
                <w:rFonts w:ascii="Arial" w:cs="Arial" w:eastAsia="Arial" w:hAnsi="Arial"/>
                <w:sz w:val="17"/>
                <w:szCs w:val="17"/>
                <w:color w:val="auto"/>
              </w:rPr>
              <w:t>95,000</w:t>
            </w:r>
          </w:p>
        </w:tc>
        <w:tc>
          <w:tcPr>
            <w:tcW w:w="800" w:type="dxa"/>
            <w:vAlign w:val="bottom"/>
            <w:shd w:val="clear" w:color="auto" w:fill="CCEEFF"/>
          </w:tcPr>
          <w:p>
            <w:pPr>
              <w:ind w:left="400"/>
              <w:spacing w:after="0" w:line="183" w:lineRule="exact"/>
              <w:rPr>
                <w:sz w:val="20"/>
                <w:szCs w:val="20"/>
                <w:color w:val="auto"/>
              </w:rPr>
            </w:pPr>
            <w:r>
              <w:rPr>
                <w:rFonts w:ascii="Arial" w:cs="Arial" w:eastAsia="Arial" w:hAnsi="Arial"/>
                <w:sz w:val="17"/>
                <w:szCs w:val="17"/>
                <w:color w:val="auto"/>
              </w:rPr>
              <w:t>$</w:t>
            </w:r>
          </w:p>
        </w:tc>
        <w:tc>
          <w:tcPr>
            <w:tcW w:w="1400" w:type="dxa"/>
            <w:vAlign w:val="bottom"/>
            <w:shd w:val="clear" w:color="auto" w:fill="CCEEFF"/>
          </w:tcPr>
          <w:p>
            <w:pPr>
              <w:jc w:val="right"/>
              <w:ind w:right="395"/>
              <w:spacing w:after="0" w:line="183" w:lineRule="exact"/>
              <w:rPr>
                <w:sz w:val="20"/>
                <w:szCs w:val="20"/>
                <w:color w:val="auto"/>
              </w:rPr>
            </w:pPr>
            <w:r>
              <w:rPr>
                <w:rFonts w:ascii="Arial" w:cs="Arial" w:eastAsia="Arial" w:hAnsi="Arial"/>
                <w:sz w:val="17"/>
                <w:szCs w:val="17"/>
                <w:color w:val="auto"/>
              </w:rPr>
              <w:t>125,285</w:t>
            </w:r>
          </w:p>
        </w:tc>
        <w:tc>
          <w:tcPr>
            <w:tcW w:w="1720" w:type="dxa"/>
            <w:vAlign w:val="bottom"/>
            <w:shd w:val="clear" w:color="auto" w:fill="CCEEFF"/>
          </w:tcPr>
          <w:p>
            <w:pPr>
              <w:jc w:val="center"/>
              <w:spacing w:after="0" w:line="183" w:lineRule="exact"/>
              <w:rPr>
                <w:sz w:val="20"/>
                <w:szCs w:val="20"/>
                <w:color w:val="auto"/>
              </w:rPr>
            </w:pPr>
            <w:r>
              <w:rPr>
                <w:rFonts w:ascii="Arial" w:cs="Arial" w:eastAsia="Arial" w:hAnsi="Arial"/>
                <w:sz w:val="17"/>
                <w:szCs w:val="17"/>
                <w:color w:val="auto"/>
              </w:rPr>
              <w:t>$220,285</w:t>
            </w:r>
          </w:p>
        </w:tc>
      </w:tr>
      <w:tr>
        <w:trPr>
          <w:trHeight w:val="189"/>
        </w:trPr>
        <w:tc>
          <w:tcPr>
            <w:tcW w:w="3680" w:type="dxa"/>
            <w:vAlign w:val="bottom"/>
          </w:tcPr>
          <w:p>
            <w:pPr>
              <w:spacing w:after="0" w:line="189" w:lineRule="exact"/>
              <w:rPr>
                <w:sz w:val="20"/>
                <w:szCs w:val="20"/>
                <w:color w:val="auto"/>
              </w:rPr>
            </w:pPr>
            <w:r>
              <w:rPr>
                <w:rFonts w:ascii="Arial" w:cs="Arial" w:eastAsia="Arial" w:hAnsi="Arial"/>
                <w:sz w:val="17"/>
                <w:szCs w:val="17"/>
                <w:color w:val="auto"/>
              </w:rPr>
              <w:t>Phillip R. Cox</w:t>
            </w:r>
          </w:p>
        </w:tc>
        <w:tc>
          <w:tcPr>
            <w:tcW w:w="2260" w:type="dxa"/>
            <w:vAlign w:val="bottom"/>
          </w:tcPr>
          <w:p>
            <w:pPr>
              <w:ind w:left="2140"/>
              <w:spacing w:after="0" w:line="189" w:lineRule="exact"/>
              <w:rPr>
                <w:sz w:val="20"/>
                <w:szCs w:val="20"/>
                <w:color w:val="auto"/>
              </w:rPr>
            </w:pPr>
            <w:r>
              <w:rPr>
                <w:rFonts w:ascii="Arial" w:cs="Arial" w:eastAsia="Arial" w:hAnsi="Arial"/>
                <w:sz w:val="17"/>
                <w:szCs w:val="17"/>
                <w:color w:val="auto"/>
              </w:rPr>
              <w:t>$</w:t>
            </w:r>
          </w:p>
        </w:tc>
        <w:tc>
          <w:tcPr>
            <w:tcW w:w="1560" w:type="dxa"/>
            <w:vAlign w:val="bottom"/>
          </w:tcPr>
          <w:p>
            <w:pPr>
              <w:jc w:val="right"/>
              <w:ind w:right="335"/>
              <w:spacing w:after="0" w:line="189" w:lineRule="exact"/>
              <w:rPr>
                <w:sz w:val="20"/>
                <w:szCs w:val="20"/>
                <w:color w:val="auto"/>
              </w:rPr>
            </w:pPr>
            <w:r>
              <w:rPr>
                <w:rFonts w:ascii="Arial" w:cs="Arial" w:eastAsia="Arial" w:hAnsi="Arial"/>
                <w:sz w:val="17"/>
                <w:szCs w:val="17"/>
                <w:color w:val="auto"/>
              </w:rPr>
              <w:t>102,500</w:t>
            </w:r>
          </w:p>
        </w:tc>
        <w:tc>
          <w:tcPr>
            <w:tcW w:w="800" w:type="dxa"/>
            <w:vAlign w:val="bottom"/>
          </w:tcPr>
          <w:p>
            <w:pPr>
              <w:ind w:left="400"/>
              <w:spacing w:after="0" w:line="189" w:lineRule="exact"/>
              <w:rPr>
                <w:sz w:val="20"/>
                <w:szCs w:val="20"/>
                <w:color w:val="auto"/>
              </w:rPr>
            </w:pPr>
            <w:r>
              <w:rPr>
                <w:rFonts w:ascii="Arial" w:cs="Arial" w:eastAsia="Arial" w:hAnsi="Arial"/>
                <w:sz w:val="17"/>
                <w:szCs w:val="17"/>
                <w:color w:val="auto"/>
              </w:rPr>
              <w:t>$</w:t>
            </w:r>
          </w:p>
        </w:tc>
        <w:tc>
          <w:tcPr>
            <w:tcW w:w="1400" w:type="dxa"/>
            <w:vAlign w:val="bottom"/>
          </w:tcPr>
          <w:p>
            <w:pPr>
              <w:jc w:val="right"/>
              <w:ind w:right="395"/>
              <w:spacing w:after="0" w:line="189" w:lineRule="exact"/>
              <w:rPr>
                <w:sz w:val="20"/>
                <w:szCs w:val="20"/>
                <w:color w:val="auto"/>
              </w:rPr>
            </w:pPr>
            <w:r>
              <w:rPr>
                <w:rFonts w:ascii="Arial" w:cs="Arial" w:eastAsia="Arial" w:hAnsi="Arial"/>
                <w:sz w:val="17"/>
                <w:szCs w:val="17"/>
                <w:color w:val="auto"/>
              </w:rPr>
              <w:t>125,285</w:t>
            </w:r>
          </w:p>
        </w:tc>
        <w:tc>
          <w:tcPr>
            <w:tcW w:w="1720" w:type="dxa"/>
            <w:vAlign w:val="bottom"/>
          </w:tcPr>
          <w:p>
            <w:pPr>
              <w:jc w:val="center"/>
              <w:spacing w:after="0" w:line="189" w:lineRule="exact"/>
              <w:rPr>
                <w:sz w:val="20"/>
                <w:szCs w:val="20"/>
                <w:color w:val="auto"/>
              </w:rPr>
            </w:pPr>
            <w:r>
              <w:rPr>
                <w:rFonts w:ascii="Arial" w:cs="Arial" w:eastAsia="Arial" w:hAnsi="Arial"/>
                <w:sz w:val="17"/>
                <w:szCs w:val="17"/>
                <w:color w:val="auto"/>
              </w:rPr>
              <w:t>$227,785</w:t>
            </w:r>
          </w:p>
        </w:tc>
      </w:tr>
      <w:tr>
        <w:trPr>
          <w:trHeight w:val="189"/>
        </w:trPr>
        <w:tc>
          <w:tcPr>
            <w:tcW w:w="3680" w:type="dxa"/>
            <w:vAlign w:val="bottom"/>
            <w:shd w:val="clear" w:color="auto" w:fill="CCEEFF"/>
          </w:tcPr>
          <w:p>
            <w:pPr>
              <w:spacing w:after="0" w:line="189" w:lineRule="exact"/>
              <w:rPr>
                <w:sz w:val="20"/>
                <w:szCs w:val="20"/>
                <w:color w:val="auto"/>
              </w:rPr>
            </w:pPr>
            <w:r>
              <w:rPr>
                <w:rFonts w:ascii="Arial" w:cs="Arial" w:eastAsia="Arial" w:hAnsi="Arial"/>
                <w:sz w:val="17"/>
                <w:szCs w:val="17"/>
                <w:color w:val="auto"/>
              </w:rPr>
              <w:t>Diane C. Creel</w:t>
            </w:r>
            <w:r>
              <w:rPr>
                <w:rFonts w:ascii="Arial" w:cs="Arial" w:eastAsia="Arial" w:hAnsi="Arial"/>
                <w:sz w:val="14"/>
                <w:szCs w:val="14"/>
                <w:color w:val="auto"/>
              </w:rPr>
              <w:t>(3)</w:t>
            </w:r>
          </w:p>
        </w:tc>
        <w:tc>
          <w:tcPr>
            <w:tcW w:w="2260" w:type="dxa"/>
            <w:vAlign w:val="bottom"/>
            <w:shd w:val="clear" w:color="auto" w:fill="CCEEFF"/>
          </w:tcPr>
          <w:p>
            <w:pPr>
              <w:ind w:left="2140"/>
              <w:spacing w:after="0" w:line="189" w:lineRule="exact"/>
              <w:rPr>
                <w:sz w:val="20"/>
                <w:szCs w:val="20"/>
                <w:color w:val="auto"/>
              </w:rPr>
            </w:pPr>
            <w:r>
              <w:rPr>
                <w:rFonts w:ascii="Arial" w:cs="Arial" w:eastAsia="Arial" w:hAnsi="Arial"/>
                <w:sz w:val="17"/>
                <w:szCs w:val="17"/>
                <w:color w:val="auto"/>
              </w:rPr>
              <w:t>$</w:t>
            </w:r>
          </w:p>
        </w:tc>
        <w:tc>
          <w:tcPr>
            <w:tcW w:w="1560" w:type="dxa"/>
            <w:vAlign w:val="bottom"/>
            <w:shd w:val="clear" w:color="auto" w:fill="CCEEFF"/>
          </w:tcPr>
          <w:p>
            <w:pPr>
              <w:jc w:val="right"/>
              <w:ind w:right="335"/>
              <w:spacing w:after="0" w:line="189" w:lineRule="exact"/>
              <w:rPr>
                <w:sz w:val="20"/>
                <w:szCs w:val="20"/>
                <w:color w:val="auto"/>
              </w:rPr>
            </w:pPr>
            <w:r>
              <w:rPr>
                <w:rFonts w:ascii="Arial" w:cs="Arial" w:eastAsia="Arial" w:hAnsi="Arial"/>
                <w:sz w:val="17"/>
                <w:szCs w:val="17"/>
                <w:color w:val="auto"/>
              </w:rPr>
              <w:t>105,000</w:t>
            </w:r>
          </w:p>
        </w:tc>
        <w:tc>
          <w:tcPr>
            <w:tcW w:w="800" w:type="dxa"/>
            <w:vAlign w:val="bottom"/>
            <w:shd w:val="clear" w:color="auto" w:fill="CCEEFF"/>
          </w:tcPr>
          <w:p>
            <w:pPr>
              <w:ind w:left="400"/>
              <w:spacing w:after="0" w:line="189" w:lineRule="exact"/>
              <w:rPr>
                <w:sz w:val="20"/>
                <w:szCs w:val="20"/>
                <w:color w:val="auto"/>
              </w:rPr>
            </w:pPr>
            <w:r>
              <w:rPr>
                <w:rFonts w:ascii="Arial" w:cs="Arial" w:eastAsia="Arial" w:hAnsi="Arial"/>
                <w:sz w:val="17"/>
                <w:szCs w:val="17"/>
                <w:color w:val="auto"/>
              </w:rPr>
              <w:t>$</w:t>
            </w:r>
          </w:p>
        </w:tc>
        <w:tc>
          <w:tcPr>
            <w:tcW w:w="1400" w:type="dxa"/>
            <w:vAlign w:val="bottom"/>
            <w:shd w:val="clear" w:color="auto" w:fill="CCEEFF"/>
          </w:tcPr>
          <w:p>
            <w:pPr>
              <w:jc w:val="right"/>
              <w:ind w:right="395"/>
              <w:spacing w:after="0" w:line="189" w:lineRule="exact"/>
              <w:rPr>
                <w:sz w:val="20"/>
                <w:szCs w:val="20"/>
                <w:color w:val="auto"/>
              </w:rPr>
            </w:pPr>
            <w:r>
              <w:rPr>
                <w:rFonts w:ascii="Arial" w:cs="Arial" w:eastAsia="Arial" w:hAnsi="Arial"/>
                <w:sz w:val="17"/>
                <w:szCs w:val="17"/>
                <w:color w:val="auto"/>
              </w:rPr>
              <w:t>125,285</w:t>
            </w:r>
          </w:p>
        </w:tc>
        <w:tc>
          <w:tcPr>
            <w:tcW w:w="1720" w:type="dxa"/>
            <w:vAlign w:val="bottom"/>
            <w:shd w:val="clear" w:color="auto" w:fill="CCEEFF"/>
          </w:tcPr>
          <w:p>
            <w:pPr>
              <w:jc w:val="center"/>
              <w:spacing w:after="0" w:line="189" w:lineRule="exact"/>
              <w:rPr>
                <w:sz w:val="20"/>
                <w:szCs w:val="20"/>
                <w:color w:val="auto"/>
              </w:rPr>
            </w:pPr>
            <w:r>
              <w:rPr>
                <w:rFonts w:ascii="Arial" w:cs="Arial" w:eastAsia="Arial" w:hAnsi="Arial"/>
                <w:sz w:val="17"/>
                <w:szCs w:val="17"/>
                <w:color w:val="auto"/>
              </w:rPr>
              <w:t>$230,285</w:t>
            </w:r>
          </w:p>
        </w:tc>
      </w:tr>
      <w:tr>
        <w:trPr>
          <w:trHeight w:val="189"/>
        </w:trPr>
        <w:tc>
          <w:tcPr>
            <w:tcW w:w="3680" w:type="dxa"/>
            <w:vAlign w:val="bottom"/>
          </w:tcPr>
          <w:p>
            <w:pPr>
              <w:spacing w:after="0" w:line="189" w:lineRule="exact"/>
              <w:rPr>
                <w:sz w:val="20"/>
                <w:szCs w:val="20"/>
                <w:color w:val="auto"/>
              </w:rPr>
            </w:pPr>
            <w:r>
              <w:rPr>
                <w:rFonts w:ascii="Arial" w:cs="Arial" w:eastAsia="Arial" w:hAnsi="Arial"/>
                <w:sz w:val="17"/>
                <w:szCs w:val="17"/>
                <w:color w:val="auto"/>
              </w:rPr>
              <w:t>Terry L. Dunlap</w:t>
            </w:r>
          </w:p>
        </w:tc>
        <w:tc>
          <w:tcPr>
            <w:tcW w:w="2260" w:type="dxa"/>
            <w:vAlign w:val="bottom"/>
          </w:tcPr>
          <w:p>
            <w:pPr>
              <w:ind w:left="2140"/>
              <w:spacing w:after="0" w:line="189" w:lineRule="exact"/>
              <w:rPr>
                <w:sz w:val="20"/>
                <w:szCs w:val="20"/>
                <w:color w:val="auto"/>
              </w:rPr>
            </w:pPr>
            <w:r>
              <w:rPr>
                <w:rFonts w:ascii="Arial" w:cs="Arial" w:eastAsia="Arial" w:hAnsi="Arial"/>
                <w:sz w:val="17"/>
                <w:szCs w:val="17"/>
                <w:color w:val="auto"/>
              </w:rPr>
              <w:t>$</w:t>
            </w:r>
          </w:p>
        </w:tc>
        <w:tc>
          <w:tcPr>
            <w:tcW w:w="1560" w:type="dxa"/>
            <w:vAlign w:val="bottom"/>
          </w:tcPr>
          <w:p>
            <w:pPr>
              <w:jc w:val="right"/>
              <w:ind w:right="335"/>
              <w:spacing w:after="0" w:line="189" w:lineRule="exact"/>
              <w:rPr>
                <w:sz w:val="20"/>
                <w:szCs w:val="20"/>
                <w:color w:val="auto"/>
              </w:rPr>
            </w:pPr>
            <w:r>
              <w:rPr>
                <w:rFonts w:ascii="Arial" w:cs="Arial" w:eastAsia="Arial" w:hAnsi="Arial"/>
                <w:sz w:val="17"/>
                <w:szCs w:val="17"/>
                <w:color w:val="auto"/>
              </w:rPr>
              <w:t>41,875</w:t>
            </w:r>
          </w:p>
        </w:tc>
        <w:tc>
          <w:tcPr>
            <w:tcW w:w="800" w:type="dxa"/>
            <w:vAlign w:val="bottom"/>
          </w:tcPr>
          <w:p>
            <w:pPr>
              <w:ind w:left="400"/>
              <w:spacing w:after="0" w:line="189" w:lineRule="exact"/>
              <w:rPr>
                <w:sz w:val="20"/>
                <w:szCs w:val="20"/>
                <w:color w:val="auto"/>
              </w:rPr>
            </w:pPr>
            <w:r>
              <w:rPr>
                <w:rFonts w:ascii="Arial" w:cs="Arial" w:eastAsia="Arial" w:hAnsi="Arial"/>
                <w:sz w:val="17"/>
                <w:szCs w:val="17"/>
                <w:color w:val="auto"/>
              </w:rPr>
              <w:t>$</w:t>
            </w:r>
          </w:p>
        </w:tc>
        <w:tc>
          <w:tcPr>
            <w:tcW w:w="1400" w:type="dxa"/>
            <w:vAlign w:val="bottom"/>
          </w:tcPr>
          <w:p>
            <w:pPr>
              <w:jc w:val="right"/>
              <w:ind w:right="395"/>
              <w:spacing w:after="0" w:line="189" w:lineRule="exact"/>
              <w:rPr>
                <w:sz w:val="20"/>
                <w:szCs w:val="20"/>
                <w:color w:val="auto"/>
              </w:rPr>
            </w:pPr>
            <w:r>
              <w:rPr>
                <w:rFonts w:ascii="Arial" w:cs="Arial" w:eastAsia="Arial" w:hAnsi="Arial"/>
                <w:sz w:val="17"/>
                <w:szCs w:val="17"/>
                <w:color w:val="auto"/>
              </w:rPr>
              <w:t>120,745</w:t>
            </w:r>
          </w:p>
        </w:tc>
        <w:tc>
          <w:tcPr>
            <w:tcW w:w="1720" w:type="dxa"/>
            <w:vAlign w:val="bottom"/>
          </w:tcPr>
          <w:p>
            <w:pPr>
              <w:jc w:val="center"/>
              <w:spacing w:after="0" w:line="189" w:lineRule="exact"/>
              <w:rPr>
                <w:sz w:val="20"/>
                <w:szCs w:val="20"/>
                <w:color w:val="auto"/>
              </w:rPr>
            </w:pPr>
            <w:r>
              <w:rPr>
                <w:rFonts w:ascii="Arial" w:cs="Arial" w:eastAsia="Arial" w:hAnsi="Arial"/>
                <w:sz w:val="17"/>
                <w:szCs w:val="17"/>
                <w:color w:val="auto"/>
              </w:rPr>
              <w:t>$162,620</w:t>
            </w:r>
          </w:p>
        </w:tc>
      </w:tr>
      <w:tr>
        <w:trPr>
          <w:trHeight w:val="189"/>
        </w:trPr>
        <w:tc>
          <w:tcPr>
            <w:tcW w:w="3680" w:type="dxa"/>
            <w:vAlign w:val="bottom"/>
            <w:shd w:val="clear" w:color="auto" w:fill="CCEEFF"/>
          </w:tcPr>
          <w:p>
            <w:pPr>
              <w:spacing w:after="0" w:line="189" w:lineRule="exact"/>
              <w:rPr>
                <w:sz w:val="20"/>
                <w:szCs w:val="20"/>
                <w:color w:val="auto"/>
              </w:rPr>
            </w:pPr>
            <w:r>
              <w:rPr>
                <w:rFonts w:ascii="Arial" w:cs="Arial" w:eastAsia="Arial" w:hAnsi="Arial"/>
                <w:sz w:val="17"/>
                <w:szCs w:val="17"/>
                <w:color w:val="auto"/>
              </w:rPr>
              <w:t>Randall H. Edwards</w:t>
            </w:r>
          </w:p>
        </w:tc>
        <w:tc>
          <w:tcPr>
            <w:tcW w:w="2260" w:type="dxa"/>
            <w:vAlign w:val="bottom"/>
            <w:shd w:val="clear" w:color="auto" w:fill="CCEEFF"/>
          </w:tcPr>
          <w:p>
            <w:pPr>
              <w:ind w:left="2140"/>
              <w:spacing w:after="0" w:line="189" w:lineRule="exact"/>
              <w:rPr>
                <w:sz w:val="20"/>
                <w:szCs w:val="20"/>
                <w:color w:val="auto"/>
              </w:rPr>
            </w:pPr>
            <w:r>
              <w:rPr>
                <w:rFonts w:ascii="Arial" w:cs="Arial" w:eastAsia="Arial" w:hAnsi="Arial"/>
                <w:sz w:val="17"/>
                <w:szCs w:val="17"/>
                <w:color w:val="auto"/>
              </w:rPr>
              <w:t>$</w:t>
            </w:r>
          </w:p>
        </w:tc>
        <w:tc>
          <w:tcPr>
            <w:tcW w:w="1560" w:type="dxa"/>
            <w:vAlign w:val="bottom"/>
            <w:shd w:val="clear" w:color="auto" w:fill="CCEEFF"/>
          </w:tcPr>
          <w:p>
            <w:pPr>
              <w:jc w:val="right"/>
              <w:ind w:right="335"/>
              <w:spacing w:after="0" w:line="189" w:lineRule="exact"/>
              <w:rPr>
                <w:sz w:val="20"/>
                <w:szCs w:val="20"/>
                <w:color w:val="auto"/>
              </w:rPr>
            </w:pPr>
            <w:r>
              <w:rPr>
                <w:rFonts w:ascii="Arial" w:cs="Arial" w:eastAsia="Arial" w:hAnsi="Arial"/>
                <w:sz w:val="17"/>
                <w:szCs w:val="17"/>
                <w:color w:val="auto"/>
              </w:rPr>
              <w:t>87,500</w:t>
            </w:r>
          </w:p>
        </w:tc>
        <w:tc>
          <w:tcPr>
            <w:tcW w:w="800" w:type="dxa"/>
            <w:vAlign w:val="bottom"/>
            <w:shd w:val="clear" w:color="auto" w:fill="CCEEFF"/>
          </w:tcPr>
          <w:p>
            <w:pPr>
              <w:ind w:left="400"/>
              <w:spacing w:after="0" w:line="189" w:lineRule="exact"/>
              <w:rPr>
                <w:sz w:val="20"/>
                <w:szCs w:val="20"/>
                <w:color w:val="auto"/>
              </w:rPr>
            </w:pPr>
            <w:r>
              <w:rPr>
                <w:rFonts w:ascii="Arial" w:cs="Arial" w:eastAsia="Arial" w:hAnsi="Arial"/>
                <w:sz w:val="17"/>
                <w:szCs w:val="17"/>
                <w:color w:val="auto"/>
              </w:rPr>
              <w:t>$</w:t>
            </w:r>
          </w:p>
        </w:tc>
        <w:tc>
          <w:tcPr>
            <w:tcW w:w="1400" w:type="dxa"/>
            <w:vAlign w:val="bottom"/>
            <w:shd w:val="clear" w:color="auto" w:fill="CCEEFF"/>
          </w:tcPr>
          <w:p>
            <w:pPr>
              <w:jc w:val="right"/>
              <w:ind w:right="395"/>
              <w:spacing w:after="0" w:line="189" w:lineRule="exact"/>
              <w:rPr>
                <w:sz w:val="20"/>
                <w:szCs w:val="20"/>
                <w:color w:val="auto"/>
              </w:rPr>
            </w:pPr>
            <w:r>
              <w:rPr>
                <w:rFonts w:ascii="Arial" w:cs="Arial" w:eastAsia="Arial" w:hAnsi="Arial"/>
                <w:sz w:val="17"/>
                <w:szCs w:val="17"/>
                <w:color w:val="auto"/>
              </w:rPr>
              <w:t>125,285</w:t>
            </w:r>
          </w:p>
        </w:tc>
        <w:tc>
          <w:tcPr>
            <w:tcW w:w="1720" w:type="dxa"/>
            <w:vAlign w:val="bottom"/>
            <w:shd w:val="clear" w:color="auto" w:fill="CCEEFF"/>
          </w:tcPr>
          <w:p>
            <w:pPr>
              <w:jc w:val="center"/>
              <w:spacing w:after="0" w:line="189" w:lineRule="exact"/>
              <w:rPr>
                <w:sz w:val="20"/>
                <w:szCs w:val="20"/>
                <w:color w:val="auto"/>
              </w:rPr>
            </w:pPr>
            <w:r>
              <w:rPr>
                <w:rFonts w:ascii="Arial" w:cs="Arial" w:eastAsia="Arial" w:hAnsi="Arial"/>
                <w:sz w:val="17"/>
                <w:szCs w:val="17"/>
                <w:color w:val="auto"/>
              </w:rPr>
              <w:t>$212,785</w:t>
            </w:r>
          </w:p>
        </w:tc>
      </w:tr>
      <w:tr>
        <w:trPr>
          <w:trHeight w:val="189"/>
        </w:trPr>
        <w:tc>
          <w:tcPr>
            <w:tcW w:w="3680" w:type="dxa"/>
            <w:vAlign w:val="bottom"/>
          </w:tcPr>
          <w:p>
            <w:pPr>
              <w:spacing w:after="0" w:line="189" w:lineRule="exact"/>
              <w:rPr>
                <w:sz w:val="20"/>
                <w:szCs w:val="20"/>
                <w:color w:val="auto"/>
              </w:rPr>
            </w:pPr>
            <w:r>
              <w:rPr>
                <w:rFonts w:ascii="Arial" w:cs="Arial" w:eastAsia="Arial" w:hAnsi="Arial"/>
                <w:sz w:val="17"/>
                <w:szCs w:val="17"/>
                <w:color w:val="auto"/>
              </w:rPr>
              <w:t>Donald T. Misheff</w:t>
            </w:r>
          </w:p>
        </w:tc>
        <w:tc>
          <w:tcPr>
            <w:tcW w:w="2260" w:type="dxa"/>
            <w:vAlign w:val="bottom"/>
          </w:tcPr>
          <w:p>
            <w:pPr>
              <w:ind w:left="2140"/>
              <w:spacing w:after="0" w:line="189" w:lineRule="exact"/>
              <w:rPr>
                <w:sz w:val="20"/>
                <w:szCs w:val="20"/>
                <w:color w:val="auto"/>
              </w:rPr>
            </w:pPr>
            <w:r>
              <w:rPr>
                <w:rFonts w:ascii="Arial" w:cs="Arial" w:eastAsia="Arial" w:hAnsi="Arial"/>
                <w:sz w:val="17"/>
                <w:szCs w:val="17"/>
                <w:color w:val="auto"/>
              </w:rPr>
              <w:t>$</w:t>
            </w:r>
          </w:p>
        </w:tc>
        <w:tc>
          <w:tcPr>
            <w:tcW w:w="1560" w:type="dxa"/>
            <w:vAlign w:val="bottom"/>
          </w:tcPr>
          <w:p>
            <w:pPr>
              <w:jc w:val="right"/>
              <w:ind w:right="335"/>
              <w:spacing w:after="0" w:line="189" w:lineRule="exact"/>
              <w:rPr>
                <w:sz w:val="20"/>
                <w:szCs w:val="20"/>
                <w:color w:val="auto"/>
              </w:rPr>
            </w:pPr>
            <w:r>
              <w:rPr>
                <w:rFonts w:ascii="Arial" w:cs="Arial" w:eastAsia="Arial" w:hAnsi="Arial"/>
                <w:sz w:val="17"/>
                <w:szCs w:val="17"/>
                <w:color w:val="auto"/>
              </w:rPr>
              <w:t>117,500</w:t>
            </w:r>
          </w:p>
        </w:tc>
        <w:tc>
          <w:tcPr>
            <w:tcW w:w="800" w:type="dxa"/>
            <w:vAlign w:val="bottom"/>
          </w:tcPr>
          <w:p>
            <w:pPr>
              <w:ind w:left="400"/>
              <w:spacing w:after="0" w:line="189" w:lineRule="exact"/>
              <w:rPr>
                <w:sz w:val="20"/>
                <w:szCs w:val="20"/>
                <w:color w:val="auto"/>
              </w:rPr>
            </w:pPr>
            <w:r>
              <w:rPr>
                <w:rFonts w:ascii="Arial" w:cs="Arial" w:eastAsia="Arial" w:hAnsi="Arial"/>
                <w:sz w:val="17"/>
                <w:szCs w:val="17"/>
                <w:color w:val="auto"/>
              </w:rPr>
              <w:t>$</w:t>
            </w:r>
          </w:p>
        </w:tc>
        <w:tc>
          <w:tcPr>
            <w:tcW w:w="1400" w:type="dxa"/>
            <w:vAlign w:val="bottom"/>
          </w:tcPr>
          <w:p>
            <w:pPr>
              <w:jc w:val="right"/>
              <w:ind w:right="395"/>
              <w:spacing w:after="0" w:line="189" w:lineRule="exact"/>
              <w:rPr>
                <w:sz w:val="20"/>
                <w:szCs w:val="20"/>
                <w:color w:val="auto"/>
              </w:rPr>
            </w:pPr>
            <w:r>
              <w:rPr>
                <w:rFonts w:ascii="Arial" w:cs="Arial" w:eastAsia="Arial" w:hAnsi="Arial"/>
                <w:sz w:val="17"/>
                <w:szCs w:val="17"/>
                <w:color w:val="auto"/>
              </w:rPr>
              <w:t>125,285</w:t>
            </w:r>
          </w:p>
        </w:tc>
        <w:tc>
          <w:tcPr>
            <w:tcW w:w="1720" w:type="dxa"/>
            <w:vAlign w:val="bottom"/>
          </w:tcPr>
          <w:p>
            <w:pPr>
              <w:jc w:val="center"/>
              <w:spacing w:after="0" w:line="189" w:lineRule="exact"/>
              <w:rPr>
                <w:sz w:val="20"/>
                <w:szCs w:val="20"/>
                <w:color w:val="auto"/>
              </w:rPr>
            </w:pPr>
            <w:r>
              <w:rPr>
                <w:rFonts w:ascii="Arial" w:cs="Arial" w:eastAsia="Arial" w:hAnsi="Arial"/>
                <w:sz w:val="17"/>
                <w:szCs w:val="17"/>
                <w:color w:val="auto"/>
              </w:rPr>
              <w:t>$242,785</w:t>
            </w:r>
          </w:p>
        </w:tc>
      </w:tr>
      <w:tr>
        <w:trPr>
          <w:trHeight w:val="189"/>
        </w:trPr>
        <w:tc>
          <w:tcPr>
            <w:tcW w:w="3680" w:type="dxa"/>
            <w:vAlign w:val="bottom"/>
            <w:shd w:val="clear" w:color="auto" w:fill="CCEEFF"/>
          </w:tcPr>
          <w:p>
            <w:pPr>
              <w:spacing w:after="0" w:line="189" w:lineRule="exact"/>
              <w:rPr>
                <w:sz w:val="20"/>
                <w:szCs w:val="20"/>
                <w:color w:val="auto"/>
              </w:rPr>
            </w:pPr>
            <w:r>
              <w:rPr>
                <w:rFonts w:ascii="Arial" w:cs="Arial" w:eastAsia="Arial" w:hAnsi="Arial"/>
                <w:sz w:val="17"/>
                <w:szCs w:val="17"/>
                <w:color w:val="auto"/>
              </w:rPr>
              <w:t>John P. Reilly</w:t>
            </w:r>
          </w:p>
        </w:tc>
        <w:tc>
          <w:tcPr>
            <w:tcW w:w="2260" w:type="dxa"/>
            <w:vAlign w:val="bottom"/>
            <w:shd w:val="clear" w:color="auto" w:fill="CCEEFF"/>
          </w:tcPr>
          <w:p>
            <w:pPr>
              <w:ind w:left="2140"/>
              <w:spacing w:after="0" w:line="189" w:lineRule="exact"/>
              <w:rPr>
                <w:sz w:val="20"/>
                <w:szCs w:val="20"/>
                <w:color w:val="auto"/>
              </w:rPr>
            </w:pPr>
            <w:r>
              <w:rPr>
                <w:rFonts w:ascii="Arial" w:cs="Arial" w:eastAsia="Arial" w:hAnsi="Arial"/>
                <w:sz w:val="17"/>
                <w:szCs w:val="17"/>
                <w:color w:val="auto"/>
              </w:rPr>
              <w:t>$</w:t>
            </w:r>
          </w:p>
        </w:tc>
        <w:tc>
          <w:tcPr>
            <w:tcW w:w="1560" w:type="dxa"/>
            <w:vAlign w:val="bottom"/>
            <w:shd w:val="clear" w:color="auto" w:fill="CCEEFF"/>
          </w:tcPr>
          <w:p>
            <w:pPr>
              <w:jc w:val="right"/>
              <w:ind w:right="335"/>
              <w:spacing w:after="0" w:line="189" w:lineRule="exact"/>
              <w:rPr>
                <w:sz w:val="20"/>
                <w:szCs w:val="20"/>
                <w:color w:val="auto"/>
              </w:rPr>
            </w:pPr>
            <w:r>
              <w:rPr>
                <w:rFonts w:ascii="Arial" w:cs="Arial" w:eastAsia="Arial" w:hAnsi="Arial"/>
                <w:sz w:val="17"/>
                <w:szCs w:val="17"/>
                <w:color w:val="auto"/>
              </w:rPr>
              <w:t>132,500</w:t>
            </w:r>
          </w:p>
        </w:tc>
        <w:tc>
          <w:tcPr>
            <w:tcW w:w="800" w:type="dxa"/>
            <w:vAlign w:val="bottom"/>
            <w:shd w:val="clear" w:color="auto" w:fill="CCEEFF"/>
          </w:tcPr>
          <w:p>
            <w:pPr>
              <w:ind w:left="400"/>
              <w:spacing w:after="0" w:line="189" w:lineRule="exact"/>
              <w:rPr>
                <w:sz w:val="20"/>
                <w:szCs w:val="20"/>
                <w:color w:val="auto"/>
              </w:rPr>
            </w:pPr>
            <w:r>
              <w:rPr>
                <w:rFonts w:ascii="Arial" w:cs="Arial" w:eastAsia="Arial" w:hAnsi="Arial"/>
                <w:sz w:val="17"/>
                <w:szCs w:val="17"/>
                <w:color w:val="auto"/>
              </w:rPr>
              <w:t>$</w:t>
            </w:r>
          </w:p>
        </w:tc>
        <w:tc>
          <w:tcPr>
            <w:tcW w:w="1400" w:type="dxa"/>
            <w:vAlign w:val="bottom"/>
            <w:shd w:val="clear" w:color="auto" w:fill="CCEEFF"/>
          </w:tcPr>
          <w:p>
            <w:pPr>
              <w:jc w:val="right"/>
              <w:ind w:right="395"/>
              <w:spacing w:after="0" w:line="189" w:lineRule="exact"/>
              <w:rPr>
                <w:sz w:val="20"/>
                <w:szCs w:val="20"/>
                <w:color w:val="auto"/>
              </w:rPr>
            </w:pPr>
            <w:r>
              <w:rPr>
                <w:rFonts w:ascii="Arial" w:cs="Arial" w:eastAsia="Arial" w:hAnsi="Arial"/>
                <w:sz w:val="17"/>
                <w:szCs w:val="17"/>
                <w:color w:val="auto"/>
              </w:rPr>
              <w:t>125,285</w:t>
            </w:r>
          </w:p>
        </w:tc>
        <w:tc>
          <w:tcPr>
            <w:tcW w:w="1720" w:type="dxa"/>
            <w:vAlign w:val="bottom"/>
            <w:shd w:val="clear" w:color="auto" w:fill="CCEEFF"/>
          </w:tcPr>
          <w:p>
            <w:pPr>
              <w:jc w:val="center"/>
              <w:spacing w:after="0" w:line="189" w:lineRule="exact"/>
              <w:rPr>
                <w:sz w:val="20"/>
                <w:szCs w:val="20"/>
                <w:color w:val="auto"/>
              </w:rPr>
            </w:pPr>
            <w:r>
              <w:rPr>
                <w:rFonts w:ascii="Arial" w:cs="Arial" w:eastAsia="Arial" w:hAnsi="Arial"/>
                <w:sz w:val="17"/>
                <w:szCs w:val="17"/>
                <w:color w:val="auto"/>
              </w:rPr>
              <w:t>$257,785</w:t>
            </w:r>
          </w:p>
        </w:tc>
      </w:tr>
      <w:tr>
        <w:trPr>
          <w:trHeight w:val="189"/>
        </w:trPr>
        <w:tc>
          <w:tcPr>
            <w:tcW w:w="3680" w:type="dxa"/>
            <w:vAlign w:val="bottom"/>
          </w:tcPr>
          <w:p>
            <w:pPr>
              <w:spacing w:after="0" w:line="189" w:lineRule="exact"/>
              <w:rPr>
                <w:sz w:val="20"/>
                <w:szCs w:val="20"/>
                <w:color w:val="auto"/>
              </w:rPr>
            </w:pPr>
            <w:r>
              <w:rPr>
                <w:rFonts w:ascii="Arial" w:cs="Arial" w:eastAsia="Arial" w:hAnsi="Arial"/>
                <w:sz w:val="17"/>
                <w:szCs w:val="17"/>
                <w:color w:val="auto"/>
              </w:rPr>
              <w:t>Ronald A. Rice</w:t>
            </w:r>
          </w:p>
        </w:tc>
        <w:tc>
          <w:tcPr>
            <w:tcW w:w="2260" w:type="dxa"/>
            <w:vAlign w:val="bottom"/>
          </w:tcPr>
          <w:p>
            <w:pPr>
              <w:ind w:left="2140"/>
              <w:spacing w:after="0" w:line="189" w:lineRule="exact"/>
              <w:rPr>
                <w:sz w:val="20"/>
                <w:szCs w:val="20"/>
                <w:color w:val="auto"/>
              </w:rPr>
            </w:pPr>
            <w:r>
              <w:rPr>
                <w:rFonts w:ascii="Arial" w:cs="Arial" w:eastAsia="Arial" w:hAnsi="Arial"/>
                <w:sz w:val="17"/>
                <w:szCs w:val="17"/>
                <w:color w:val="auto"/>
              </w:rPr>
              <w:t>$</w:t>
            </w:r>
          </w:p>
        </w:tc>
        <w:tc>
          <w:tcPr>
            <w:tcW w:w="1560" w:type="dxa"/>
            <w:vAlign w:val="bottom"/>
          </w:tcPr>
          <w:p>
            <w:pPr>
              <w:jc w:val="right"/>
              <w:ind w:right="335"/>
              <w:spacing w:after="0" w:line="189" w:lineRule="exact"/>
              <w:rPr>
                <w:sz w:val="20"/>
                <w:szCs w:val="20"/>
                <w:color w:val="auto"/>
              </w:rPr>
            </w:pPr>
            <w:r>
              <w:rPr>
                <w:rFonts w:ascii="Arial" w:cs="Arial" w:eastAsia="Arial" w:hAnsi="Arial"/>
                <w:sz w:val="17"/>
                <w:szCs w:val="17"/>
                <w:color w:val="auto"/>
              </w:rPr>
              <w:t>97,500</w:t>
            </w:r>
          </w:p>
        </w:tc>
        <w:tc>
          <w:tcPr>
            <w:tcW w:w="800" w:type="dxa"/>
            <w:vAlign w:val="bottom"/>
          </w:tcPr>
          <w:p>
            <w:pPr>
              <w:ind w:left="400"/>
              <w:spacing w:after="0" w:line="189" w:lineRule="exact"/>
              <w:rPr>
                <w:sz w:val="20"/>
                <w:szCs w:val="20"/>
                <w:color w:val="auto"/>
              </w:rPr>
            </w:pPr>
            <w:r>
              <w:rPr>
                <w:rFonts w:ascii="Arial" w:cs="Arial" w:eastAsia="Arial" w:hAnsi="Arial"/>
                <w:sz w:val="17"/>
                <w:szCs w:val="17"/>
                <w:color w:val="auto"/>
              </w:rPr>
              <w:t>$</w:t>
            </w:r>
          </w:p>
        </w:tc>
        <w:tc>
          <w:tcPr>
            <w:tcW w:w="1400" w:type="dxa"/>
            <w:vAlign w:val="bottom"/>
          </w:tcPr>
          <w:p>
            <w:pPr>
              <w:jc w:val="right"/>
              <w:ind w:right="395"/>
              <w:spacing w:after="0" w:line="189" w:lineRule="exact"/>
              <w:rPr>
                <w:sz w:val="20"/>
                <w:szCs w:val="20"/>
                <w:color w:val="auto"/>
              </w:rPr>
            </w:pPr>
            <w:r>
              <w:rPr>
                <w:rFonts w:ascii="Arial" w:cs="Arial" w:eastAsia="Arial" w:hAnsi="Arial"/>
                <w:sz w:val="17"/>
                <w:szCs w:val="17"/>
                <w:color w:val="auto"/>
              </w:rPr>
              <w:t>125,285</w:t>
            </w:r>
          </w:p>
        </w:tc>
        <w:tc>
          <w:tcPr>
            <w:tcW w:w="1720" w:type="dxa"/>
            <w:vAlign w:val="bottom"/>
          </w:tcPr>
          <w:p>
            <w:pPr>
              <w:jc w:val="center"/>
              <w:spacing w:after="0" w:line="189" w:lineRule="exact"/>
              <w:rPr>
                <w:sz w:val="20"/>
                <w:szCs w:val="20"/>
                <w:color w:val="auto"/>
              </w:rPr>
            </w:pPr>
            <w:r>
              <w:rPr>
                <w:rFonts w:ascii="Arial" w:cs="Arial" w:eastAsia="Arial" w:hAnsi="Arial"/>
                <w:sz w:val="17"/>
                <w:szCs w:val="17"/>
                <w:color w:val="auto"/>
              </w:rPr>
              <w:t>$222,785</w:t>
            </w:r>
          </w:p>
        </w:tc>
      </w:tr>
      <w:tr>
        <w:trPr>
          <w:trHeight w:val="189"/>
        </w:trPr>
        <w:tc>
          <w:tcPr>
            <w:tcW w:w="3680" w:type="dxa"/>
            <w:vAlign w:val="bottom"/>
            <w:tcBorders>
              <w:bottom w:val="single" w:sz="8" w:color="auto"/>
            </w:tcBorders>
            <w:shd w:val="clear" w:color="auto" w:fill="CCEEFF"/>
          </w:tcPr>
          <w:p>
            <w:pPr>
              <w:spacing w:after="0" w:line="189" w:lineRule="exact"/>
              <w:rPr>
                <w:sz w:val="20"/>
                <w:szCs w:val="20"/>
                <w:color w:val="auto"/>
              </w:rPr>
            </w:pPr>
            <w:r>
              <w:rPr>
                <w:rFonts w:ascii="Arial" w:cs="Arial" w:eastAsia="Arial" w:hAnsi="Arial"/>
                <w:sz w:val="17"/>
                <w:szCs w:val="17"/>
                <w:color w:val="auto"/>
              </w:rPr>
              <w:t>Randall J. Wotring</w:t>
            </w:r>
          </w:p>
        </w:tc>
        <w:tc>
          <w:tcPr>
            <w:tcW w:w="2260" w:type="dxa"/>
            <w:vAlign w:val="bottom"/>
            <w:tcBorders>
              <w:bottom w:val="single" w:sz="8" w:color="auto"/>
            </w:tcBorders>
            <w:shd w:val="clear" w:color="auto" w:fill="CCEEFF"/>
          </w:tcPr>
          <w:p>
            <w:pPr>
              <w:ind w:left="2140"/>
              <w:spacing w:after="0" w:line="189" w:lineRule="exact"/>
              <w:rPr>
                <w:sz w:val="20"/>
                <w:szCs w:val="20"/>
                <w:color w:val="auto"/>
              </w:rPr>
            </w:pPr>
            <w:r>
              <w:rPr>
                <w:rFonts w:ascii="Arial" w:cs="Arial" w:eastAsia="Arial" w:hAnsi="Arial"/>
                <w:sz w:val="17"/>
                <w:szCs w:val="17"/>
                <w:color w:val="auto"/>
              </w:rPr>
              <w:t>$</w:t>
            </w:r>
          </w:p>
        </w:tc>
        <w:tc>
          <w:tcPr>
            <w:tcW w:w="1560" w:type="dxa"/>
            <w:vAlign w:val="bottom"/>
            <w:tcBorders>
              <w:bottom w:val="single" w:sz="8" w:color="auto"/>
            </w:tcBorders>
            <w:shd w:val="clear" w:color="auto" w:fill="CCEEFF"/>
          </w:tcPr>
          <w:p>
            <w:pPr>
              <w:jc w:val="right"/>
              <w:ind w:right="335"/>
              <w:spacing w:after="0" w:line="189" w:lineRule="exact"/>
              <w:rPr>
                <w:sz w:val="20"/>
                <w:szCs w:val="20"/>
                <w:color w:val="auto"/>
              </w:rPr>
            </w:pPr>
            <w:r>
              <w:rPr>
                <w:rFonts w:ascii="Arial" w:cs="Arial" w:eastAsia="Arial" w:hAnsi="Arial"/>
                <w:sz w:val="17"/>
                <w:szCs w:val="17"/>
                <w:color w:val="auto"/>
              </w:rPr>
              <w:t>102,500</w:t>
            </w:r>
          </w:p>
        </w:tc>
        <w:tc>
          <w:tcPr>
            <w:tcW w:w="800" w:type="dxa"/>
            <w:vAlign w:val="bottom"/>
            <w:tcBorders>
              <w:bottom w:val="single" w:sz="8" w:color="auto"/>
            </w:tcBorders>
            <w:shd w:val="clear" w:color="auto" w:fill="CCEEFF"/>
          </w:tcPr>
          <w:p>
            <w:pPr>
              <w:ind w:left="400"/>
              <w:spacing w:after="0" w:line="189" w:lineRule="exact"/>
              <w:rPr>
                <w:sz w:val="20"/>
                <w:szCs w:val="20"/>
                <w:color w:val="auto"/>
              </w:rPr>
            </w:pPr>
            <w:r>
              <w:rPr>
                <w:rFonts w:ascii="Arial" w:cs="Arial" w:eastAsia="Arial" w:hAnsi="Arial"/>
                <w:sz w:val="17"/>
                <w:szCs w:val="17"/>
                <w:color w:val="auto"/>
              </w:rPr>
              <w:t>$</w:t>
            </w:r>
          </w:p>
        </w:tc>
        <w:tc>
          <w:tcPr>
            <w:tcW w:w="1400" w:type="dxa"/>
            <w:vAlign w:val="bottom"/>
            <w:tcBorders>
              <w:bottom w:val="single" w:sz="8" w:color="auto"/>
            </w:tcBorders>
            <w:shd w:val="clear" w:color="auto" w:fill="CCEEFF"/>
          </w:tcPr>
          <w:p>
            <w:pPr>
              <w:jc w:val="right"/>
              <w:ind w:right="395"/>
              <w:spacing w:after="0" w:line="189" w:lineRule="exact"/>
              <w:rPr>
                <w:sz w:val="20"/>
                <w:szCs w:val="20"/>
                <w:color w:val="auto"/>
              </w:rPr>
            </w:pPr>
            <w:r>
              <w:rPr>
                <w:rFonts w:ascii="Arial" w:cs="Arial" w:eastAsia="Arial" w:hAnsi="Arial"/>
                <w:sz w:val="17"/>
                <w:szCs w:val="17"/>
                <w:color w:val="auto"/>
              </w:rPr>
              <w:t>125,285</w:t>
            </w:r>
          </w:p>
        </w:tc>
        <w:tc>
          <w:tcPr>
            <w:tcW w:w="1720" w:type="dxa"/>
            <w:vAlign w:val="bottom"/>
            <w:tcBorders>
              <w:bottom w:val="single" w:sz="8" w:color="auto"/>
            </w:tcBorders>
            <w:shd w:val="clear" w:color="auto" w:fill="CCEEFF"/>
          </w:tcPr>
          <w:p>
            <w:pPr>
              <w:jc w:val="center"/>
              <w:spacing w:after="0" w:line="189" w:lineRule="exact"/>
              <w:rPr>
                <w:sz w:val="20"/>
                <w:szCs w:val="20"/>
                <w:color w:val="auto"/>
              </w:rPr>
            </w:pPr>
            <w:r>
              <w:rPr>
                <w:rFonts w:ascii="Arial" w:cs="Arial" w:eastAsia="Arial" w:hAnsi="Arial"/>
                <w:sz w:val="17"/>
                <w:szCs w:val="17"/>
                <w:color w:val="auto"/>
              </w:rPr>
              <w:t>$227,785</w:t>
            </w:r>
          </w:p>
        </w:tc>
      </w:tr>
    </w:tbl>
    <w:p>
      <w:pPr>
        <w:spacing w:after="0" w:line="210" w:lineRule="exact"/>
        <w:rPr>
          <w:sz w:val="20"/>
          <w:szCs w:val="20"/>
          <w:color w:val="auto"/>
        </w:rPr>
      </w:pPr>
    </w:p>
    <w:p>
      <w:pPr>
        <w:ind w:left="460" w:right="380" w:hanging="452"/>
        <w:spacing w:after="0" w:line="243" w:lineRule="auto"/>
        <w:tabs>
          <w:tab w:leader="none" w:pos="460" w:val="left"/>
        </w:tabs>
        <w:numPr>
          <w:ilvl w:val="0"/>
          <w:numId w:val="8"/>
        </w:numPr>
        <w:rPr>
          <w:rFonts w:ascii="Arial" w:cs="Arial" w:eastAsia="Arial" w:hAnsi="Arial"/>
          <w:sz w:val="15"/>
          <w:szCs w:val="15"/>
          <w:color w:val="auto"/>
        </w:rPr>
      </w:pPr>
      <w:r>
        <w:rPr>
          <w:rFonts w:ascii="Arial" w:cs="Arial" w:eastAsia="Arial" w:hAnsi="Arial"/>
          <w:sz w:val="17"/>
          <w:szCs w:val="17"/>
          <w:color w:val="auto"/>
        </w:rPr>
        <w:t>Ward J. Timken, Jr., Chairman, Chief Executive Officer and President, is not included in this table as he is an employee of the Company and receives no additional compensation for his services as a Director.</w:t>
      </w:r>
    </w:p>
    <w:p>
      <w:pPr>
        <w:spacing w:after="0" w:line="198" w:lineRule="exact"/>
        <w:rPr>
          <w:rFonts w:ascii="Arial" w:cs="Arial" w:eastAsia="Arial" w:hAnsi="Arial"/>
          <w:sz w:val="15"/>
          <w:szCs w:val="15"/>
          <w:color w:val="auto"/>
        </w:rPr>
      </w:pPr>
    </w:p>
    <w:p>
      <w:pPr>
        <w:ind w:left="460" w:right="100" w:hanging="452"/>
        <w:spacing w:after="0" w:line="236" w:lineRule="auto"/>
        <w:tabs>
          <w:tab w:leader="none" w:pos="460" w:val="left"/>
        </w:tabs>
        <w:numPr>
          <w:ilvl w:val="0"/>
          <w:numId w:val="8"/>
        </w:numPr>
        <w:rPr>
          <w:rFonts w:ascii="Arial" w:cs="Arial" w:eastAsia="Arial" w:hAnsi="Arial"/>
          <w:sz w:val="15"/>
          <w:szCs w:val="15"/>
          <w:color w:val="auto"/>
        </w:rPr>
      </w:pPr>
      <w:r>
        <w:rPr>
          <w:rFonts w:ascii="Arial" w:cs="Arial" w:eastAsia="Arial" w:hAnsi="Arial"/>
          <w:sz w:val="17"/>
          <w:szCs w:val="17"/>
          <w:color w:val="auto"/>
        </w:rPr>
        <w:t>The amount shown for each Director (other than Mr. Dunlap) is the grant date fair value of the award of 3,880 common shares made on May 6, 2015, as computed in accordance with Financial Accounting Standards Board Accounting Standards Codification (“FASB ASC”) Topic 718. With respect to Mr. Dunlap, the amount shown is the grant date fair value of the award of 6,345 common shares made on August 12, 2015, as computed in accordance with FASB ASC Topic 718. Each of these awards vested upon grant.</w:t>
      </w:r>
    </w:p>
    <w:p>
      <w:pPr>
        <w:spacing w:after="0" w:line="197" w:lineRule="exact"/>
        <w:rPr>
          <w:rFonts w:ascii="Arial" w:cs="Arial" w:eastAsia="Arial" w:hAnsi="Arial"/>
          <w:sz w:val="15"/>
          <w:szCs w:val="15"/>
          <w:color w:val="auto"/>
        </w:rPr>
      </w:pPr>
    </w:p>
    <w:p>
      <w:pPr>
        <w:ind w:left="460" w:hanging="452"/>
        <w:spacing w:after="0"/>
        <w:tabs>
          <w:tab w:leader="none" w:pos="460" w:val="left"/>
        </w:tabs>
        <w:numPr>
          <w:ilvl w:val="0"/>
          <w:numId w:val="8"/>
        </w:numPr>
        <w:rPr>
          <w:rFonts w:ascii="Arial" w:cs="Arial" w:eastAsia="Arial" w:hAnsi="Arial"/>
          <w:sz w:val="15"/>
          <w:szCs w:val="15"/>
          <w:color w:val="auto"/>
        </w:rPr>
      </w:pPr>
      <w:r>
        <w:rPr>
          <w:rFonts w:ascii="Arial" w:cs="Arial" w:eastAsia="Arial" w:hAnsi="Arial"/>
          <w:sz w:val="17"/>
          <w:szCs w:val="17"/>
          <w:color w:val="auto"/>
        </w:rPr>
        <w:t>As of December 31, 2015, no Director other than Ms. Creel had any outstanding options or unvested restricted shares of the Company.</w:t>
      </w:r>
    </w:p>
    <w:p>
      <w:pPr>
        <w:ind w:left="460"/>
        <w:spacing w:after="0"/>
        <w:rPr>
          <w:rFonts w:ascii="Arial" w:cs="Arial" w:eastAsia="Arial" w:hAnsi="Arial"/>
          <w:sz w:val="15"/>
          <w:szCs w:val="15"/>
          <w:color w:val="auto"/>
        </w:rPr>
      </w:pPr>
      <w:r>
        <w:rPr>
          <w:rFonts w:ascii="Arial" w:cs="Arial" w:eastAsia="Arial" w:hAnsi="Arial"/>
          <w:sz w:val="17"/>
          <w:szCs w:val="17"/>
          <w:color w:val="auto"/>
        </w:rPr>
        <w:t>Ms. Creel held 400 unvested restricted shares, which are scheduled to vest in two equal installments on August 6, 2016, and August 6, 2017.</w:t>
      </w:r>
    </w:p>
    <w:p>
      <w:pPr>
        <w:spacing w:after="0" w:line="153" w:lineRule="exact"/>
        <w:rPr>
          <w:sz w:val="20"/>
          <w:szCs w:val="20"/>
          <w:color w:val="auto"/>
        </w:rPr>
      </w:pPr>
    </w:p>
    <w:p>
      <w:pPr>
        <w:ind w:left="11180"/>
        <w:spacing w:after="0"/>
        <w:rPr>
          <w:sz w:val="20"/>
          <w:szCs w:val="20"/>
          <w:color w:val="auto"/>
        </w:rPr>
      </w:pPr>
      <w:r>
        <w:rPr>
          <w:rFonts w:ascii="Arial" w:cs="Arial" w:eastAsia="Arial" w:hAnsi="Arial"/>
          <w:sz w:val="14"/>
          <w:szCs w:val="14"/>
          <w:color w:val="auto"/>
        </w:rPr>
        <w:t>19</w:t>
      </w:r>
    </w:p>
    <w:p>
      <w:pPr>
        <w:sectPr>
          <w:pgSz w:w="11900" w:h="16838" w:orient="portrait"/>
          <w:cols w:equalWidth="0" w:num="1">
            <w:col w:w="11420"/>
          </w:cols>
          <w:pgMar w:left="240" w:top="459" w:right="239" w:bottom="1440" w:gutter="0" w:footer="0" w:header="0"/>
        </w:sectPr>
      </w:pPr>
    </w:p>
    <w:bookmarkStart w:id="25" w:name="page26"/>
    <w:bookmarkEnd w:id="2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1">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3109595</wp:posOffset>
            </wp:positionH>
            <wp:positionV relativeFrom="paragraph">
              <wp:posOffset>205740</wp:posOffset>
            </wp:positionV>
            <wp:extent cx="1046480" cy="20574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2">
                      <a:extLst>
                        <a:ext uri="{28A0092B-C50C-407E-A947-70E740481C1C}"/>
                      </a:extLst>
                    </a:blip>
                    <a:srcRect/>
                    <a:stretch>
                      <a:fillRect/>
                    </a:stretch>
                  </pic:blipFill>
                  <pic:spPr bwMode="auto">
                    <a:xfrm>
                      <a:off x="0" y="0"/>
                      <a:ext cx="1046480" cy="20574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76" w:lineRule="exact"/>
        <w:rPr>
          <w:sz w:val="20"/>
          <w:szCs w:val="20"/>
          <w:color w:val="auto"/>
        </w:rPr>
      </w:pPr>
    </w:p>
    <w:p>
      <w:pPr>
        <w:spacing w:after="0"/>
        <w:rPr>
          <w:sz w:val="20"/>
          <w:szCs w:val="20"/>
          <w:color w:val="auto"/>
        </w:rPr>
      </w:pPr>
      <w:r>
        <w:rPr>
          <w:rFonts w:ascii="Arial" w:cs="Arial" w:eastAsia="Arial" w:hAnsi="Arial"/>
          <w:sz w:val="18"/>
          <w:szCs w:val="18"/>
          <w:color w:val="auto"/>
        </w:rPr>
        <w:t>CORPORATE GOVERNANCE</w:t>
      </w:r>
    </w:p>
    <w:p>
      <w:pPr>
        <w:spacing w:after="0" w:line="159" w:lineRule="exact"/>
        <w:rPr>
          <w:sz w:val="20"/>
          <w:szCs w:val="20"/>
          <w:color w:val="auto"/>
        </w:rPr>
      </w:pPr>
    </w:p>
    <w:p>
      <w:pPr>
        <w:spacing w:after="0"/>
        <w:rPr>
          <w:sz w:val="20"/>
          <w:szCs w:val="20"/>
          <w:color w:val="auto"/>
        </w:rPr>
      </w:pPr>
      <w:r>
        <w:rPr>
          <w:rFonts w:ascii="Arial" w:cs="Arial" w:eastAsia="Arial" w:hAnsi="Arial"/>
          <w:sz w:val="17"/>
          <w:szCs w:val="17"/>
          <w:b w:val="1"/>
          <w:bCs w:val="1"/>
          <w:color w:val="666666"/>
        </w:rPr>
        <w:t>CORPORATE GOVERNANCE GUIDELINES</w:t>
      </w:r>
    </w:p>
    <w:p>
      <w:pPr>
        <w:spacing w:after="0" w:line="14" w:lineRule="exact"/>
        <w:rPr>
          <w:sz w:val="20"/>
          <w:szCs w:val="20"/>
          <w:color w:val="auto"/>
        </w:rPr>
      </w:pPr>
    </w:p>
    <w:p>
      <w:pPr>
        <w:jc w:val="both"/>
        <w:ind w:right="100"/>
        <w:spacing w:after="0" w:line="235" w:lineRule="auto"/>
        <w:rPr>
          <w:sz w:val="20"/>
          <w:szCs w:val="20"/>
          <w:color w:val="auto"/>
        </w:rPr>
      </w:pPr>
      <w:r>
        <w:rPr>
          <w:rFonts w:ascii="Arial" w:cs="Arial" w:eastAsia="Arial" w:hAnsi="Arial"/>
          <w:sz w:val="17"/>
          <w:szCs w:val="17"/>
          <w:color w:val="auto"/>
        </w:rPr>
        <w:t>The Board of Directors has adopted the TimkenSteel Corporation Corporate Governance Guidelines. These guidelines outline the responsibilities of the Board of Directors, Director selection criteria and procedures, Board composition criteria and various policies and procedures designed to ensure effective and responsive governance. The TimkenSteel Corporation Corporate Governance Guidelines are reviewed annually by the Nominating and Corporate Governance Committee and are available on our website at www.timkensteel.com and in print to any shareholder who requests a copy. All requests must be made in writing, addressed to TimkenSteel Corporation, Attn: Secretary, 1835 Dueber Ave. S.W., Canton, Ohio 44706.</w:t>
      </w:r>
    </w:p>
    <w:p>
      <w:pPr>
        <w:spacing w:after="0" w:line="144" w:lineRule="exact"/>
        <w:rPr>
          <w:sz w:val="20"/>
          <w:szCs w:val="20"/>
          <w:color w:val="auto"/>
        </w:rPr>
      </w:pPr>
    </w:p>
    <w:p>
      <w:pPr>
        <w:spacing w:after="0"/>
        <w:rPr>
          <w:sz w:val="20"/>
          <w:szCs w:val="20"/>
          <w:color w:val="auto"/>
        </w:rPr>
      </w:pPr>
      <w:r>
        <w:rPr>
          <w:rFonts w:ascii="Arial" w:cs="Arial" w:eastAsia="Arial" w:hAnsi="Arial"/>
          <w:sz w:val="17"/>
          <w:szCs w:val="17"/>
          <w:b w:val="1"/>
          <w:bCs w:val="1"/>
          <w:color w:val="666666"/>
        </w:rPr>
        <w:t>CODE OF CONDUCT</w:t>
      </w:r>
    </w:p>
    <w:p>
      <w:pPr>
        <w:spacing w:after="0" w:line="14" w:lineRule="exact"/>
        <w:rPr>
          <w:sz w:val="20"/>
          <w:szCs w:val="20"/>
          <w:color w:val="auto"/>
        </w:rPr>
      </w:pPr>
    </w:p>
    <w:p>
      <w:pPr>
        <w:spacing w:after="0" w:line="234" w:lineRule="auto"/>
        <w:rPr>
          <w:sz w:val="20"/>
          <w:szCs w:val="20"/>
          <w:color w:val="auto"/>
        </w:rPr>
      </w:pPr>
      <w:r>
        <w:rPr>
          <w:rFonts w:ascii="Arial" w:cs="Arial" w:eastAsia="Arial" w:hAnsi="Arial"/>
          <w:sz w:val="17"/>
          <w:szCs w:val="17"/>
          <w:color w:val="auto"/>
        </w:rPr>
        <w:t>Each of our employees and Directors is required to comply with the TimkenSteel Corporation Code of Conduct, a code of business conduct and ethics adopted by the Company. Ethics and integrity, defined by the principles of honesty, fairness, respect and responsibility, are core values of the Company. The TimkenSteel Corporation Code of Conduct sets forth policies covering a broad range of subjects, including antitrust and competition, corruption and bribery, conflicts of interest, inside information, accurate financial records, harassment, environmental health and safety and intellectual property, among other matters, and requires strict adherence to laws and regulations applicable to the Company’s business. Any waiver of the Code of Conduct for executive officers or Directors may be made only by the Board of Directors or the Nominating and Corporate Governance Committee of the Board, and will be disclosed promptly in accordance with applicable law and rules of the New York Stock Exchange. The TimkenSteel Corporation Code of Conduct is reviewed periodically by the Nominating and Corporate Governance Committee and is available on our website at www.timkensteel.com and in print to any shareholder who requests a copy. All requests must be made in writing, addressed to TimkenSteel Corporation, Attn: Secretary, 1835 Dueber Ave. S.W., Canton, Ohio 44706.</w:t>
      </w:r>
    </w:p>
    <w:p>
      <w:pPr>
        <w:spacing w:after="0" w:line="140" w:lineRule="exact"/>
        <w:rPr>
          <w:sz w:val="20"/>
          <w:szCs w:val="20"/>
          <w:color w:val="auto"/>
        </w:rPr>
      </w:pPr>
    </w:p>
    <w:p>
      <w:pPr>
        <w:spacing w:after="0"/>
        <w:rPr>
          <w:sz w:val="20"/>
          <w:szCs w:val="20"/>
          <w:color w:val="auto"/>
        </w:rPr>
      </w:pPr>
      <w:r>
        <w:rPr>
          <w:rFonts w:ascii="Arial" w:cs="Arial" w:eastAsia="Arial" w:hAnsi="Arial"/>
          <w:sz w:val="17"/>
          <w:szCs w:val="17"/>
          <w:b w:val="1"/>
          <w:bCs w:val="1"/>
          <w:color w:val="666666"/>
        </w:rPr>
        <w:t>DIRECTOR INDEPENDENCE</w:t>
      </w:r>
    </w:p>
    <w:p>
      <w:pPr>
        <w:spacing w:after="0" w:line="14" w:lineRule="exact"/>
        <w:rPr>
          <w:sz w:val="20"/>
          <w:szCs w:val="20"/>
          <w:color w:val="auto"/>
        </w:rPr>
      </w:pPr>
    </w:p>
    <w:p>
      <w:pPr>
        <w:spacing w:after="0" w:line="233" w:lineRule="auto"/>
        <w:rPr>
          <w:sz w:val="20"/>
          <w:szCs w:val="20"/>
          <w:color w:val="auto"/>
        </w:rPr>
      </w:pPr>
      <w:r>
        <w:rPr>
          <w:rFonts w:ascii="Arial" w:cs="Arial" w:eastAsia="Arial" w:hAnsi="Arial"/>
          <w:sz w:val="17"/>
          <w:szCs w:val="17"/>
          <w:color w:val="auto"/>
        </w:rPr>
        <w:t>The Board of Directors has adopted the independence standards of the New York Stock Exchange listing requirements for determining the independence of Directors. After consideration of all relevant facts and circumstances, including each individual’s commercial, industrial, banking, consulting, legal, accounting, charitable and familial relationships with the Company, the Board has determined that the following Directors meet those independence standards and that each of these individuals is independent and free of any material relationships with the Company other than as established through his or her service as a Director of the Company: Joseph A. Carrabba, Phillip R. Cox, Diane C. Creel, Terry L. Dunlap, Randall H. Edwards, Donald T. Misheff, John P. Reilly, Ronald A. Rice and Randall A. Wotring. With respect to Mr. Reilly, who also is a member of the board of directors of The Timken Company, the Board determined that his service on the board of directors of The Timken Company does not impair his independence after giving consideration to the continuing commercial and other relationships between the companies following the spinoff. As discussions arise regarding transactions or other matters between TimkenSteel and The Timken Company, Mr. Reilly has not and will not participate in such discussions or any related Board approvals. Mr. Reilly’s current term as a director of The Timken Company expires at The Timken Company’s 2016 Annual Meeting of Shareholders and he will not stand for re-election.</w:t>
      </w:r>
    </w:p>
    <w:p>
      <w:pPr>
        <w:spacing w:after="0" w:line="152" w:lineRule="exact"/>
        <w:rPr>
          <w:sz w:val="20"/>
          <w:szCs w:val="20"/>
          <w:color w:val="auto"/>
        </w:rPr>
      </w:pPr>
    </w:p>
    <w:p>
      <w:pPr>
        <w:spacing w:after="0"/>
        <w:rPr>
          <w:sz w:val="20"/>
          <w:szCs w:val="20"/>
          <w:color w:val="auto"/>
        </w:rPr>
      </w:pPr>
      <w:r>
        <w:rPr>
          <w:rFonts w:ascii="Arial" w:cs="Arial" w:eastAsia="Arial" w:hAnsi="Arial"/>
          <w:sz w:val="14"/>
          <w:szCs w:val="14"/>
          <w:color w:val="auto"/>
        </w:rPr>
        <w:t>20</w:t>
      </w:r>
    </w:p>
    <w:p>
      <w:pPr>
        <w:sectPr>
          <w:pgSz w:w="11900" w:h="16838" w:orient="portrait"/>
          <w:cols w:equalWidth="0" w:num="1">
            <w:col w:w="11360"/>
          </w:cols>
          <w:pgMar w:left="240" w:top="459" w:right="299" w:bottom="1440" w:gutter="0" w:footer="0" w:header="0"/>
        </w:sectPr>
      </w:pPr>
    </w:p>
    <w:bookmarkStart w:id="26" w:name="page27"/>
    <w:bookmarkEnd w:id="2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3">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2715260</wp:posOffset>
            </wp:positionH>
            <wp:positionV relativeFrom="paragraph">
              <wp:posOffset>205740</wp:posOffset>
            </wp:positionV>
            <wp:extent cx="1826895" cy="20574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4">
                      <a:extLst>
                        <a:ext uri="{28A0092B-C50C-407E-A947-70E740481C1C}"/>
                      </a:extLst>
                    </a:blip>
                    <a:srcRect/>
                    <a:stretch>
                      <a:fillRect/>
                    </a:stretch>
                  </pic:blipFill>
                  <pic:spPr bwMode="auto">
                    <a:xfrm>
                      <a:off x="0" y="0"/>
                      <a:ext cx="1826895" cy="20574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50" w:lineRule="exact"/>
        <w:rPr>
          <w:sz w:val="20"/>
          <w:szCs w:val="20"/>
          <w:color w:val="auto"/>
        </w:rPr>
      </w:pPr>
    </w:p>
    <w:p>
      <w:pPr>
        <w:spacing w:after="0"/>
        <w:rPr>
          <w:sz w:val="20"/>
          <w:szCs w:val="20"/>
          <w:color w:val="auto"/>
        </w:rPr>
      </w:pPr>
      <w:r>
        <w:rPr>
          <w:rFonts w:ascii="Arial" w:cs="Arial" w:eastAsia="Arial" w:hAnsi="Arial"/>
          <w:sz w:val="17"/>
          <w:szCs w:val="17"/>
          <w:b w:val="1"/>
          <w:bCs w:val="1"/>
          <w:color w:val="666666"/>
        </w:rPr>
        <w:t>BOARD LEADERSHIP STRUCTURE</w:t>
      </w:r>
    </w:p>
    <w:p>
      <w:pPr>
        <w:spacing w:after="0" w:line="14" w:lineRule="exact"/>
        <w:rPr>
          <w:sz w:val="20"/>
          <w:szCs w:val="20"/>
          <w:color w:val="auto"/>
        </w:rPr>
      </w:pPr>
    </w:p>
    <w:p>
      <w:pPr>
        <w:spacing w:after="0"/>
        <w:rPr>
          <w:sz w:val="20"/>
          <w:szCs w:val="20"/>
          <w:color w:val="auto"/>
        </w:rPr>
      </w:pPr>
      <w:r>
        <w:rPr>
          <w:rFonts w:ascii="Arial" w:cs="Arial" w:eastAsia="Arial" w:hAnsi="Arial"/>
          <w:sz w:val="17"/>
          <w:szCs w:val="17"/>
          <w:color w:val="auto"/>
        </w:rPr>
        <w:t>Our Board of Directors is led by Chairman Ward J. Timken, Jr. In addition, John P. Reilly has been appointed as Lead Director.</w:t>
      </w:r>
    </w:p>
    <w:p>
      <w:pPr>
        <w:spacing w:after="0" w:line="183" w:lineRule="exact"/>
        <w:rPr>
          <w:sz w:val="20"/>
          <w:szCs w:val="20"/>
          <w:color w:val="auto"/>
        </w:rPr>
      </w:pPr>
    </w:p>
    <w:p>
      <w:pPr>
        <w:ind w:right="80"/>
        <w:spacing w:after="0" w:line="235" w:lineRule="auto"/>
        <w:rPr>
          <w:sz w:val="20"/>
          <w:szCs w:val="20"/>
          <w:color w:val="auto"/>
        </w:rPr>
      </w:pPr>
      <w:r>
        <w:rPr>
          <w:rFonts w:ascii="Arial" w:cs="Arial" w:eastAsia="Arial" w:hAnsi="Arial"/>
          <w:sz w:val="17"/>
          <w:szCs w:val="17"/>
          <w:color w:val="auto"/>
        </w:rPr>
        <w:t>The Chairman oversees the planning of the annual Board of Directors’ calendar and, in consultation with the other Directors, schedules and sets the agenda for meetings of the Board of Directors and leads the discussions at such meetings. In addition, the Chairman provides guidance and oversight to other members of management, helps with the formulation and implementation of our strategic plans and acts as the Board of Directors’ liaison to the rest of management. In this capacity, the Chairman is actively engaged on significant matters affecting TimkenSteel. The Chairman also leads our Annual Meetings of Shareholders and performs such other functions and responsibilities as requested by the Board of Directors from time to time.</w:t>
      </w:r>
    </w:p>
    <w:p>
      <w:pPr>
        <w:spacing w:after="0" w:line="164" w:lineRule="exact"/>
        <w:rPr>
          <w:sz w:val="20"/>
          <w:szCs w:val="20"/>
          <w:color w:val="auto"/>
        </w:rPr>
      </w:pPr>
    </w:p>
    <w:p>
      <w:pPr>
        <w:spacing w:after="0" w:line="235" w:lineRule="auto"/>
        <w:rPr>
          <w:sz w:val="20"/>
          <w:szCs w:val="20"/>
          <w:color w:val="auto"/>
        </w:rPr>
      </w:pPr>
      <w:r>
        <w:rPr>
          <w:rFonts w:ascii="Arial" w:cs="Arial" w:eastAsia="Arial" w:hAnsi="Arial"/>
          <w:sz w:val="17"/>
          <w:szCs w:val="17"/>
          <w:color w:val="auto"/>
        </w:rPr>
        <w:t>The Lead Director’s duties include: (a) developing agendas for, and presiding over, the executive sessions of the independent Directors; (b) reporting the results of the executive sessions to the CEO and Chairman; (c) providing feedback as required to the other Directors on the issues discussed with the CEO and Chairman; (d) serving as a liaison between the independent Directors and the Chairman and CEO; (e) presiding at all meetings of the Board at which the Chairman is not present; (f) approving information sent to the Board; (g) approving agendas for Board meetings; (h) approving Board meeting schedules to ensure that there is sufficient time for discussion of all agenda items; (i) calling meetings of the independent Directors; and (j) ensuring that he or she is available for consultation and direct communications with major shareholders as appropriate.</w:t>
      </w:r>
    </w:p>
    <w:p>
      <w:pPr>
        <w:spacing w:after="0" w:line="142" w:lineRule="exact"/>
        <w:rPr>
          <w:sz w:val="20"/>
          <w:szCs w:val="20"/>
          <w:color w:val="auto"/>
        </w:rPr>
      </w:pPr>
    </w:p>
    <w:p>
      <w:pPr>
        <w:spacing w:after="0"/>
        <w:rPr>
          <w:sz w:val="20"/>
          <w:szCs w:val="20"/>
          <w:color w:val="auto"/>
        </w:rPr>
      </w:pPr>
      <w:r>
        <w:rPr>
          <w:rFonts w:ascii="Arial" w:cs="Arial" w:eastAsia="Arial" w:hAnsi="Arial"/>
          <w:sz w:val="17"/>
          <w:szCs w:val="17"/>
          <w:b w:val="1"/>
          <w:bCs w:val="1"/>
          <w:color w:val="666666"/>
        </w:rPr>
        <w:t>RISK OVERSIGHT</w:t>
      </w:r>
    </w:p>
    <w:p>
      <w:pPr>
        <w:spacing w:after="0" w:line="14" w:lineRule="exact"/>
        <w:rPr>
          <w:sz w:val="20"/>
          <w:szCs w:val="20"/>
          <w:color w:val="auto"/>
        </w:rPr>
      </w:pPr>
    </w:p>
    <w:p>
      <w:pPr>
        <w:ind w:right="140"/>
        <w:spacing w:after="0" w:line="234" w:lineRule="auto"/>
        <w:rPr>
          <w:sz w:val="20"/>
          <w:szCs w:val="20"/>
          <w:color w:val="auto"/>
        </w:rPr>
      </w:pPr>
      <w:r>
        <w:rPr>
          <w:rFonts w:ascii="Arial" w:cs="Arial" w:eastAsia="Arial" w:hAnsi="Arial"/>
          <w:sz w:val="17"/>
          <w:szCs w:val="17"/>
          <w:color w:val="auto"/>
        </w:rPr>
        <w:t>The Audit Committee coordinates with and assists the Board of Directors in overseeing the Company’s management of risk, including the Company’s processes for identifying, reporting and managing risks. The Audit Committee reviews and discusses the guidelines, policies and processes by which the CEO and senior management of the Company assess and manage risks, and discusses the Company’s major financial risk exposures and the steps management has taken to monitor and control these exposures. Where the Board of Directors, directly or through another committee of the Board, has processes in place to manage non-financial risks, the Audit Committee will review such risk management processes in a general manner. The Board believes that this approach, supported by our senior leadership structure, provides appropriate checks and balances against undue risk taking.</w:t>
      </w:r>
    </w:p>
    <w:p>
      <w:pPr>
        <w:spacing w:after="0" w:line="158" w:lineRule="exact"/>
        <w:rPr>
          <w:sz w:val="20"/>
          <w:szCs w:val="20"/>
          <w:color w:val="auto"/>
        </w:rPr>
      </w:pPr>
    </w:p>
    <w:p>
      <w:pPr>
        <w:spacing w:after="0"/>
        <w:rPr>
          <w:sz w:val="20"/>
          <w:szCs w:val="20"/>
          <w:color w:val="auto"/>
        </w:rPr>
      </w:pPr>
      <w:r>
        <w:rPr>
          <w:rFonts w:ascii="Arial" w:cs="Arial" w:eastAsia="Arial" w:hAnsi="Arial"/>
          <w:sz w:val="17"/>
          <w:szCs w:val="17"/>
          <w:b w:val="1"/>
          <w:bCs w:val="1"/>
          <w:color w:val="666666"/>
        </w:rPr>
        <w:t>RELATED PARTY TRANSACTIONS APPROVAL POLICY</w:t>
      </w:r>
    </w:p>
    <w:p>
      <w:pPr>
        <w:spacing w:after="0" w:line="14" w:lineRule="exact"/>
        <w:rPr>
          <w:sz w:val="20"/>
          <w:szCs w:val="20"/>
          <w:color w:val="auto"/>
        </w:rPr>
      </w:pPr>
    </w:p>
    <w:p>
      <w:pPr>
        <w:ind w:right="140"/>
        <w:spacing w:after="0" w:line="236" w:lineRule="auto"/>
        <w:rPr>
          <w:sz w:val="20"/>
          <w:szCs w:val="20"/>
          <w:color w:val="auto"/>
        </w:rPr>
      </w:pPr>
      <w:r>
        <w:rPr>
          <w:rFonts w:ascii="Arial" w:cs="Arial" w:eastAsia="Arial" w:hAnsi="Arial"/>
          <w:sz w:val="17"/>
          <w:szCs w:val="17"/>
          <w:color w:val="auto"/>
        </w:rPr>
        <w:t>As noted, our Directors and employees, including our executive officers, are subject to the TimkenSteel Corporation Code of Conduct, which requires that an employee or Director act in the best interests of the Company and avoid actual or potential conflicts of interest. In order to fulfill this duty, employees and Directors must avoid situations in which their actions or loyalties are, or appear to be, divided. While not every situation can be identified in a written policy, our Code of Conduct does specifically prohibit the following situations:</w:t>
      </w:r>
    </w:p>
    <w:p>
      <w:pPr>
        <w:spacing w:after="0" w:line="204" w:lineRule="exact"/>
        <w:rPr>
          <w:sz w:val="20"/>
          <w:szCs w:val="20"/>
          <w:color w:val="auto"/>
        </w:rPr>
      </w:pPr>
    </w:p>
    <w:p>
      <w:pPr>
        <w:ind w:left="220" w:hanging="212"/>
        <w:spacing w:after="0"/>
        <w:tabs>
          <w:tab w:leader="none" w:pos="220" w:val="left"/>
        </w:tabs>
        <w:numPr>
          <w:ilvl w:val="0"/>
          <w:numId w:val="9"/>
        </w:numPr>
        <w:rPr>
          <w:rFonts w:ascii="Arial" w:cs="Arial" w:eastAsia="Arial" w:hAnsi="Arial"/>
          <w:sz w:val="17"/>
          <w:szCs w:val="17"/>
          <w:color w:val="auto"/>
        </w:rPr>
      </w:pPr>
      <w:r>
        <w:rPr>
          <w:rFonts w:ascii="Arial" w:cs="Arial" w:eastAsia="Arial" w:hAnsi="Arial"/>
          <w:sz w:val="17"/>
          <w:szCs w:val="17"/>
          <w:color w:val="auto"/>
        </w:rPr>
        <w:t>holding a significant financial interest or directorship in one of our customers, competitors or suppliers;</w:t>
      </w:r>
    </w:p>
    <w:p>
      <w:pPr>
        <w:spacing w:after="0" w:line="209" w:lineRule="exact"/>
        <w:rPr>
          <w:rFonts w:ascii="Arial" w:cs="Arial" w:eastAsia="Arial" w:hAnsi="Arial"/>
          <w:sz w:val="17"/>
          <w:szCs w:val="17"/>
          <w:color w:val="auto"/>
        </w:rPr>
      </w:pPr>
    </w:p>
    <w:p>
      <w:pPr>
        <w:ind w:left="220" w:right="320" w:hanging="212"/>
        <w:spacing w:after="0" w:line="243" w:lineRule="auto"/>
        <w:tabs>
          <w:tab w:leader="none" w:pos="220" w:val="left"/>
        </w:tabs>
        <w:numPr>
          <w:ilvl w:val="0"/>
          <w:numId w:val="9"/>
        </w:numPr>
        <w:rPr>
          <w:rFonts w:ascii="Arial" w:cs="Arial" w:eastAsia="Arial" w:hAnsi="Arial"/>
          <w:sz w:val="17"/>
          <w:szCs w:val="17"/>
          <w:color w:val="auto"/>
        </w:rPr>
      </w:pPr>
      <w:r>
        <w:rPr>
          <w:rFonts w:ascii="Arial" w:cs="Arial" w:eastAsia="Arial" w:hAnsi="Arial"/>
          <w:sz w:val="17"/>
          <w:szCs w:val="17"/>
          <w:color w:val="auto"/>
        </w:rPr>
        <w:t>entering into personal transactions with our customers or suppliers on terms other than those generally available to the public or our Company’s employees;</w:t>
      </w:r>
    </w:p>
    <w:p>
      <w:pPr>
        <w:spacing w:after="0" w:line="198" w:lineRule="exact"/>
        <w:rPr>
          <w:rFonts w:ascii="Arial" w:cs="Arial" w:eastAsia="Arial" w:hAnsi="Arial"/>
          <w:sz w:val="17"/>
          <w:szCs w:val="17"/>
          <w:color w:val="auto"/>
        </w:rPr>
      </w:pPr>
    </w:p>
    <w:p>
      <w:pPr>
        <w:ind w:left="220" w:hanging="212"/>
        <w:spacing w:after="0"/>
        <w:tabs>
          <w:tab w:leader="none" w:pos="220" w:val="left"/>
        </w:tabs>
        <w:numPr>
          <w:ilvl w:val="0"/>
          <w:numId w:val="9"/>
        </w:numPr>
        <w:rPr>
          <w:rFonts w:ascii="Arial" w:cs="Arial" w:eastAsia="Arial" w:hAnsi="Arial"/>
          <w:sz w:val="17"/>
          <w:szCs w:val="17"/>
          <w:color w:val="auto"/>
        </w:rPr>
      </w:pPr>
      <w:r>
        <w:rPr>
          <w:rFonts w:ascii="Arial" w:cs="Arial" w:eastAsia="Arial" w:hAnsi="Arial"/>
          <w:sz w:val="17"/>
          <w:szCs w:val="17"/>
          <w:color w:val="auto"/>
        </w:rPr>
        <w:t>investing in customers, suppliers or competitors that are not publicly traded;</w:t>
      </w:r>
    </w:p>
    <w:p>
      <w:pPr>
        <w:spacing w:after="0" w:line="209" w:lineRule="exact"/>
        <w:rPr>
          <w:rFonts w:ascii="Arial" w:cs="Arial" w:eastAsia="Arial" w:hAnsi="Arial"/>
          <w:sz w:val="17"/>
          <w:szCs w:val="17"/>
          <w:color w:val="auto"/>
        </w:rPr>
      </w:pPr>
    </w:p>
    <w:p>
      <w:pPr>
        <w:ind w:left="220" w:right="460" w:hanging="212"/>
        <w:spacing w:after="0" w:line="243" w:lineRule="auto"/>
        <w:tabs>
          <w:tab w:leader="none" w:pos="220" w:val="left"/>
        </w:tabs>
        <w:numPr>
          <w:ilvl w:val="0"/>
          <w:numId w:val="9"/>
        </w:numPr>
        <w:rPr>
          <w:rFonts w:ascii="Arial" w:cs="Arial" w:eastAsia="Arial" w:hAnsi="Arial"/>
          <w:sz w:val="17"/>
          <w:szCs w:val="17"/>
          <w:color w:val="auto"/>
        </w:rPr>
      </w:pPr>
      <w:r>
        <w:rPr>
          <w:rFonts w:ascii="Arial" w:cs="Arial" w:eastAsia="Arial" w:hAnsi="Arial"/>
          <w:sz w:val="17"/>
          <w:szCs w:val="17"/>
          <w:color w:val="auto"/>
        </w:rPr>
        <w:t>making or receiving a loan or credit from any of the Company’s customers, competitors or suppliers or from a director, officer or employee of a customer, competitor or supplier, other than in the ordinary course of our Company’s business;</w:t>
      </w:r>
    </w:p>
    <w:p>
      <w:pPr>
        <w:spacing w:after="0" w:line="142" w:lineRule="exact"/>
        <w:rPr>
          <w:sz w:val="20"/>
          <w:szCs w:val="20"/>
          <w:color w:val="auto"/>
        </w:rPr>
      </w:pPr>
    </w:p>
    <w:p>
      <w:pPr>
        <w:ind w:left="11180"/>
        <w:spacing w:after="0"/>
        <w:rPr>
          <w:sz w:val="20"/>
          <w:szCs w:val="20"/>
          <w:color w:val="auto"/>
        </w:rPr>
      </w:pPr>
      <w:r>
        <w:rPr>
          <w:rFonts w:ascii="Arial" w:cs="Arial" w:eastAsia="Arial" w:hAnsi="Arial"/>
          <w:sz w:val="14"/>
          <w:szCs w:val="14"/>
          <w:color w:val="auto"/>
        </w:rPr>
        <w:t>21</w:t>
      </w:r>
    </w:p>
    <w:p>
      <w:pPr>
        <w:sectPr>
          <w:pgSz w:w="11900" w:h="16838" w:orient="portrait"/>
          <w:cols w:equalWidth="0" w:num="1">
            <w:col w:w="11400"/>
          </w:cols>
          <w:pgMar w:left="240" w:top="459" w:right="259" w:bottom="1440" w:gutter="0" w:footer="0" w:header="0"/>
        </w:sectPr>
      </w:pPr>
    </w:p>
    <w:bookmarkStart w:id="27" w:name="page28"/>
    <w:bookmarkEnd w:id="2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5">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3109595</wp:posOffset>
            </wp:positionH>
            <wp:positionV relativeFrom="paragraph">
              <wp:posOffset>205740</wp:posOffset>
            </wp:positionV>
            <wp:extent cx="1046480" cy="20574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6">
                      <a:extLst>
                        <a:ext uri="{28A0092B-C50C-407E-A947-70E740481C1C}"/>
                      </a:extLst>
                    </a:blip>
                    <a:srcRect/>
                    <a:stretch>
                      <a:fillRect/>
                    </a:stretch>
                  </pic:blipFill>
                  <pic:spPr bwMode="auto">
                    <a:xfrm>
                      <a:off x="0" y="0"/>
                      <a:ext cx="1046480" cy="20574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7" w:lineRule="exact"/>
        <w:rPr>
          <w:sz w:val="20"/>
          <w:szCs w:val="20"/>
          <w:color w:val="auto"/>
        </w:rPr>
      </w:pPr>
    </w:p>
    <w:p>
      <w:pPr>
        <w:ind w:left="220" w:right="520" w:hanging="212"/>
        <w:spacing w:after="0" w:line="243" w:lineRule="auto"/>
        <w:tabs>
          <w:tab w:leader="none" w:pos="220" w:val="left"/>
        </w:tabs>
        <w:numPr>
          <w:ilvl w:val="0"/>
          <w:numId w:val="10"/>
        </w:numPr>
        <w:rPr>
          <w:rFonts w:ascii="Arial" w:cs="Arial" w:eastAsia="Arial" w:hAnsi="Arial"/>
          <w:sz w:val="17"/>
          <w:szCs w:val="17"/>
          <w:color w:val="auto"/>
        </w:rPr>
      </w:pPr>
      <w:r>
        <w:rPr>
          <w:rFonts w:ascii="Arial" w:cs="Arial" w:eastAsia="Arial" w:hAnsi="Arial"/>
          <w:sz w:val="17"/>
          <w:szCs w:val="17"/>
          <w:color w:val="auto"/>
        </w:rPr>
        <w:t>giving or receiving gifts, gratuities or entertainment except to the extent they are customary, of nominal value and not intended to influence a business decision;</w:t>
      </w:r>
    </w:p>
    <w:p>
      <w:pPr>
        <w:spacing w:after="0" w:line="198" w:lineRule="exact"/>
        <w:rPr>
          <w:rFonts w:ascii="Arial" w:cs="Arial" w:eastAsia="Arial" w:hAnsi="Arial"/>
          <w:sz w:val="17"/>
          <w:szCs w:val="17"/>
          <w:color w:val="auto"/>
        </w:rPr>
      </w:pPr>
    </w:p>
    <w:p>
      <w:pPr>
        <w:ind w:left="220" w:hanging="212"/>
        <w:spacing w:after="0"/>
        <w:tabs>
          <w:tab w:leader="none" w:pos="220" w:val="left"/>
        </w:tabs>
        <w:numPr>
          <w:ilvl w:val="0"/>
          <w:numId w:val="10"/>
        </w:numPr>
        <w:rPr>
          <w:rFonts w:ascii="Arial" w:cs="Arial" w:eastAsia="Arial" w:hAnsi="Arial"/>
          <w:sz w:val="17"/>
          <w:szCs w:val="17"/>
          <w:color w:val="auto"/>
        </w:rPr>
      </w:pPr>
      <w:r>
        <w:rPr>
          <w:rFonts w:ascii="Arial" w:cs="Arial" w:eastAsia="Arial" w:hAnsi="Arial"/>
          <w:sz w:val="17"/>
          <w:szCs w:val="17"/>
          <w:color w:val="auto"/>
        </w:rPr>
        <w:t>taking personal advantage of corporate opportunities that the Company might be interested in pursuing;</w:t>
      </w:r>
    </w:p>
    <w:p>
      <w:pPr>
        <w:spacing w:after="0" w:line="209" w:lineRule="exact"/>
        <w:rPr>
          <w:rFonts w:ascii="Arial" w:cs="Arial" w:eastAsia="Arial" w:hAnsi="Arial"/>
          <w:sz w:val="17"/>
          <w:szCs w:val="17"/>
          <w:color w:val="auto"/>
        </w:rPr>
      </w:pPr>
    </w:p>
    <w:p>
      <w:pPr>
        <w:ind w:left="220" w:hanging="212"/>
        <w:spacing w:after="0"/>
        <w:tabs>
          <w:tab w:leader="none" w:pos="220" w:val="left"/>
        </w:tabs>
        <w:numPr>
          <w:ilvl w:val="0"/>
          <w:numId w:val="10"/>
        </w:numPr>
        <w:rPr>
          <w:rFonts w:ascii="Arial" w:cs="Arial" w:eastAsia="Arial" w:hAnsi="Arial"/>
          <w:sz w:val="17"/>
          <w:szCs w:val="17"/>
          <w:color w:val="auto"/>
        </w:rPr>
      </w:pPr>
      <w:r>
        <w:rPr>
          <w:rFonts w:ascii="Arial" w:cs="Arial" w:eastAsia="Arial" w:hAnsi="Arial"/>
          <w:sz w:val="17"/>
          <w:szCs w:val="17"/>
          <w:color w:val="auto"/>
        </w:rPr>
        <w:t>using the Company’s assets for personal gain;</w:t>
      </w:r>
    </w:p>
    <w:p>
      <w:pPr>
        <w:spacing w:after="0" w:line="209" w:lineRule="exact"/>
        <w:rPr>
          <w:rFonts w:ascii="Arial" w:cs="Arial" w:eastAsia="Arial" w:hAnsi="Arial"/>
          <w:sz w:val="17"/>
          <w:szCs w:val="17"/>
          <w:color w:val="auto"/>
        </w:rPr>
      </w:pPr>
    </w:p>
    <w:p>
      <w:pPr>
        <w:ind w:left="220" w:hanging="212"/>
        <w:spacing w:after="0"/>
        <w:tabs>
          <w:tab w:leader="none" w:pos="220" w:val="left"/>
        </w:tabs>
        <w:numPr>
          <w:ilvl w:val="0"/>
          <w:numId w:val="10"/>
        </w:numPr>
        <w:rPr>
          <w:rFonts w:ascii="Arial" w:cs="Arial" w:eastAsia="Arial" w:hAnsi="Arial"/>
          <w:sz w:val="17"/>
          <w:szCs w:val="17"/>
          <w:color w:val="auto"/>
        </w:rPr>
      </w:pPr>
      <w:r>
        <w:rPr>
          <w:rFonts w:ascii="Arial" w:cs="Arial" w:eastAsia="Arial" w:hAnsi="Arial"/>
          <w:sz w:val="17"/>
          <w:szCs w:val="17"/>
          <w:color w:val="auto"/>
        </w:rPr>
        <w:t>using the Company’s property other than in connection with our business; and</w:t>
      </w:r>
    </w:p>
    <w:p>
      <w:pPr>
        <w:spacing w:after="0" w:line="209" w:lineRule="exact"/>
        <w:rPr>
          <w:rFonts w:ascii="Arial" w:cs="Arial" w:eastAsia="Arial" w:hAnsi="Arial"/>
          <w:sz w:val="17"/>
          <w:szCs w:val="17"/>
          <w:color w:val="auto"/>
        </w:rPr>
      </w:pPr>
    </w:p>
    <w:p>
      <w:pPr>
        <w:ind w:left="220" w:hanging="212"/>
        <w:spacing w:after="0"/>
        <w:tabs>
          <w:tab w:leader="none" w:pos="220" w:val="left"/>
        </w:tabs>
        <w:numPr>
          <w:ilvl w:val="0"/>
          <w:numId w:val="10"/>
        </w:numPr>
        <w:rPr>
          <w:rFonts w:ascii="Arial" w:cs="Arial" w:eastAsia="Arial" w:hAnsi="Arial"/>
          <w:sz w:val="17"/>
          <w:szCs w:val="17"/>
          <w:color w:val="auto"/>
        </w:rPr>
      </w:pPr>
      <w:r>
        <w:rPr>
          <w:rFonts w:ascii="Arial" w:cs="Arial" w:eastAsia="Arial" w:hAnsi="Arial"/>
          <w:sz w:val="17"/>
          <w:szCs w:val="17"/>
          <w:color w:val="auto"/>
        </w:rPr>
        <w:t>conducting business with or supervising family members or friends.</w:t>
      </w:r>
    </w:p>
    <w:p>
      <w:pPr>
        <w:spacing w:after="0" w:line="183" w:lineRule="exact"/>
        <w:rPr>
          <w:sz w:val="20"/>
          <w:szCs w:val="20"/>
          <w:color w:val="auto"/>
        </w:rPr>
      </w:pPr>
    </w:p>
    <w:p>
      <w:pPr>
        <w:spacing w:after="0" w:line="235" w:lineRule="auto"/>
        <w:rPr>
          <w:sz w:val="20"/>
          <w:szCs w:val="20"/>
          <w:color w:val="auto"/>
        </w:rPr>
      </w:pPr>
      <w:r>
        <w:rPr>
          <w:rFonts w:ascii="Arial" w:cs="Arial" w:eastAsia="Arial" w:hAnsi="Arial"/>
          <w:sz w:val="17"/>
          <w:szCs w:val="17"/>
          <w:color w:val="auto"/>
        </w:rPr>
        <w:t>Pursuant to the Code of Conduct, employees’ requests for waivers of the Code of Conduct, including but not limited to waivers of any potential or actual conflict of interest, must be submitted to and approved by the General Counsel. Any requested waivers of the Code of Conduct for Directors or executive officers may be made only by the Board of Directors or the Nominating and Corporate Governance Committee of the Board. Any of these waivers for Directors or executive officers will be disclosed promptly in accordance with applicable law and the rules of the New York Stock Exchange. The Nominating and Corporate Governance Committee also is responsible for reviewing and, if appropriate, approving or ratifying any related-party transaction required to be disclosed under Item 404(a) of Regulation S-K.</w:t>
      </w:r>
    </w:p>
    <w:p>
      <w:pPr>
        <w:spacing w:after="0" w:line="146" w:lineRule="exact"/>
        <w:rPr>
          <w:sz w:val="20"/>
          <w:szCs w:val="20"/>
          <w:color w:val="auto"/>
        </w:rPr>
      </w:pPr>
    </w:p>
    <w:p>
      <w:pPr>
        <w:spacing w:after="0"/>
        <w:rPr>
          <w:sz w:val="20"/>
          <w:szCs w:val="20"/>
          <w:color w:val="auto"/>
        </w:rPr>
      </w:pPr>
      <w:r>
        <w:rPr>
          <w:rFonts w:ascii="Arial" w:cs="Arial" w:eastAsia="Arial" w:hAnsi="Arial"/>
          <w:sz w:val="14"/>
          <w:szCs w:val="14"/>
          <w:color w:val="auto"/>
        </w:rPr>
        <w:t>22</w:t>
      </w:r>
    </w:p>
    <w:p>
      <w:pPr>
        <w:sectPr>
          <w:pgSz w:w="11900" w:h="16838" w:orient="portrait"/>
          <w:cols w:equalWidth="0" w:num="1">
            <w:col w:w="11320"/>
          </w:cols>
          <w:pgMar w:left="240" w:top="459" w:right="339" w:bottom="1440" w:gutter="0" w:footer="0" w:header="0"/>
        </w:sectPr>
      </w:pPr>
    </w:p>
    <w:bookmarkStart w:id="28" w:name="page29"/>
    <w:bookmarkEnd w:id="2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7">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2715260</wp:posOffset>
            </wp:positionH>
            <wp:positionV relativeFrom="paragraph">
              <wp:posOffset>205740</wp:posOffset>
            </wp:positionV>
            <wp:extent cx="1826895" cy="20574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8">
                      <a:extLst>
                        <a:ext uri="{28A0092B-C50C-407E-A947-70E740481C1C}"/>
                      </a:extLst>
                    </a:blip>
                    <a:srcRect/>
                    <a:stretch>
                      <a:fillRect/>
                    </a:stretch>
                  </pic:blipFill>
                  <pic:spPr bwMode="auto">
                    <a:xfrm>
                      <a:off x="0" y="0"/>
                      <a:ext cx="1826895" cy="20574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76" w:lineRule="exact"/>
        <w:rPr>
          <w:sz w:val="20"/>
          <w:szCs w:val="20"/>
          <w:color w:val="auto"/>
        </w:rPr>
      </w:pPr>
    </w:p>
    <w:p>
      <w:pPr>
        <w:spacing w:after="0"/>
        <w:rPr>
          <w:sz w:val="20"/>
          <w:szCs w:val="20"/>
          <w:color w:val="auto"/>
        </w:rPr>
      </w:pPr>
      <w:r>
        <w:rPr>
          <w:rFonts w:ascii="Arial" w:cs="Arial" w:eastAsia="Arial" w:hAnsi="Arial"/>
          <w:sz w:val="18"/>
          <w:szCs w:val="18"/>
          <w:color w:val="auto"/>
        </w:rPr>
        <w:t>COMPENSATION DISCUSSION AND ANALYSIS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57785</wp:posOffset>
            </wp:positionV>
            <wp:extent cx="7246620" cy="889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9">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124" w:lineRule="exact"/>
        <w:rPr>
          <w:sz w:val="20"/>
          <w:szCs w:val="20"/>
          <w:color w:val="auto"/>
        </w:rPr>
      </w:pPr>
    </w:p>
    <w:p>
      <w:pPr>
        <w:spacing w:after="0"/>
        <w:rPr>
          <w:sz w:val="20"/>
          <w:szCs w:val="20"/>
          <w:color w:val="auto"/>
        </w:rPr>
      </w:pPr>
      <w:r>
        <w:rPr>
          <w:rFonts w:ascii="Arial" w:cs="Arial" w:eastAsia="Arial" w:hAnsi="Arial"/>
          <w:sz w:val="18"/>
          <w:szCs w:val="18"/>
          <w:color w:val="auto"/>
        </w:rPr>
        <w:t>EXECUTIVE SUMMARY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57785</wp:posOffset>
            </wp:positionV>
            <wp:extent cx="7246620" cy="889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0">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294" w:lineRule="exact"/>
        <w:rPr>
          <w:sz w:val="20"/>
          <w:szCs w:val="20"/>
          <w:color w:val="auto"/>
        </w:rPr>
      </w:pPr>
    </w:p>
    <w:p>
      <w:pPr>
        <w:spacing w:after="0" w:line="235" w:lineRule="auto"/>
        <w:rPr>
          <w:sz w:val="20"/>
          <w:szCs w:val="20"/>
          <w:color w:val="auto"/>
        </w:rPr>
      </w:pPr>
      <w:r>
        <w:rPr>
          <w:rFonts w:ascii="Arial" w:cs="Arial" w:eastAsia="Arial" w:hAnsi="Arial"/>
          <w:sz w:val="17"/>
          <w:szCs w:val="17"/>
          <w:color w:val="auto"/>
        </w:rPr>
        <w:t>At TimkenSteel, we believe in rewarding employees, including our named executive officers (NEOs), for helping us achieve our corporate goals, deliver exceptional performance and build shareholder value. In this spirit, we designed our executive compensation program to align the interests of our executives and shareholders, reward leaders for strong business results and attract, retain and motivate the best talent in the industry. The following chart highlights the key considerations behind the development, review and approval of the compensation for our executive officers named in the 2015 Summary Compensation Table: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151130</wp:posOffset>
            </wp:positionV>
            <wp:extent cx="7246620" cy="889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1">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218" w:lineRule="exact"/>
        <w:rPr>
          <w:sz w:val="20"/>
          <w:szCs w:val="20"/>
          <w:color w:val="auto"/>
        </w:rPr>
      </w:pPr>
    </w:p>
    <w:p>
      <w:pPr>
        <w:spacing w:after="0"/>
        <w:tabs>
          <w:tab w:leader="none" w:pos="6040" w:val="left"/>
        </w:tabs>
        <w:rPr>
          <w:sz w:val="20"/>
          <w:szCs w:val="20"/>
          <w:color w:val="auto"/>
        </w:rPr>
      </w:pPr>
      <w:r>
        <w:rPr>
          <w:rFonts w:ascii="Arial" w:cs="Arial" w:eastAsia="Arial" w:hAnsi="Arial"/>
          <w:sz w:val="14"/>
          <w:szCs w:val="14"/>
          <w:b w:val="1"/>
          <w:bCs w:val="1"/>
          <w:color w:val="auto"/>
        </w:rPr>
        <w:t>Objectives</w:t>
      </w:r>
      <w:r>
        <w:rPr>
          <w:sz w:val="20"/>
          <w:szCs w:val="20"/>
          <w:color w:val="auto"/>
        </w:rPr>
        <w:tab/>
      </w:r>
      <w:r>
        <w:rPr>
          <w:rFonts w:ascii="Arial" w:cs="Arial" w:eastAsia="Arial" w:hAnsi="Arial"/>
          <w:sz w:val="14"/>
          <w:szCs w:val="14"/>
          <w:b w:val="1"/>
          <w:bCs w:val="1"/>
          <w:color w:val="auto"/>
        </w:rPr>
        <w:t>Philosophy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8890</wp:posOffset>
            </wp:positionV>
            <wp:extent cx="7246620" cy="889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2">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00"/>
          </w:cols>
          <w:pgMar w:left="240" w:top="459" w:right="259" w:bottom="1440" w:gutter="0" w:footer="0" w:header="0"/>
        </w:sectPr>
      </w:pPr>
    </w:p>
    <w:p>
      <w:pPr>
        <w:spacing w:after="0" w:line="127" w:lineRule="exact"/>
        <w:rPr>
          <w:sz w:val="20"/>
          <w:szCs w:val="20"/>
          <w:color w:val="auto"/>
        </w:rPr>
      </w:pPr>
    </w:p>
    <w:p>
      <w:pPr>
        <w:spacing w:after="0"/>
        <w:rPr>
          <w:sz w:val="20"/>
          <w:szCs w:val="20"/>
          <w:color w:val="auto"/>
        </w:rPr>
      </w:pPr>
      <w:r>
        <w:rPr>
          <w:rFonts w:ascii="Arial" w:cs="Arial" w:eastAsia="Arial" w:hAnsi="Arial"/>
          <w:sz w:val="14"/>
          <w:szCs w:val="14"/>
          <w:color w:val="auto"/>
        </w:rPr>
        <w:t>Our executive compensation program is designed to:</w:t>
      </w:r>
    </w:p>
    <w:p>
      <w:pPr>
        <w:spacing w:after="0" w:line="298" w:lineRule="exact"/>
        <w:rPr>
          <w:sz w:val="20"/>
          <w:szCs w:val="20"/>
          <w:color w:val="auto"/>
        </w:rPr>
      </w:pPr>
    </w:p>
    <w:p>
      <w:pPr>
        <w:ind w:left="240" w:hanging="232"/>
        <w:spacing w:after="0"/>
        <w:tabs>
          <w:tab w:leader="none" w:pos="240" w:val="left"/>
        </w:tabs>
        <w:numPr>
          <w:ilvl w:val="0"/>
          <w:numId w:val="11"/>
        </w:numPr>
        <w:rPr>
          <w:rFonts w:ascii="Arial" w:cs="Arial" w:eastAsia="Arial" w:hAnsi="Arial"/>
          <w:sz w:val="14"/>
          <w:szCs w:val="14"/>
          <w:color w:val="auto"/>
        </w:rPr>
      </w:pPr>
      <w:r>
        <w:rPr>
          <w:rFonts w:ascii="Arial" w:cs="Arial" w:eastAsia="Arial" w:hAnsi="Arial"/>
          <w:sz w:val="14"/>
          <w:szCs w:val="14"/>
          <w:color w:val="auto"/>
        </w:rPr>
        <w:t>Align the interests of our executives and shareholders</w:t>
      </w:r>
    </w:p>
    <w:p>
      <w:pPr>
        <w:spacing w:after="0" w:line="82" w:lineRule="exact"/>
        <w:rPr>
          <w:rFonts w:ascii="Arial" w:cs="Arial" w:eastAsia="Arial" w:hAnsi="Arial"/>
          <w:sz w:val="14"/>
          <w:szCs w:val="14"/>
          <w:color w:val="auto"/>
        </w:rPr>
      </w:pPr>
    </w:p>
    <w:p>
      <w:pPr>
        <w:ind w:left="240" w:hanging="232"/>
        <w:spacing w:after="0"/>
        <w:tabs>
          <w:tab w:leader="none" w:pos="240" w:val="left"/>
        </w:tabs>
        <w:numPr>
          <w:ilvl w:val="0"/>
          <w:numId w:val="11"/>
        </w:numPr>
        <w:rPr>
          <w:rFonts w:ascii="Arial" w:cs="Arial" w:eastAsia="Arial" w:hAnsi="Arial"/>
          <w:sz w:val="14"/>
          <w:szCs w:val="14"/>
          <w:color w:val="auto"/>
        </w:rPr>
      </w:pPr>
      <w:r>
        <w:rPr>
          <w:rFonts w:ascii="Arial" w:cs="Arial" w:eastAsia="Arial" w:hAnsi="Arial"/>
          <w:sz w:val="14"/>
          <w:szCs w:val="14"/>
          <w:color w:val="auto"/>
        </w:rPr>
        <w:t>Reward executives for sustained, strong business and financial results</w:t>
      </w:r>
    </w:p>
    <w:p>
      <w:pPr>
        <w:spacing w:after="0" w:line="82" w:lineRule="exact"/>
        <w:rPr>
          <w:rFonts w:ascii="Arial" w:cs="Arial" w:eastAsia="Arial" w:hAnsi="Arial"/>
          <w:sz w:val="14"/>
          <w:szCs w:val="14"/>
          <w:color w:val="auto"/>
        </w:rPr>
      </w:pPr>
    </w:p>
    <w:p>
      <w:pPr>
        <w:ind w:left="280" w:hanging="272"/>
        <w:spacing w:after="0"/>
        <w:tabs>
          <w:tab w:leader="none" w:pos="280" w:val="left"/>
        </w:tabs>
        <w:numPr>
          <w:ilvl w:val="0"/>
          <w:numId w:val="11"/>
        </w:numPr>
        <w:rPr>
          <w:rFonts w:ascii="Arial" w:cs="Arial" w:eastAsia="Arial" w:hAnsi="Arial"/>
          <w:sz w:val="14"/>
          <w:szCs w:val="14"/>
          <w:color w:val="auto"/>
        </w:rPr>
      </w:pPr>
      <w:r>
        <w:rPr>
          <w:rFonts w:ascii="Arial" w:cs="Arial" w:eastAsia="Arial" w:hAnsi="Arial"/>
          <w:sz w:val="14"/>
          <w:szCs w:val="14"/>
          <w:color w:val="auto"/>
        </w:rPr>
        <w:t>Attract, retain and motivate the best talent</w:t>
      </w:r>
    </w:p>
    <w:p>
      <w:pPr>
        <w:spacing w:after="0" w:line="20" w:lineRule="exact"/>
        <w:rPr>
          <w:sz w:val="20"/>
          <w:szCs w:val="20"/>
          <w:color w:val="auto"/>
        </w:rPr>
      </w:pPr>
      <w:r>
        <w:rPr>
          <w:sz w:val="20"/>
          <w:szCs w:val="20"/>
          <w:color w:val="auto"/>
        </w:rPr>
        <w:br w:type="column"/>
      </w:r>
    </w:p>
    <w:p>
      <w:pPr>
        <w:spacing w:after="0" w:line="107" w:lineRule="exact"/>
        <w:rPr>
          <w:sz w:val="20"/>
          <w:szCs w:val="20"/>
          <w:color w:val="auto"/>
        </w:rPr>
      </w:pPr>
    </w:p>
    <w:p>
      <w:pPr>
        <w:ind w:left="2"/>
        <w:spacing w:after="0"/>
        <w:rPr>
          <w:sz w:val="20"/>
          <w:szCs w:val="20"/>
          <w:color w:val="auto"/>
        </w:rPr>
      </w:pPr>
      <w:r>
        <w:rPr>
          <w:rFonts w:ascii="Arial" w:cs="Arial" w:eastAsia="Arial" w:hAnsi="Arial"/>
          <w:sz w:val="14"/>
          <w:szCs w:val="14"/>
          <w:color w:val="auto"/>
        </w:rPr>
        <w:t>Our executive compensation philosophy is built on the following principles:</w:t>
      </w:r>
    </w:p>
    <w:p>
      <w:pPr>
        <w:spacing w:after="0" w:line="82" w:lineRule="exact"/>
        <w:rPr>
          <w:sz w:val="20"/>
          <w:szCs w:val="20"/>
          <w:color w:val="auto"/>
        </w:rPr>
      </w:pPr>
    </w:p>
    <w:p>
      <w:pPr>
        <w:ind w:left="242" w:hanging="242"/>
        <w:spacing w:after="0"/>
        <w:tabs>
          <w:tab w:leader="none" w:pos="242" w:val="left"/>
        </w:tabs>
        <w:numPr>
          <w:ilvl w:val="0"/>
          <w:numId w:val="12"/>
        </w:numPr>
        <w:rPr>
          <w:rFonts w:ascii="Arial" w:cs="Arial" w:eastAsia="Arial" w:hAnsi="Arial"/>
          <w:sz w:val="14"/>
          <w:szCs w:val="14"/>
          <w:color w:val="auto"/>
        </w:rPr>
      </w:pPr>
      <w:r>
        <w:rPr>
          <w:rFonts w:ascii="Arial" w:cs="Arial" w:eastAsia="Arial" w:hAnsi="Arial"/>
          <w:sz w:val="14"/>
          <w:szCs w:val="14"/>
          <w:color w:val="auto"/>
        </w:rPr>
        <w:t>Recognize that people are our strongest asset</w:t>
      </w:r>
    </w:p>
    <w:p>
      <w:pPr>
        <w:spacing w:after="0" w:line="82" w:lineRule="exact"/>
        <w:rPr>
          <w:rFonts w:ascii="Arial" w:cs="Arial" w:eastAsia="Arial" w:hAnsi="Arial"/>
          <w:sz w:val="14"/>
          <w:szCs w:val="14"/>
          <w:color w:val="auto"/>
        </w:rPr>
      </w:pPr>
    </w:p>
    <w:p>
      <w:pPr>
        <w:ind w:left="282" w:right="260" w:hanging="282"/>
        <w:spacing w:after="0" w:line="258" w:lineRule="auto"/>
        <w:tabs>
          <w:tab w:leader="none" w:pos="225" w:val="left"/>
        </w:tabs>
        <w:numPr>
          <w:ilvl w:val="0"/>
          <w:numId w:val="12"/>
        </w:numPr>
        <w:rPr>
          <w:rFonts w:ascii="Arial" w:cs="Arial" w:eastAsia="Arial" w:hAnsi="Arial"/>
          <w:sz w:val="14"/>
          <w:szCs w:val="14"/>
          <w:color w:val="auto"/>
        </w:rPr>
      </w:pPr>
      <w:r>
        <w:rPr>
          <w:rFonts w:ascii="Arial" w:cs="Arial" w:eastAsia="Arial" w:hAnsi="Arial"/>
          <w:sz w:val="14"/>
          <w:szCs w:val="14"/>
          <w:color w:val="auto"/>
        </w:rPr>
        <w:t>Reward results linked to short, medium and long-term performance (pay-for-performance)</w:t>
      </w:r>
    </w:p>
    <w:p>
      <w:pPr>
        <w:spacing w:after="0" w:line="59" w:lineRule="exact"/>
        <w:rPr>
          <w:rFonts w:ascii="Arial" w:cs="Arial" w:eastAsia="Arial" w:hAnsi="Arial"/>
          <w:sz w:val="14"/>
          <w:szCs w:val="14"/>
          <w:color w:val="auto"/>
        </w:rPr>
      </w:pPr>
    </w:p>
    <w:p>
      <w:pPr>
        <w:ind w:left="282" w:hanging="282"/>
        <w:spacing w:after="0"/>
        <w:tabs>
          <w:tab w:leader="none" w:pos="282" w:val="left"/>
        </w:tabs>
        <w:numPr>
          <w:ilvl w:val="0"/>
          <w:numId w:val="12"/>
        </w:numPr>
        <w:rPr>
          <w:rFonts w:ascii="Arial" w:cs="Arial" w:eastAsia="Arial" w:hAnsi="Arial"/>
          <w:sz w:val="14"/>
          <w:szCs w:val="14"/>
          <w:color w:val="auto"/>
        </w:rPr>
      </w:pPr>
      <w:r>
        <w:rPr>
          <w:rFonts w:ascii="Arial" w:cs="Arial" w:eastAsia="Arial" w:hAnsi="Arial"/>
          <w:sz w:val="14"/>
          <w:szCs w:val="14"/>
          <w:color w:val="auto"/>
        </w:rPr>
        <w:t>Position pay affordably and competitively in the marketplace</w:t>
      </w:r>
    </w:p>
    <w:p>
      <w:pPr>
        <w:spacing w:after="0" w:line="82" w:lineRule="exact"/>
        <w:rPr>
          <w:rFonts w:ascii="Arial" w:cs="Arial" w:eastAsia="Arial" w:hAnsi="Arial"/>
          <w:sz w:val="14"/>
          <w:szCs w:val="14"/>
          <w:color w:val="auto"/>
        </w:rPr>
      </w:pPr>
    </w:p>
    <w:p>
      <w:pPr>
        <w:ind w:left="242" w:hanging="242"/>
        <w:spacing w:after="0"/>
        <w:tabs>
          <w:tab w:leader="none" w:pos="242" w:val="left"/>
        </w:tabs>
        <w:numPr>
          <w:ilvl w:val="0"/>
          <w:numId w:val="12"/>
        </w:numPr>
        <w:rPr>
          <w:rFonts w:ascii="Arial" w:cs="Arial" w:eastAsia="Arial" w:hAnsi="Arial"/>
          <w:sz w:val="14"/>
          <w:szCs w:val="14"/>
          <w:color w:val="auto"/>
        </w:rPr>
      </w:pPr>
      <w:r>
        <w:rPr>
          <w:rFonts w:ascii="Arial" w:cs="Arial" w:eastAsia="Arial" w:hAnsi="Arial"/>
          <w:sz w:val="14"/>
          <w:szCs w:val="14"/>
          <w:color w:val="auto"/>
        </w:rPr>
        <w:t>Drive a focus on increasing shareholder value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-3841115</wp:posOffset>
            </wp:positionH>
            <wp:positionV relativeFrom="paragraph">
              <wp:posOffset>6350</wp:posOffset>
            </wp:positionV>
            <wp:extent cx="7246620" cy="889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3">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-3841115</wp:posOffset>
            </wp:positionH>
            <wp:positionV relativeFrom="paragraph">
              <wp:posOffset>168910</wp:posOffset>
            </wp:positionV>
            <wp:extent cx="7246620" cy="889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4">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200" w:lineRule="exact"/>
        <w:rPr>
          <w:sz w:val="20"/>
          <w:szCs w:val="20"/>
          <w:color w:val="auto"/>
        </w:rPr>
      </w:pPr>
    </w:p>
    <w:p>
      <w:pPr>
        <w:sectPr>
          <w:pgSz w:w="11900" w:h="16838" w:orient="portrait"/>
          <w:cols w:equalWidth="0" w:num="2">
            <w:col w:w="5338" w:space="720"/>
            <w:col w:w="5342"/>
          </w:cols>
          <w:pgMar w:left="240" w:top="459" w:right="259" w:bottom="1440" w:gutter="0" w:footer="0" w:header="0"/>
          <w:type w:val="continuous"/>
        </w:sectPr>
      </w:pPr>
    </w:p>
    <w:p>
      <w:pPr>
        <w:spacing w:after="0" w:line="74" w:lineRule="exact"/>
        <w:rPr>
          <w:sz w:val="20"/>
          <w:szCs w:val="20"/>
          <w:color w:val="auto"/>
        </w:rPr>
      </w:pPr>
    </w:p>
    <w:p>
      <w:pPr>
        <w:ind w:left="120"/>
        <w:spacing w:after="0"/>
        <w:rPr>
          <w:sz w:val="20"/>
          <w:szCs w:val="20"/>
          <w:color w:val="auto"/>
        </w:rPr>
      </w:pPr>
      <w:r>
        <w:rPr>
          <w:rFonts w:ascii="Arial" w:cs="Arial" w:eastAsia="Arial" w:hAnsi="Arial"/>
          <w:sz w:val="17"/>
          <w:szCs w:val="17"/>
          <w:color w:val="auto"/>
        </w:rPr>
        <w:t>The following individuals have been determined to be the NEOs of TimkenSteel for 2015:</w:t>
      </w:r>
    </w:p>
    <w:p>
      <w:pPr>
        <w:spacing w:after="0" w:line="176" w:lineRule="exact"/>
        <w:rPr>
          <w:sz w:val="20"/>
          <w:szCs w:val="20"/>
          <w:color w:val="auto"/>
        </w:rPr>
      </w:pPr>
    </w:p>
    <w:p>
      <w:pPr>
        <w:ind w:left="120"/>
        <w:spacing w:after="0"/>
        <w:rPr>
          <w:sz w:val="20"/>
          <w:szCs w:val="20"/>
          <w:color w:val="auto"/>
        </w:rPr>
      </w:pPr>
      <w:r>
        <w:rPr>
          <w:rFonts w:ascii="Arial" w:cs="Arial" w:eastAsia="Arial" w:hAnsi="Arial"/>
          <w:sz w:val="17"/>
          <w:szCs w:val="17"/>
          <w:color w:val="auto"/>
        </w:rPr>
        <w:t>•</w:t>
      </w:r>
      <w:r>
        <w:rPr>
          <w:rFonts w:ascii="Arial" w:cs="Arial" w:eastAsia="Arial" w:hAnsi="Arial"/>
          <w:sz w:val="17"/>
          <w:szCs w:val="17"/>
          <w:b w:val="1"/>
          <w:bCs w:val="1"/>
          <w:color w:val="auto"/>
        </w:rPr>
        <w:t>Ward J. Timken, Jr.,</w:t>
      </w:r>
      <w:r>
        <w:rPr>
          <w:rFonts w:ascii="Arial" w:cs="Arial" w:eastAsia="Arial" w:hAnsi="Arial"/>
          <w:sz w:val="17"/>
          <w:szCs w:val="17"/>
          <w:color w:val="auto"/>
        </w:rPr>
        <w:t xml:space="preserve"> Chairman, CEO &amp; President</w:t>
      </w:r>
    </w:p>
    <w:p>
      <w:pPr>
        <w:spacing w:after="0" w:line="196" w:lineRule="exact"/>
        <w:rPr>
          <w:sz w:val="20"/>
          <w:szCs w:val="20"/>
          <w:color w:val="auto"/>
        </w:rPr>
      </w:pPr>
    </w:p>
    <w:p>
      <w:pPr>
        <w:ind w:left="120"/>
        <w:spacing w:after="0"/>
        <w:rPr>
          <w:sz w:val="20"/>
          <w:szCs w:val="20"/>
          <w:color w:val="auto"/>
        </w:rPr>
      </w:pPr>
      <w:r>
        <w:rPr>
          <w:rFonts w:ascii="Arial" w:cs="Arial" w:eastAsia="Arial" w:hAnsi="Arial"/>
          <w:sz w:val="17"/>
          <w:szCs w:val="17"/>
          <w:color w:val="auto"/>
        </w:rPr>
        <w:t>•</w:t>
      </w:r>
      <w:r>
        <w:rPr>
          <w:rFonts w:ascii="Arial" w:cs="Arial" w:eastAsia="Arial" w:hAnsi="Arial"/>
          <w:sz w:val="17"/>
          <w:szCs w:val="17"/>
          <w:b w:val="1"/>
          <w:bCs w:val="1"/>
          <w:color w:val="auto"/>
        </w:rPr>
        <w:t>Christopher J. Holding,</w:t>
      </w:r>
      <w:r>
        <w:rPr>
          <w:rFonts w:ascii="Arial" w:cs="Arial" w:eastAsia="Arial" w:hAnsi="Arial"/>
          <w:sz w:val="17"/>
          <w:szCs w:val="17"/>
          <w:color w:val="auto"/>
        </w:rPr>
        <w:t xml:space="preserve"> Executive Vice President &amp; Chief Financial Officer</w:t>
      </w:r>
    </w:p>
    <w:p>
      <w:pPr>
        <w:spacing w:after="0" w:line="196" w:lineRule="exact"/>
        <w:rPr>
          <w:sz w:val="20"/>
          <w:szCs w:val="20"/>
          <w:color w:val="auto"/>
        </w:rPr>
      </w:pPr>
    </w:p>
    <w:p>
      <w:pPr>
        <w:ind w:left="120"/>
        <w:spacing w:after="0"/>
        <w:rPr>
          <w:sz w:val="20"/>
          <w:szCs w:val="20"/>
          <w:color w:val="auto"/>
        </w:rPr>
      </w:pPr>
      <w:r>
        <w:rPr>
          <w:rFonts w:ascii="Arial" w:cs="Arial" w:eastAsia="Arial" w:hAnsi="Arial"/>
          <w:sz w:val="17"/>
          <w:szCs w:val="17"/>
          <w:color w:val="auto"/>
        </w:rPr>
        <w:t>•</w:t>
      </w:r>
      <w:r>
        <w:rPr>
          <w:rFonts w:ascii="Arial" w:cs="Arial" w:eastAsia="Arial" w:hAnsi="Arial"/>
          <w:sz w:val="17"/>
          <w:szCs w:val="17"/>
          <w:b w:val="1"/>
          <w:bCs w:val="1"/>
          <w:color w:val="auto"/>
        </w:rPr>
        <w:t>Donald L. Walker,</w:t>
      </w:r>
      <w:r>
        <w:rPr>
          <w:rFonts w:ascii="Arial" w:cs="Arial" w:eastAsia="Arial" w:hAnsi="Arial"/>
          <w:sz w:val="17"/>
          <w:szCs w:val="17"/>
          <w:color w:val="auto"/>
        </w:rPr>
        <w:t xml:space="preserve"> Executive Vice President, Human Resources &amp; Organizational Advancement</w:t>
      </w:r>
    </w:p>
    <w:p>
      <w:pPr>
        <w:spacing w:after="0" w:line="196" w:lineRule="exact"/>
        <w:rPr>
          <w:sz w:val="20"/>
          <w:szCs w:val="20"/>
          <w:color w:val="auto"/>
        </w:rPr>
      </w:pPr>
    </w:p>
    <w:p>
      <w:pPr>
        <w:ind w:left="120"/>
        <w:spacing w:after="0"/>
        <w:rPr>
          <w:sz w:val="20"/>
          <w:szCs w:val="20"/>
          <w:color w:val="auto"/>
        </w:rPr>
      </w:pPr>
      <w:r>
        <w:rPr>
          <w:rFonts w:ascii="Arial" w:cs="Arial" w:eastAsia="Arial" w:hAnsi="Arial"/>
          <w:sz w:val="17"/>
          <w:szCs w:val="17"/>
          <w:color w:val="auto"/>
        </w:rPr>
        <w:t>•</w:t>
      </w:r>
      <w:r>
        <w:rPr>
          <w:rFonts w:ascii="Arial" w:cs="Arial" w:eastAsia="Arial" w:hAnsi="Arial"/>
          <w:sz w:val="17"/>
          <w:szCs w:val="17"/>
          <w:b w:val="1"/>
          <w:bCs w:val="1"/>
          <w:color w:val="auto"/>
        </w:rPr>
        <w:t>Frank A. DiPiero,</w:t>
      </w:r>
      <w:r>
        <w:rPr>
          <w:rFonts w:ascii="Arial" w:cs="Arial" w:eastAsia="Arial" w:hAnsi="Arial"/>
          <w:sz w:val="17"/>
          <w:szCs w:val="17"/>
          <w:color w:val="auto"/>
        </w:rPr>
        <w:t xml:space="preserve"> Executive Vice President, General Counsel &amp; Secretary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20955</wp:posOffset>
            </wp:positionV>
            <wp:extent cx="7246620" cy="889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5">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176" w:lineRule="exact"/>
        <w:rPr>
          <w:sz w:val="20"/>
          <w:szCs w:val="20"/>
          <w:color w:val="auto"/>
        </w:rPr>
      </w:pPr>
    </w:p>
    <w:p>
      <w:pPr>
        <w:spacing w:after="0"/>
        <w:rPr>
          <w:sz w:val="20"/>
          <w:szCs w:val="20"/>
          <w:color w:val="auto"/>
        </w:rPr>
      </w:pPr>
      <w:r>
        <w:rPr>
          <w:rFonts w:ascii="Arial" w:cs="Arial" w:eastAsia="Arial" w:hAnsi="Arial"/>
          <w:sz w:val="17"/>
          <w:szCs w:val="17"/>
          <w:b w:val="1"/>
          <w:bCs w:val="1"/>
          <w:color w:val="666666"/>
        </w:rPr>
        <w:t>2015 PERFORMANCE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72390</wp:posOffset>
            </wp:positionV>
            <wp:extent cx="7246620" cy="889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6">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291" w:lineRule="exact"/>
        <w:rPr>
          <w:sz w:val="20"/>
          <w:szCs w:val="20"/>
          <w:color w:val="auto"/>
        </w:rPr>
      </w:pPr>
    </w:p>
    <w:p>
      <w:pPr>
        <w:ind w:right="180"/>
        <w:spacing w:after="0" w:line="238" w:lineRule="auto"/>
        <w:rPr>
          <w:sz w:val="20"/>
          <w:szCs w:val="20"/>
          <w:color w:val="auto"/>
        </w:rPr>
      </w:pPr>
      <w:r>
        <w:rPr>
          <w:rFonts w:ascii="Arial" w:cs="Arial" w:eastAsia="Arial" w:hAnsi="Arial"/>
          <w:sz w:val="17"/>
          <w:szCs w:val="17"/>
          <w:color w:val="auto"/>
        </w:rPr>
        <w:t>TimkenSteel ended 2015 with sales of $1.1 billion and a loss of $1.65 per diluted share. These results were driven by lower volume from energy and industrial end market weakness, high per-ton manufacturing costs, and unfavorable timing impacts from raw material spread, slightly offset by LIFO income. Automotive demand was strong for the year. The company paid consecutive quarterly dividends of $0.14 per share through the third quarter.</w:t>
      </w:r>
    </w:p>
    <w:p>
      <w:pPr>
        <w:spacing w:after="0" w:line="161" w:lineRule="exact"/>
        <w:rPr>
          <w:sz w:val="20"/>
          <w:szCs w:val="20"/>
          <w:color w:val="auto"/>
        </w:rPr>
      </w:pPr>
    </w:p>
    <w:p>
      <w:pPr>
        <w:ind w:right="80"/>
        <w:spacing w:after="0" w:line="235" w:lineRule="auto"/>
        <w:rPr>
          <w:sz w:val="20"/>
          <w:szCs w:val="20"/>
          <w:color w:val="auto"/>
        </w:rPr>
      </w:pPr>
      <w:r>
        <w:rPr>
          <w:rFonts w:ascii="Arial" w:cs="Arial" w:eastAsia="Arial" w:hAnsi="Arial"/>
          <w:sz w:val="17"/>
          <w:szCs w:val="17"/>
          <w:color w:val="auto"/>
        </w:rPr>
        <w:t>Because performance was below pre-established threshold levels, there was no payout under the 2015 annual incentive plan. As of December 31, 2015, the value of unvested restricted stock units is much less than the value at the time of grant. Additionally, performance shares granted for the second half of the 2013-2015 performance cycle did not pay out, and performance shares granted in January 2015 are at significant risk of not paying out as well. Finally, all outstanding stock options are underwater. Overall, the value of our executive compensation program at the end of 2015 reflects our operating performance, demonstrating that our compensation plans align with our performance.</w:t>
      </w:r>
    </w:p>
    <w:p>
      <w:pPr>
        <w:spacing w:after="0" w:line="148" w:lineRule="exact"/>
        <w:rPr>
          <w:sz w:val="20"/>
          <w:szCs w:val="20"/>
          <w:color w:val="auto"/>
        </w:rPr>
      </w:pPr>
    </w:p>
    <w:p>
      <w:pPr>
        <w:jc w:val="right"/>
        <w:ind w:right="60"/>
        <w:spacing w:after="0"/>
        <w:rPr>
          <w:sz w:val="20"/>
          <w:szCs w:val="20"/>
          <w:color w:val="auto"/>
        </w:rPr>
      </w:pPr>
      <w:r>
        <w:rPr>
          <w:rFonts w:ascii="Arial" w:cs="Arial" w:eastAsia="Arial" w:hAnsi="Arial"/>
          <w:sz w:val="14"/>
          <w:szCs w:val="14"/>
          <w:color w:val="auto"/>
        </w:rPr>
        <w:t>23</w:t>
      </w:r>
    </w:p>
    <w:p>
      <w:pPr>
        <w:sectPr>
          <w:pgSz w:w="11900" w:h="16838" w:orient="portrait"/>
          <w:cols w:equalWidth="0" w:num="1">
            <w:col w:w="11400"/>
          </w:cols>
          <w:pgMar w:left="240" w:top="459" w:right="259" w:bottom="1440" w:gutter="0" w:footer="0" w:header="0"/>
          <w:type w:val="continuous"/>
        </w:sectPr>
      </w:pPr>
    </w:p>
    <w:bookmarkStart w:id="29" w:name="page30"/>
    <w:bookmarkEnd w:id="2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7">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3109595</wp:posOffset>
            </wp:positionH>
            <wp:positionV relativeFrom="paragraph">
              <wp:posOffset>205740</wp:posOffset>
            </wp:positionV>
            <wp:extent cx="1046480" cy="20574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8">
                      <a:extLst>
                        <a:ext uri="{28A0092B-C50C-407E-A947-70E740481C1C}"/>
                      </a:extLst>
                    </a:blip>
                    <a:srcRect/>
                    <a:stretch>
                      <a:fillRect/>
                    </a:stretch>
                  </pic:blipFill>
                  <pic:spPr bwMode="auto">
                    <a:xfrm>
                      <a:off x="0" y="0"/>
                      <a:ext cx="1046480" cy="20574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50" w:lineRule="exact"/>
        <w:rPr>
          <w:sz w:val="20"/>
          <w:szCs w:val="20"/>
          <w:color w:val="auto"/>
        </w:rPr>
      </w:pPr>
    </w:p>
    <w:p>
      <w:pPr>
        <w:spacing w:after="0"/>
        <w:rPr>
          <w:sz w:val="20"/>
          <w:szCs w:val="20"/>
          <w:color w:val="auto"/>
        </w:rPr>
      </w:pPr>
      <w:r>
        <w:rPr>
          <w:rFonts w:ascii="Arial" w:cs="Arial" w:eastAsia="Arial" w:hAnsi="Arial"/>
          <w:sz w:val="17"/>
          <w:szCs w:val="17"/>
          <w:b w:val="1"/>
          <w:bCs w:val="1"/>
          <w:color w:val="666666"/>
        </w:rPr>
        <w:t>2015 COMPENSATION DECISIONS AND ACTIONS</w:t>
      </w:r>
    </w:p>
    <w:p>
      <w:pPr>
        <w:spacing w:after="0" w:line="81" w:lineRule="exact"/>
        <w:rPr>
          <w:sz w:val="20"/>
          <w:szCs w:val="20"/>
          <w:color w:val="auto"/>
        </w:rPr>
      </w:pPr>
    </w:p>
    <w:tbl>
      <w:tblPr>
        <w:tblLayout w:type="fixed"/>
        <w:tblInd w:w="0" w:type="dxa"/>
        <w:tblCellMar>
          <w:top w:w="0" w:type="dxa"/>
          <w:left w:w="0" w:type="dxa"/>
          <w:bottom w:w="0" w:type="dxa"/>
          <w:right w:w="0" w:type="dxa"/>
        </w:tblCellMar>
      </w:tblPr>
      <w:tr>
        <w:trPr>
          <w:trHeight w:val="176"/>
        </w:trPr>
        <w:tc>
          <w:tcPr>
            <w:tcW w:w="3340" w:type="dxa"/>
            <w:vAlign w:val="bottom"/>
            <w:tcBorders>
              <w:top w:val="single" w:sz="8" w:color="auto"/>
            </w:tcBorders>
            <w:shd w:val="clear" w:color="auto" w:fill="AAAAAA"/>
          </w:tcPr>
          <w:p>
            <w:pPr>
              <w:spacing w:after="0" w:line="176" w:lineRule="exact"/>
              <w:rPr>
                <w:sz w:val="20"/>
                <w:szCs w:val="20"/>
                <w:color w:val="auto"/>
              </w:rPr>
            </w:pPr>
            <w:r>
              <w:rPr>
                <w:rFonts w:ascii="Arial" w:cs="Arial" w:eastAsia="Arial" w:hAnsi="Arial"/>
                <w:sz w:val="17"/>
                <w:szCs w:val="17"/>
                <w:b w:val="1"/>
                <w:bCs w:val="1"/>
                <w:color w:val="auto"/>
              </w:rPr>
              <w:t>Factors Guiding</w:t>
            </w:r>
          </w:p>
        </w:tc>
        <w:tc>
          <w:tcPr>
            <w:tcW w:w="8080" w:type="dxa"/>
            <w:vAlign w:val="bottom"/>
            <w:tcBorders>
              <w:top w:val="single" w:sz="8" w:color="auto"/>
            </w:tcBorders>
          </w:tcPr>
          <w:p>
            <w:pPr>
              <w:ind w:left="560"/>
              <w:spacing w:after="0" w:line="176" w:lineRule="exact"/>
              <w:rPr>
                <w:sz w:val="20"/>
                <w:szCs w:val="20"/>
                <w:color w:val="auto"/>
              </w:rPr>
            </w:pPr>
            <w:r>
              <w:rPr>
                <w:rFonts w:ascii="Arial" w:cs="Arial" w:eastAsia="Arial" w:hAnsi="Arial"/>
                <w:sz w:val="17"/>
                <w:szCs w:val="17"/>
                <w:color w:val="auto"/>
              </w:rPr>
              <w:t>The following factors guided the compensation decisions for 2015:</w:t>
            </w:r>
          </w:p>
        </w:tc>
        <w:tc>
          <w:tcPr>
            <w:tcW w:w="0" w:type="dxa"/>
            <w:vAlign w:val="bottom"/>
          </w:tcPr>
          <w:p>
            <w:pPr>
              <w:spacing w:after="0"/>
              <w:rPr>
                <w:sz w:val="1"/>
                <w:szCs w:val="1"/>
                <w:color w:val="auto"/>
              </w:rPr>
            </w:pPr>
          </w:p>
        </w:tc>
      </w:tr>
      <w:tr>
        <w:trPr>
          <w:trHeight w:val="225"/>
        </w:trPr>
        <w:tc>
          <w:tcPr>
            <w:tcW w:w="3340" w:type="dxa"/>
            <w:vAlign w:val="bottom"/>
            <w:shd w:val="clear" w:color="auto" w:fill="AAAAAA"/>
          </w:tcPr>
          <w:p>
            <w:pPr>
              <w:spacing w:after="0"/>
              <w:rPr>
                <w:sz w:val="20"/>
                <w:szCs w:val="20"/>
                <w:color w:val="auto"/>
              </w:rPr>
            </w:pPr>
            <w:r>
              <w:rPr>
                <w:rFonts w:ascii="Arial" w:cs="Arial" w:eastAsia="Arial" w:hAnsi="Arial"/>
                <w:sz w:val="17"/>
                <w:szCs w:val="17"/>
                <w:b w:val="1"/>
                <w:bCs w:val="1"/>
                <w:color w:val="auto"/>
              </w:rPr>
              <w:t>Our Decisions</w:t>
            </w:r>
          </w:p>
        </w:tc>
        <w:tc>
          <w:tcPr>
            <w:tcW w:w="8080" w:type="dxa"/>
            <w:vAlign w:val="bottom"/>
            <w:vMerge w:val="restart"/>
          </w:tcPr>
          <w:p>
            <w:pPr>
              <w:ind w:left="560"/>
              <w:spacing w:after="0"/>
              <w:rPr>
                <w:sz w:val="20"/>
                <w:szCs w:val="20"/>
                <w:color w:val="auto"/>
              </w:rPr>
            </w:pPr>
            <w:r>
              <w:rPr>
                <w:rFonts w:ascii="Arial" w:cs="Arial" w:eastAsia="Arial" w:hAnsi="Arial"/>
                <w:sz w:val="17"/>
                <w:szCs w:val="17"/>
                <w:color w:val="auto"/>
              </w:rPr>
              <w:t>•Executive compensation program objectives and philosophy</w:t>
            </w:r>
          </w:p>
        </w:tc>
        <w:tc>
          <w:tcPr>
            <w:tcW w:w="0" w:type="dxa"/>
            <w:vAlign w:val="bottom"/>
          </w:tcPr>
          <w:p>
            <w:pPr>
              <w:spacing w:after="0"/>
              <w:rPr>
                <w:sz w:val="1"/>
                <w:szCs w:val="1"/>
                <w:color w:val="auto"/>
              </w:rPr>
            </w:pPr>
          </w:p>
        </w:tc>
      </w:tr>
      <w:tr>
        <w:trPr>
          <w:trHeight w:val="203"/>
        </w:trPr>
        <w:tc>
          <w:tcPr>
            <w:tcW w:w="3340" w:type="dxa"/>
            <w:vAlign w:val="bottom"/>
            <w:shd w:val="clear" w:color="auto" w:fill="AAAAAA"/>
          </w:tcPr>
          <w:p>
            <w:pPr>
              <w:spacing w:after="0"/>
              <w:rPr>
                <w:sz w:val="17"/>
                <w:szCs w:val="17"/>
                <w:color w:val="auto"/>
              </w:rPr>
            </w:pPr>
          </w:p>
        </w:tc>
        <w:tc>
          <w:tcPr>
            <w:tcW w:w="8080" w:type="dxa"/>
            <w:vAlign w:val="bottom"/>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392"/>
        </w:trPr>
        <w:tc>
          <w:tcPr>
            <w:tcW w:w="3340" w:type="dxa"/>
            <w:vAlign w:val="bottom"/>
            <w:shd w:val="clear" w:color="auto" w:fill="AAAAAA"/>
          </w:tcPr>
          <w:p>
            <w:pPr>
              <w:spacing w:after="0"/>
              <w:rPr>
                <w:sz w:val="24"/>
                <w:szCs w:val="24"/>
                <w:color w:val="auto"/>
              </w:rPr>
            </w:pPr>
          </w:p>
        </w:tc>
        <w:tc>
          <w:tcPr>
            <w:tcW w:w="8080" w:type="dxa"/>
            <w:vAlign w:val="bottom"/>
          </w:tcPr>
          <w:p>
            <w:pPr>
              <w:ind w:left="560"/>
              <w:spacing w:after="0"/>
              <w:rPr>
                <w:sz w:val="20"/>
                <w:szCs w:val="20"/>
                <w:color w:val="auto"/>
              </w:rPr>
            </w:pPr>
            <w:r>
              <w:rPr>
                <w:rFonts w:ascii="Arial" w:cs="Arial" w:eastAsia="Arial" w:hAnsi="Arial"/>
                <w:sz w:val="17"/>
                <w:szCs w:val="17"/>
                <w:color w:val="auto"/>
              </w:rPr>
              <w:t>•Financial performance</w:t>
            </w:r>
          </w:p>
        </w:tc>
        <w:tc>
          <w:tcPr>
            <w:tcW w:w="0" w:type="dxa"/>
            <w:vAlign w:val="bottom"/>
          </w:tcPr>
          <w:p>
            <w:pPr>
              <w:spacing w:after="0"/>
              <w:rPr>
                <w:sz w:val="1"/>
                <w:szCs w:val="1"/>
                <w:color w:val="auto"/>
              </w:rPr>
            </w:pPr>
          </w:p>
        </w:tc>
      </w:tr>
      <w:tr>
        <w:trPr>
          <w:trHeight w:val="392"/>
        </w:trPr>
        <w:tc>
          <w:tcPr>
            <w:tcW w:w="3340" w:type="dxa"/>
            <w:vAlign w:val="bottom"/>
            <w:shd w:val="clear" w:color="auto" w:fill="AAAAAA"/>
          </w:tcPr>
          <w:p>
            <w:pPr>
              <w:spacing w:after="0"/>
              <w:rPr>
                <w:sz w:val="24"/>
                <w:szCs w:val="24"/>
                <w:color w:val="auto"/>
              </w:rPr>
            </w:pPr>
          </w:p>
        </w:tc>
        <w:tc>
          <w:tcPr>
            <w:tcW w:w="8080" w:type="dxa"/>
            <w:vAlign w:val="bottom"/>
          </w:tcPr>
          <w:p>
            <w:pPr>
              <w:ind w:left="560"/>
              <w:spacing w:after="0"/>
              <w:rPr>
                <w:sz w:val="20"/>
                <w:szCs w:val="20"/>
                <w:color w:val="auto"/>
              </w:rPr>
            </w:pPr>
            <w:r>
              <w:rPr>
                <w:rFonts w:ascii="Arial" w:cs="Arial" w:eastAsia="Arial" w:hAnsi="Arial"/>
                <w:sz w:val="17"/>
                <w:szCs w:val="17"/>
                <w:color w:val="auto"/>
              </w:rPr>
              <w:t>•Recommendations of the Chairman, CEO &amp; President for other NEOs</w:t>
            </w:r>
          </w:p>
        </w:tc>
        <w:tc>
          <w:tcPr>
            <w:tcW w:w="0" w:type="dxa"/>
            <w:vAlign w:val="bottom"/>
          </w:tcPr>
          <w:p>
            <w:pPr>
              <w:spacing w:after="0"/>
              <w:rPr>
                <w:sz w:val="1"/>
                <w:szCs w:val="1"/>
                <w:color w:val="auto"/>
              </w:rPr>
            </w:pPr>
          </w:p>
        </w:tc>
      </w:tr>
      <w:tr>
        <w:trPr>
          <w:trHeight w:val="376"/>
        </w:trPr>
        <w:tc>
          <w:tcPr>
            <w:tcW w:w="3340" w:type="dxa"/>
            <w:vAlign w:val="bottom"/>
            <w:shd w:val="clear" w:color="auto" w:fill="AAAAAA"/>
          </w:tcPr>
          <w:p>
            <w:pPr>
              <w:spacing w:after="0"/>
              <w:rPr>
                <w:sz w:val="24"/>
                <w:szCs w:val="24"/>
                <w:color w:val="auto"/>
              </w:rPr>
            </w:pPr>
          </w:p>
        </w:tc>
        <w:tc>
          <w:tcPr>
            <w:tcW w:w="8080" w:type="dxa"/>
            <w:vAlign w:val="bottom"/>
          </w:tcPr>
          <w:p>
            <w:pPr>
              <w:ind w:left="560"/>
              <w:spacing w:after="0"/>
              <w:rPr>
                <w:sz w:val="20"/>
                <w:szCs w:val="20"/>
                <w:color w:val="auto"/>
              </w:rPr>
            </w:pPr>
            <w:r>
              <w:rPr>
                <w:rFonts w:ascii="Arial" w:cs="Arial" w:eastAsia="Arial" w:hAnsi="Arial"/>
                <w:sz w:val="17"/>
                <w:szCs w:val="17"/>
                <w:color w:val="auto"/>
              </w:rPr>
              <w:t>•Assessment of risk associated with our compensation plans, including avoiding unnecessary or</w:t>
            </w:r>
          </w:p>
        </w:tc>
        <w:tc>
          <w:tcPr>
            <w:tcW w:w="0" w:type="dxa"/>
            <w:vAlign w:val="bottom"/>
          </w:tcPr>
          <w:p>
            <w:pPr>
              <w:spacing w:after="0"/>
              <w:rPr>
                <w:sz w:val="1"/>
                <w:szCs w:val="1"/>
                <w:color w:val="auto"/>
              </w:rPr>
            </w:pPr>
          </w:p>
        </w:tc>
      </w:tr>
      <w:tr>
        <w:trPr>
          <w:trHeight w:val="205"/>
        </w:trPr>
        <w:tc>
          <w:tcPr>
            <w:tcW w:w="3340" w:type="dxa"/>
            <w:vAlign w:val="bottom"/>
            <w:shd w:val="clear" w:color="auto" w:fill="AAAAAA"/>
          </w:tcPr>
          <w:p>
            <w:pPr>
              <w:spacing w:after="0"/>
              <w:rPr>
                <w:sz w:val="17"/>
                <w:szCs w:val="17"/>
                <w:color w:val="auto"/>
              </w:rPr>
            </w:pPr>
          </w:p>
        </w:tc>
        <w:tc>
          <w:tcPr>
            <w:tcW w:w="8080" w:type="dxa"/>
            <w:vAlign w:val="bottom"/>
          </w:tcPr>
          <w:p>
            <w:pPr>
              <w:ind w:left="720"/>
              <w:spacing w:after="0"/>
              <w:rPr>
                <w:sz w:val="20"/>
                <w:szCs w:val="20"/>
                <w:color w:val="auto"/>
              </w:rPr>
            </w:pPr>
            <w:r>
              <w:rPr>
                <w:rFonts w:ascii="Arial" w:cs="Arial" w:eastAsia="Arial" w:hAnsi="Arial"/>
                <w:sz w:val="17"/>
                <w:szCs w:val="17"/>
                <w:color w:val="auto"/>
              </w:rPr>
              <w:t>excessive risk taking</w:t>
            </w:r>
          </w:p>
        </w:tc>
        <w:tc>
          <w:tcPr>
            <w:tcW w:w="0" w:type="dxa"/>
            <w:vAlign w:val="bottom"/>
          </w:tcPr>
          <w:p>
            <w:pPr>
              <w:spacing w:after="0"/>
              <w:rPr>
                <w:sz w:val="1"/>
                <w:szCs w:val="1"/>
                <w:color w:val="auto"/>
              </w:rPr>
            </w:pPr>
          </w:p>
        </w:tc>
      </w:tr>
      <w:tr>
        <w:trPr>
          <w:trHeight w:val="392"/>
        </w:trPr>
        <w:tc>
          <w:tcPr>
            <w:tcW w:w="3340" w:type="dxa"/>
            <w:vAlign w:val="bottom"/>
            <w:shd w:val="clear" w:color="auto" w:fill="AAAAAA"/>
          </w:tcPr>
          <w:p>
            <w:pPr>
              <w:spacing w:after="0"/>
              <w:rPr>
                <w:sz w:val="24"/>
                <w:szCs w:val="24"/>
                <w:color w:val="auto"/>
              </w:rPr>
            </w:pPr>
          </w:p>
        </w:tc>
        <w:tc>
          <w:tcPr>
            <w:tcW w:w="8080" w:type="dxa"/>
            <w:vAlign w:val="bottom"/>
          </w:tcPr>
          <w:p>
            <w:pPr>
              <w:ind w:left="560"/>
              <w:spacing w:after="0"/>
              <w:rPr>
                <w:sz w:val="20"/>
                <w:szCs w:val="20"/>
                <w:color w:val="auto"/>
              </w:rPr>
            </w:pPr>
            <w:r>
              <w:rPr>
                <w:rFonts w:ascii="Arial" w:cs="Arial" w:eastAsia="Arial" w:hAnsi="Arial"/>
                <w:sz w:val="17"/>
                <w:szCs w:val="17"/>
                <w:color w:val="auto"/>
              </w:rPr>
              <w:t>•Advice of independent, outside compensation consultant</w:t>
            </w:r>
          </w:p>
        </w:tc>
        <w:tc>
          <w:tcPr>
            <w:tcW w:w="0" w:type="dxa"/>
            <w:vAlign w:val="bottom"/>
          </w:tcPr>
          <w:p>
            <w:pPr>
              <w:spacing w:after="0"/>
              <w:rPr>
                <w:sz w:val="1"/>
                <w:szCs w:val="1"/>
                <w:color w:val="auto"/>
              </w:rPr>
            </w:pPr>
          </w:p>
        </w:tc>
      </w:tr>
      <w:tr>
        <w:trPr>
          <w:trHeight w:val="394"/>
        </w:trPr>
        <w:tc>
          <w:tcPr>
            <w:tcW w:w="3340" w:type="dxa"/>
            <w:vAlign w:val="bottom"/>
            <w:tcBorders>
              <w:bottom w:val="single" w:sz="8" w:color="auto"/>
            </w:tcBorders>
            <w:shd w:val="clear" w:color="auto" w:fill="AAAAAA"/>
          </w:tcPr>
          <w:p>
            <w:pPr>
              <w:spacing w:after="0"/>
              <w:rPr>
                <w:sz w:val="24"/>
                <w:szCs w:val="24"/>
                <w:color w:val="auto"/>
              </w:rPr>
            </w:pPr>
          </w:p>
        </w:tc>
        <w:tc>
          <w:tcPr>
            <w:tcW w:w="8080" w:type="dxa"/>
            <w:vAlign w:val="bottom"/>
            <w:tcBorders>
              <w:bottom w:val="single" w:sz="8" w:color="auto"/>
            </w:tcBorders>
          </w:tcPr>
          <w:p>
            <w:pPr>
              <w:ind w:left="560"/>
              <w:spacing w:after="0"/>
              <w:rPr>
                <w:sz w:val="20"/>
                <w:szCs w:val="20"/>
                <w:color w:val="auto"/>
              </w:rPr>
            </w:pPr>
            <w:r>
              <w:rPr>
                <w:rFonts w:ascii="Arial" w:cs="Arial" w:eastAsia="Arial" w:hAnsi="Arial"/>
                <w:sz w:val="17"/>
                <w:szCs w:val="17"/>
                <w:color w:val="auto"/>
              </w:rPr>
              <w:t>•Market pay practices as reflected in external executive compensation data, studies and trends</w:t>
            </w:r>
          </w:p>
        </w:tc>
        <w:tc>
          <w:tcPr>
            <w:tcW w:w="0" w:type="dxa"/>
            <w:vAlign w:val="bottom"/>
          </w:tcPr>
          <w:p>
            <w:pPr>
              <w:spacing w:after="0"/>
              <w:rPr>
                <w:sz w:val="1"/>
                <w:szCs w:val="1"/>
                <w:color w:val="auto"/>
              </w:rPr>
            </w:pPr>
          </w:p>
        </w:tc>
      </w:tr>
      <w:tr>
        <w:trPr>
          <w:trHeight w:val="158"/>
        </w:trPr>
        <w:tc>
          <w:tcPr>
            <w:tcW w:w="3340" w:type="dxa"/>
            <w:vAlign w:val="bottom"/>
            <w:shd w:val="clear" w:color="auto" w:fill="AAAAAA"/>
          </w:tcPr>
          <w:p>
            <w:pPr>
              <w:spacing w:after="0" w:line="159" w:lineRule="exact"/>
              <w:rPr>
                <w:sz w:val="20"/>
                <w:szCs w:val="20"/>
                <w:color w:val="auto"/>
              </w:rPr>
            </w:pPr>
            <w:r>
              <w:rPr>
                <w:rFonts w:ascii="Arial" w:cs="Arial" w:eastAsia="Arial" w:hAnsi="Arial"/>
                <w:sz w:val="17"/>
                <w:szCs w:val="17"/>
                <w:b w:val="1"/>
                <w:bCs w:val="1"/>
                <w:color w:val="auto"/>
              </w:rPr>
              <w:t>Key 2015</w:t>
            </w:r>
          </w:p>
        </w:tc>
        <w:tc>
          <w:tcPr>
            <w:tcW w:w="8080" w:type="dxa"/>
            <w:vAlign w:val="bottom"/>
          </w:tcPr>
          <w:p>
            <w:pPr>
              <w:ind w:left="560"/>
              <w:spacing w:after="0" w:line="159" w:lineRule="exact"/>
              <w:rPr>
                <w:sz w:val="20"/>
                <w:szCs w:val="20"/>
                <w:color w:val="auto"/>
              </w:rPr>
            </w:pPr>
            <w:r>
              <w:rPr>
                <w:rFonts w:ascii="Arial" w:cs="Arial" w:eastAsia="Arial" w:hAnsi="Arial"/>
                <w:sz w:val="17"/>
                <w:szCs w:val="17"/>
                <w:color w:val="auto"/>
              </w:rPr>
              <w:t>Compensation decisions made in early 2015, including base salary adjustments and long-term</w:t>
            </w:r>
          </w:p>
        </w:tc>
        <w:tc>
          <w:tcPr>
            <w:tcW w:w="0" w:type="dxa"/>
            <w:vAlign w:val="bottom"/>
          </w:tcPr>
          <w:p>
            <w:pPr>
              <w:spacing w:after="0"/>
              <w:rPr>
                <w:sz w:val="1"/>
                <w:szCs w:val="1"/>
                <w:color w:val="auto"/>
              </w:rPr>
            </w:pPr>
          </w:p>
        </w:tc>
      </w:tr>
      <w:tr>
        <w:trPr>
          <w:trHeight w:val="209"/>
        </w:trPr>
        <w:tc>
          <w:tcPr>
            <w:tcW w:w="3340" w:type="dxa"/>
            <w:vAlign w:val="bottom"/>
            <w:shd w:val="clear" w:color="auto" w:fill="AAAAAA"/>
          </w:tcPr>
          <w:p>
            <w:pPr>
              <w:spacing w:after="0"/>
              <w:rPr>
                <w:sz w:val="20"/>
                <w:szCs w:val="20"/>
                <w:color w:val="auto"/>
              </w:rPr>
            </w:pPr>
            <w:r>
              <w:rPr>
                <w:rFonts w:ascii="Arial" w:cs="Arial" w:eastAsia="Arial" w:hAnsi="Arial"/>
                <w:sz w:val="17"/>
                <w:szCs w:val="17"/>
                <w:b w:val="1"/>
                <w:bCs w:val="1"/>
                <w:color w:val="auto"/>
              </w:rPr>
              <w:t>Compensation Decisions</w:t>
            </w:r>
          </w:p>
        </w:tc>
        <w:tc>
          <w:tcPr>
            <w:tcW w:w="8080" w:type="dxa"/>
            <w:vAlign w:val="bottom"/>
          </w:tcPr>
          <w:p>
            <w:pPr>
              <w:ind w:left="560"/>
              <w:spacing w:after="0"/>
              <w:rPr>
                <w:sz w:val="20"/>
                <w:szCs w:val="20"/>
                <w:color w:val="auto"/>
              </w:rPr>
            </w:pPr>
            <w:r>
              <w:rPr>
                <w:rFonts w:ascii="Arial" w:cs="Arial" w:eastAsia="Arial" w:hAnsi="Arial"/>
                <w:sz w:val="17"/>
                <w:szCs w:val="17"/>
                <w:color w:val="auto"/>
              </w:rPr>
              <w:t>incentive grants, recognized that 2015 would be a very challenging year for the Company. These</w:t>
            </w:r>
          </w:p>
        </w:tc>
        <w:tc>
          <w:tcPr>
            <w:tcW w:w="0" w:type="dxa"/>
            <w:vAlign w:val="bottom"/>
          </w:tcPr>
          <w:p>
            <w:pPr>
              <w:spacing w:after="0"/>
              <w:rPr>
                <w:sz w:val="1"/>
                <w:szCs w:val="1"/>
                <w:color w:val="auto"/>
              </w:rPr>
            </w:pPr>
          </w:p>
        </w:tc>
      </w:tr>
      <w:tr>
        <w:trPr>
          <w:trHeight w:val="189"/>
        </w:trPr>
        <w:tc>
          <w:tcPr>
            <w:tcW w:w="3340" w:type="dxa"/>
            <w:vAlign w:val="bottom"/>
            <w:shd w:val="clear" w:color="auto" w:fill="AAAAAA"/>
          </w:tcPr>
          <w:p>
            <w:pPr>
              <w:spacing w:after="0"/>
              <w:rPr>
                <w:sz w:val="16"/>
                <w:szCs w:val="16"/>
                <w:color w:val="auto"/>
              </w:rPr>
            </w:pPr>
          </w:p>
        </w:tc>
        <w:tc>
          <w:tcPr>
            <w:tcW w:w="8080" w:type="dxa"/>
            <w:vAlign w:val="bottom"/>
          </w:tcPr>
          <w:p>
            <w:pPr>
              <w:ind w:left="560"/>
              <w:spacing w:after="0" w:line="189" w:lineRule="exact"/>
              <w:rPr>
                <w:sz w:val="20"/>
                <w:szCs w:val="20"/>
                <w:color w:val="auto"/>
              </w:rPr>
            </w:pPr>
            <w:r>
              <w:rPr>
                <w:rFonts w:ascii="Arial" w:cs="Arial" w:eastAsia="Arial" w:hAnsi="Arial"/>
                <w:sz w:val="17"/>
                <w:szCs w:val="17"/>
                <w:color w:val="auto"/>
              </w:rPr>
              <w:t>decisions took into account the need to align executives with shareholders, as well as the</w:t>
            </w:r>
          </w:p>
        </w:tc>
        <w:tc>
          <w:tcPr>
            <w:tcW w:w="0" w:type="dxa"/>
            <w:vAlign w:val="bottom"/>
          </w:tcPr>
          <w:p>
            <w:pPr>
              <w:spacing w:after="0"/>
              <w:rPr>
                <w:sz w:val="1"/>
                <w:szCs w:val="1"/>
                <w:color w:val="auto"/>
              </w:rPr>
            </w:pPr>
          </w:p>
        </w:tc>
      </w:tr>
      <w:tr>
        <w:trPr>
          <w:trHeight w:val="189"/>
        </w:trPr>
        <w:tc>
          <w:tcPr>
            <w:tcW w:w="3340" w:type="dxa"/>
            <w:vAlign w:val="bottom"/>
            <w:shd w:val="clear" w:color="auto" w:fill="AAAAAA"/>
          </w:tcPr>
          <w:p>
            <w:pPr>
              <w:ind w:left="360"/>
              <w:spacing w:after="0" w:line="189" w:lineRule="exact"/>
              <w:rPr>
                <w:sz w:val="20"/>
                <w:szCs w:val="20"/>
                <w:color w:val="auto"/>
              </w:rPr>
            </w:pPr>
            <w:r>
              <w:rPr>
                <w:rFonts w:ascii="Arial" w:cs="Arial" w:eastAsia="Arial" w:hAnsi="Arial"/>
                <w:sz w:val="17"/>
                <w:szCs w:val="17"/>
                <w:color w:val="auto"/>
              </w:rPr>
              <w:t>(see pages 34-40 for details)</w:t>
            </w:r>
          </w:p>
        </w:tc>
        <w:tc>
          <w:tcPr>
            <w:tcW w:w="8080" w:type="dxa"/>
            <w:vAlign w:val="bottom"/>
          </w:tcPr>
          <w:p>
            <w:pPr>
              <w:ind w:left="560"/>
              <w:spacing w:after="0" w:line="189" w:lineRule="exact"/>
              <w:rPr>
                <w:sz w:val="20"/>
                <w:szCs w:val="20"/>
                <w:color w:val="auto"/>
              </w:rPr>
            </w:pPr>
            <w:r>
              <w:rPr>
                <w:rFonts w:ascii="Arial" w:cs="Arial" w:eastAsia="Arial" w:hAnsi="Arial"/>
                <w:sz w:val="17"/>
                <w:szCs w:val="17"/>
                <w:color w:val="auto"/>
              </w:rPr>
              <w:t>challenging business conditions the company anticipated in 2015. The compensation decisions</w:t>
            </w:r>
          </w:p>
        </w:tc>
        <w:tc>
          <w:tcPr>
            <w:tcW w:w="0" w:type="dxa"/>
            <w:vAlign w:val="bottom"/>
          </w:tcPr>
          <w:p>
            <w:pPr>
              <w:spacing w:after="0"/>
              <w:rPr>
                <w:sz w:val="1"/>
                <w:szCs w:val="1"/>
                <w:color w:val="auto"/>
              </w:rPr>
            </w:pPr>
          </w:p>
        </w:tc>
      </w:tr>
      <w:tr>
        <w:trPr>
          <w:trHeight w:val="189"/>
        </w:trPr>
        <w:tc>
          <w:tcPr>
            <w:tcW w:w="3340" w:type="dxa"/>
            <w:vAlign w:val="bottom"/>
            <w:shd w:val="clear" w:color="auto" w:fill="AAAAAA"/>
          </w:tcPr>
          <w:p>
            <w:pPr>
              <w:spacing w:after="0"/>
              <w:rPr>
                <w:sz w:val="16"/>
                <w:szCs w:val="16"/>
                <w:color w:val="auto"/>
              </w:rPr>
            </w:pPr>
          </w:p>
        </w:tc>
        <w:tc>
          <w:tcPr>
            <w:tcW w:w="8080" w:type="dxa"/>
            <w:vAlign w:val="bottom"/>
          </w:tcPr>
          <w:p>
            <w:pPr>
              <w:ind w:left="560"/>
              <w:spacing w:after="0" w:line="189" w:lineRule="exact"/>
              <w:rPr>
                <w:sz w:val="20"/>
                <w:szCs w:val="20"/>
                <w:color w:val="auto"/>
              </w:rPr>
            </w:pPr>
            <w:r>
              <w:rPr>
                <w:rFonts w:ascii="Arial" w:cs="Arial" w:eastAsia="Arial" w:hAnsi="Arial"/>
                <w:sz w:val="17"/>
                <w:szCs w:val="17"/>
                <w:color w:val="auto"/>
              </w:rPr>
              <w:t>outlined below reflect our executive compensation philosophy and demonstrate our strong</w:t>
            </w:r>
          </w:p>
        </w:tc>
        <w:tc>
          <w:tcPr>
            <w:tcW w:w="0" w:type="dxa"/>
            <w:vAlign w:val="bottom"/>
          </w:tcPr>
          <w:p>
            <w:pPr>
              <w:spacing w:after="0"/>
              <w:rPr>
                <w:sz w:val="1"/>
                <w:szCs w:val="1"/>
                <w:color w:val="auto"/>
              </w:rPr>
            </w:pPr>
          </w:p>
        </w:tc>
      </w:tr>
      <w:tr>
        <w:trPr>
          <w:trHeight w:val="169"/>
        </w:trPr>
        <w:tc>
          <w:tcPr>
            <w:tcW w:w="3340" w:type="dxa"/>
            <w:vAlign w:val="bottom"/>
            <w:shd w:val="clear" w:color="auto" w:fill="AAAAAA"/>
          </w:tcPr>
          <w:p>
            <w:pPr>
              <w:spacing w:after="0"/>
              <w:rPr>
                <w:sz w:val="14"/>
                <w:szCs w:val="14"/>
                <w:color w:val="auto"/>
              </w:rPr>
            </w:pPr>
          </w:p>
        </w:tc>
        <w:tc>
          <w:tcPr>
            <w:tcW w:w="8080" w:type="dxa"/>
            <w:vAlign w:val="bottom"/>
          </w:tcPr>
          <w:p>
            <w:pPr>
              <w:ind w:left="560"/>
              <w:spacing w:after="0" w:line="169" w:lineRule="exact"/>
              <w:rPr>
                <w:sz w:val="20"/>
                <w:szCs w:val="20"/>
                <w:color w:val="auto"/>
              </w:rPr>
            </w:pPr>
            <w:r>
              <w:rPr>
                <w:rFonts w:ascii="Arial" w:cs="Arial" w:eastAsia="Arial" w:hAnsi="Arial"/>
                <w:sz w:val="17"/>
                <w:szCs w:val="17"/>
                <w:color w:val="auto"/>
              </w:rPr>
              <w:t>commitment to paying for performance.</w:t>
            </w:r>
          </w:p>
        </w:tc>
        <w:tc>
          <w:tcPr>
            <w:tcW w:w="0" w:type="dxa"/>
            <w:vAlign w:val="bottom"/>
          </w:tcPr>
          <w:p>
            <w:pPr>
              <w:spacing w:after="0"/>
              <w:rPr>
                <w:sz w:val="1"/>
                <w:szCs w:val="1"/>
                <w:color w:val="auto"/>
              </w:rPr>
            </w:pPr>
          </w:p>
        </w:tc>
      </w:tr>
      <w:tr>
        <w:trPr>
          <w:trHeight w:val="209"/>
        </w:trPr>
        <w:tc>
          <w:tcPr>
            <w:tcW w:w="3340" w:type="dxa"/>
            <w:vAlign w:val="bottom"/>
            <w:shd w:val="clear" w:color="auto" w:fill="AAAAAA"/>
          </w:tcPr>
          <w:p>
            <w:pPr>
              <w:spacing w:after="0"/>
              <w:rPr>
                <w:sz w:val="18"/>
                <w:szCs w:val="18"/>
                <w:color w:val="auto"/>
              </w:rPr>
            </w:pPr>
          </w:p>
        </w:tc>
        <w:tc>
          <w:tcPr>
            <w:tcW w:w="8080" w:type="dxa"/>
            <w:vAlign w:val="bottom"/>
          </w:tcPr>
          <w:p>
            <w:pPr>
              <w:ind w:left="560"/>
              <w:spacing w:after="0"/>
              <w:rPr>
                <w:sz w:val="20"/>
                <w:szCs w:val="20"/>
                <w:color w:val="auto"/>
              </w:rPr>
            </w:pPr>
            <w:r>
              <w:rPr>
                <w:rFonts w:ascii="Arial" w:cs="Arial" w:eastAsia="Arial" w:hAnsi="Arial"/>
                <w:sz w:val="17"/>
                <w:szCs w:val="17"/>
                <w:b w:val="1"/>
                <w:bCs w:val="1"/>
                <w:color w:val="auto"/>
              </w:rPr>
              <w:t>Base Salary</w:t>
            </w:r>
          </w:p>
        </w:tc>
        <w:tc>
          <w:tcPr>
            <w:tcW w:w="0" w:type="dxa"/>
            <w:vAlign w:val="bottom"/>
          </w:tcPr>
          <w:p>
            <w:pPr>
              <w:spacing w:after="0"/>
              <w:rPr>
                <w:sz w:val="1"/>
                <w:szCs w:val="1"/>
                <w:color w:val="auto"/>
              </w:rPr>
            </w:pPr>
          </w:p>
        </w:tc>
      </w:tr>
      <w:tr>
        <w:trPr>
          <w:trHeight w:val="205"/>
        </w:trPr>
        <w:tc>
          <w:tcPr>
            <w:tcW w:w="3340" w:type="dxa"/>
            <w:vAlign w:val="bottom"/>
            <w:shd w:val="clear" w:color="auto" w:fill="AAAAAA"/>
          </w:tcPr>
          <w:p>
            <w:pPr>
              <w:spacing w:after="0"/>
              <w:rPr>
                <w:sz w:val="17"/>
                <w:szCs w:val="17"/>
                <w:color w:val="auto"/>
              </w:rPr>
            </w:pPr>
          </w:p>
        </w:tc>
        <w:tc>
          <w:tcPr>
            <w:tcW w:w="8080" w:type="dxa"/>
            <w:vAlign w:val="bottom"/>
          </w:tcPr>
          <w:p>
            <w:pPr>
              <w:ind w:left="560"/>
              <w:spacing w:after="0"/>
              <w:rPr>
                <w:sz w:val="20"/>
                <w:szCs w:val="20"/>
                <w:color w:val="auto"/>
              </w:rPr>
            </w:pPr>
            <w:r>
              <w:rPr>
                <w:rFonts w:ascii="Arial" w:cs="Arial" w:eastAsia="Arial" w:hAnsi="Arial"/>
                <w:sz w:val="17"/>
                <w:szCs w:val="17"/>
                <w:color w:val="auto"/>
              </w:rPr>
              <w:t>•Mr. Timken’s annual base salary remained unchanged at $865,200 for 2015.</w:t>
            </w:r>
          </w:p>
        </w:tc>
        <w:tc>
          <w:tcPr>
            <w:tcW w:w="0" w:type="dxa"/>
            <w:vAlign w:val="bottom"/>
          </w:tcPr>
          <w:p>
            <w:pPr>
              <w:spacing w:after="0"/>
              <w:rPr>
                <w:sz w:val="1"/>
                <w:szCs w:val="1"/>
                <w:color w:val="auto"/>
              </w:rPr>
            </w:pPr>
          </w:p>
        </w:tc>
      </w:tr>
      <w:tr>
        <w:trPr>
          <w:trHeight w:val="281"/>
        </w:trPr>
        <w:tc>
          <w:tcPr>
            <w:tcW w:w="3340" w:type="dxa"/>
            <w:vAlign w:val="bottom"/>
            <w:shd w:val="clear" w:color="auto" w:fill="AAAAAA"/>
          </w:tcPr>
          <w:p>
            <w:pPr>
              <w:spacing w:after="0"/>
              <w:rPr>
                <w:sz w:val="24"/>
                <w:szCs w:val="24"/>
                <w:color w:val="auto"/>
              </w:rPr>
            </w:pPr>
          </w:p>
        </w:tc>
        <w:tc>
          <w:tcPr>
            <w:tcW w:w="8080" w:type="dxa"/>
            <w:vAlign w:val="bottom"/>
          </w:tcPr>
          <w:p>
            <w:pPr>
              <w:ind w:left="560"/>
              <w:spacing w:after="0"/>
              <w:rPr>
                <w:sz w:val="20"/>
                <w:szCs w:val="20"/>
                <w:color w:val="auto"/>
              </w:rPr>
            </w:pPr>
            <w:r>
              <w:rPr>
                <w:rFonts w:ascii="Arial" w:cs="Arial" w:eastAsia="Arial" w:hAnsi="Arial"/>
                <w:sz w:val="17"/>
                <w:szCs w:val="17"/>
                <w:color w:val="auto"/>
              </w:rPr>
              <w:t>•Mr. Holding’s annual base salary was increased 5%, further aligning his base salary to the market</w:t>
            </w:r>
          </w:p>
        </w:tc>
        <w:tc>
          <w:tcPr>
            <w:tcW w:w="0" w:type="dxa"/>
            <w:vAlign w:val="bottom"/>
          </w:tcPr>
          <w:p>
            <w:pPr>
              <w:spacing w:after="0"/>
              <w:rPr>
                <w:sz w:val="1"/>
                <w:szCs w:val="1"/>
                <w:color w:val="auto"/>
              </w:rPr>
            </w:pPr>
          </w:p>
        </w:tc>
      </w:tr>
      <w:tr>
        <w:trPr>
          <w:trHeight w:val="205"/>
        </w:trPr>
        <w:tc>
          <w:tcPr>
            <w:tcW w:w="3340" w:type="dxa"/>
            <w:vAlign w:val="bottom"/>
            <w:shd w:val="clear" w:color="auto" w:fill="AAAAAA"/>
          </w:tcPr>
          <w:p>
            <w:pPr>
              <w:spacing w:after="0"/>
              <w:rPr>
                <w:sz w:val="17"/>
                <w:szCs w:val="17"/>
                <w:color w:val="auto"/>
              </w:rPr>
            </w:pPr>
          </w:p>
        </w:tc>
        <w:tc>
          <w:tcPr>
            <w:tcW w:w="8080" w:type="dxa"/>
            <w:vAlign w:val="bottom"/>
          </w:tcPr>
          <w:p>
            <w:pPr>
              <w:ind w:left="720"/>
              <w:spacing w:after="0"/>
              <w:rPr>
                <w:sz w:val="20"/>
                <w:szCs w:val="20"/>
                <w:color w:val="auto"/>
              </w:rPr>
            </w:pPr>
            <w:r>
              <w:rPr>
                <w:rFonts w:ascii="Arial" w:cs="Arial" w:eastAsia="Arial" w:hAnsi="Arial"/>
                <w:sz w:val="17"/>
                <w:szCs w:val="17"/>
                <w:color w:val="auto"/>
              </w:rPr>
              <w:t>for his position.</w:t>
            </w:r>
          </w:p>
        </w:tc>
        <w:tc>
          <w:tcPr>
            <w:tcW w:w="0" w:type="dxa"/>
            <w:vAlign w:val="bottom"/>
          </w:tcPr>
          <w:p>
            <w:pPr>
              <w:spacing w:after="0"/>
              <w:rPr>
                <w:sz w:val="1"/>
                <w:szCs w:val="1"/>
                <w:color w:val="auto"/>
              </w:rPr>
            </w:pPr>
          </w:p>
        </w:tc>
      </w:tr>
      <w:tr>
        <w:trPr>
          <w:trHeight w:val="297"/>
        </w:trPr>
        <w:tc>
          <w:tcPr>
            <w:tcW w:w="3340" w:type="dxa"/>
            <w:vAlign w:val="bottom"/>
            <w:shd w:val="clear" w:color="auto" w:fill="AAAAAA"/>
          </w:tcPr>
          <w:p>
            <w:pPr>
              <w:spacing w:after="0"/>
              <w:rPr>
                <w:sz w:val="24"/>
                <w:szCs w:val="24"/>
                <w:color w:val="auto"/>
              </w:rPr>
            </w:pPr>
          </w:p>
        </w:tc>
        <w:tc>
          <w:tcPr>
            <w:tcW w:w="8080" w:type="dxa"/>
            <w:vAlign w:val="bottom"/>
          </w:tcPr>
          <w:p>
            <w:pPr>
              <w:ind w:left="560"/>
              <w:spacing w:after="0"/>
              <w:rPr>
                <w:sz w:val="20"/>
                <w:szCs w:val="20"/>
                <w:color w:val="auto"/>
              </w:rPr>
            </w:pPr>
            <w:r>
              <w:rPr>
                <w:rFonts w:ascii="Arial" w:cs="Arial" w:eastAsia="Arial" w:hAnsi="Arial"/>
                <w:sz w:val="17"/>
                <w:szCs w:val="17"/>
                <w:color w:val="auto"/>
              </w:rPr>
              <w:t>•Mr. Walker’s annual base salary remained unchanged at $365,040 for 2015.</w:t>
            </w:r>
          </w:p>
        </w:tc>
        <w:tc>
          <w:tcPr>
            <w:tcW w:w="0" w:type="dxa"/>
            <w:vAlign w:val="bottom"/>
          </w:tcPr>
          <w:p>
            <w:pPr>
              <w:spacing w:after="0"/>
              <w:rPr>
                <w:sz w:val="1"/>
                <w:szCs w:val="1"/>
                <w:color w:val="auto"/>
              </w:rPr>
            </w:pPr>
          </w:p>
        </w:tc>
      </w:tr>
      <w:tr>
        <w:trPr>
          <w:trHeight w:val="281"/>
        </w:trPr>
        <w:tc>
          <w:tcPr>
            <w:tcW w:w="3340" w:type="dxa"/>
            <w:vAlign w:val="bottom"/>
            <w:shd w:val="clear" w:color="auto" w:fill="AAAAAA"/>
          </w:tcPr>
          <w:p>
            <w:pPr>
              <w:spacing w:after="0"/>
              <w:rPr>
                <w:sz w:val="24"/>
                <w:szCs w:val="24"/>
                <w:color w:val="auto"/>
              </w:rPr>
            </w:pPr>
          </w:p>
        </w:tc>
        <w:tc>
          <w:tcPr>
            <w:tcW w:w="8080" w:type="dxa"/>
            <w:vAlign w:val="bottom"/>
          </w:tcPr>
          <w:p>
            <w:pPr>
              <w:ind w:left="560"/>
              <w:spacing w:after="0"/>
              <w:rPr>
                <w:sz w:val="20"/>
                <w:szCs w:val="20"/>
                <w:color w:val="auto"/>
              </w:rPr>
            </w:pPr>
            <w:r>
              <w:rPr>
                <w:rFonts w:ascii="Arial" w:cs="Arial" w:eastAsia="Arial" w:hAnsi="Arial"/>
                <w:sz w:val="17"/>
                <w:szCs w:val="17"/>
                <w:color w:val="auto"/>
              </w:rPr>
              <w:t>•Mr. DiPiero’s annual base salary was increased 3% which reflected the market for executive salary</w:t>
            </w:r>
          </w:p>
        </w:tc>
        <w:tc>
          <w:tcPr>
            <w:tcW w:w="0" w:type="dxa"/>
            <w:vAlign w:val="bottom"/>
          </w:tcPr>
          <w:p>
            <w:pPr>
              <w:spacing w:after="0"/>
              <w:rPr>
                <w:sz w:val="1"/>
                <w:szCs w:val="1"/>
                <w:color w:val="auto"/>
              </w:rPr>
            </w:pPr>
          </w:p>
        </w:tc>
      </w:tr>
      <w:tr>
        <w:trPr>
          <w:trHeight w:val="169"/>
        </w:trPr>
        <w:tc>
          <w:tcPr>
            <w:tcW w:w="3340" w:type="dxa"/>
            <w:vAlign w:val="bottom"/>
            <w:shd w:val="clear" w:color="auto" w:fill="AAAAAA"/>
          </w:tcPr>
          <w:p>
            <w:pPr>
              <w:spacing w:after="0"/>
              <w:rPr>
                <w:sz w:val="14"/>
                <w:szCs w:val="14"/>
                <w:color w:val="auto"/>
              </w:rPr>
            </w:pPr>
          </w:p>
        </w:tc>
        <w:tc>
          <w:tcPr>
            <w:tcW w:w="8080" w:type="dxa"/>
            <w:vAlign w:val="bottom"/>
          </w:tcPr>
          <w:p>
            <w:pPr>
              <w:ind w:left="720"/>
              <w:spacing w:after="0" w:line="169" w:lineRule="exact"/>
              <w:rPr>
                <w:sz w:val="20"/>
                <w:szCs w:val="20"/>
                <w:color w:val="auto"/>
              </w:rPr>
            </w:pPr>
            <w:r>
              <w:rPr>
                <w:rFonts w:ascii="Arial" w:cs="Arial" w:eastAsia="Arial" w:hAnsi="Arial"/>
                <w:sz w:val="17"/>
                <w:szCs w:val="17"/>
                <w:color w:val="auto"/>
              </w:rPr>
              <w:t>increases in 2015.</w:t>
            </w:r>
          </w:p>
        </w:tc>
        <w:tc>
          <w:tcPr>
            <w:tcW w:w="0" w:type="dxa"/>
            <w:vAlign w:val="bottom"/>
          </w:tcPr>
          <w:p>
            <w:pPr>
              <w:spacing w:after="0"/>
              <w:rPr>
                <w:sz w:val="1"/>
                <w:szCs w:val="1"/>
                <w:color w:val="auto"/>
              </w:rPr>
            </w:pPr>
          </w:p>
        </w:tc>
      </w:tr>
      <w:tr>
        <w:trPr>
          <w:trHeight w:val="209"/>
        </w:trPr>
        <w:tc>
          <w:tcPr>
            <w:tcW w:w="3340" w:type="dxa"/>
            <w:vAlign w:val="bottom"/>
            <w:shd w:val="clear" w:color="auto" w:fill="AAAAAA"/>
          </w:tcPr>
          <w:p>
            <w:pPr>
              <w:spacing w:after="0"/>
              <w:rPr>
                <w:sz w:val="18"/>
                <w:szCs w:val="18"/>
                <w:color w:val="auto"/>
              </w:rPr>
            </w:pPr>
          </w:p>
        </w:tc>
        <w:tc>
          <w:tcPr>
            <w:tcW w:w="8080" w:type="dxa"/>
            <w:vAlign w:val="bottom"/>
          </w:tcPr>
          <w:p>
            <w:pPr>
              <w:ind w:left="560"/>
              <w:spacing w:after="0"/>
              <w:rPr>
                <w:sz w:val="20"/>
                <w:szCs w:val="20"/>
                <w:color w:val="auto"/>
              </w:rPr>
            </w:pPr>
            <w:r>
              <w:rPr>
                <w:rFonts w:ascii="Arial" w:cs="Arial" w:eastAsia="Arial" w:hAnsi="Arial"/>
                <w:sz w:val="17"/>
                <w:szCs w:val="17"/>
                <w:b w:val="1"/>
                <w:bCs w:val="1"/>
                <w:color w:val="auto"/>
              </w:rPr>
              <w:t>Annual Incentive</w:t>
            </w:r>
          </w:p>
        </w:tc>
        <w:tc>
          <w:tcPr>
            <w:tcW w:w="0" w:type="dxa"/>
            <w:vAlign w:val="bottom"/>
          </w:tcPr>
          <w:p>
            <w:pPr>
              <w:spacing w:after="0"/>
              <w:rPr>
                <w:sz w:val="1"/>
                <w:szCs w:val="1"/>
                <w:color w:val="auto"/>
              </w:rPr>
            </w:pPr>
          </w:p>
        </w:tc>
      </w:tr>
      <w:tr>
        <w:trPr>
          <w:trHeight w:val="189"/>
        </w:trPr>
        <w:tc>
          <w:tcPr>
            <w:tcW w:w="3340" w:type="dxa"/>
            <w:vAlign w:val="bottom"/>
            <w:shd w:val="clear" w:color="auto" w:fill="AAAAAA"/>
          </w:tcPr>
          <w:p>
            <w:pPr>
              <w:spacing w:after="0"/>
              <w:rPr>
                <w:sz w:val="16"/>
                <w:szCs w:val="16"/>
                <w:color w:val="auto"/>
              </w:rPr>
            </w:pPr>
          </w:p>
        </w:tc>
        <w:tc>
          <w:tcPr>
            <w:tcW w:w="8080" w:type="dxa"/>
            <w:vAlign w:val="bottom"/>
          </w:tcPr>
          <w:p>
            <w:pPr>
              <w:ind w:left="560"/>
              <w:spacing w:after="0" w:line="189" w:lineRule="exact"/>
              <w:rPr>
                <w:sz w:val="20"/>
                <w:szCs w:val="20"/>
                <w:color w:val="auto"/>
              </w:rPr>
            </w:pPr>
            <w:r>
              <w:rPr>
                <w:rFonts w:ascii="Arial" w:cs="Arial" w:eastAsia="Arial" w:hAnsi="Arial"/>
                <w:sz w:val="17"/>
                <w:szCs w:val="17"/>
                <w:color w:val="auto"/>
              </w:rPr>
              <w:t>Because 2015 financial performance was below the pre-established threshold level of profitability,</w:t>
            </w:r>
          </w:p>
        </w:tc>
        <w:tc>
          <w:tcPr>
            <w:tcW w:w="0" w:type="dxa"/>
            <w:vAlign w:val="bottom"/>
          </w:tcPr>
          <w:p>
            <w:pPr>
              <w:spacing w:after="0"/>
              <w:rPr>
                <w:sz w:val="1"/>
                <w:szCs w:val="1"/>
                <w:color w:val="auto"/>
              </w:rPr>
            </w:pPr>
          </w:p>
        </w:tc>
      </w:tr>
      <w:tr>
        <w:trPr>
          <w:trHeight w:val="205"/>
        </w:trPr>
        <w:tc>
          <w:tcPr>
            <w:tcW w:w="3340" w:type="dxa"/>
            <w:vAlign w:val="bottom"/>
            <w:shd w:val="clear" w:color="auto" w:fill="AAAAAA"/>
          </w:tcPr>
          <w:p>
            <w:pPr>
              <w:spacing w:after="0"/>
              <w:rPr>
                <w:sz w:val="17"/>
                <w:szCs w:val="17"/>
                <w:color w:val="auto"/>
              </w:rPr>
            </w:pPr>
          </w:p>
        </w:tc>
        <w:tc>
          <w:tcPr>
            <w:tcW w:w="8080" w:type="dxa"/>
            <w:vAlign w:val="bottom"/>
          </w:tcPr>
          <w:p>
            <w:pPr>
              <w:ind w:left="560"/>
              <w:spacing w:after="0"/>
              <w:rPr>
                <w:sz w:val="20"/>
                <w:szCs w:val="20"/>
                <w:color w:val="auto"/>
              </w:rPr>
            </w:pPr>
            <w:r>
              <w:rPr>
                <w:rFonts w:ascii="Arial" w:cs="Arial" w:eastAsia="Arial" w:hAnsi="Arial"/>
                <w:sz w:val="17"/>
                <w:szCs w:val="17"/>
                <w:color w:val="auto"/>
              </w:rPr>
              <w:t>there was no payout under the Company’s annual incentive plans for the 2015 performance period.</w:t>
            </w:r>
          </w:p>
        </w:tc>
        <w:tc>
          <w:tcPr>
            <w:tcW w:w="0" w:type="dxa"/>
            <w:vAlign w:val="bottom"/>
          </w:tcPr>
          <w:p>
            <w:pPr>
              <w:spacing w:after="0"/>
              <w:rPr>
                <w:sz w:val="1"/>
                <w:szCs w:val="1"/>
                <w:color w:val="auto"/>
              </w:rPr>
            </w:pPr>
          </w:p>
        </w:tc>
      </w:tr>
      <w:tr>
        <w:trPr>
          <w:trHeight w:val="349"/>
        </w:trPr>
        <w:tc>
          <w:tcPr>
            <w:tcW w:w="3340" w:type="dxa"/>
            <w:vAlign w:val="bottom"/>
            <w:shd w:val="clear" w:color="auto" w:fill="AAAAAA"/>
          </w:tcPr>
          <w:p>
            <w:pPr>
              <w:spacing w:after="0"/>
              <w:rPr>
                <w:sz w:val="24"/>
                <w:szCs w:val="24"/>
                <w:color w:val="auto"/>
              </w:rPr>
            </w:pPr>
          </w:p>
        </w:tc>
        <w:tc>
          <w:tcPr>
            <w:tcW w:w="8080" w:type="dxa"/>
            <w:vAlign w:val="bottom"/>
          </w:tcPr>
          <w:p>
            <w:pPr>
              <w:ind w:left="560"/>
              <w:spacing w:after="0"/>
              <w:rPr>
                <w:sz w:val="20"/>
                <w:szCs w:val="20"/>
                <w:color w:val="auto"/>
              </w:rPr>
            </w:pPr>
            <w:r>
              <w:rPr>
                <w:rFonts w:ascii="Arial" w:cs="Arial" w:eastAsia="Arial" w:hAnsi="Arial"/>
                <w:sz w:val="17"/>
                <w:szCs w:val="17"/>
                <w:b w:val="1"/>
                <w:bCs w:val="1"/>
                <w:color w:val="auto"/>
              </w:rPr>
              <w:t>Long-Term Incentives</w:t>
            </w:r>
          </w:p>
        </w:tc>
        <w:tc>
          <w:tcPr>
            <w:tcW w:w="0" w:type="dxa"/>
            <w:vAlign w:val="bottom"/>
          </w:tcPr>
          <w:p>
            <w:pPr>
              <w:spacing w:after="0"/>
              <w:rPr>
                <w:sz w:val="1"/>
                <w:szCs w:val="1"/>
                <w:color w:val="auto"/>
              </w:rPr>
            </w:pPr>
          </w:p>
        </w:tc>
      </w:tr>
      <w:tr>
        <w:trPr>
          <w:trHeight w:val="189"/>
        </w:trPr>
        <w:tc>
          <w:tcPr>
            <w:tcW w:w="3340" w:type="dxa"/>
            <w:vAlign w:val="bottom"/>
            <w:shd w:val="clear" w:color="auto" w:fill="AAAAAA"/>
          </w:tcPr>
          <w:p>
            <w:pPr>
              <w:spacing w:after="0"/>
              <w:rPr>
                <w:sz w:val="16"/>
                <w:szCs w:val="16"/>
                <w:color w:val="auto"/>
              </w:rPr>
            </w:pPr>
          </w:p>
        </w:tc>
        <w:tc>
          <w:tcPr>
            <w:tcW w:w="8080" w:type="dxa"/>
            <w:vAlign w:val="bottom"/>
          </w:tcPr>
          <w:p>
            <w:pPr>
              <w:ind w:left="560"/>
              <w:spacing w:after="0" w:line="189" w:lineRule="exact"/>
              <w:rPr>
                <w:sz w:val="20"/>
                <w:szCs w:val="20"/>
                <w:color w:val="auto"/>
              </w:rPr>
            </w:pPr>
            <w:r>
              <w:rPr>
                <w:rFonts w:ascii="Arial" w:cs="Arial" w:eastAsia="Arial" w:hAnsi="Arial"/>
                <w:sz w:val="17"/>
                <w:szCs w:val="17"/>
                <w:color w:val="auto"/>
              </w:rPr>
              <w:t>Performance shares, restricted stock units and stock options: the NEOs received target grants of</w:t>
            </w:r>
          </w:p>
        </w:tc>
        <w:tc>
          <w:tcPr>
            <w:tcW w:w="0" w:type="dxa"/>
            <w:vAlign w:val="bottom"/>
          </w:tcPr>
          <w:p>
            <w:pPr>
              <w:spacing w:after="0"/>
              <w:rPr>
                <w:sz w:val="1"/>
                <w:szCs w:val="1"/>
                <w:color w:val="auto"/>
              </w:rPr>
            </w:pPr>
          </w:p>
        </w:tc>
      </w:tr>
      <w:tr>
        <w:trPr>
          <w:trHeight w:val="195"/>
        </w:trPr>
        <w:tc>
          <w:tcPr>
            <w:tcW w:w="3340" w:type="dxa"/>
            <w:vAlign w:val="bottom"/>
            <w:tcBorders>
              <w:bottom w:val="single" w:sz="8" w:color="auto"/>
            </w:tcBorders>
            <w:shd w:val="clear" w:color="auto" w:fill="AAAAAA"/>
          </w:tcPr>
          <w:p>
            <w:pPr>
              <w:spacing w:after="0"/>
              <w:rPr>
                <w:sz w:val="16"/>
                <w:szCs w:val="16"/>
                <w:color w:val="auto"/>
              </w:rPr>
            </w:pPr>
          </w:p>
        </w:tc>
        <w:tc>
          <w:tcPr>
            <w:tcW w:w="8080" w:type="dxa"/>
            <w:vAlign w:val="bottom"/>
            <w:tcBorders>
              <w:bottom w:val="single" w:sz="8" w:color="auto"/>
            </w:tcBorders>
          </w:tcPr>
          <w:p>
            <w:pPr>
              <w:ind w:left="560"/>
              <w:spacing w:after="0"/>
              <w:rPr>
                <w:sz w:val="20"/>
                <w:szCs w:val="20"/>
                <w:color w:val="auto"/>
              </w:rPr>
            </w:pPr>
            <w:r>
              <w:rPr>
                <w:rFonts w:ascii="Arial" w:cs="Arial" w:eastAsia="Arial" w:hAnsi="Arial"/>
                <w:sz w:val="17"/>
                <w:szCs w:val="17"/>
                <w:color w:val="auto"/>
              </w:rPr>
              <w:t>long-term incentive awards in 2015, with values ranging from $300 thousand to $3.2 million.</w:t>
            </w:r>
          </w:p>
        </w:tc>
        <w:tc>
          <w:tcPr>
            <w:tcW w:w="0" w:type="dxa"/>
            <w:vAlign w:val="bottom"/>
          </w:tcPr>
          <w:p>
            <w:pPr>
              <w:spacing w:after="0"/>
              <w:rPr>
                <w:sz w:val="1"/>
                <w:szCs w:val="1"/>
                <w:color w:val="auto"/>
              </w:rPr>
            </w:pPr>
          </w:p>
        </w:tc>
      </w:tr>
      <w:tr>
        <w:trPr>
          <w:trHeight w:val="319"/>
        </w:trPr>
        <w:tc>
          <w:tcPr>
            <w:tcW w:w="3340" w:type="dxa"/>
            <w:vAlign w:val="bottom"/>
          </w:tcPr>
          <w:p>
            <w:pPr>
              <w:spacing w:after="0"/>
              <w:rPr>
                <w:sz w:val="20"/>
                <w:szCs w:val="20"/>
                <w:color w:val="auto"/>
              </w:rPr>
            </w:pPr>
            <w:r>
              <w:rPr>
                <w:rFonts w:ascii="Arial" w:cs="Arial" w:eastAsia="Arial" w:hAnsi="Arial"/>
                <w:sz w:val="14"/>
                <w:szCs w:val="14"/>
                <w:color w:val="auto"/>
              </w:rPr>
              <w:t>24</w:t>
            </w:r>
          </w:p>
        </w:tc>
        <w:tc>
          <w:tcPr>
            <w:tcW w:w="808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459" w:right="239" w:bottom="1440" w:gutter="0" w:footer="0" w:header="0"/>
        </w:sectPr>
      </w:pPr>
    </w:p>
    <w:bookmarkStart w:id="30" w:name="page31"/>
    <w:bookmarkEnd w:id="3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9">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2715260</wp:posOffset>
            </wp:positionH>
            <wp:positionV relativeFrom="paragraph">
              <wp:posOffset>205740</wp:posOffset>
            </wp:positionV>
            <wp:extent cx="1826895" cy="20574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0">
                      <a:extLst>
                        <a:ext uri="{28A0092B-C50C-407E-A947-70E740481C1C}"/>
                      </a:extLst>
                    </a:blip>
                    <a:srcRect/>
                    <a:stretch>
                      <a:fillRect/>
                    </a:stretch>
                  </pic:blipFill>
                  <pic:spPr bwMode="auto">
                    <a:xfrm>
                      <a:off x="0" y="0"/>
                      <a:ext cx="1826895" cy="20574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2" w:lineRule="exact"/>
        <w:rPr>
          <w:sz w:val="20"/>
          <w:szCs w:val="20"/>
          <w:color w:val="auto"/>
        </w:rPr>
      </w:pPr>
    </w:p>
    <w:tbl>
      <w:tblPr>
        <w:tblLayout w:type="fixed"/>
        <w:tblInd w:w="0" w:type="dxa"/>
        <w:tblCellMar>
          <w:top w:w="0" w:type="dxa"/>
          <w:left w:w="0" w:type="dxa"/>
          <w:bottom w:w="0" w:type="dxa"/>
          <w:right w:w="0" w:type="dxa"/>
        </w:tblCellMar>
      </w:tblPr>
      <w:tr>
        <w:trPr>
          <w:trHeight w:val="176"/>
        </w:trPr>
        <w:tc>
          <w:tcPr>
            <w:tcW w:w="3340" w:type="dxa"/>
            <w:vAlign w:val="bottom"/>
            <w:tcBorders>
              <w:top w:val="single" w:sz="8" w:color="auto"/>
            </w:tcBorders>
            <w:shd w:val="clear" w:color="auto" w:fill="AAAAAA"/>
          </w:tcPr>
          <w:p>
            <w:pPr>
              <w:spacing w:after="0" w:line="176" w:lineRule="exact"/>
              <w:rPr>
                <w:sz w:val="20"/>
                <w:szCs w:val="20"/>
                <w:color w:val="auto"/>
              </w:rPr>
            </w:pPr>
            <w:r>
              <w:rPr>
                <w:rFonts w:ascii="Arial" w:cs="Arial" w:eastAsia="Arial" w:hAnsi="Arial"/>
                <w:sz w:val="17"/>
                <w:szCs w:val="17"/>
                <w:b w:val="1"/>
                <w:bCs w:val="1"/>
                <w:color w:val="auto"/>
              </w:rPr>
              <w:t>Key 2015</w:t>
            </w:r>
          </w:p>
        </w:tc>
        <w:tc>
          <w:tcPr>
            <w:tcW w:w="8080" w:type="dxa"/>
            <w:vAlign w:val="bottom"/>
            <w:tcBorders>
              <w:top w:val="single" w:sz="8" w:color="auto"/>
            </w:tcBorders>
          </w:tcPr>
          <w:p>
            <w:pPr>
              <w:ind w:left="560"/>
              <w:spacing w:after="0" w:line="176" w:lineRule="exact"/>
              <w:rPr>
                <w:sz w:val="20"/>
                <w:szCs w:val="20"/>
                <w:color w:val="auto"/>
              </w:rPr>
            </w:pPr>
            <w:r>
              <w:rPr>
                <w:rFonts w:ascii="Arial" w:cs="Arial" w:eastAsia="Arial" w:hAnsi="Arial"/>
                <w:sz w:val="17"/>
                <w:szCs w:val="17"/>
                <w:color w:val="auto"/>
              </w:rPr>
              <w:t>Strategic Performance Shares: strategic performance shares awarded for the 2013-2015</w:t>
            </w:r>
          </w:p>
        </w:tc>
      </w:tr>
      <w:tr>
        <w:trPr>
          <w:trHeight w:val="209"/>
        </w:trPr>
        <w:tc>
          <w:tcPr>
            <w:tcW w:w="3340" w:type="dxa"/>
            <w:vAlign w:val="bottom"/>
            <w:shd w:val="clear" w:color="auto" w:fill="AAAAAA"/>
          </w:tcPr>
          <w:p>
            <w:pPr>
              <w:spacing w:after="0"/>
              <w:rPr>
                <w:sz w:val="20"/>
                <w:szCs w:val="20"/>
                <w:color w:val="auto"/>
              </w:rPr>
            </w:pPr>
            <w:r>
              <w:rPr>
                <w:rFonts w:ascii="Arial" w:cs="Arial" w:eastAsia="Arial" w:hAnsi="Arial"/>
                <w:sz w:val="17"/>
                <w:szCs w:val="17"/>
                <w:b w:val="1"/>
                <w:bCs w:val="1"/>
                <w:color w:val="auto"/>
              </w:rPr>
              <w:t>Compensation Decisions</w:t>
            </w:r>
          </w:p>
        </w:tc>
        <w:tc>
          <w:tcPr>
            <w:tcW w:w="8080" w:type="dxa"/>
            <w:vAlign w:val="bottom"/>
          </w:tcPr>
          <w:p>
            <w:pPr>
              <w:ind w:left="560"/>
              <w:spacing w:after="0"/>
              <w:rPr>
                <w:sz w:val="20"/>
                <w:szCs w:val="20"/>
                <w:color w:val="auto"/>
              </w:rPr>
            </w:pPr>
            <w:r>
              <w:rPr>
                <w:rFonts w:ascii="Arial" w:cs="Arial" w:eastAsia="Arial" w:hAnsi="Arial"/>
                <w:sz w:val="17"/>
                <w:szCs w:val="17"/>
                <w:color w:val="auto"/>
              </w:rPr>
              <w:t>performance period were bifurcated in connection with the spinoff from The Timken Company.</w:t>
            </w:r>
          </w:p>
        </w:tc>
      </w:tr>
      <w:tr>
        <w:trPr>
          <w:trHeight w:val="189"/>
        </w:trPr>
        <w:tc>
          <w:tcPr>
            <w:tcW w:w="3340" w:type="dxa"/>
            <w:vAlign w:val="bottom"/>
            <w:shd w:val="clear" w:color="auto" w:fill="AAAAAA"/>
          </w:tcPr>
          <w:p>
            <w:pPr>
              <w:spacing w:after="0"/>
              <w:rPr>
                <w:sz w:val="16"/>
                <w:szCs w:val="16"/>
                <w:color w:val="auto"/>
              </w:rPr>
            </w:pPr>
          </w:p>
        </w:tc>
        <w:tc>
          <w:tcPr>
            <w:tcW w:w="8080" w:type="dxa"/>
            <w:vAlign w:val="bottom"/>
          </w:tcPr>
          <w:p>
            <w:pPr>
              <w:ind w:left="560"/>
              <w:spacing w:after="0" w:line="189" w:lineRule="exact"/>
              <w:rPr>
                <w:sz w:val="20"/>
                <w:szCs w:val="20"/>
                <w:color w:val="auto"/>
              </w:rPr>
            </w:pPr>
            <w:r>
              <w:rPr>
                <w:rFonts w:ascii="Arial" w:cs="Arial" w:eastAsia="Arial" w:hAnsi="Arial"/>
                <w:sz w:val="17"/>
                <w:szCs w:val="17"/>
                <w:color w:val="auto"/>
              </w:rPr>
              <w:t>Performance for the first 18 months of the 2013-2015 performance cycle was scored and resulting</w:t>
            </w:r>
          </w:p>
        </w:tc>
      </w:tr>
      <w:tr>
        <w:trPr>
          <w:trHeight w:val="189"/>
        </w:trPr>
        <w:tc>
          <w:tcPr>
            <w:tcW w:w="3340" w:type="dxa"/>
            <w:vAlign w:val="bottom"/>
            <w:shd w:val="clear" w:color="auto" w:fill="AAAAAA"/>
          </w:tcPr>
          <w:p>
            <w:pPr>
              <w:spacing w:after="0"/>
              <w:rPr>
                <w:sz w:val="16"/>
                <w:szCs w:val="16"/>
                <w:color w:val="auto"/>
              </w:rPr>
            </w:pPr>
          </w:p>
        </w:tc>
        <w:tc>
          <w:tcPr>
            <w:tcW w:w="8080" w:type="dxa"/>
            <w:vAlign w:val="bottom"/>
          </w:tcPr>
          <w:p>
            <w:pPr>
              <w:ind w:left="560"/>
              <w:spacing w:after="0" w:line="189" w:lineRule="exact"/>
              <w:rPr>
                <w:sz w:val="20"/>
                <w:szCs w:val="20"/>
                <w:color w:val="auto"/>
              </w:rPr>
            </w:pPr>
            <w:r>
              <w:rPr>
                <w:rFonts w:ascii="Arial" w:cs="Arial" w:eastAsia="Arial" w:hAnsi="Arial"/>
                <w:sz w:val="17"/>
                <w:szCs w:val="17"/>
                <w:color w:val="auto"/>
              </w:rPr>
              <w:t>payouts determined as of June 30, 2014, based on performance through that date. A new grant of</w:t>
            </w:r>
          </w:p>
        </w:tc>
      </w:tr>
      <w:tr>
        <w:trPr>
          <w:trHeight w:val="189"/>
        </w:trPr>
        <w:tc>
          <w:tcPr>
            <w:tcW w:w="3340" w:type="dxa"/>
            <w:vAlign w:val="bottom"/>
            <w:shd w:val="clear" w:color="auto" w:fill="AAAAAA"/>
          </w:tcPr>
          <w:p>
            <w:pPr>
              <w:spacing w:after="0"/>
              <w:rPr>
                <w:sz w:val="16"/>
                <w:szCs w:val="16"/>
                <w:color w:val="auto"/>
              </w:rPr>
            </w:pPr>
          </w:p>
        </w:tc>
        <w:tc>
          <w:tcPr>
            <w:tcW w:w="8080" w:type="dxa"/>
            <w:vAlign w:val="bottom"/>
          </w:tcPr>
          <w:p>
            <w:pPr>
              <w:ind w:left="560"/>
              <w:spacing w:after="0" w:line="189" w:lineRule="exact"/>
              <w:rPr>
                <w:sz w:val="20"/>
                <w:szCs w:val="20"/>
                <w:color w:val="auto"/>
              </w:rPr>
            </w:pPr>
            <w:r>
              <w:rPr>
                <w:rFonts w:ascii="Arial" w:cs="Arial" w:eastAsia="Arial" w:hAnsi="Arial"/>
                <w:sz w:val="17"/>
                <w:szCs w:val="17"/>
                <w:color w:val="auto"/>
              </w:rPr>
              <w:t>strategic performance shares tracking performance for the second half of the 2013-2015 cycle was</w:t>
            </w:r>
          </w:p>
        </w:tc>
      </w:tr>
      <w:tr>
        <w:trPr>
          <w:trHeight w:val="189"/>
        </w:trPr>
        <w:tc>
          <w:tcPr>
            <w:tcW w:w="3340" w:type="dxa"/>
            <w:vAlign w:val="bottom"/>
            <w:shd w:val="clear" w:color="auto" w:fill="AAAAAA"/>
          </w:tcPr>
          <w:p>
            <w:pPr>
              <w:spacing w:after="0"/>
              <w:rPr>
                <w:sz w:val="16"/>
                <w:szCs w:val="16"/>
                <w:color w:val="auto"/>
              </w:rPr>
            </w:pPr>
          </w:p>
        </w:tc>
        <w:tc>
          <w:tcPr>
            <w:tcW w:w="8080" w:type="dxa"/>
            <w:vAlign w:val="bottom"/>
          </w:tcPr>
          <w:p>
            <w:pPr>
              <w:ind w:left="560"/>
              <w:spacing w:after="0" w:line="189" w:lineRule="exact"/>
              <w:rPr>
                <w:sz w:val="20"/>
                <w:szCs w:val="20"/>
                <w:color w:val="auto"/>
              </w:rPr>
            </w:pPr>
            <w:r>
              <w:rPr>
                <w:rFonts w:ascii="Arial" w:cs="Arial" w:eastAsia="Arial" w:hAnsi="Arial"/>
                <w:sz w:val="17"/>
                <w:szCs w:val="17"/>
                <w:color w:val="auto"/>
              </w:rPr>
              <w:t>then awarded by TimkenSteel in August 2014. The payouts for the 2013-2015 performance period</w:t>
            </w:r>
          </w:p>
        </w:tc>
      </w:tr>
      <w:tr>
        <w:trPr>
          <w:trHeight w:val="189"/>
        </w:trPr>
        <w:tc>
          <w:tcPr>
            <w:tcW w:w="3340" w:type="dxa"/>
            <w:vAlign w:val="bottom"/>
            <w:shd w:val="clear" w:color="auto" w:fill="AAAAAA"/>
          </w:tcPr>
          <w:p>
            <w:pPr>
              <w:spacing w:after="0"/>
              <w:rPr>
                <w:sz w:val="16"/>
                <w:szCs w:val="16"/>
                <w:color w:val="auto"/>
              </w:rPr>
            </w:pPr>
          </w:p>
        </w:tc>
        <w:tc>
          <w:tcPr>
            <w:tcW w:w="8080" w:type="dxa"/>
            <w:vAlign w:val="bottom"/>
          </w:tcPr>
          <w:p>
            <w:pPr>
              <w:ind w:left="560"/>
              <w:spacing w:after="0" w:line="189" w:lineRule="exact"/>
              <w:rPr>
                <w:sz w:val="20"/>
                <w:szCs w:val="20"/>
                <w:color w:val="auto"/>
              </w:rPr>
            </w:pPr>
            <w:r>
              <w:rPr>
                <w:rFonts w:ascii="Arial" w:cs="Arial" w:eastAsia="Arial" w:hAnsi="Arial"/>
                <w:sz w:val="17"/>
                <w:szCs w:val="17"/>
                <w:color w:val="auto"/>
              </w:rPr>
              <w:t>included in 2015 compensation for our NEOs reflect the payouts earned for the first half of the</w:t>
            </w:r>
          </w:p>
        </w:tc>
      </w:tr>
      <w:tr>
        <w:trPr>
          <w:trHeight w:val="189"/>
        </w:trPr>
        <w:tc>
          <w:tcPr>
            <w:tcW w:w="3340" w:type="dxa"/>
            <w:vAlign w:val="bottom"/>
            <w:shd w:val="clear" w:color="auto" w:fill="AAAAAA"/>
          </w:tcPr>
          <w:p>
            <w:pPr>
              <w:spacing w:after="0"/>
              <w:rPr>
                <w:sz w:val="16"/>
                <w:szCs w:val="16"/>
                <w:color w:val="auto"/>
              </w:rPr>
            </w:pPr>
          </w:p>
        </w:tc>
        <w:tc>
          <w:tcPr>
            <w:tcW w:w="8080" w:type="dxa"/>
            <w:vAlign w:val="bottom"/>
          </w:tcPr>
          <w:p>
            <w:pPr>
              <w:ind w:left="560"/>
              <w:spacing w:after="0" w:line="189" w:lineRule="exact"/>
              <w:rPr>
                <w:sz w:val="20"/>
                <w:szCs w:val="20"/>
                <w:color w:val="auto"/>
              </w:rPr>
            </w:pPr>
            <w:r>
              <w:rPr>
                <w:rFonts w:ascii="Arial" w:cs="Arial" w:eastAsia="Arial" w:hAnsi="Arial"/>
                <w:sz w:val="17"/>
                <w:szCs w:val="17"/>
                <w:color w:val="auto"/>
              </w:rPr>
              <w:t>performance period and determined at the time of the spinoff on June 30, 2014. There was no</w:t>
            </w:r>
          </w:p>
        </w:tc>
      </w:tr>
      <w:tr>
        <w:trPr>
          <w:trHeight w:val="189"/>
        </w:trPr>
        <w:tc>
          <w:tcPr>
            <w:tcW w:w="3340" w:type="dxa"/>
            <w:vAlign w:val="bottom"/>
            <w:shd w:val="clear" w:color="auto" w:fill="AAAAAA"/>
          </w:tcPr>
          <w:p>
            <w:pPr>
              <w:spacing w:after="0"/>
              <w:rPr>
                <w:sz w:val="16"/>
                <w:szCs w:val="16"/>
                <w:color w:val="auto"/>
              </w:rPr>
            </w:pPr>
          </w:p>
        </w:tc>
        <w:tc>
          <w:tcPr>
            <w:tcW w:w="8080" w:type="dxa"/>
            <w:vAlign w:val="bottom"/>
          </w:tcPr>
          <w:p>
            <w:pPr>
              <w:ind w:left="560"/>
              <w:spacing w:after="0" w:line="189" w:lineRule="exact"/>
              <w:rPr>
                <w:sz w:val="20"/>
                <w:szCs w:val="20"/>
                <w:color w:val="auto"/>
              </w:rPr>
            </w:pPr>
            <w:r>
              <w:rPr>
                <w:rFonts w:ascii="Arial" w:cs="Arial" w:eastAsia="Arial" w:hAnsi="Arial"/>
                <w:sz w:val="17"/>
                <w:szCs w:val="17"/>
                <w:color w:val="auto"/>
              </w:rPr>
              <w:t>payout earned for the strategic performance shares granted in August 2014 for the second half of</w:t>
            </w:r>
          </w:p>
        </w:tc>
      </w:tr>
      <w:tr>
        <w:trPr>
          <w:trHeight w:val="189"/>
        </w:trPr>
        <w:tc>
          <w:tcPr>
            <w:tcW w:w="3340" w:type="dxa"/>
            <w:vAlign w:val="bottom"/>
            <w:shd w:val="clear" w:color="auto" w:fill="AAAAAA"/>
          </w:tcPr>
          <w:p>
            <w:pPr>
              <w:spacing w:after="0"/>
              <w:rPr>
                <w:sz w:val="16"/>
                <w:szCs w:val="16"/>
                <w:color w:val="auto"/>
              </w:rPr>
            </w:pPr>
          </w:p>
        </w:tc>
        <w:tc>
          <w:tcPr>
            <w:tcW w:w="8080" w:type="dxa"/>
            <w:vAlign w:val="bottom"/>
          </w:tcPr>
          <w:p>
            <w:pPr>
              <w:ind w:left="560"/>
              <w:spacing w:after="0" w:line="189" w:lineRule="exact"/>
              <w:rPr>
                <w:sz w:val="20"/>
                <w:szCs w:val="20"/>
                <w:color w:val="auto"/>
              </w:rPr>
            </w:pPr>
            <w:r>
              <w:rPr>
                <w:rFonts w:ascii="Arial" w:cs="Arial" w:eastAsia="Arial" w:hAnsi="Arial"/>
                <w:sz w:val="17"/>
                <w:szCs w:val="17"/>
                <w:color w:val="auto"/>
              </w:rPr>
              <w:t>the 2013-2015 performance period. Consequently, the effective payout for strategic performance</w:t>
            </w:r>
          </w:p>
        </w:tc>
      </w:tr>
      <w:tr>
        <w:trPr>
          <w:trHeight w:val="195"/>
        </w:trPr>
        <w:tc>
          <w:tcPr>
            <w:tcW w:w="3340" w:type="dxa"/>
            <w:vAlign w:val="bottom"/>
            <w:tcBorders>
              <w:bottom w:val="single" w:sz="8" w:color="auto"/>
            </w:tcBorders>
            <w:shd w:val="clear" w:color="auto" w:fill="AAAAAA"/>
          </w:tcPr>
          <w:p>
            <w:pPr>
              <w:spacing w:after="0"/>
              <w:rPr>
                <w:sz w:val="16"/>
                <w:szCs w:val="16"/>
                <w:color w:val="auto"/>
              </w:rPr>
            </w:pPr>
          </w:p>
        </w:tc>
        <w:tc>
          <w:tcPr>
            <w:tcW w:w="8080" w:type="dxa"/>
            <w:vAlign w:val="bottom"/>
            <w:tcBorders>
              <w:bottom w:val="single" w:sz="8" w:color="auto"/>
            </w:tcBorders>
          </w:tcPr>
          <w:p>
            <w:pPr>
              <w:ind w:left="560"/>
              <w:spacing w:after="0"/>
              <w:rPr>
                <w:sz w:val="20"/>
                <w:szCs w:val="20"/>
                <w:color w:val="auto"/>
              </w:rPr>
            </w:pPr>
            <w:r>
              <w:rPr>
                <w:rFonts w:ascii="Arial" w:cs="Arial" w:eastAsia="Arial" w:hAnsi="Arial"/>
                <w:sz w:val="17"/>
                <w:szCs w:val="17"/>
                <w:color w:val="auto"/>
              </w:rPr>
              <w:t>shares granted for the 2013-2015 performance period plan was 47% of target.</w:t>
            </w:r>
          </w:p>
        </w:tc>
      </w:tr>
      <w:tr>
        <w:trPr>
          <w:trHeight w:val="156"/>
        </w:trPr>
        <w:tc>
          <w:tcPr>
            <w:tcW w:w="3340" w:type="dxa"/>
            <w:vAlign w:val="bottom"/>
            <w:shd w:val="clear" w:color="auto" w:fill="AAAAAA"/>
          </w:tcPr>
          <w:p>
            <w:pPr>
              <w:spacing w:after="0" w:line="157" w:lineRule="exact"/>
              <w:rPr>
                <w:sz w:val="20"/>
                <w:szCs w:val="20"/>
                <w:color w:val="auto"/>
              </w:rPr>
            </w:pPr>
            <w:r>
              <w:rPr>
                <w:rFonts w:ascii="Arial" w:cs="Arial" w:eastAsia="Arial" w:hAnsi="Arial"/>
                <w:sz w:val="17"/>
                <w:szCs w:val="17"/>
                <w:b w:val="1"/>
                <w:bCs w:val="1"/>
                <w:color w:val="auto"/>
              </w:rPr>
              <w:t>Program Updates</w:t>
            </w:r>
          </w:p>
        </w:tc>
        <w:tc>
          <w:tcPr>
            <w:tcW w:w="8080" w:type="dxa"/>
            <w:vAlign w:val="bottom"/>
          </w:tcPr>
          <w:p>
            <w:pPr>
              <w:ind w:left="560"/>
              <w:spacing w:after="0" w:line="157" w:lineRule="exact"/>
              <w:rPr>
                <w:sz w:val="20"/>
                <w:szCs w:val="20"/>
                <w:color w:val="auto"/>
              </w:rPr>
            </w:pPr>
            <w:r>
              <w:rPr>
                <w:rFonts w:ascii="Arial" w:cs="Arial" w:eastAsia="Arial" w:hAnsi="Arial"/>
                <w:sz w:val="17"/>
                <w:szCs w:val="17"/>
                <w:b w:val="1"/>
                <w:bCs w:val="1"/>
                <w:color w:val="auto"/>
              </w:rPr>
              <w:t>A New Long-Term Incentive Program Design for 2015</w:t>
            </w:r>
          </w:p>
        </w:tc>
      </w:tr>
      <w:tr>
        <w:trPr>
          <w:trHeight w:val="189"/>
        </w:trPr>
        <w:tc>
          <w:tcPr>
            <w:tcW w:w="3340" w:type="dxa"/>
            <w:vAlign w:val="bottom"/>
            <w:shd w:val="clear" w:color="auto" w:fill="AAAAAA"/>
          </w:tcPr>
          <w:p>
            <w:pPr>
              <w:spacing w:after="0" w:line="189" w:lineRule="exact"/>
              <w:rPr>
                <w:sz w:val="20"/>
                <w:szCs w:val="20"/>
                <w:color w:val="auto"/>
              </w:rPr>
            </w:pPr>
            <w:r>
              <w:rPr>
                <w:rFonts w:ascii="Arial" w:cs="Arial" w:eastAsia="Arial" w:hAnsi="Arial"/>
                <w:sz w:val="17"/>
                <w:szCs w:val="17"/>
                <w:b w:val="1"/>
                <w:bCs w:val="1"/>
                <w:color w:val="auto"/>
              </w:rPr>
              <w:t>Implemented at the</w:t>
            </w:r>
          </w:p>
        </w:tc>
        <w:tc>
          <w:tcPr>
            <w:tcW w:w="8080" w:type="dxa"/>
            <w:vAlign w:val="bottom"/>
          </w:tcPr>
          <w:p>
            <w:pPr>
              <w:ind w:left="560"/>
              <w:spacing w:after="0" w:line="189" w:lineRule="exact"/>
              <w:rPr>
                <w:sz w:val="20"/>
                <w:szCs w:val="20"/>
                <w:color w:val="auto"/>
              </w:rPr>
            </w:pPr>
            <w:r>
              <w:rPr>
                <w:rFonts w:ascii="Arial" w:cs="Arial" w:eastAsia="Arial" w:hAnsi="Arial"/>
                <w:sz w:val="17"/>
                <w:szCs w:val="17"/>
                <w:color w:val="auto"/>
              </w:rPr>
              <w:t>As a new independent company and in consideration of our objectives and philosophies, in 2015</w:t>
            </w:r>
          </w:p>
        </w:tc>
      </w:tr>
      <w:tr>
        <w:trPr>
          <w:trHeight w:val="209"/>
        </w:trPr>
        <w:tc>
          <w:tcPr>
            <w:tcW w:w="3340" w:type="dxa"/>
            <w:vAlign w:val="bottom"/>
            <w:shd w:val="clear" w:color="auto" w:fill="AAAAAA"/>
          </w:tcPr>
          <w:p>
            <w:pPr>
              <w:spacing w:after="0"/>
              <w:rPr>
                <w:sz w:val="20"/>
                <w:szCs w:val="20"/>
                <w:color w:val="auto"/>
              </w:rPr>
            </w:pPr>
            <w:r>
              <w:rPr>
                <w:rFonts w:ascii="Arial" w:cs="Arial" w:eastAsia="Arial" w:hAnsi="Arial"/>
                <w:sz w:val="17"/>
                <w:szCs w:val="17"/>
                <w:b w:val="1"/>
                <w:bCs w:val="1"/>
                <w:color w:val="auto"/>
              </w:rPr>
              <w:t>Beginning of 2015</w:t>
            </w:r>
          </w:p>
        </w:tc>
        <w:tc>
          <w:tcPr>
            <w:tcW w:w="8080" w:type="dxa"/>
            <w:vAlign w:val="bottom"/>
          </w:tcPr>
          <w:p>
            <w:pPr>
              <w:ind w:left="560"/>
              <w:spacing w:after="0"/>
              <w:rPr>
                <w:sz w:val="20"/>
                <w:szCs w:val="20"/>
                <w:color w:val="auto"/>
              </w:rPr>
            </w:pPr>
            <w:r>
              <w:rPr>
                <w:rFonts w:ascii="Arial" w:cs="Arial" w:eastAsia="Arial" w:hAnsi="Arial"/>
                <w:sz w:val="17"/>
                <w:szCs w:val="17"/>
                <w:color w:val="auto"/>
              </w:rPr>
              <w:t>we granted a mix of performance shares, stock options and time-vested restricted stock units to</w:t>
            </w:r>
          </w:p>
        </w:tc>
      </w:tr>
      <w:tr>
        <w:trPr>
          <w:trHeight w:val="205"/>
        </w:trPr>
        <w:tc>
          <w:tcPr>
            <w:tcW w:w="3340" w:type="dxa"/>
            <w:vAlign w:val="bottom"/>
            <w:shd w:val="clear" w:color="auto" w:fill="AAAAAA"/>
          </w:tcPr>
          <w:p>
            <w:pPr>
              <w:spacing w:after="0"/>
              <w:rPr>
                <w:sz w:val="17"/>
                <w:szCs w:val="17"/>
                <w:color w:val="auto"/>
              </w:rPr>
            </w:pPr>
          </w:p>
        </w:tc>
        <w:tc>
          <w:tcPr>
            <w:tcW w:w="8080" w:type="dxa"/>
            <w:vAlign w:val="bottom"/>
          </w:tcPr>
          <w:p>
            <w:pPr>
              <w:ind w:left="560"/>
              <w:spacing w:after="0"/>
              <w:rPr>
                <w:sz w:val="20"/>
                <w:szCs w:val="20"/>
                <w:color w:val="auto"/>
              </w:rPr>
            </w:pPr>
            <w:r>
              <w:rPr>
                <w:rFonts w:ascii="Arial" w:cs="Arial" w:eastAsia="Arial" w:hAnsi="Arial"/>
                <w:sz w:val="17"/>
                <w:szCs w:val="17"/>
                <w:color w:val="auto"/>
              </w:rPr>
              <w:t>reward executives for attainment of specified medium- and long-term corporate performance goals.</w:t>
            </w:r>
          </w:p>
        </w:tc>
      </w:tr>
      <w:tr>
        <w:trPr>
          <w:trHeight w:val="376"/>
        </w:trPr>
        <w:tc>
          <w:tcPr>
            <w:tcW w:w="3340" w:type="dxa"/>
            <w:vAlign w:val="bottom"/>
            <w:shd w:val="clear" w:color="auto" w:fill="AAAAAA"/>
          </w:tcPr>
          <w:p>
            <w:pPr>
              <w:spacing w:after="0"/>
              <w:rPr>
                <w:sz w:val="24"/>
                <w:szCs w:val="24"/>
                <w:color w:val="auto"/>
              </w:rPr>
            </w:pPr>
          </w:p>
        </w:tc>
        <w:tc>
          <w:tcPr>
            <w:tcW w:w="8080" w:type="dxa"/>
            <w:vAlign w:val="bottom"/>
          </w:tcPr>
          <w:p>
            <w:pPr>
              <w:ind w:left="560"/>
              <w:spacing w:after="0"/>
              <w:rPr>
                <w:sz w:val="20"/>
                <w:szCs w:val="20"/>
                <w:color w:val="auto"/>
              </w:rPr>
            </w:pPr>
            <w:r>
              <w:rPr>
                <w:rFonts w:ascii="Arial" w:cs="Arial" w:eastAsia="Arial" w:hAnsi="Arial"/>
                <w:sz w:val="17"/>
                <w:szCs w:val="17"/>
                <w:color w:val="auto"/>
              </w:rPr>
              <w:t>Performance shares are performance-based restricted stock units, with vesting and the number of</w:t>
            </w:r>
          </w:p>
        </w:tc>
      </w:tr>
      <w:tr>
        <w:trPr>
          <w:trHeight w:val="189"/>
        </w:trPr>
        <w:tc>
          <w:tcPr>
            <w:tcW w:w="3340" w:type="dxa"/>
            <w:vAlign w:val="bottom"/>
            <w:shd w:val="clear" w:color="auto" w:fill="AAAAAA"/>
          </w:tcPr>
          <w:p>
            <w:pPr>
              <w:spacing w:after="0"/>
              <w:rPr>
                <w:sz w:val="16"/>
                <w:szCs w:val="16"/>
                <w:color w:val="auto"/>
              </w:rPr>
            </w:pPr>
          </w:p>
        </w:tc>
        <w:tc>
          <w:tcPr>
            <w:tcW w:w="8080" w:type="dxa"/>
            <w:vAlign w:val="bottom"/>
          </w:tcPr>
          <w:p>
            <w:pPr>
              <w:ind w:left="560"/>
              <w:spacing w:after="0" w:line="189" w:lineRule="exact"/>
              <w:rPr>
                <w:sz w:val="20"/>
                <w:szCs w:val="20"/>
                <w:color w:val="auto"/>
              </w:rPr>
            </w:pPr>
            <w:r>
              <w:rPr>
                <w:rFonts w:ascii="Arial" w:cs="Arial" w:eastAsia="Arial" w:hAnsi="Arial"/>
                <w:sz w:val="17"/>
                <w:szCs w:val="17"/>
                <w:color w:val="auto"/>
              </w:rPr>
              <w:t>shares received contingent upon the achievement of specified performance objectives over a three-</w:t>
            </w:r>
          </w:p>
        </w:tc>
      </w:tr>
      <w:tr>
        <w:trPr>
          <w:trHeight w:val="189"/>
        </w:trPr>
        <w:tc>
          <w:tcPr>
            <w:tcW w:w="3340" w:type="dxa"/>
            <w:vAlign w:val="bottom"/>
            <w:shd w:val="clear" w:color="auto" w:fill="AAAAAA"/>
          </w:tcPr>
          <w:p>
            <w:pPr>
              <w:spacing w:after="0"/>
              <w:rPr>
                <w:sz w:val="16"/>
                <w:szCs w:val="16"/>
                <w:color w:val="auto"/>
              </w:rPr>
            </w:pPr>
          </w:p>
        </w:tc>
        <w:tc>
          <w:tcPr>
            <w:tcW w:w="8080" w:type="dxa"/>
            <w:vAlign w:val="bottom"/>
          </w:tcPr>
          <w:p>
            <w:pPr>
              <w:ind w:left="560"/>
              <w:spacing w:after="0" w:line="189" w:lineRule="exact"/>
              <w:rPr>
                <w:sz w:val="20"/>
                <w:szCs w:val="20"/>
                <w:color w:val="auto"/>
              </w:rPr>
            </w:pPr>
            <w:r>
              <w:rPr>
                <w:rFonts w:ascii="Arial" w:cs="Arial" w:eastAsia="Arial" w:hAnsi="Arial"/>
                <w:sz w:val="17"/>
                <w:szCs w:val="17"/>
                <w:color w:val="auto"/>
              </w:rPr>
              <w:t>year period. Performance shares serve to both reward and retain executives, as the number of</w:t>
            </w:r>
          </w:p>
        </w:tc>
      </w:tr>
      <w:tr>
        <w:trPr>
          <w:trHeight w:val="189"/>
        </w:trPr>
        <w:tc>
          <w:tcPr>
            <w:tcW w:w="3340" w:type="dxa"/>
            <w:vAlign w:val="bottom"/>
            <w:shd w:val="clear" w:color="auto" w:fill="AAAAAA"/>
          </w:tcPr>
          <w:p>
            <w:pPr>
              <w:spacing w:after="0"/>
              <w:rPr>
                <w:sz w:val="16"/>
                <w:szCs w:val="16"/>
                <w:color w:val="auto"/>
              </w:rPr>
            </w:pPr>
          </w:p>
        </w:tc>
        <w:tc>
          <w:tcPr>
            <w:tcW w:w="8080" w:type="dxa"/>
            <w:vAlign w:val="bottom"/>
          </w:tcPr>
          <w:p>
            <w:pPr>
              <w:ind w:left="560"/>
              <w:spacing w:after="0" w:line="189" w:lineRule="exact"/>
              <w:rPr>
                <w:sz w:val="20"/>
                <w:szCs w:val="20"/>
                <w:color w:val="auto"/>
              </w:rPr>
            </w:pPr>
            <w:r>
              <w:rPr>
                <w:rFonts w:ascii="Arial" w:cs="Arial" w:eastAsia="Arial" w:hAnsi="Arial"/>
                <w:sz w:val="17"/>
                <w:szCs w:val="17"/>
                <w:color w:val="auto"/>
              </w:rPr>
              <w:t>shares awarded and ultimate value of the earned award are linked to performance and the stock</w:t>
            </w:r>
          </w:p>
        </w:tc>
      </w:tr>
      <w:tr>
        <w:trPr>
          <w:trHeight w:val="205"/>
        </w:trPr>
        <w:tc>
          <w:tcPr>
            <w:tcW w:w="3340" w:type="dxa"/>
            <w:vAlign w:val="bottom"/>
            <w:shd w:val="clear" w:color="auto" w:fill="AAAAAA"/>
          </w:tcPr>
          <w:p>
            <w:pPr>
              <w:spacing w:after="0"/>
              <w:rPr>
                <w:sz w:val="17"/>
                <w:szCs w:val="17"/>
                <w:color w:val="auto"/>
              </w:rPr>
            </w:pPr>
          </w:p>
        </w:tc>
        <w:tc>
          <w:tcPr>
            <w:tcW w:w="8080" w:type="dxa"/>
            <w:vAlign w:val="bottom"/>
          </w:tcPr>
          <w:p>
            <w:pPr>
              <w:ind w:left="560"/>
              <w:spacing w:after="0"/>
              <w:rPr>
                <w:sz w:val="20"/>
                <w:szCs w:val="20"/>
                <w:color w:val="auto"/>
              </w:rPr>
            </w:pPr>
            <w:r>
              <w:rPr>
                <w:rFonts w:ascii="Arial" w:cs="Arial" w:eastAsia="Arial" w:hAnsi="Arial"/>
                <w:sz w:val="17"/>
                <w:szCs w:val="17"/>
                <w:color w:val="auto"/>
              </w:rPr>
              <w:t>price when the shares vest.</w:t>
            </w:r>
          </w:p>
        </w:tc>
      </w:tr>
      <w:tr>
        <w:trPr>
          <w:trHeight w:val="376"/>
        </w:trPr>
        <w:tc>
          <w:tcPr>
            <w:tcW w:w="3340" w:type="dxa"/>
            <w:vAlign w:val="bottom"/>
            <w:shd w:val="clear" w:color="auto" w:fill="AAAAAA"/>
          </w:tcPr>
          <w:p>
            <w:pPr>
              <w:spacing w:after="0"/>
              <w:rPr>
                <w:sz w:val="24"/>
                <w:szCs w:val="24"/>
                <w:color w:val="auto"/>
              </w:rPr>
            </w:pPr>
          </w:p>
        </w:tc>
        <w:tc>
          <w:tcPr>
            <w:tcW w:w="8080" w:type="dxa"/>
            <w:vAlign w:val="bottom"/>
          </w:tcPr>
          <w:p>
            <w:pPr>
              <w:ind w:left="560"/>
              <w:spacing w:after="0"/>
              <w:rPr>
                <w:sz w:val="20"/>
                <w:szCs w:val="20"/>
                <w:color w:val="auto"/>
              </w:rPr>
            </w:pPr>
            <w:r>
              <w:rPr>
                <w:rFonts w:ascii="Arial" w:cs="Arial" w:eastAsia="Arial" w:hAnsi="Arial"/>
                <w:sz w:val="17"/>
                <w:szCs w:val="17"/>
                <w:color w:val="auto"/>
              </w:rPr>
              <w:t>The metrics for performance shares granted in 2015 were average ROIC and cumulative EPS for</w:t>
            </w:r>
          </w:p>
        </w:tc>
      </w:tr>
      <w:tr>
        <w:trPr>
          <w:trHeight w:val="189"/>
        </w:trPr>
        <w:tc>
          <w:tcPr>
            <w:tcW w:w="3340" w:type="dxa"/>
            <w:vAlign w:val="bottom"/>
            <w:shd w:val="clear" w:color="auto" w:fill="AAAAAA"/>
          </w:tcPr>
          <w:p>
            <w:pPr>
              <w:spacing w:after="0"/>
              <w:rPr>
                <w:sz w:val="16"/>
                <w:szCs w:val="16"/>
                <w:color w:val="auto"/>
              </w:rPr>
            </w:pPr>
          </w:p>
        </w:tc>
        <w:tc>
          <w:tcPr>
            <w:tcW w:w="8080" w:type="dxa"/>
            <w:vAlign w:val="bottom"/>
          </w:tcPr>
          <w:p>
            <w:pPr>
              <w:ind w:left="560"/>
              <w:spacing w:after="0" w:line="189" w:lineRule="exact"/>
              <w:rPr>
                <w:sz w:val="20"/>
                <w:szCs w:val="20"/>
                <w:color w:val="auto"/>
              </w:rPr>
            </w:pPr>
            <w:r>
              <w:rPr>
                <w:rFonts w:ascii="Arial" w:cs="Arial" w:eastAsia="Arial" w:hAnsi="Arial"/>
                <w:sz w:val="17"/>
                <w:szCs w:val="17"/>
                <w:color w:val="auto"/>
              </w:rPr>
              <w:t>the three-year performance period. The Compensation Committee believes these metrics are key</w:t>
            </w:r>
          </w:p>
        </w:tc>
      </w:tr>
      <w:tr>
        <w:trPr>
          <w:trHeight w:val="189"/>
        </w:trPr>
        <w:tc>
          <w:tcPr>
            <w:tcW w:w="3340" w:type="dxa"/>
            <w:vAlign w:val="bottom"/>
            <w:shd w:val="clear" w:color="auto" w:fill="AAAAAA"/>
          </w:tcPr>
          <w:p>
            <w:pPr>
              <w:spacing w:after="0"/>
              <w:rPr>
                <w:sz w:val="16"/>
                <w:szCs w:val="16"/>
                <w:color w:val="auto"/>
              </w:rPr>
            </w:pPr>
          </w:p>
        </w:tc>
        <w:tc>
          <w:tcPr>
            <w:tcW w:w="8080" w:type="dxa"/>
            <w:vAlign w:val="bottom"/>
          </w:tcPr>
          <w:p>
            <w:pPr>
              <w:ind w:left="560"/>
              <w:spacing w:after="0" w:line="189" w:lineRule="exact"/>
              <w:rPr>
                <w:sz w:val="20"/>
                <w:szCs w:val="20"/>
                <w:color w:val="auto"/>
              </w:rPr>
            </w:pPr>
            <w:r>
              <w:rPr>
                <w:rFonts w:ascii="Arial" w:cs="Arial" w:eastAsia="Arial" w:hAnsi="Arial"/>
                <w:sz w:val="17"/>
                <w:szCs w:val="17"/>
                <w:color w:val="auto"/>
              </w:rPr>
              <w:t>components of shareholder value creation and are highly correlated to achievement of the</w:t>
            </w:r>
          </w:p>
        </w:tc>
      </w:tr>
      <w:tr>
        <w:trPr>
          <w:trHeight w:val="205"/>
        </w:trPr>
        <w:tc>
          <w:tcPr>
            <w:tcW w:w="3340" w:type="dxa"/>
            <w:vAlign w:val="bottom"/>
            <w:shd w:val="clear" w:color="auto" w:fill="AAAAAA"/>
          </w:tcPr>
          <w:p>
            <w:pPr>
              <w:spacing w:after="0"/>
              <w:rPr>
                <w:sz w:val="17"/>
                <w:szCs w:val="17"/>
                <w:color w:val="auto"/>
              </w:rPr>
            </w:pPr>
          </w:p>
        </w:tc>
        <w:tc>
          <w:tcPr>
            <w:tcW w:w="8080" w:type="dxa"/>
            <w:vAlign w:val="bottom"/>
          </w:tcPr>
          <w:p>
            <w:pPr>
              <w:ind w:left="560"/>
              <w:spacing w:after="0"/>
              <w:rPr>
                <w:sz w:val="20"/>
                <w:szCs w:val="20"/>
                <w:color w:val="auto"/>
              </w:rPr>
            </w:pPr>
            <w:r>
              <w:rPr>
                <w:rFonts w:ascii="Arial" w:cs="Arial" w:eastAsia="Arial" w:hAnsi="Arial"/>
                <w:sz w:val="17"/>
                <w:szCs w:val="17"/>
                <w:color w:val="auto"/>
              </w:rPr>
              <w:t>Company’s business strategy.</w:t>
            </w:r>
          </w:p>
        </w:tc>
      </w:tr>
      <w:tr>
        <w:trPr>
          <w:trHeight w:val="376"/>
        </w:trPr>
        <w:tc>
          <w:tcPr>
            <w:tcW w:w="3340" w:type="dxa"/>
            <w:vAlign w:val="bottom"/>
            <w:shd w:val="clear" w:color="auto" w:fill="AAAAAA"/>
          </w:tcPr>
          <w:p>
            <w:pPr>
              <w:spacing w:after="0"/>
              <w:rPr>
                <w:sz w:val="24"/>
                <w:szCs w:val="24"/>
                <w:color w:val="auto"/>
              </w:rPr>
            </w:pPr>
          </w:p>
        </w:tc>
        <w:tc>
          <w:tcPr>
            <w:tcW w:w="8080" w:type="dxa"/>
            <w:vAlign w:val="bottom"/>
          </w:tcPr>
          <w:p>
            <w:pPr>
              <w:ind w:left="560"/>
              <w:spacing w:after="0"/>
              <w:rPr>
                <w:sz w:val="20"/>
                <w:szCs w:val="20"/>
                <w:color w:val="auto"/>
              </w:rPr>
            </w:pPr>
            <w:r>
              <w:rPr>
                <w:rFonts w:ascii="Arial" w:cs="Arial" w:eastAsia="Arial" w:hAnsi="Arial"/>
                <w:sz w:val="17"/>
                <w:szCs w:val="17"/>
                <w:color w:val="auto"/>
              </w:rPr>
              <w:t>As shown in the table below, three-quarters of the 2015 long-term incentive value is delivered in</w:t>
            </w:r>
          </w:p>
        </w:tc>
      </w:tr>
      <w:tr>
        <w:trPr>
          <w:trHeight w:val="189"/>
        </w:trPr>
        <w:tc>
          <w:tcPr>
            <w:tcW w:w="3340" w:type="dxa"/>
            <w:vAlign w:val="bottom"/>
            <w:shd w:val="clear" w:color="auto" w:fill="AAAAAA"/>
          </w:tcPr>
          <w:p>
            <w:pPr>
              <w:spacing w:after="0"/>
              <w:rPr>
                <w:sz w:val="16"/>
                <w:szCs w:val="16"/>
                <w:color w:val="auto"/>
              </w:rPr>
            </w:pPr>
          </w:p>
        </w:tc>
        <w:tc>
          <w:tcPr>
            <w:tcW w:w="8080" w:type="dxa"/>
            <w:vAlign w:val="bottom"/>
          </w:tcPr>
          <w:p>
            <w:pPr>
              <w:ind w:left="560"/>
              <w:spacing w:after="0" w:line="189" w:lineRule="exact"/>
              <w:rPr>
                <w:sz w:val="20"/>
                <w:szCs w:val="20"/>
                <w:color w:val="auto"/>
              </w:rPr>
            </w:pPr>
            <w:r>
              <w:rPr>
                <w:rFonts w:ascii="Arial" w:cs="Arial" w:eastAsia="Arial" w:hAnsi="Arial"/>
                <w:sz w:val="17"/>
                <w:szCs w:val="17"/>
                <w:color w:val="auto"/>
              </w:rPr>
              <w:t>performance-based awards for most TimkenSteel NEOs. The Chief Executive Officer’s long-term</w:t>
            </w:r>
          </w:p>
        </w:tc>
      </w:tr>
      <w:tr>
        <w:trPr>
          <w:trHeight w:val="207"/>
        </w:trPr>
        <w:tc>
          <w:tcPr>
            <w:tcW w:w="3340" w:type="dxa"/>
            <w:vAlign w:val="bottom"/>
            <w:tcBorders>
              <w:bottom w:val="single" w:sz="8" w:color="auto"/>
            </w:tcBorders>
            <w:shd w:val="clear" w:color="auto" w:fill="AAAAAA"/>
          </w:tcPr>
          <w:p>
            <w:pPr>
              <w:spacing w:after="0"/>
              <w:rPr>
                <w:sz w:val="17"/>
                <w:szCs w:val="17"/>
                <w:color w:val="auto"/>
              </w:rPr>
            </w:pPr>
          </w:p>
        </w:tc>
        <w:tc>
          <w:tcPr>
            <w:tcW w:w="8080" w:type="dxa"/>
            <w:vAlign w:val="bottom"/>
            <w:tcBorders>
              <w:bottom w:val="single" w:sz="8" w:color="auto"/>
            </w:tcBorders>
          </w:tcPr>
          <w:p>
            <w:pPr>
              <w:ind w:left="560"/>
              <w:spacing w:after="0"/>
              <w:rPr>
                <w:sz w:val="20"/>
                <w:szCs w:val="20"/>
                <w:color w:val="auto"/>
              </w:rPr>
            </w:pPr>
            <w:r>
              <w:rPr>
                <w:rFonts w:ascii="Arial" w:cs="Arial" w:eastAsia="Arial" w:hAnsi="Arial"/>
                <w:sz w:val="17"/>
                <w:szCs w:val="17"/>
                <w:color w:val="auto"/>
              </w:rPr>
              <w:t>incentive is completely performance-</w:t>
            </w:r>
          </w:p>
        </w:tc>
      </w:tr>
      <w:tr>
        <w:trPr>
          <w:trHeight w:val="321"/>
        </w:trPr>
        <w:tc>
          <w:tcPr>
            <w:tcW w:w="3340" w:type="dxa"/>
            <w:vAlign w:val="bottom"/>
          </w:tcPr>
          <w:p>
            <w:pPr>
              <w:spacing w:after="0"/>
              <w:rPr>
                <w:sz w:val="24"/>
                <w:szCs w:val="24"/>
                <w:color w:val="auto"/>
              </w:rPr>
            </w:pPr>
          </w:p>
        </w:tc>
        <w:tc>
          <w:tcPr>
            <w:tcW w:w="8080" w:type="dxa"/>
            <w:vAlign w:val="bottom"/>
          </w:tcPr>
          <w:p>
            <w:pPr>
              <w:ind w:left="7840"/>
              <w:spacing w:after="0"/>
              <w:rPr>
                <w:sz w:val="20"/>
                <w:szCs w:val="20"/>
                <w:color w:val="auto"/>
              </w:rPr>
            </w:pPr>
            <w:r>
              <w:rPr>
                <w:rFonts w:ascii="Arial" w:cs="Arial" w:eastAsia="Arial" w:hAnsi="Arial"/>
                <w:sz w:val="14"/>
                <w:szCs w:val="14"/>
                <w:color w:val="auto"/>
              </w:rPr>
              <w:t>25</w:t>
            </w:r>
          </w:p>
        </w:tc>
      </w:tr>
    </w:tbl>
    <w:p>
      <w:pPr>
        <w:sectPr>
          <w:pgSz w:w="11900" w:h="16838" w:orient="portrait"/>
          <w:cols w:equalWidth="0" w:num="1">
            <w:col w:w="11420"/>
          </w:cols>
          <w:pgMar w:left="240" w:top="459" w:right="239" w:bottom="1440" w:gutter="0" w:footer="0" w:header="0"/>
        </w:sectPr>
      </w:pPr>
    </w:p>
    <w:bookmarkStart w:id="31" w:name="page32"/>
    <w:bookmarkEnd w:id="31"/>
    <w:p>
      <w:pPr>
        <w:spacing w:after="0"/>
        <w:rPr>
          <w:rFonts w:ascii="Arial" w:cs="Arial" w:eastAsia="Arial" w:hAnsi="Arial"/>
          <w:sz w:val="16"/>
          <w:szCs w:val="16"/>
          <w:b w:val="1"/>
          <w:bCs w:val="1"/>
          <w:u w:val="single" w:color="auto"/>
          <w:color w:val="0000EE"/>
        </w:rPr>
      </w:pPr>
      <w:r>
        <w:rPr>
          <w:rFonts w:ascii="Arial" w:cs="Arial" w:eastAsia="Arial" w:hAnsi="Arial"/>
          <w:sz w:val="16"/>
          <w:szCs w:val="16"/>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1">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4">
        <w:r>
          <w:rPr>
            <w:rFonts w:ascii="Arial" w:cs="Arial" w:eastAsia="Arial" w:hAnsi="Arial"/>
            <w:sz w:val="16"/>
            <w:szCs w:val="16"/>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3109595</wp:posOffset>
            </wp:positionH>
            <wp:positionV relativeFrom="paragraph">
              <wp:posOffset>220345</wp:posOffset>
            </wp:positionV>
            <wp:extent cx="1046480" cy="20574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2">
                      <a:extLst>
                        <a:ext uri="{28A0092B-C50C-407E-A947-70E740481C1C}"/>
                      </a:extLst>
                    </a:blip>
                    <a:srcRect/>
                    <a:stretch>
                      <a:fillRect/>
                    </a:stretch>
                  </pic:blipFill>
                  <pic:spPr bwMode="auto">
                    <a:xfrm>
                      <a:off x="0" y="0"/>
                      <a:ext cx="1046480" cy="205740"/>
                    </a:xfrm>
                    <a:prstGeom prst="rect">
                      <a:avLst/>
                    </a:prstGeom>
                    <a:noFill/>
                  </pic:spPr>
                </pic:pic>
              </a:graphicData>
            </a:graphic>
          </wp:anchor>
        </w:drawing>
      </w:r>
    </w:p>
    <w:p>
      <w:pPr>
        <w:sectPr>
          <w:pgSz w:w="11900" w:h="16838" w:orient="portrait"/>
          <w:cols w:equalWidth="0" w:num="1">
            <w:col w:w="10940"/>
          </w:cols>
          <w:pgMar w:left="240" w:top="459" w:right="71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Program Updates</w:t>
      </w:r>
    </w:p>
    <w:p>
      <w:pPr>
        <w:spacing w:after="0" w:line="7"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Implemented at the</w:t>
      </w:r>
    </w:p>
    <w:p>
      <w:pPr>
        <w:spacing w:after="0"/>
        <w:rPr>
          <w:sz w:val="20"/>
          <w:szCs w:val="20"/>
          <w:color w:val="auto"/>
        </w:rPr>
      </w:pPr>
      <w:r>
        <w:rPr>
          <w:rFonts w:ascii="Arial" w:cs="Arial" w:eastAsia="Arial" w:hAnsi="Arial"/>
          <w:sz w:val="17"/>
          <w:szCs w:val="17"/>
          <w:b w:val="1"/>
          <w:bCs w:val="1"/>
          <w:color w:val="auto"/>
        </w:rPr>
        <w:t>Beginning of 2015</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6" w:lineRule="exact"/>
        <w:rPr>
          <w:sz w:val="20"/>
          <w:szCs w:val="20"/>
          <w:color w:val="auto"/>
        </w:rPr>
      </w:pPr>
    </w:p>
    <w:p>
      <w:pPr>
        <w:jc w:val="both"/>
        <w:ind w:right="260"/>
        <w:spacing w:after="0" w:line="238" w:lineRule="auto"/>
        <w:rPr>
          <w:sz w:val="20"/>
          <w:szCs w:val="20"/>
          <w:color w:val="auto"/>
        </w:rPr>
      </w:pPr>
      <w:r>
        <w:rPr>
          <w:rFonts w:ascii="Arial" w:cs="Arial" w:eastAsia="Arial" w:hAnsi="Arial"/>
          <w:sz w:val="17"/>
          <w:szCs w:val="17"/>
          <w:color w:val="auto"/>
        </w:rPr>
        <w:t>based, reflecting the Compensation Committee’s belief that the CEO is in a unique role and thus his incentive compensation should be entirely linked to achieving specific performance criteria.</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-2394585</wp:posOffset>
            </wp:positionH>
            <wp:positionV relativeFrom="paragraph">
              <wp:posOffset>-381635</wp:posOffset>
            </wp:positionV>
            <wp:extent cx="7246620" cy="280416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3">
                      <a:extLst>
                        <a:ext uri="{28A0092B-C50C-407E-A947-70E740481C1C}"/>
                      </a:extLst>
                    </a:blip>
                    <a:srcRect/>
                    <a:stretch>
                      <a:fillRect/>
                    </a:stretch>
                  </pic:blipFill>
                  <pic:spPr bwMode="auto">
                    <a:xfrm>
                      <a:off x="0" y="0"/>
                      <a:ext cx="7246620" cy="2804160"/>
                    </a:xfrm>
                    <a:prstGeom prst="rect">
                      <a:avLst/>
                    </a:prstGeom>
                    <a:noFill/>
                  </pic:spPr>
                </pic:pic>
              </a:graphicData>
            </a:graphic>
          </wp:anchor>
        </w:drawing>
      </w:r>
    </w:p>
    <w:p>
      <w:pPr>
        <w:ind w:left="2360"/>
        <w:spacing w:after="0"/>
        <w:rPr>
          <w:sz w:val="20"/>
          <w:szCs w:val="20"/>
          <w:color w:val="auto"/>
        </w:rPr>
      </w:pPr>
      <w:r>
        <w:rPr>
          <w:rFonts w:ascii="Arial" w:cs="Arial" w:eastAsia="Arial" w:hAnsi="Arial"/>
          <w:sz w:val="17"/>
          <w:szCs w:val="17"/>
          <w:b w:val="1"/>
          <w:bCs w:val="1"/>
          <w:color w:val="auto"/>
        </w:rPr>
        <w:t>2015 Long-Term Incentive Mix</w:t>
      </w:r>
    </w:p>
    <w:p>
      <w:pPr>
        <w:spacing w:after="0" w:line="11" w:lineRule="exact"/>
        <w:rPr>
          <w:sz w:val="20"/>
          <w:szCs w:val="20"/>
          <w:color w:val="auto"/>
        </w:rPr>
      </w:pPr>
    </w:p>
    <w:tbl>
      <w:tblPr>
        <w:tblLayout w:type="fixed"/>
        <w:tblInd w:w="0" w:type="dxa"/>
        <w:tblCellMar>
          <w:top w:w="0" w:type="dxa"/>
          <w:left w:w="0" w:type="dxa"/>
          <w:bottom w:w="0" w:type="dxa"/>
          <w:right w:w="0" w:type="dxa"/>
        </w:tblCellMar>
      </w:tblPr>
      <w:tr>
        <w:trPr>
          <w:trHeight w:val="196"/>
        </w:trPr>
        <w:tc>
          <w:tcPr>
            <w:tcW w:w="2320" w:type="dxa"/>
            <w:vAlign w:val="bottom"/>
            <w:tcBorders>
              <w:top w:val="single" w:sz="8" w:color="auto"/>
              <w:bottom w:val="single" w:sz="8" w:color="auto"/>
            </w:tcBorders>
          </w:tcPr>
          <w:p>
            <w:pPr>
              <w:spacing w:after="0"/>
              <w:rPr>
                <w:sz w:val="17"/>
                <w:szCs w:val="17"/>
                <w:color w:val="auto"/>
              </w:rPr>
            </w:pPr>
          </w:p>
        </w:tc>
        <w:tc>
          <w:tcPr>
            <w:tcW w:w="3320" w:type="dxa"/>
            <w:vAlign w:val="bottom"/>
            <w:tcBorders>
              <w:top w:val="single" w:sz="8" w:color="auto"/>
              <w:bottom w:val="single" w:sz="8" w:color="auto"/>
            </w:tcBorders>
            <w:gridSpan w:val="2"/>
          </w:tcPr>
          <w:p>
            <w:pPr>
              <w:jc w:val="right"/>
              <w:ind w:right="735"/>
              <w:spacing w:after="0"/>
              <w:rPr>
                <w:sz w:val="20"/>
                <w:szCs w:val="20"/>
                <w:color w:val="auto"/>
              </w:rPr>
            </w:pPr>
            <w:r>
              <w:rPr>
                <w:rFonts w:ascii="Arial" w:cs="Arial" w:eastAsia="Arial" w:hAnsi="Arial"/>
                <w:sz w:val="17"/>
                <w:szCs w:val="17"/>
                <w:b w:val="1"/>
                <w:bCs w:val="1"/>
                <w:color w:val="auto"/>
              </w:rPr>
              <w:t>Performance-Based</w:t>
            </w:r>
          </w:p>
        </w:tc>
        <w:tc>
          <w:tcPr>
            <w:tcW w:w="1520" w:type="dxa"/>
            <w:vAlign w:val="bottom"/>
            <w:tcBorders>
              <w:top w:val="single" w:sz="8" w:color="auto"/>
              <w:bottom w:val="single" w:sz="8" w:color="auto"/>
            </w:tcBorders>
          </w:tcPr>
          <w:p>
            <w:pPr>
              <w:jc w:val="center"/>
              <w:ind w:left="35"/>
              <w:spacing w:after="0"/>
              <w:rPr>
                <w:sz w:val="20"/>
                <w:szCs w:val="20"/>
                <w:color w:val="auto"/>
              </w:rPr>
            </w:pPr>
            <w:r>
              <w:rPr>
                <w:rFonts w:ascii="Arial" w:cs="Arial" w:eastAsia="Arial" w:hAnsi="Arial"/>
                <w:sz w:val="17"/>
                <w:szCs w:val="17"/>
                <w:b w:val="1"/>
                <w:bCs w:val="1"/>
                <w:color w:val="auto"/>
                <w:w w:val="99"/>
              </w:rPr>
              <w:t>Time-Based</w:t>
            </w:r>
          </w:p>
        </w:tc>
        <w:tc>
          <w:tcPr>
            <w:tcW w:w="20" w:type="dxa"/>
            <w:vAlign w:val="bottom"/>
          </w:tcPr>
          <w:p>
            <w:pPr>
              <w:spacing w:after="0"/>
              <w:rPr>
                <w:sz w:val="17"/>
                <w:szCs w:val="17"/>
                <w:color w:val="auto"/>
              </w:rPr>
            </w:pPr>
          </w:p>
        </w:tc>
      </w:tr>
      <w:tr>
        <w:trPr>
          <w:trHeight w:val="170"/>
        </w:trPr>
        <w:tc>
          <w:tcPr>
            <w:tcW w:w="2320" w:type="dxa"/>
            <w:vAlign w:val="bottom"/>
          </w:tcPr>
          <w:p>
            <w:pPr>
              <w:spacing w:after="0"/>
              <w:rPr>
                <w:sz w:val="14"/>
                <w:szCs w:val="14"/>
                <w:color w:val="auto"/>
              </w:rPr>
            </w:pPr>
          </w:p>
        </w:tc>
        <w:tc>
          <w:tcPr>
            <w:tcW w:w="198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1520" w:type="dxa"/>
            <w:vAlign w:val="bottom"/>
          </w:tcPr>
          <w:p>
            <w:pPr>
              <w:jc w:val="center"/>
              <w:ind w:left="35"/>
              <w:spacing w:after="0" w:line="170" w:lineRule="exact"/>
              <w:rPr>
                <w:sz w:val="20"/>
                <w:szCs w:val="20"/>
                <w:color w:val="auto"/>
              </w:rPr>
            </w:pPr>
            <w:r>
              <w:rPr>
                <w:rFonts w:ascii="Arial" w:cs="Arial" w:eastAsia="Arial" w:hAnsi="Arial"/>
                <w:sz w:val="17"/>
                <w:szCs w:val="17"/>
                <w:b w:val="1"/>
                <w:bCs w:val="1"/>
                <w:color w:val="auto"/>
                <w:w w:val="98"/>
              </w:rPr>
              <w:t>Time-Vested</w:t>
            </w:r>
          </w:p>
        </w:tc>
        <w:tc>
          <w:tcPr>
            <w:tcW w:w="20" w:type="dxa"/>
            <w:vAlign w:val="bottom"/>
          </w:tcPr>
          <w:p>
            <w:pPr>
              <w:spacing w:after="0"/>
              <w:rPr>
                <w:sz w:val="14"/>
                <w:szCs w:val="14"/>
                <w:color w:val="auto"/>
              </w:rPr>
            </w:pPr>
          </w:p>
        </w:tc>
      </w:tr>
      <w:tr>
        <w:trPr>
          <w:trHeight w:val="189"/>
        </w:trPr>
        <w:tc>
          <w:tcPr>
            <w:tcW w:w="2320" w:type="dxa"/>
            <w:vAlign w:val="bottom"/>
          </w:tcPr>
          <w:p>
            <w:pPr>
              <w:spacing w:after="0"/>
              <w:rPr>
                <w:sz w:val="16"/>
                <w:szCs w:val="16"/>
                <w:color w:val="auto"/>
              </w:rPr>
            </w:pPr>
          </w:p>
        </w:tc>
        <w:tc>
          <w:tcPr>
            <w:tcW w:w="1980" w:type="dxa"/>
            <w:vAlign w:val="bottom"/>
          </w:tcPr>
          <w:p>
            <w:pPr>
              <w:jc w:val="right"/>
              <w:ind w:right="295"/>
              <w:spacing w:after="0" w:line="189" w:lineRule="exact"/>
              <w:rPr>
                <w:sz w:val="20"/>
                <w:szCs w:val="20"/>
                <w:color w:val="auto"/>
              </w:rPr>
            </w:pPr>
            <w:r>
              <w:rPr>
                <w:rFonts w:ascii="Arial" w:cs="Arial" w:eastAsia="Arial" w:hAnsi="Arial"/>
                <w:sz w:val="17"/>
                <w:szCs w:val="17"/>
                <w:b w:val="1"/>
                <w:bCs w:val="1"/>
                <w:color w:val="auto"/>
              </w:rPr>
              <w:t>Performance</w:t>
            </w:r>
          </w:p>
        </w:tc>
        <w:tc>
          <w:tcPr>
            <w:tcW w:w="1340" w:type="dxa"/>
            <w:vAlign w:val="bottom"/>
          </w:tcPr>
          <w:p>
            <w:pPr>
              <w:jc w:val="right"/>
              <w:ind w:right="475"/>
              <w:spacing w:after="0" w:line="189" w:lineRule="exact"/>
              <w:rPr>
                <w:sz w:val="20"/>
                <w:szCs w:val="20"/>
                <w:color w:val="auto"/>
              </w:rPr>
            </w:pPr>
            <w:r>
              <w:rPr>
                <w:rFonts w:ascii="Arial" w:cs="Arial" w:eastAsia="Arial" w:hAnsi="Arial"/>
                <w:sz w:val="17"/>
                <w:szCs w:val="17"/>
                <w:b w:val="1"/>
                <w:bCs w:val="1"/>
                <w:color w:val="auto"/>
              </w:rPr>
              <w:t>Stock</w:t>
            </w:r>
          </w:p>
        </w:tc>
        <w:tc>
          <w:tcPr>
            <w:tcW w:w="1540" w:type="dxa"/>
            <w:vAlign w:val="bottom"/>
            <w:gridSpan w:val="2"/>
          </w:tcPr>
          <w:p>
            <w:pPr>
              <w:jc w:val="center"/>
              <w:ind w:left="15"/>
              <w:spacing w:after="0" w:line="189" w:lineRule="exact"/>
              <w:rPr>
                <w:sz w:val="20"/>
                <w:szCs w:val="20"/>
                <w:color w:val="auto"/>
              </w:rPr>
            </w:pPr>
            <w:r>
              <w:rPr>
                <w:rFonts w:ascii="Arial" w:cs="Arial" w:eastAsia="Arial" w:hAnsi="Arial"/>
                <w:sz w:val="17"/>
                <w:szCs w:val="17"/>
                <w:b w:val="1"/>
                <w:bCs w:val="1"/>
                <w:color w:val="auto"/>
              </w:rPr>
              <w:t>Restricted</w:t>
            </w:r>
          </w:p>
        </w:tc>
      </w:tr>
      <w:tr>
        <w:trPr>
          <w:trHeight w:val="215"/>
        </w:trPr>
        <w:tc>
          <w:tcPr>
            <w:tcW w:w="2320" w:type="dxa"/>
            <w:vAlign w:val="bottom"/>
            <w:tcBorders>
              <w:bottom w:val="single" w:sz="8" w:color="auto"/>
            </w:tcBorders>
          </w:tcPr>
          <w:p>
            <w:pPr>
              <w:spacing w:after="0"/>
              <w:rPr>
                <w:sz w:val="18"/>
                <w:szCs w:val="18"/>
                <w:color w:val="auto"/>
              </w:rPr>
            </w:pPr>
          </w:p>
        </w:tc>
        <w:tc>
          <w:tcPr>
            <w:tcW w:w="1980" w:type="dxa"/>
            <w:vAlign w:val="bottom"/>
            <w:tcBorders>
              <w:bottom w:val="single" w:sz="8" w:color="auto"/>
            </w:tcBorders>
          </w:tcPr>
          <w:p>
            <w:pPr>
              <w:jc w:val="right"/>
              <w:ind w:right="535"/>
              <w:spacing w:after="0"/>
              <w:rPr>
                <w:sz w:val="20"/>
                <w:szCs w:val="20"/>
                <w:color w:val="auto"/>
              </w:rPr>
            </w:pPr>
            <w:r>
              <w:rPr>
                <w:rFonts w:ascii="Arial" w:cs="Arial" w:eastAsia="Arial" w:hAnsi="Arial"/>
                <w:sz w:val="17"/>
                <w:szCs w:val="17"/>
                <w:b w:val="1"/>
                <w:bCs w:val="1"/>
                <w:color w:val="auto"/>
              </w:rPr>
              <w:t>Shares</w:t>
            </w:r>
          </w:p>
        </w:tc>
        <w:tc>
          <w:tcPr>
            <w:tcW w:w="1340" w:type="dxa"/>
            <w:vAlign w:val="bottom"/>
            <w:tcBorders>
              <w:bottom w:val="single" w:sz="8" w:color="auto"/>
            </w:tcBorders>
          </w:tcPr>
          <w:p>
            <w:pPr>
              <w:jc w:val="right"/>
              <w:ind w:right="395"/>
              <w:spacing w:after="0"/>
              <w:rPr>
                <w:sz w:val="20"/>
                <w:szCs w:val="20"/>
                <w:color w:val="auto"/>
              </w:rPr>
            </w:pPr>
            <w:r>
              <w:rPr>
                <w:rFonts w:ascii="Arial" w:cs="Arial" w:eastAsia="Arial" w:hAnsi="Arial"/>
                <w:sz w:val="17"/>
                <w:szCs w:val="17"/>
                <w:b w:val="1"/>
                <w:bCs w:val="1"/>
                <w:color w:val="auto"/>
              </w:rPr>
              <w:t>Options</w:t>
            </w:r>
          </w:p>
        </w:tc>
        <w:tc>
          <w:tcPr>
            <w:tcW w:w="1520" w:type="dxa"/>
            <w:vAlign w:val="bottom"/>
            <w:tcBorders>
              <w:bottom w:val="single" w:sz="8" w:color="auto"/>
            </w:tcBorders>
          </w:tcPr>
          <w:p>
            <w:pPr>
              <w:jc w:val="center"/>
              <w:ind w:left="15"/>
              <w:spacing w:after="0"/>
              <w:rPr>
                <w:sz w:val="20"/>
                <w:szCs w:val="20"/>
                <w:color w:val="auto"/>
              </w:rPr>
            </w:pPr>
            <w:r>
              <w:rPr>
                <w:rFonts w:ascii="Arial" w:cs="Arial" w:eastAsia="Arial" w:hAnsi="Arial"/>
                <w:sz w:val="17"/>
                <w:szCs w:val="17"/>
                <w:b w:val="1"/>
                <w:bCs w:val="1"/>
                <w:color w:val="auto"/>
              </w:rPr>
              <w:t>Stock Units</w:t>
            </w:r>
          </w:p>
        </w:tc>
        <w:tc>
          <w:tcPr>
            <w:tcW w:w="20" w:type="dxa"/>
            <w:vAlign w:val="bottom"/>
          </w:tcPr>
          <w:p>
            <w:pPr>
              <w:spacing w:after="0"/>
              <w:rPr>
                <w:sz w:val="18"/>
                <w:szCs w:val="18"/>
                <w:color w:val="auto"/>
              </w:rPr>
            </w:pPr>
          </w:p>
        </w:tc>
      </w:tr>
      <w:tr>
        <w:trPr>
          <w:trHeight w:val="190"/>
        </w:trPr>
        <w:tc>
          <w:tcPr>
            <w:tcW w:w="2320" w:type="dxa"/>
            <w:vAlign w:val="bottom"/>
          </w:tcPr>
          <w:p>
            <w:pPr>
              <w:spacing w:after="0" w:line="190" w:lineRule="exact"/>
              <w:rPr>
                <w:sz w:val="20"/>
                <w:szCs w:val="20"/>
                <w:color w:val="auto"/>
              </w:rPr>
            </w:pPr>
            <w:r>
              <w:rPr>
                <w:rFonts w:ascii="Arial" w:cs="Arial" w:eastAsia="Arial" w:hAnsi="Arial"/>
                <w:sz w:val="17"/>
                <w:szCs w:val="17"/>
                <w:color w:val="auto"/>
              </w:rPr>
              <w:t>Chief Executive Officer</w:t>
            </w:r>
          </w:p>
        </w:tc>
        <w:tc>
          <w:tcPr>
            <w:tcW w:w="1980" w:type="dxa"/>
            <w:vAlign w:val="bottom"/>
          </w:tcPr>
          <w:p>
            <w:pPr>
              <w:jc w:val="right"/>
              <w:ind w:right="135"/>
              <w:spacing w:after="0" w:line="190" w:lineRule="exact"/>
              <w:rPr>
                <w:sz w:val="20"/>
                <w:szCs w:val="20"/>
                <w:color w:val="auto"/>
              </w:rPr>
            </w:pPr>
            <w:r>
              <w:rPr>
                <w:rFonts w:ascii="Arial" w:cs="Arial" w:eastAsia="Arial" w:hAnsi="Arial"/>
                <w:sz w:val="17"/>
                <w:szCs w:val="17"/>
                <w:color w:val="auto"/>
              </w:rPr>
              <w:t>70%</w:t>
            </w:r>
          </w:p>
        </w:tc>
        <w:tc>
          <w:tcPr>
            <w:tcW w:w="1340" w:type="dxa"/>
            <w:vAlign w:val="bottom"/>
          </w:tcPr>
          <w:p>
            <w:pPr>
              <w:jc w:val="right"/>
              <w:ind w:right="235"/>
              <w:spacing w:after="0" w:line="190" w:lineRule="exact"/>
              <w:rPr>
                <w:sz w:val="20"/>
                <w:szCs w:val="20"/>
                <w:color w:val="auto"/>
              </w:rPr>
            </w:pPr>
            <w:r>
              <w:rPr>
                <w:rFonts w:ascii="Arial" w:cs="Arial" w:eastAsia="Arial" w:hAnsi="Arial"/>
                <w:sz w:val="17"/>
                <w:szCs w:val="17"/>
                <w:color w:val="auto"/>
              </w:rPr>
              <w:t>30%</w:t>
            </w:r>
          </w:p>
        </w:tc>
        <w:tc>
          <w:tcPr>
            <w:tcW w:w="1540" w:type="dxa"/>
            <w:vAlign w:val="bottom"/>
            <w:gridSpan w:val="2"/>
          </w:tcPr>
          <w:p>
            <w:pPr>
              <w:jc w:val="right"/>
              <w:ind w:right="20"/>
              <w:spacing w:after="0" w:line="190" w:lineRule="exact"/>
              <w:rPr>
                <w:sz w:val="20"/>
                <w:szCs w:val="20"/>
                <w:color w:val="auto"/>
              </w:rPr>
            </w:pPr>
            <w:r>
              <w:rPr>
                <w:rFonts w:ascii="Arial" w:cs="Arial" w:eastAsia="Arial" w:hAnsi="Arial"/>
                <w:sz w:val="17"/>
                <w:szCs w:val="17"/>
                <w:color w:val="auto"/>
              </w:rPr>
              <w:t>0%</w:t>
            </w:r>
          </w:p>
        </w:tc>
      </w:tr>
      <w:tr>
        <w:trPr>
          <w:trHeight w:val="195"/>
        </w:trPr>
        <w:tc>
          <w:tcPr>
            <w:tcW w:w="2320" w:type="dxa"/>
            <w:vAlign w:val="bottom"/>
            <w:tcBorders>
              <w:bottom w:val="single" w:sz="8" w:color="auto"/>
            </w:tcBorders>
          </w:tcPr>
          <w:p>
            <w:pPr>
              <w:spacing w:after="0"/>
              <w:rPr>
                <w:sz w:val="20"/>
                <w:szCs w:val="20"/>
                <w:color w:val="auto"/>
              </w:rPr>
            </w:pPr>
            <w:r>
              <w:rPr>
                <w:rFonts w:ascii="Arial" w:cs="Arial" w:eastAsia="Arial" w:hAnsi="Arial"/>
                <w:sz w:val="17"/>
                <w:szCs w:val="17"/>
                <w:color w:val="auto"/>
              </w:rPr>
              <w:t>Other NEOs</w:t>
            </w:r>
          </w:p>
        </w:tc>
        <w:tc>
          <w:tcPr>
            <w:tcW w:w="1980" w:type="dxa"/>
            <w:vAlign w:val="bottom"/>
            <w:tcBorders>
              <w:bottom w:val="single" w:sz="8" w:color="auto"/>
            </w:tcBorders>
          </w:tcPr>
          <w:p>
            <w:pPr>
              <w:jc w:val="right"/>
              <w:ind w:right="135"/>
              <w:spacing w:after="0"/>
              <w:rPr>
                <w:sz w:val="20"/>
                <w:szCs w:val="20"/>
                <w:color w:val="auto"/>
              </w:rPr>
            </w:pPr>
            <w:r>
              <w:rPr>
                <w:rFonts w:ascii="Arial" w:cs="Arial" w:eastAsia="Arial" w:hAnsi="Arial"/>
                <w:sz w:val="17"/>
                <w:szCs w:val="17"/>
                <w:color w:val="auto"/>
              </w:rPr>
              <w:t>45%</w:t>
            </w:r>
          </w:p>
        </w:tc>
        <w:tc>
          <w:tcPr>
            <w:tcW w:w="1340" w:type="dxa"/>
            <w:vAlign w:val="bottom"/>
            <w:tcBorders>
              <w:bottom w:val="single" w:sz="8" w:color="auto"/>
            </w:tcBorders>
          </w:tcPr>
          <w:p>
            <w:pPr>
              <w:jc w:val="right"/>
              <w:ind w:right="235"/>
              <w:spacing w:after="0"/>
              <w:rPr>
                <w:sz w:val="20"/>
                <w:szCs w:val="20"/>
                <w:color w:val="auto"/>
              </w:rPr>
            </w:pPr>
            <w:r>
              <w:rPr>
                <w:rFonts w:ascii="Arial" w:cs="Arial" w:eastAsia="Arial" w:hAnsi="Arial"/>
                <w:sz w:val="17"/>
                <w:szCs w:val="17"/>
                <w:color w:val="auto"/>
              </w:rPr>
              <w:t>30%</w:t>
            </w:r>
          </w:p>
        </w:tc>
        <w:tc>
          <w:tcPr>
            <w:tcW w:w="152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25%</w:t>
            </w:r>
          </w:p>
        </w:tc>
        <w:tc>
          <w:tcPr>
            <w:tcW w:w="20" w:type="dxa"/>
            <w:vAlign w:val="bottom"/>
            <w:tcBorders>
              <w:bottom w:val="single" w:sz="8" w:color="auto"/>
            </w:tcBorders>
          </w:tcPr>
          <w:p>
            <w:pPr>
              <w:spacing w:after="0"/>
              <w:rPr>
                <w:sz w:val="16"/>
                <w:szCs w:val="16"/>
                <w:color w:val="auto"/>
              </w:rPr>
            </w:pPr>
          </w:p>
        </w:tc>
      </w:tr>
    </w:tbl>
    <w:p>
      <w:pPr>
        <w:spacing w:after="0" w:line="115" w:lineRule="exact"/>
        <w:rPr>
          <w:sz w:val="20"/>
          <w:szCs w:val="20"/>
          <w:color w:val="auto"/>
        </w:rPr>
      </w:pPr>
    </w:p>
    <w:p>
      <w:pPr>
        <w:ind w:right="40"/>
        <w:spacing w:after="0" w:line="235" w:lineRule="auto"/>
        <w:rPr>
          <w:sz w:val="20"/>
          <w:szCs w:val="20"/>
          <w:color w:val="auto"/>
        </w:rPr>
      </w:pPr>
      <w:r>
        <w:rPr>
          <w:rFonts w:ascii="Arial" w:cs="Arial" w:eastAsia="Arial" w:hAnsi="Arial"/>
          <w:sz w:val="17"/>
          <w:szCs w:val="17"/>
          <w:color w:val="auto"/>
        </w:rPr>
        <w:t>The Compensation Committee believes that, in total, the long-term incentive plan grants made in 2015 will provide a strong focus on shareholder value creation over the course of a full business cycle. These grants also serve to balance the short-term operating focus of the Company and align the long-term financial interests of executive management with those of our shareholders. The implementation of a performance-based long-term incentive plan demonstrates our commitment to aligning pay with performance.</w:t>
      </w:r>
    </w:p>
    <w:p>
      <w:pPr>
        <w:spacing w:after="0" w:line="142"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No Other Program Changes for 2015</w:t>
      </w:r>
    </w:p>
    <w:p>
      <w:pPr>
        <w:spacing w:after="0" w:line="14" w:lineRule="exact"/>
        <w:rPr>
          <w:sz w:val="20"/>
          <w:szCs w:val="20"/>
          <w:color w:val="auto"/>
        </w:rPr>
      </w:pPr>
    </w:p>
    <w:p>
      <w:pPr>
        <w:ind w:right="400"/>
        <w:spacing w:after="0" w:line="236" w:lineRule="auto"/>
        <w:rPr>
          <w:sz w:val="20"/>
          <w:szCs w:val="20"/>
          <w:color w:val="auto"/>
        </w:rPr>
      </w:pPr>
      <w:r>
        <w:rPr>
          <w:rFonts w:ascii="Arial" w:cs="Arial" w:eastAsia="Arial" w:hAnsi="Arial"/>
          <w:sz w:val="17"/>
          <w:szCs w:val="17"/>
          <w:color w:val="auto"/>
        </w:rPr>
        <w:t>The structure of our other 2015 executive compensation programs remained the same as those in place in 2014. We will evaluate the design of our compensation programs going forward as we continue to develop our identity as an independent company, taking into account factors including market practice and our business strategy.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-2394585</wp:posOffset>
            </wp:positionH>
            <wp:positionV relativeFrom="paragraph">
              <wp:posOffset>-3175</wp:posOffset>
            </wp:positionV>
            <wp:extent cx="7246620" cy="889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4">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160" w:lineRule="exact"/>
        <w:rPr>
          <w:sz w:val="20"/>
          <w:szCs w:val="20"/>
          <w:color w:val="auto"/>
        </w:rPr>
      </w:pPr>
    </w:p>
    <w:p>
      <w:pPr>
        <w:sectPr>
          <w:pgSz w:w="11900" w:h="16838" w:orient="portrait"/>
          <w:cols w:equalWidth="0" w:num="2">
            <w:col w:w="3060" w:space="720"/>
            <w:col w:w="7160"/>
          </w:cols>
          <w:pgMar w:left="240" w:top="459" w:right="719" w:bottom="1440" w:gutter="0" w:footer="0" w:header="0"/>
          <w:type w:val="continuous"/>
        </w:sectPr>
      </w:pPr>
    </w:p>
    <w:p>
      <w:pPr>
        <w:spacing w:after="0"/>
        <w:rPr>
          <w:sz w:val="20"/>
          <w:szCs w:val="20"/>
          <w:color w:val="auto"/>
        </w:rPr>
      </w:pPr>
      <w:r>
        <w:rPr>
          <w:rFonts w:ascii="Arial" w:cs="Arial" w:eastAsia="Arial" w:hAnsi="Arial"/>
          <w:sz w:val="14"/>
          <w:szCs w:val="14"/>
          <w:color w:val="auto"/>
        </w:rPr>
        <w:t>26</w:t>
      </w:r>
    </w:p>
    <w:p>
      <w:pPr>
        <w:sectPr>
          <w:pgSz w:w="11900" w:h="16838" w:orient="portrait"/>
          <w:cols w:equalWidth="0" w:num="1">
            <w:col w:w="10940"/>
          </w:cols>
          <w:pgMar w:left="240" w:top="459" w:right="719" w:bottom="1440" w:gutter="0" w:footer="0" w:header="0"/>
          <w:type w:val="continuous"/>
        </w:sectPr>
      </w:pPr>
    </w:p>
    <w:bookmarkStart w:id="32" w:name="page33"/>
    <w:bookmarkEnd w:id="3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5">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2715260</wp:posOffset>
            </wp:positionH>
            <wp:positionV relativeFrom="paragraph">
              <wp:posOffset>205740</wp:posOffset>
            </wp:positionV>
            <wp:extent cx="1826895" cy="20574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6">
                      <a:extLst>
                        <a:ext uri="{28A0092B-C50C-407E-A947-70E740481C1C}"/>
                      </a:extLst>
                    </a:blip>
                    <a:srcRect/>
                    <a:stretch>
                      <a:fillRect/>
                    </a:stretch>
                  </pic:blipFill>
                  <pic:spPr bwMode="auto">
                    <a:xfrm>
                      <a:off x="0" y="0"/>
                      <a:ext cx="1826895" cy="20574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50"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Request for additional shares under the TimkenSteel Corporation 2014 Equity and Incentive Compensation Plan</w:t>
      </w:r>
    </w:p>
    <w:p>
      <w:pPr>
        <w:spacing w:after="0" w:line="14" w:lineRule="exact"/>
        <w:rPr>
          <w:sz w:val="20"/>
          <w:szCs w:val="20"/>
          <w:color w:val="auto"/>
        </w:rPr>
      </w:pPr>
    </w:p>
    <w:p>
      <w:pPr>
        <w:spacing w:after="0" w:line="234" w:lineRule="auto"/>
        <w:rPr>
          <w:sz w:val="20"/>
          <w:szCs w:val="20"/>
          <w:color w:val="auto"/>
        </w:rPr>
      </w:pPr>
      <w:r>
        <w:rPr>
          <w:rFonts w:ascii="Arial" w:cs="Arial" w:eastAsia="Arial" w:hAnsi="Arial"/>
          <w:sz w:val="17"/>
          <w:szCs w:val="17"/>
          <w:color w:val="auto"/>
        </w:rPr>
        <w:t>Our equity compensation plan, the TimkenSteel Corporation 2014 Equity and Incentive Compensation Plan (the “2014 Equity Plan”), was originally approved by The Timken Company as our sole shareholder in June 2014, in anticipation of the spinoff of TimkenSteel as an independent, publicly traded company. In May 2015, our shareholders approved the material terms of the 2014 Equity Plan for purposes of Section 162(m) of the Internal Revenue Code, enabling the Company to potentially benefit from certain tax deductions for awards made under the plan. That shareholder approval of the 2014 Equity Plan did not increase the number of shares available for awards. Based on the number of shares reserved for awards under the 2014 Equity Plan at the time of the spinoff, we anticipated we would seek shareholder approval for additional shares sometime in the 2016/2017 time frame. Given the market volatility we experienced in 2015, we are seeking this approval at the earlier end of our expected time frame. Shareholder approval of the TimkenSteel Corporation Amended and Restated 2014 Equity and Incentive Compensation Plan will increase the number of shares available for awards under the 2014 Equity Plan and will allow the Company to continue to provide long-term incentive compensation to key employees and non-employee directors.</w:t>
      </w:r>
    </w:p>
    <w:p>
      <w:pPr>
        <w:spacing w:after="0" w:line="174" w:lineRule="exact"/>
        <w:rPr>
          <w:sz w:val="20"/>
          <w:szCs w:val="20"/>
          <w:color w:val="auto"/>
        </w:rPr>
      </w:pPr>
    </w:p>
    <w:p>
      <w:pPr>
        <w:spacing w:after="0"/>
        <w:rPr>
          <w:sz w:val="20"/>
          <w:szCs w:val="20"/>
          <w:color w:val="auto"/>
        </w:rPr>
      </w:pPr>
      <w:r>
        <w:rPr>
          <w:rFonts w:ascii="Arial" w:cs="Arial" w:eastAsia="Arial" w:hAnsi="Arial"/>
          <w:sz w:val="17"/>
          <w:szCs w:val="17"/>
          <w:color w:val="auto"/>
        </w:rPr>
        <w:t>The flexibility to deliver equity-based compensation awards advances shareholders’ interests and the long-term success of the Company.</w:t>
      </w:r>
    </w:p>
    <w:p>
      <w:pPr>
        <w:spacing w:after="0" w:line="169" w:lineRule="exact"/>
        <w:rPr>
          <w:sz w:val="20"/>
          <w:szCs w:val="20"/>
          <w:color w:val="auto"/>
        </w:rPr>
      </w:pPr>
    </w:p>
    <w:p>
      <w:pPr>
        <w:ind w:right="20"/>
        <w:spacing w:after="0" w:line="234" w:lineRule="auto"/>
        <w:rPr>
          <w:sz w:val="20"/>
          <w:szCs w:val="20"/>
          <w:color w:val="auto"/>
        </w:rPr>
      </w:pPr>
      <w:r>
        <w:rPr>
          <w:rFonts w:ascii="Arial" w:cs="Arial" w:eastAsia="Arial" w:hAnsi="Arial"/>
          <w:sz w:val="17"/>
          <w:szCs w:val="17"/>
          <w:color w:val="auto"/>
        </w:rPr>
        <w:t>The use of equity compensation is important because it fosters a pay-for-performance culture that is an important element of our overall compensation philosophy. We believe equity compensation provides additional motivation for key employees and non-employee directors to create shareholder value because the value said individuals realize from their equity compensation is based on our stock price performance. Equity compensation also aligns the compensation interests of our key employees and non-employee directors with the investment interests of our shareholders and promotes a focus on long-term value creation, because our equity compensation awards are subject to vesting and/or performance criteria. We will continue to monitor our equity use (participants, opportunities, award types and mix) in order to manage our overall dilution and annual burn rate, such that we are delivering equity to those employees who have the greatest impact on long-term financial performance and stock price results. The 2014 Equity Plan and the Company’s request to increase the number of shares available for awards under the plan is discussed in more detail in Proposal 4 of this Proxy Statement.</w:t>
      </w:r>
    </w:p>
    <w:p>
      <w:pPr>
        <w:spacing w:after="0" w:line="146" w:lineRule="exact"/>
        <w:rPr>
          <w:sz w:val="20"/>
          <w:szCs w:val="20"/>
          <w:color w:val="auto"/>
        </w:rPr>
      </w:pPr>
    </w:p>
    <w:p>
      <w:pPr>
        <w:ind w:left="11180"/>
        <w:spacing w:after="0"/>
        <w:rPr>
          <w:sz w:val="20"/>
          <w:szCs w:val="20"/>
          <w:color w:val="auto"/>
        </w:rPr>
      </w:pPr>
      <w:r>
        <w:rPr>
          <w:rFonts w:ascii="Arial" w:cs="Arial" w:eastAsia="Arial" w:hAnsi="Arial"/>
          <w:sz w:val="14"/>
          <w:szCs w:val="14"/>
          <w:color w:val="auto"/>
        </w:rPr>
        <w:t>27</w:t>
      </w:r>
    </w:p>
    <w:p>
      <w:pPr>
        <w:sectPr>
          <w:pgSz w:w="11900" w:h="16838" w:orient="portrait"/>
          <w:cols w:equalWidth="0" w:num="1">
            <w:col w:w="11400"/>
          </w:cols>
          <w:pgMar w:left="240" w:top="459" w:right="259" w:bottom="1440" w:gutter="0" w:footer="0" w:header="0"/>
        </w:sectPr>
      </w:pPr>
    </w:p>
    <w:bookmarkStart w:id="33" w:name="page34"/>
    <w:bookmarkEnd w:id="3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7">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3109595</wp:posOffset>
            </wp:positionH>
            <wp:positionV relativeFrom="paragraph">
              <wp:posOffset>205740</wp:posOffset>
            </wp:positionV>
            <wp:extent cx="1046480" cy="20574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8">
                      <a:extLst>
                        <a:ext uri="{28A0092B-C50C-407E-A947-70E740481C1C}"/>
                      </a:extLst>
                    </a:blip>
                    <a:srcRect/>
                    <a:stretch>
                      <a:fillRect/>
                    </a:stretch>
                  </pic:blipFill>
                  <pic:spPr bwMode="auto">
                    <a:xfrm>
                      <a:off x="0" y="0"/>
                      <a:ext cx="1046480" cy="20574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50" w:lineRule="exact"/>
        <w:rPr>
          <w:sz w:val="20"/>
          <w:szCs w:val="20"/>
          <w:color w:val="auto"/>
        </w:rPr>
      </w:pPr>
    </w:p>
    <w:p>
      <w:pPr>
        <w:spacing w:after="0"/>
        <w:rPr>
          <w:sz w:val="20"/>
          <w:szCs w:val="20"/>
          <w:color w:val="auto"/>
        </w:rPr>
      </w:pPr>
      <w:r>
        <w:rPr>
          <w:rFonts w:ascii="Arial" w:cs="Arial" w:eastAsia="Arial" w:hAnsi="Arial"/>
          <w:sz w:val="17"/>
          <w:szCs w:val="17"/>
          <w:b w:val="1"/>
          <w:bCs w:val="1"/>
          <w:color w:val="666666"/>
        </w:rPr>
        <w:t>CEO PAY AT-A-GLANCE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72390</wp:posOffset>
            </wp:positionV>
            <wp:extent cx="7246620" cy="889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9">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183" w:lineRule="exact"/>
        <w:rPr>
          <w:sz w:val="20"/>
          <w:szCs w:val="20"/>
          <w:color w:val="auto"/>
        </w:rPr>
      </w:pPr>
    </w:p>
    <w:p>
      <w:pPr>
        <w:spacing w:after="0" w:line="236" w:lineRule="auto"/>
        <w:rPr>
          <w:sz w:val="20"/>
          <w:szCs w:val="20"/>
          <w:color w:val="auto"/>
        </w:rPr>
      </w:pPr>
      <w:r>
        <w:rPr>
          <w:rFonts w:ascii="Arial" w:cs="Arial" w:eastAsia="Arial" w:hAnsi="Arial"/>
          <w:sz w:val="17"/>
          <w:szCs w:val="17"/>
          <w:color w:val="auto"/>
        </w:rPr>
        <w:t>In setting the CEO’s target pay for 2015, the Committee reviewed market data of similar positions and considered the total compensation package for the CEO in relation to the target established for the position and taking into account the CEO’s scope of responsibilities. The Committee established target total direct compensation (base salary, target annual incentives and target long-term incentive grants) for the CEO between the 50</w:t>
      </w:r>
      <w:r>
        <w:rPr>
          <w:rFonts w:ascii="Arial" w:cs="Arial" w:eastAsia="Arial" w:hAnsi="Arial"/>
          <w:sz w:val="14"/>
          <w:szCs w:val="14"/>
          <w:color w:val="auto"/>
        </w:rPr>
        <w:t>th</w:t>
      </w:r>
      <w:r>
        <w:rPr>
          <w:rFonts w:ascii="Arial" w:cs="Arial" w:eastAsia="Arial" w:hAnsi="Arial"/>
          <w:sz w:val="17"/>
          <w:szCs w:val="17"/>
          <w:color w:val="auto"/>
        </w:rPr>
        <w:t xml:space="preserve"> and 75</w:t>
      </w:r>
      <w:r>
        <w:rPr>
          <w:rFonts w:ascii="Arial" w:cs="Arial" w:eastAsia="Arial" w:hAnsi="Arial"/>
          <w:sz w:val="14"/>
          <w:szCs w:val="14"/>
          <w:color w:val="auto"/>
        </w:rPr>
        <w:t>th</w:t>
      </w:r>
      <w:r>
        <w:rPr>
          <w:rFonts w:ascii="Arial" w:cs="Arial" w:eastAsia="Arial" w:hAnsi="Arial"/>
          <w:sz w:val="17"/>
          <w:szCs w:val="17"/>
          <w:color w:val="auto"/>
        </w:rPr>
        <w:t xml:space="preserve"> percentiles based on compensation survey data.</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1557020</wp:posOffset>
            </wp:positionH>
            <wp:positionV relativeFrom="paragraph">
              <wp:posOffset>364490</wp:posOffset>
            </wp:positionV>
            <wp:extent cx="4142105" cy="579755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00">
                      <a:extLst>
                        <a:ext uri="{28A0092B-C50C-407E-A947-70E740481C1C}"/>
                      </a:extLst>
                    </a:blip>
                    <a:srcRect/>
                    <a:stretch>
                      <a:fillRect/>
                    </a:stretch>
                  </pic:blipFill>
                  <pic:spPr bwMode="auto">
                    <a:xfrm>
                      <a:off x="0" y="0"/>
                      <a:ext cx="4142105" cy="579755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3" w:lineRule="exact"/>
        <w:rPr>
          <w:sz w:val="20"/>
          <w:szCs w:val="20"/>
          <w:color w:val="auto"/>
        </w:rPr>
      </w:pPr>
    </w:p>
    <w:p>
      <w:pPr>
        <w:spacing w:after="0"/>
        <w:rPr>
          <w:sz w:val="20"/>
          <w:szCs w:val="20"/>
          <w:color w:val="auto"/>
        </w:rPr>
      </w:pPr>
      <w:r>
        <w:rPr>
          <w:rFonts w:ascii="Arial" w:cs="Arial" w:eastAsia="Arial" w:hAnsi="Arial"/>
          <w:sz w:val="14"/>
          <w:szCs w:val="14"/>
          <w:color w:val="auto"/>
        </w:rPr>
        <w:t>28</w:t>
      </w:r>
    </w:p>
    <w:p>
      <w:pPr>
        <w:sectPr>
          <w:pgSz w:w="11900" w:h="16838" w:orient="portrait"/>
          <w:cols w:equalWidth="0" w:num="1">
            <w:col w:w="11280"/>
          </w:cols>
          <w:pgMar w:left="240" w:top="459" w:right="379" w:bottom="1440" w:gutter="0" w:footer="0" w:header="0"/>
        </w:sectPr>
      </w:pPr>
    </w:p>
    <w:bookmarkStart w:id="34" w:name="page35"/>
    <w:bookmarkEnd w:id="3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01">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2715260</wp:posOffset>
            </wp:positionH>
            <wp:positionV relativeFrom="paragraph">
              <wp:posOffset>205740</wp:posOffset>
            </wp:positionV>
            <wp:extent cx="1826895" cy="20574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02">
                      <a:extLst>
                        <a:ext uri="{28A0092B-C50C-407E-A947-70E740481C1C}"/>
                      </a:extLst>
                    </a:blip>
                    <a:srcRect/>
                    <a:stretch>
                      <a:fillRect/>
                    </a:stretch>
                  </pic:blipFill>
                  <pic:spPr bwMode="auto">
                    <a:xfrm>
                      <a:off x="0" y="0"/>
                      <a:ext cx="1826895" cy="20574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70" w:lineRule="exact"/>
        <w:rPr>
          <w:sz w:val="20"/>
          <w:szCs w:val="20"/>
          <w:color w:val="auto"/>
        </w:rPr>
      </w:pPr>
    </w:p>
    <w:p>
      <w:pPr>
        <w:ind w:right="60"/>
        <w:spacing w:after="0" w:line="235" w:lineRule="auto"/>
        <w:rPr>
          <w:sz w:val="20"/>
          <w:szCs w:val="20"/>
          <w:color w:val="auto"/>
        </w:rPr>
      </w:pPr>
      <w:r>
        <w:rPr>
          <w:rFonts w:ascii="Arial" w:cs="Arial" w:eastAsia="Arial" w:hAnsi="Arial"/>
          <w:sz w:val="17"/>
          <w:szCs w:val="17"/>
          <w:color w:val="auto"/>
        </w:rPr>
        <w:t>Base represents the CEO’s yearly guaranteed fixed amount of compensation. Annual Incentive represents the 2015 annual performance award. Long-Term Incentive includes the realizable “in the money” value of stock options and the value of the performance shares granted in 2015. This illustration further demonstrates the alignment between our compensation plans and company performance. The relationship between target and realizable compensation is attributable to the lack of any payout for the 2015 annual performance award and the decline in the Company’s share price since the grant date of stock options and performance shares. The stock options granted in 2015 had no intrinsic value as of the end of 2015.</w:t>
      </w:r>
    </w:p>
    <w:p>
      <w:pPr>
        <w:spacing w:after="0" w:line="200" w:lineRule="exact"/>
        <w:rPr>
          <w:sz w:val="20"/>
          <w:szCs w:val="20"/>
          <w:color w:val="auto"/>
        </w:rPr>
      </w:pPr>
    </w:p>
    <w:p>
      <w:pPr>
        <w:spacing w:after="0" w:line="201" w:lineRule="exact"/>
        <w:rPr>
          <w:sz w:val="20"/>
          <w:szCs w:val="20"/>
          <w:color w:val="auto"/>
        </w:rPr>
      </w:pPr>
    </w:p>
    <w:p>
      <w:pPr>
        <w:spacing w:after="0"/>
        <w:rPr>
          <w:sz w:val="20"/>
          <w:szCs w:val="20"/>
          <w:color w:val="auto"/>
        </w:rPr>
      </w:pPr>
      <w:r>
        <w:rPr>
          <w:rFonts w:ascii="Arial" w:cs="Arial" w:eastAsia="Arial" w:hAnsi="Arial"/>
          <w:sz w:val="17"/>
          <w:szCs w:val="17"/>
          <w:b w:val="1"/>
          <w:bCs w:val="1"/>
          <w:color w:val="666666"/>
        </w:rPr>
        <w:t>ALIGNING PAY WITH PERFORMANCE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72390</wp:posOffset>
            </wp:positionV>
            <wp:extent cx="7246620" cy="889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03">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459" w:right="239" w:bottom="1440" w:gutter="0" w:footer="0" w:header="0"/>
        </w:sectPr>
      </w:pPr>
    </w:p>
    <w:p>
      <w:pPr>
        <w:spacing w:after="0" w:line="243" w:lineRule="exact"/>
        <w:rPr>
          <w:sz w:val="20"/>
          <w:szCs w:val="20"/>
          <w:color w:val="auto"/>
        </w:rPr>
      </w:pPr>
    </w:p>
    <w:p>
      <w:pPr>
        <w:spacing w:after="0" w:line="236" w:lineRule="auto"/>
        <w:rPr>
          <w:sz w:val="20"/>
          <w:szCs w:val="20"/>
          <w:color w:val="auto"/>
        </w:rPr>
      </w:pPr>
      <w:r>
        <w:rPr>
          <w:rFonts w:ascii="Arial" w:cs="Arial" w:eastAsia="Arial" w:hAnsi="Arial"/>
          <w:sz w:val="17"/>
          <w:szCs w:val="17"/>
          <w:color w:val="auto"/>
        </w:rPr>
        <w:t>TimkenSteel’s success depends largely on the contributions of motivated, focused and energized people all working to achieve our strategic objectives. This understanding shapes our approach to providing a competitive total rewards package to our CEO and the other NEOs.</w:t>
      </w:r>
    </w:p>
    <w:p>
      <w:pPr>
        <w:spacing w:after="0" w:line="109" w:lineRule="exact"/>
        <w:rPr>
          <w:sz w:val="20"/>
          <w:szCs w:val="20"/>
          <w:color w:val="auto"/>
        </w:rPr>
      </w:pPr>
    </w:p>
    <w:p>
      <w:pPr>
        <w:ind w:right="40"/>
        <w:spacing w:after="0" w:line="236" w:lineRule="auto"/>
        <w:rPr>
          <w:sz w:val="20"/>
          <w:szCs w:val="20"/>
          <w:color w:val="auto"/>
        </w:rPr>
      </w:pPr>
      <w:r>
        <w:rPr>
          <w:rFonts w:ascii="Arial" w:cs="Arial" w:eastAsia="Arial" w:hAnsi="Arial"/>
          <w:sz w:val="17"/>
          <w:szCs w:val="17"/>
          <w:color w:val="auto"/>
        </w:rPr>
        <w:t>Pay-for-performance is one of the four principles that make up our executive compensation philosophy. To ensure we are adhering to this principle, we evaluate the degree of alignment of our total incentive compensation to our business results, including for 2015:</w:t>
      </w:r>
    </w:p>
    <w:p>
      <w:pPr>
        <w:spacing w:after="0" w:line="109" w:lineRule="exact"/>
        <w:rPr>
          <w:sz w:val="20"/>
          <w:szCs w:val="20"/>
          <w:color w:val="auto"/>
        </w:rPr>
      </w:pPr>
    </w:p>
    <w:p>
      <w:pPr>
        <w:ind w:left="180" w:right="800" w:hanging="170"/>
        <w:spacing w:after="0" w:line="243" w:lineRule="auto"/>
        <w:rPr>
          <w:sz w:val="20"/>
          <w:szCs w:val="20"/>
          <w:color w:val="auto"/>
        </w:rPr>
      </w:pPr>
      <w:r>
        <w:rPr>
          <w:rFonts w:ascii="Arial" w:cs="Arial" w:eastAsia="Arial" w:hAnsi="Arial"/>
          <w:sz w:val="17"/>
          <w:szCs w:val="17"/>
          <w:color w:val="auto"/>
        </w:rPr>
        <w:t>•The ratio of earnings before interest and taxes to beginning invested capital (EBIT/BIC),</w:t>
      </w:r>
    </w:p>
    <w:p>
      <w:pPr>
        <w:spacing w:after="0" w:line="104" w:lineRule="exact"/>
        <w:rPr>
          <w:sz w:val="20"/>
          <w:szCs w:val="20"/>
          <w:color w:val="auto"/>
        </w:rPr>
      </w:pPr>
    </w:p>
    <w:p>
      <w:pPr>
        <w:spacing w:after="0"/>
        <w:rPr>
          <w:sz w:val="20"/>
          <w:szCs w:val="20"/>
          <w:color w:val="auto"/>
        </w:rPr>
      </w:pPr>
      <w:r>
        <w:rPr>
          <w:rFonts w:ascii="Arial" w:cs="Arial" w:eastAsia="Arial" w:hAnsi="Arial"/>
          <w:sz w:val="17"/>
          <w:szCs w:val="17"/>
          <w:color w:val="auto"/>
        </w:rPr>
        <w:t>•Working capital as a percentage of sales,</w:t>
      </w:r>
    </w:p>
    <w:p>
      <w:pPr>
        <w:spacing w:after="0" w:line="115" w:lineRule="exact"/>
        <w:rPr>
          <w:sz w:val="20"/>
          <w:szCs w:val="20"/>
          <w:color w:val="auto"/>
        </w:rPr>
      </w:pPr>
    </w:p>
    <w:p>
      <w:pPr>
        <w:spacing w:after="0"/>
        <w:rPr>
          <w:sz w:val="20"/>
          <w:szCs w:val="20"/>
          <w:color w:val="auto"/>
        </w:rPr>
      </w:pPr>
      <w:r>
        <w:rPr>
          <w:rFonts w:ascii="Arial" w:cs="Arial" w:eastAsia="Arial" w:hAnsi="Arial"/>
          <w:sz w:val="17"/>
          <w:szCs w:val="17"/>
          <w:color w:val="auto"/>
        </w:rPr>
        <w:t>•New business sales,</w:t>
      </w:r>
    </w:p>
    <w:p>
      <w:pPr>
        <w:spacing w:after="0" w:line="115" w:lineRule="exact"/>
        <w:rPr>
          <w:sz w:val="20"/>
          <w:szCs w:val="20"/>
          <w:color w:val="auto"/>
        </w:rPr>
      </w:pPr>
    </w:p>
    <w:p>
      <w:pPr>
        <w:spacing w:after="0"/>
        <w:rPr>
          <w:sz w:val="20"/>
          <w:szCs w:val="20"/>
          <w:color w:val="auto"/>
        </w:rPr>
      </w:pPr>
      <w:r>
        <w:rPr>
          <w:rFonts w:ascii="Arial" w:cs="Arial" w:eastAsia="Arial" w:hAnsi="Arial"/>
          <w:sz w:val="17"/>
          <w:szCs w:val="17"/>
          <w:color w:val="auto"/>
        </w:rPr>
        <w:t>•Return on invested capital (ROIC), and</w:t>
      </w:r>
    </w:p>
    <w:p>
      <w:pPr>
        <w:spacing w:after="0" w:line="115" w:lineRule="exact"/>
        <w:rPr>
          <w:sz w:val="20"/>
          <w:szCs w:val="20"/>
          <w:color w:val="auto"/>
        </w:rPr>
      </w:pPr>
    </w:p>
    <w:p>
      <w:pPr>
        <w:ind w:left="180" w:right="240" w:hanging="170"/>
        <w:spacing w:after="0" w:line="243" w:lineRule="auto"/>
        <w:rPr>
          <w:sz w:val="20"/>
          <w:szCs w:val="20"/>
          <w:color w:val="auto"/>
        </w:rPr>
      </w:pPr>
      <w:r>
        <w:rPr>
          <w:rFonts w:ascii="Arial" w:cs="Arial" w:eastAsia="Arial" w:hAnsi="Arial"/>
          <w:sz w:val="17"/>
          <w:szCs w:val="17"/>
          <w:color w:val="auto"/>
        </w:rPr>
        <w:t>•Earnings per share (EPS) (measured on an absolute basis, but targeted to achieve desired levels of growth) over the applicable period.</w:t>
      </w:r>
    </w:p>
    <w:p>
      <w:pPr>
        <w:spacing w:after="0" w:line="20" w:lineRule="exact"/>
        <w:rPr>
          <w:sz w:val="20"/>
          <w:szCs w:val="20"/>
          <w:color w:val="auto"/>
        </w:rPr>
      </w:pPr>
      <w:r>
        <w:rPr>
          <w:sz w:val="20"/>
          <w:szCs w:val="20"/>
          <w:color w:val="auto"/>
        </w:rPr>
        <w:br w:type="column"/>
      </w:r>
    </w:p>
    <w:p>
      <w:pPr>
        <w:spacing w:after="0" w:line="203"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The Company’s Approach to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-215900</wp:posOffset>
            </wp:positionH>
            <wp:positionV relativeFrom="paragraph">
              <wp:posOffset>-106680</wp:posOffset>
            </wp:positionV>
            <wp:extent cx="3061335" cy="231521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4">
                      <a:extLst>
                        <a:ext uri="{28A0092B-C50C-407E-A947-70E740481C1C}"/>
                      </a:extLst>
                    </a:blip>
                    <a:srcRect/>
                    <a:stretch>
                      <a:fillRect/>
                    </a:stretch>
                  </pic:blipFill>
                  <pic:spPr bwMode="auto">
                    <a:xfrm>
                      <a:off x="0" y="0"/>
                      <a:ext cx="3061335" cy="2315210"/>
                    </a:xfrm>
                    <a:prstGeom prst="rect">
                      <a:avLst/>
                    </a:prstGeom>
                    <a:noFill/>
                  </pic:spPr>
                </pic:pic>
              </a:graphicData>
            </a:graphic>
          </wp:anchor>
        </w:drawing>
      </w:r>
    </w:p>
    <w:p>
      <w:pPr>
        <w:spacing w:after="0"/>
        <w:rPr>
          <w:sz w:val="20"/>
          <w:szCs w:val="20"/>
          <w:color w:val="auto"/>
        </w:rPr>
      </w:pPr>
      <w:r>
        <w:rPr>
          <w:rFonts w:ascii="Arial" w:cs="Arial" w:eastAsia="Arial" w:hAnsi="Arial"/>
          <w:sz w:val="17"/>
          <w:szCs w:val="17"/>
          <w:b w:val="1"/>
          <w:bCs w:val="1"/>
          <w:color w:val="auto"/>
        </w:rPr>
        <w:t>Rewarding Performance</w:t>
      </w:r>
    </w:p>
    <w:p>
      <w:pPr>
        <w:spacing w:after="0" w:line="178" w:lineRule="exact"/>
        <w:rPr>
          <w:sz w:val="20"/>
          <w:szCs w:val="20"/>
          <w:color w:val="auto"/>
        </w:rPr>
      </w:pPr>
    </w:p>
    <w:p>
      <w:pPr>
        <w:spacing w:after="0"/>
        <w:rPr>
          <w:sz w:val="20"/>
          <w:szCs w:val="20"/>
          <w:color w:val="auto"/>
        </w:rPr>
      </w:pPr>
      <w:r>
        <w:rPr>
          <w:rFonts w:ascii="Arial" w:cs="Arial" w:eastAsia="Arial" w:hAnsi="Arial"/>
          <w:sz w:val="17"/>
          <w:szCs w:val="17"/>
          <w:i w:val="1"/>
          <w:iCs w:val="1"/>
          <w:color w:val="auto"/>
        </w:rPr>
        <w:t>Annual Incentive</w:t>
      </w:r>
    </w:p>
    <w:p>
      <w:pPr>
        <w:spacing w:after="0" w:line="12" w:lineRule="exact"/>
        <w:rPr>
          <w:sz w:val="20"/>
          <w:szCs w:val="20"/>
          <w:color w:val="auto"/>
        </w:rPr>
      </w:pPr>
    </w:p>
    <w:p>
      <w:pPr>
        <w:ind w:left="160" w:right="700" w:hanging="170"/>
        <w:spacing w:after="0" w:line="243" w:lineRule="auto"/>
        <w:rPr>
          <w:sz w:val="20"/>
          <w:szCs w:val="20"/>
          <w:color w:val="auto"/>
        </w:rPr>
      </w:pPr>
      <w:r>
        <w:rPr>
          <w:rFonts w:ascii="Arial" w:cs="Arial" w:eastAsia="Arial" w:hAnsi="Arial"/>
          <w:sz w:val="17"/>
          <w:szCs w:val="17"/>
          <w:color w:val="auto"/>
        </w:rPr>
        <w:t>•Reward achievement of short-term corporate and individual performance goals</w:t>
      </w:r>
    </w:p>
    <w:p>
      <w:pPr>
        <w:spacing w:after="0" w:line="167" w:lineRule="exact"/>
        <w:rPr>
          <w:sz w:val="20"/>
          <w:szCs w:val="20"/>
          <w:color w:val="auto"/>
        </w:rPr>
      </w:pPr>
    </w:p>
    <w:p>
      <w:pPr>
        <w:ind w:right="1360"/>
        <w:spacing w:after="0" w:line="243" w:lineRule="auto"/>
        <w:rPr>
          <w:sz w:val="20"/>
          <w:szCs w:val="20"/>
          <w:color w:val="auto"/>
        </w:rPr>
      </w:pPr>
      <w:r>
        <w:rPr>
          <w:rFonts w:ascii="Arial" w:cs="Arial" w:eastAsia="Arial" w:hAnsi="Arial"/>
          <w:sz w:val="17"/>
          <w:szCs w:val="17"/>
          <w:i w:val="1"/>
          <w:iCs w:val="1"/>
          <w:color w:val="auto"/>
        </w:rPr>
        <w:t xml:space="preserve">Restricted Stock Units and Stock Options </w:t>
      </w:r>
      <w:r>
        <w:rPr>
          <w:rFonts w:ascii="Arial" w:cs="Arial" w:eastAsia="Arial" w:hAnsi="Arial"/>
          <w:sz w:val="17"/>
          <w:szCs w:val="17"/>
          <w:color w:val="auto"/>
        </w:rPr>
        <w:t>•Reward long-term value creation •Reinforce ownership in the Company •Support retention of executives</w:t>
      </w:r>
    </w:p>
    <w:p>
      <w:pPr>
        <w:spacing w:after="0" w:line="167" w:lineRule="exact"/>
        <w:rPr>
          <w:sz w:val="20"/>
          <w:szCs w:val="20"/>
          <w:color w:val="auto"/>
        </w:rPr>
      </w:pPr>
    </w:p>
    <w:p>
      <w:pPr>
        <w:spacing w:after="0"/>
        <w:rPr>
          <w:sz w:val="20"/>
          <w:szCs w:val="20"/>
          <w:color w:val="auto"/>
        </w:rPr>
      </w:pPr>
      <w:r>
        <w:rPr>
          <w:rFonts w:ascii="Arial" w:cs="Arial" w:eastAsia="Arial" w:hAnsi="Arial"/>
          <w:sz w:val="17"/>
          <w:szCs w:val="17"/>
          <w:i w:val="1"/>
          <w:iCs w:val="1"/>
          <w:color w:val="auto"/>
        </w:rPr>
        <w:t>Performance Shares</w:t>
      </w:r>
    </w:p>
    <w:p>
      <w:pPr>
        <w:spacing w:after="0" w:line="12" w:lineRule="exact"/>
        <w:rPr>
          <w:sz w:val="20"/>
          <w:szCs w:val="20"/>
          <w:color w:val="auto"/>
        </w:rPr>
      </w:pPr>
    </w:p>
    <w:p>
      <w:pPr>
        <w:ind w:left="160" w:right="640" w:hanging="170"/>
        <w:spacing w:after="0" w:line="232" w:lineRule="auto"/>
        <w:rPr>
          <w:sz w:val="20"/>
          <w:szCs w:val="20"/>
          <w:color w:val="auto"/>
        </w:rPr>
      </w:pPr>
      <w:r>
        <w:rPr>
          <w:rFonts w:ascii="Arial" w:cs="Arial" w:eastAsia="Arial" w:hAnsi="Arial"/>
          <w:sz w:val="17"/>
          <w:szCs w:val="17"/>
          <w:color w:val="auto"/>
        </w:rPr>
        <w:t>•Reward long-term financial results that drive value creation</w:t>
      </w:r>
    </w:p>
    <w:p>
      <w:pPr>
        <w:ind w:left="160" w:right="460" w:hanging="170"/>
        <w:spacing w:after="0" w:line="232" w:lineRule="auto"/>
        <w:rPr>
          <w:sz w:val="20"/>
          <w:szCs w:val="20"/>
          <w:color w:val="auto"/>
        </w:rPr>
      </w:pPr>
      <w:r>
        <w:rPr>
          <w:rFonts w:ascii="Arial" w:cs="Arial" w:eastAsia="Arial" w:hAnsi="Arial"/>
          <w:sz w:val="17"/>
          <w:szCs w:val="17"/>
          <w:color w:val="auto"/>
        </w:rPr>
        <w:t>•Link compensation to building long-term shareholder value</w:t>
      </w:r>
    </w:p>
    <w:p>
      <w:pPr>
        <w:ind w:right="1620"/>
        <w:spacing w:after="0" w:line="243" w:lineRule="auto"/>
        <w:rPr>
          <w:sz w:val="20"/>
          <w:szCs w:val="20"/>
          <w:color w:val="auto"/>
        </w:rPr>
      </w:pPr>
      <w:r>
        <w:rPr>
          <w:rFonts w:ascii="Arial" w:cs="Arial" w:eastAsia="Arial" w:hAnsi="Arial"/>
          <w:sz w:val="17"/>
          <w:szCs w:val="17"/>
          <w:color w:val="auto"/>
        </w:rPr>
        <w:t>•Reinforce ownership in the Company •Support retention of executives</w:t>
      </w:r>
    </w:p>
    <w:p>
      <w:pPr>
        <w:spacing w:after="0" w:line="200" w:lineRule="exact"/>
        <w:rPr>
          <w:sz w:val="20"/>
          <w:szCs w:val="20"/>
          <w:color w:val="auto"/>
        </w:rPr>
      </w:pPr>
    </w:p>
    <w:p>
      <w:pPr>
        <w:sectPr>
          <w:pgSz w:w="11900" w:h="16838" w:orient="portrait"/>
          <w:cols w:equalWidth="0" w:num="2">
            <w:col w:w="6560" w:space="380"/>
            <w:col w:w="4480"/>
          </w:cols>
          <w:pgMar w:left="240" w:top="459" w:right="239" w:bottom="1440" w:gutter="0" w:footer="0" w:header="0"/>
          <w:type w:val="continuous"/>
        </w:sectPr>
      </w:pPr>
    </w:p>
    <w:p>
      <w:pPr>
        <w:spacing w:after="0" w:line="228" w:lineRule="exact"/>
        <w:rPr>
          <w:sz w:val="20"/>
          <w:szCs w:val="20"/>
          <w:color w:val="auto"/>
        </w:rPr>
      </w:pPr>
    </w:p>
    <w:p>
      <w:pPr>
        <w:spacing w:after="0" w:line="238" w:lineRule="auto"/>
        <w:rPr>
          <w:sz w:val="20"/>
          <w:szCs w:val="20"/>
          <w:color w:val="auto"/>
        </w:rPr>
      </w:pPr>
      <w:r>
        <w:rPr>
          <w:rFonts w:ascii="Arial" w:cs="Arial" w:eastAsia="Arial" w:hAnsi="Arial"/>
          <w:sz w:val="17"/>
          <w:szCs w:val="17"/>
          <w:color w:val="auto"/>
        </w:rPr>
        <w:t>83% of the total direct compensation delivered to Mr. Timken, and between 58% and 67% delivered to the other NEOs, is comprised of incentive-based pay. Our Compensation Committee uses a comprehensive and well-defined process to assess Company performance. We believe our metrics focus management on the appropriate objectives for the creation of both short- and long-term shareholder value.</w:t>
      </w:r>
    </w:p>
    <w:p>
      <w:pPr>
        <w:spacing w:after="0" w:line="361" w:lineRule="exact"/>
        <w:rPr>
          <w:sz w:val="20"/>
          <w:szCs w:val="20"/>
          <w:color w:val="auto"/>
        </w:rPr>
      </w:pPr>
    </w:p>
    <w:p>
      <w:pPr>
        <w:ind w:left="11180"/>
        <w:spacing w:after="0"/>
        <w:rPr>
          <w:sz w:val="20"/>
          <w:szCs w:val="20"/>
          <w:color w:val="auto"/>
        </w:rPr>
      </w:pPr>
      <w:r>
        <w:rPr>
          <w:rFonts w:ascii="Arial" w:cs="Arial" w:eastAsia="Arial" w:hAnsi="Arial"/>
          <w:sz w:val="14"/>
          <w:szCs w:val="14"/>
          <w:color w:val="auto"/>
        </w:rPr>
        <w:t>29</w:t>
      </w:r>
    </w:p>
    <w:p>
      <w:pPr>
        <w:sectPr>
          <w:pgSz w:w="11900" w:h="16838" w:orient="portrait"/>
          <w:cols w:equalWidth="0" w:num="1">
            <w:col w:w="11420"/>
          </w:cols>
          <w:pgMar w:left="240" w:top="459" w:right="239" w:bottom="1440" w:gutter="0" w:footer="0" w:header="0"/>
          <w:type w:val="continuous"/>
        </w:sectPr>
      </w:pPr>
    </w:p>
    <w:bookmarkStart w:id="35" w:name="page36"/>
    <w:bookmarkEnd w:id="3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05">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3109595</wp:posOffset>
            </wp:positionH>
            <wp:positionV relativeFrom="paragraph">
              <wp:posOffset>205740</wp:posOffset>
            </wp:positionV>
            <wp:extent cx="1046480" cy="20574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6">
                      <a:extLst>
                        <a:ext uri="{28A0092B-C50C-407E-A947-70E740481C1C}"/>
                      </a:extLst>
                    </a:blip>
                    <a:srcRect/>
                    <a:stretch>
                      <a:fillRect/>
                    </a:stretch>
                  </pic:blipFill>
                  <pic:spPr bwMode="auto">
                    <a:xfrm>
                      <a:off x="0" y="0"/>
                      <a:ext cx="1046480" cy="20574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70" w:lineRule="exact"/>
        <w:rPr>
          <w:sz w:val="20"/>
          <w:szCs w:val="20"/>
          <w:color w:val="auto"/>
        </w:rPr>
      </w:pPr>
    </w:p>
    <w:p>
      <w:pPr>
        <w:ind w:right="320"/>
        <w:spacing w:after="0" w:line="238" w:lineRule="auto"/>
        <w:rPr>
          <w:sz w:val="20"/>
          <w:szCs w:val="20"/>
          <w:color w:val="auto"/>
        </w:rPr>
      </w:pPr>
      <w:r>
        <w:rPr>
          <w:rFonts w:ascii="Arial" w:cs="Arial" w:eastAsia="Arial" w:hAnsi="Arial"/>
          <w:sz w:val="17"/>
          <w:szCs w:val="17"/>
          <w:color w:val="auto"/>
        </w:rPr>
        <w:t>The Company uses a balance of short-, medium- and long-term incentives as well as cash and non-cash compensation to meet its executive compensation program objectives. The Company’s incentive compensation programs for executives are designed to link compensation with the full spectrum of our business goals, some of which are short term, while others take several years or more to achieve:</w:t>
      </w:r>
    </w:p>
    <w:p>
      <w:pPr>
        <w:spacing w:after="0" w:line="200" w:lineRule="exact"/>
        <w:rPr>
          <w:sz w:val="20"/>
          <w:szCs w:val="20"/>
          <w:color w:val="auto"/>
        </w:rPr>
      </w:pPr>
    </w:p>
    <w:p>
      <w:pPr>
        <w:spacing w:after="0" w:line="272" w:lineRule="exact"/>
        <w:rPr>
          <w:sz w:val="20"/>
          <w:szCs w:val="20"/>
          <w:color w:val="auto"/>
        </w:rPr>
      </w:pPr>
    </w:p>
    <w:tbl>
      <w:tblPr>
        <w:tblLayout w:type="fixed"/>
        <w:tblInd w:w="0" w:type="dxa"/>
        <w:tblCellMar>
          <w:top w:w="0" w:type="dxa"/>
          <w:left w:w="0" w:type="dxa"/>
          <w:bottom w:w="0" w:type="dxa"/>
          <w:right w:w="0" w:type="dxa"/>
        </w:tblCellMar>
      </w:tblPr>
      <w:tr>
        <w:trPr>
          <w:trHeight w:val="176"/>
        </w:trPr>
        <w:tc>
          <w:tcPr>
            <w:tcW w:w="20" w:type="dxa"/>
            <w:vAlign w:val="bottom"/>
          </w:tcPr>
          <w:p>
            <w:pPr>
              <w:spacing w:after="0"/>
              <w:rPr>
                <w:sz w:val="15"/>
                <w:szCs w:val="15"/>
                <w:color w:val="auto"/>
              </w:rPr>
            </w:pPr>
          </w:p>
        </w:tc>
        <w:tc>
          <w:tcPr>
            <w:tcW w:w="2620" w:type="dxa"/>
            <w:vAlign w:val="bottom"/>
            <w:tcBorders>
              <w:top w:val="single" w:sz="8" w:color="auto"/>
            </w:tcBorders>
          </w:tcPr>
          <w:p>
            <w:pPr>
              <w:spacing w:after="0"/>
              <w:rPr>
                <w:sz w:val="15"/>
                <w:szCs w:val="15"/>
                <w:color w:val="auto"/>
              </w:rPr>
            </w:pPr>
          </w:p>
        </w:tc>
        <w:tc>
          <w:tcPr>
            <w:tcW w:w="1140" w:type="dxa"/>
            <w:vAlign w:val="bottom"/>
            <w:tcBorders>
              <w:top w:val="single" w:sz="8" w:color="auto"/>
            </w:tcBorders>
          </w:tcPr>
          <w:p>
            <w:pPr>
              <w:spacing w:after="0"/>
              <w:rPr>
                <w:sz w:val="15"/>
                <w:szCs w:val="15"/>
                <w:color w:val="auto"/>
              </w:rPr>
            </w:pPr>
          </w:p>
        </w:tc>
        <w:tc>
          <w:tcPr>
            <w:tcW w:w="900" w:type="dxa"/>
            <w:vAlign w:val="bottom"/>
            <w:tcBorders>
              <w:top w:val="single" w:sz="8" w:color="auto"/>
            </w:tcBorders>
          </w:tcPr>
          <w:p>
            <w:pPr>
              <w:spacing w:after="0"/>
              <w:rPr>
                <w:sz w:val="15"/>
                <w:szCs w:val="15"/>
                <w:color w:val="auto"/>
              </w:rPr>
            </w:pPr>
          </w:p>
        </w:tc>
        <w:tc>
          <w:tcPr>
            <w:tcW w:w="600" w:type="dxa"/>
            <w:vAlign w:val="bottom"/>
            <w:tcBorders>
              <w:top w:val="single" w:sz="8" w:color="auto"/>
            </w:tcBorders>
          </w:tcPr>
          <w:p>
            <w:pPr>
              <w:spacing w:after="0"/>
              <w:rPr>
                <w:sz w:val="15"/>
                <w:szCs w:val="15"/>
                <w:color w:val="auto"/>
              </w:rPr>
            </w:pPr>
          </w:p>
        </w:tc>
        <w:tc>
          <w:tcPr>
            <w:tcW w:w="600" w:type="dxa"/>
            <w:vAlign w:val="bottom"/>
            <w:tcBorders>
              <w:top w:val="single" w:sz="8" w:color="auto"/>
            </w:tcBorders>
          </w:tcPr>
          <w:p>
            <w:pPr>
              <w:spacing w:after="0"/>
              <w:rPr>
                <w:sz w:val="15"/>
                <w:szCs w:val="15"/>
                <w:color w:val="auto"/>
              </w:rPr>
            </w:pPr>
          </w:p>
        </w:tc>
        <w:tc>
          <w:tcPr>
            <w:tcW w:w="1460" w:type="dxa"/>
            <w:vAlign w:val="bottom"/>
            <w:tcBorders>
              <w:top w:val="single" w:sz="8" w:color="auto"/>
            </w:tcBorders>
            <w:gridSpan w:val="3"/>
            <w:vMerge w:val="restart"/>
          </w:tcPr>
          <w:p>
            <w:pPr>
              <w:jc w:val="center"/>
              <w:ind w:right="600"/>
              <w:spacing w:after="0"/>
              <w:rPr>
                <w:sz w:val="20"/>
                <w:szCs w:val="20"/>
                <w:color w:val="auto"/>
              </w:rPr>
            </w:pPr>
            <w:r>
              <w:rPr>
                <w:rFonts w:ascii="Arial" w:cs="Arial" w:eastAsia="Arial" w:hAnsi="Arial"/>
                <w:sz w:val="17"/>
                <w:szCs w:val="17"/>
                <w:b w:val="1"/>
                <w:bCs w:val="1"/>
                <w:color w:val="auto"/>
                <w:w w:val="97"/>
              </w:rPr>
              <w:t>Long Term</w:t>
            </w:r>
          </w:p>
        </w:tc>
        <w:tc>
          <w:tcPr>
            <w:tcW w:w="620" w:type="dxa"/>
            <w:vAlign w:val="bottom"/>
            <w:tcBorders>
              <w:top w:val="single" w:sz="8" w:color="auto"/>
            </w:tcBorders>
          </w:tcPr>
          <w:p>
            <w:pPr>
              <w:spacing w:after="0"/>
              <w:rPr>
                <w:sz w:val="15"/>
                <w:szCs w:val="15"/>
                <w:color w:val="auto"/>
              </w:rPr>
            </w:pPr>
          </w:p>
        </w:tc>
        <w:tc>
          <w:tcPr>
            <w:tcW w:w="1480" w:type="dxa"/>
            <w:vAlign w:val="bottom"/>
            <w:tcBorders>
              <w:top w:val="single" w:sz="8" w:color="auto"/>
            </w:tcBorders>
            <w:gridSpan w:val="2"/>
          </w:tcPr>
          <w:p>
            <w:pPr>
              <w:jc w:val="center"/>
              <w:ind w:right="620"/>
              <w:spacing w:after="0" w:line="176" w:lineRule="exact"/>
              <w:rPr>
                <w:sz w:val="20"/>
                <w:szCs w:val="20"/>
                <w:color w:val="auto"/>
              </w:rPr>
            </w:pPr>
            <w:r>
              <w:rPr>
                <w:rFonts w:ascii="Arial" w:cs="Arial" w:eastAsia="Arial" w:hAnsi="Arial"/>
                <w:sz w:val="17"/>
                <w:szCs w:val="17"/>
                <w:b w:val="1"/>
                <w:bCs w:val="1"/>
                <w:color w:val="auto"/>
                <w:w w:val="97"/>
              </w:rPr>
              <w:t>Long Term</w:t>
            </w:r>
          </w:p>
        </w:tc>
        <w:tc>
          <w:tcPr>
            <w:tcW w:w="1980" w:type="dxa"/>
            <w:vAlign w:val="bottom"/>
            <w:tcBorders>
              <w:top w:val="single" w:sz="8" w:color="auto"/>
            </w:tcBorders>
            <w:gridSpan w:val="3"/>
            <w:vMerge w:val="restart"/>
          </w:tcPr>
          <w:p>
            <w:pPr>
              <w:jc w:val="center"/>
              <w:ind w:left="15"/>
              <w:spacing w:after="0"/>
              <w:rPr>
                <w:sz w:val="20"/>
                <w:szCs w:val="20"/>
                <w:color w:val="auto"/>
              </w:rPr>
            </w:pPr>
            <w:r>
              <w:rPr>
                <w:rFonts w:ascii="Arial" w:cs="Arial" w:eastAsia="Arial" w:hAnsi="Arial"/>
                <w:sz w:val="17"/>
                <w:szCs w:val="17"/>
                <w:b w:val="1"/>
                <w:bCs w:val="1"/>
                <w:color w:val="auto"/>
              </w:rPr>
              <w:t>Long Term</w:t>
            </w:r>
          </w:p>
        </w:tc>
        <w:tc>
          <w:tcPr>
            <w:tcW w:w="0" w:type="dxa"/>
            <w:vAlign w:val="bottom"/>
          </w:tcPr>
          <w:p>
            <w:pPr>
              <w:spacing w:after="0"/>
              <w:rPr>
                <w:sz w:val="1"/>
                <w:szCs w:val="1"/>
                <w:color w:val="auto"/>
              </w:rPr>
            </w:pPr>
          </w:p>
        </w:tc>
      </w:tr>
      <w:tr>
        <w:trPr>
          <w:trHeight w:val="169"/>
        </w:trPr>
        <w:tc>
          <w:tcPr>
            <w:tcW w:w="20" w:type="dxa"/>
            <w:vAlign w:val="bottom"/>
          </w:tcPr>
          <w:p>
            <w:pPr>
              <w:spacing w:after="0"/>
              <w:rPr>
                <w:sz w:val="14"/>
                <w:szCs w:val="14"/>
                <w:color w:val="auto"/>
              </w:rPr>
            </w:pPr>
          </w:p>
        </w:tc>
        <w:tc>
          <w:tcPr>
            <w:tcW w:w="262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1460" w:type="dxa"/>
            <w:vAlign w:val="bottom"/>
            <w:tcBorders>
              <w:top w:val="single" w:sz="8" w:color="auto"/>
            </w:tcBorders>
            <w:gridSpan w:val="3"/>
            <w:vMerge w:val="continue"/>
          </w:tcPr>
          <w:p>
            <w:pPr>
              <w:spacing w:after="0"/>
              <w:rPr>
                <w:sz w:val="14"/>
                <w:szCs w:val="14"/>
                <w:color w:val="auto"/>
              </w:rPr>
            </w:pPr>
          </w:p>
        </w:tc>
        <w:tc>
          <w:tcPr>
            <w:tcW w:w="620" w:type="dxa"/>
            <w:vAlign w:val="bottom"/>
          </w:tcPr>
          <w:p>
            <w:pPr>
              <w:spacing w:after="0"/>
              <w:rPr>
                <w:sz w:val="14"/>
                <w:szCs w:val="14"/>
                <w:color w:val="auto"/>
              </w:rPr>
            </w:pPr>
          </w:p>
        </w:tc>
        <w:tc>
          <w:tcPr>
            <w:tcW w:w="860" w:type="dxa"/>
            <w:vAlign w:val="bottom"/>
            <w:tcBorders>
              <w:top w:val="single" w:sz="8" w:color="auto"/>
            </w:tcBorders>
          </w:tcPr>
          <w:p>
            <w:pPr>
              <w:jc w:val="center"/>
              <w:spacing w:after="0" w:line="169" w:lineRule="exact"/>
              <w:rPr>
                <w:sz w:val="20"/>
                <w:szCs w:val="20"/>
                <w:color w:val="auto"/>
              </w:rPr>
            </w:pPr>
            <w:r>
              <w:rPr>
                <w:rFonts w:ascii="Arial" w:cs="Arial" w:eastAsia="Arial" w:hAnsi="Arial"/>
                <w:sz w:val="17"/>
                <w:szCs w:val="17"/>
                <w:color w:val="auto"/>
                <w:w w:val="98"/>
              </w:rPr>
              <w:t>(Equity)</w:t>
            </w:r>
          </w:p>
        </w:tc>
        <w:tc>
          <w:tcPr>
            <w:tcW w:w="620" w:type="dxa"/>
            <w:vAlign w:val="bottom"/>
          </w:tcPr>
          <w:p>
            <w:pPr>
              <w:spacing w:after="0"/>
              <w:rPr>
                <w:sz w:val="14"/>
                <w:szCs w:val="14"/>
                <w:color w:val="auto"/>
              </w:rPr>
            </w:pPr>
          </w:p>
        </w:tc>
        <w:tc>
          <w:tcPr>
            <w:tcW w:w="1980" w:type="dxa"/>
            <w:vAlign w:val="bottom"/>
            <w:tcBorders>
              <w:top w:val="single" w:sz="8" w:color="auto"/>
            </w:tcBorders>
            <w:gridSpan w:val="3"/>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2620" w:type="dxa"/>
            <w:vAlign w:val="bottom"/>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c>
          <w:tcPr>
            <w:tcW w:w="1500" w:type="dxa"/>
            <w:vAlign w:val="bottom"/>
            <w:gridSpan w:val="2"/>
            <w:vMerge w:val="restart"/>
          </w:tcPr>
          <w:p>
            <w:pPr>
              <w:jc w:val="center"/>
              <w:ind w:right="600"/>
              <w:spacing w:after="0" w:line="189" w:lineRule="exact"/>
              <w:rPr>
                <w:sz w:val="20"/>
                <w:szCs w:val="20"/>
                <w:color w:val="auto"/>
              </w:rPr>
            </w:pPr>
            <w:r>
              <w:rPr>
                <w:rFonts w:ascii="Arial" w:cs="Arial" w:eastAsia="Arial" w:hAnsi="Arial"/>
                <w:sz w:val="17"/>
                <w:szCs w:val="17"/>
                <w:b w:val="1"/>
                <w:bCs w:val="1"/>
                <w:color w:val="auto"/>
                <w:w w:val="99"/>
              </w:rPr>
              <w:t>Short Term</w:t>
            </w:r>
          </w:p>
        </w:tc>
        <w:tc>
          <w:tcPr>
            <w:tcW w:w="600" w:type="dxa"/>
            <w:vAlign w:val="bottom"/>
          </w:tcPr>
          <w:p>
            <w:pPr>
              <w:spacing w:after="0" w:line="20" w:lineRule="exact"/>
              <w:rPr>
                <w:sz w:val="1"/>
                <w:szCs w:val="1"/>
                <w:color w:val="auto"/>
              </w:rPr>
            </w:pPr>
          </w:p>
        </w:tc>
        <w:tc>
          <w:tcPr>
            <w:tcW w:w="860" w:type="dxa"/>
            <w:vAlign w:val="bottom"/>
            <w:gridSpan w:val="2"/>
            <w:shd w:val="clear" w:color="auto" w:fill="000000"/>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2100" w:type="dxa"/>
            <w:vAlign w:val="bottom"/>
            <w:gridSpan w:val="3"/>
            <w:vMerge w:val="restart"/>
          </w:tcPr>
          <w:p>
            <w:pPr>
              <w:jc w:val="center"/>
              <w:spacing w:after="0" w:line="189" w:lineRule="exact"/>
              <w:rPr>
                <w:sz w:val="20"/>
                <w:szCs w:val="20"/>
                <w:color w:val="auto"/>
              </w:rPr>
            </w:pPr>
            <w:r>
              <w:rPr>
                <w:rFonts w:ascii="Arial" w:cs="Arial" w:eastAsia="Arial" w:hAnsi="Arial"/>
                <w:sz w:val="17"/>
                <w:szCs w:val="17"/>
                <w:b w:val="1"/>
                <w:bCs w:val="1"/>
                <w:color w:val="auto"/>
              </w:rPr>
              <w:t>Time-Based</w:t>
            </w:r>
          </w:p>
        </w:tc>
        <w:tc>
          <w:tcPr>
            <w:tcW w:w="600" w:type="dxa"/>
            <w:vAlign w:val="bottom"/>
          </w:tcPr>
          <w:p>
            <w:pPr>
              <w:spacing w:after="0" w:line="20" w:lineRule="exact"/>
              <w:rPr>
                <w:sz w:val="1"/>
                <w:szCs w:val="1"/>
                <w:color w:val="auto"/>
              </w:rPr>
            </w:pPr>
          </w:p>
        </w:tc>
        <w:tc>
          <w:tcPr>
            <w:tcW w:w="880" w:type="dxa"/>
            <w:vAlign w:val="bottom"/>
            <w:shd w:val="clear" w:color="auto" w:fill="000000"/>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69"/>
        </w:trPr>
        <w:tc>
          <w:tcPr>
            <w:tcW w:w="20" w:type="dxa"/>
            <w:vAlign w:val="bottom"/>
          </w:tcPr>
          <w:p>
            <w:pPr>
              <w:spacing w:after="0"/>
              <w:rPr>
                <w:sz w:val="14"/>
                <w:szCs w:val="14"/>
                <w:color w:val="auto"/>
              </w:rPr>
            </w:pPr>
          </w:p>
        </w:tc>
        <w:tc>
          <w:tcPr>
            <w:tcW w:w="262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1500" w:type="dxa"/>
            <w:vAlign w:val="bottom"/>
            <w:gridSpan w:val="2"/>
            <w:vMerge w:val="continue"/>
          </w:tcPr>
          <w:p>
            <w:pPr>
              <w:spacing w:after="0"/>
              <w:rPr>
                <w:sz w:val="14"/>
                <w:szCs w:val="14"/>
                <w:color w:val="auto"/>
              </w:rPr>
            </w:pPr>
          </w:p>
        </w:tc>
        <w:tc>
          <w:tcPr>
            <w:tcW w:w="2060" w:type="dxa"/>
            <w:vAlign w:val="bottom"/>
            <w:gridSpan w:val="4"/>
          </w:tcPr>
          <w:p>
            <w:pPr>
              <w:jc w:val="center"/>
              <w:spacing w:after="0" w:line="169" w:lineRule="exact"/>
              <w:rPr>
                <w:sz w:val="20"/>
                <w:szCs w:val="20"/>
                <w:color w:val="auto"/>
              </w:rPr>
            </w:pPr>
            <w:r>
              <w:rPr>
                <w:rFonts w:ascii="Arial" w:cs="Arial" w:eastAsia="Arial" w:hAnsi="Arial"/>
                <w:sz w:val="17"/>
                <w:szCs w:val="17"/>
                <w:color w:val="auto"/>
                <w:w w:val="99"/>
              </w:rPr>
              <w:t>(Equity/Cash)</w:t>
            </w:r>
          </w:p>
        </w:tc>
        <w:tc>
          <w:tcPr>
            <w:tcW w:w="2100" w:type="dxa"/>
            <w:vAlign w:val="bottom"/>
            <w:gridSpan w:val="3"/>
            <w:vMerge w:val="continue"/>
          </w:tcPr>
          <w:p>
            <w:pPr>
              <w:spacing w:after="0"/>
              <w:rPr>
                <w:sz w:val="14"/>
                <w:szCs w:val="14"/>
                <w:color w:val="auto"/>
              </w:rPr>
            </w:pPr>
          </w:p>
        </w:tc>
        <w:tc>
          <w:tcPr>
            <w:tcW w:w="600" w:type="dxa"/>
            <w:vAlign w:val="bottom"/>
          </w:tcPr>
          <w:p>
            <w:pPr>
              <w:spacing w:after="0"/>
              <w:rPr>
                <w:sz w:val="14"/>
                <w:szCs w:val="14"/>
                <w:color w:val="auto"/>
              </w:rPr>
            </w:pPr>
          </w:p>
        </w:tc>
        <w:tc>
          <w:tcPr>
            <w:tcW w:w="1380" w:type="dxa"/>
            <w:vAlign w:val="bottom"/>
            <w:gridSpan w:val="2"/>
          </w:tcPr>
          <w:p>
            <w:pPr>
              <w:jc w:val="center"/>
              <w:ind w:right="500"/>
              <w:spacing w:after="0" w:line="169" w:lineRule="exact"/>
              <w:rPr>
                <w:sz w:val="20"/>
                <w:szCs w:val="20"/>
                <w:color w:val="auto"/>
              </w:rPr>
            </w:pPr>
            <w:r>
              <w:rPr>
                <w:rFonts w:ascii="Arial" w:cs="Arial" w:eastAsia="Arial" w:hAnsi="Arial"/>
                <w:sz w:val="17"/>
                <w:szCs w:val="17"/>
                <w:color w:val="auto"/>
              </w:rPr>
              <w:t>(Equity)</w:t>
            </w:r>
          </w:p>
        </w:tc>
        <w:tc>
          <w:tcPr>
            <w:tcW w:w="0" w:type="dxa"/>
            <w:vAlign w:val="bottom"/>
          </w:tcPr>
          <w:p>
            <w:pPr>
              <w:spacing w:after="0"/>
              <w:rPr>
                <w:sz w:val="1"/>
                <w:szCs w:val="1"/>
                <w:color w:val="auto"/>
              </w:rPr>
            </w:pPr>
          </w:p>
        </w:tc>
      </w:tr>
      <w:tr>
        <w:trPr>
          <w:trHeight w:val="170"/>
        </w:trPr>
        <w:tc>
          <w:tcPr>
            <w:tcW w:w="20" w:type="dxa"/>
            <w:vAlign w:val="bottom"/>
          </w:tcPr>
          <w:p>
            <w:pPr>
              <w:spacing w:after="0"/>
              <w:rPr>
                <w:sz w:val="14"/>
                <w:szCs w:val="14"/>
                <w:color w:val="auto"/>
              </w:rPr>
            </w:pPr>
          </w:p>
        </w:tc>
        <w:tc>
          <w:tcPr>
            <w:tcW w:w="262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900" w:type="dxa"/>
            <w:vAlign w:val="bottom"/>
            <w:tcBorders>
              <w:top w:val="single" w:sz="8" w:color="auto"/>
            </w:tcBorders>
          </w:tcPr>
          <w:p>
            <w:pPr>
              <w:jc w:val="center"/>
              <w:spacing w:after="0" w:line="170" w:lineRule="exact"/>
              <w:rPr>
                <w:sz w:val="20"/>
                <w:szCs w:val="20"/>
                <w:color w:val="auto"/>
              </w:rPr>
            </w:pPr>
            <w:r>
              <w:rPr>
                <w:rFonts w:ascii="Arial" w:cs="Arial" w:eastAsia="Arial" w:hAnsi="Arial"/>
                <w:sz w:val="17"/>
                <w:szCs w:val="17"/>
                <w:color w:val="auto"/>
              </w:rPr>
              <w:t>(Cash)</w:t>
            </w:r>
          </w:p>
        </w:tc>
        <w:tc>
          <w:tcPr>
            <w:tcW w:w="600" w:type="dxa"/>
            <w:vAlign w:val="bottom"/>
          </w:tcPr>
          <w:p>
            <w:pPr>
              <w:spacing w:after="0"/>
              <w:rPr>
                <w:sz w:val="14"/>
                <w:szCs w:val="14"/>
                <w:color w:val="auto"/>
              </w:rPr>
            </w:pPr>
          </w:p>
        </w:tc>
        <w:tc>
          <w:tcPr>
            <w:tcW w:w="2060" w:type="dxa"/>
            <w:vAlign w:val="bottom"/>
            <w:gridSpan w:val="4"/>
          </w:tcPr>
          <w:p>
            <w:pPr>
              <w:jc w:val="center"/>
              <w:spacing w:after="0" w:line="170" w:lineRule="exact"/>
              <w:rPr>
                <w:sz w:val="20"/>
                <w:szCs w:val="20"/>
                <w:color w:val="auto"/>
              </w:rPr>
            </w:pPr>
            <w:r>
              <w:rPr>
                <w:rFonts w:ascii="Arial" w:cs="Arial" w:eastAsia="Arial" w:hAnsi="Arial"/>
                <w:sz w:val="17"/>
                <w:szCs w:val="17"/>
                <w:b w:val="1"/>
                <w:bCs w:val="1"/>
                <w:color w:val="auto"/>
              </w:rPr>
              <w:t>Performance</w:t>
            </w:r>
          </w:p>
        </w:tc>
        <w:tc>
          <w:tcPr>
            <w:tcW w:w="2100" w:type="dxa"/>
            <w:vAlign w:val="bottom"/>
            <w:gridSpan w:val="3"/>
          </w:tcPr>
          <w:p>
            <w:pPr>
              <w:jc w:val="center"/>
              <w:spacing w:after="0" w:line="170" w:lineRule="exact"/>
              <w:rPr>
                <w:sz w:val="20"/>
                <w:szCs w:val="20"/>
                <w:color w:val="auto"/>
              </w:rPr>
            </w:pPr>
            <w:r>
              <w:rPr>
                <w:rFonts w:ascii="Arial" w:cs="Arial" w:eastAsia="Arial" w:hAnsi="Arial"/>
                <w:sz w:val="17"/>
                <w:szCs w:val="17"/>
                <w:b w:val="1"/>
                <w:bCs w:val="1"/>
                <w:color w:val="auto"/>
                <w:w w:val="99"/>
              </w:rPr>
              <w:t>Restricted Stock</w:t>
            </w:r>
          </w:p>
        </w:tc>
        <w:tc>
          <w:tcPr>
            <w:tcW w:w="1980" w:type="dxa"/>
            <w:vAlign w:val="bottom"/>
            <w:gridSpan w:val="3"/>
          </w:tcPr>
          <w:p>
            <w:pPr>
              <w:jc w:val="center"/>
              <w:ind w:left="15"/>
              <w:spacing w:after="0" w:line="170" w:lineRule="exact"/>
              <w:rPr>
                <w:sz w:val="20"/>
                <w:szCs w:val="20"/>
                <w:color w:val="auto"/>
              </w:rPr>
            </w:pPr>
            <w:r>
              <w:rPr>
                <w:rFonts w:ascii="Arial" w:cs="Arial" w:eastAsia="Arial" w:hAnsi="Arial"/>
                <w:sz w:val="17"/>
                <w:szCs w:val="17"/>
                <w:b w:val="1"/>
                <w:bCs w:val="1"/>
                <w:color w:val="auto"/>
              </w:rPr>
              <w:t>Nonqualified</w:t>
            </w:r>
          </w:p>
        </w:tc>
        <w:tc>
          <w:tcPr>
            <w:tcW w:w="0" w:type="dxa"/>
            <w:vAlign w:val="bottom"/>
          </w:tcPr>
          <w:p>
            <w:pPr>
              <w:spacing w:after="0"/>
              <w:rPr>
                <w:sz w:val="1"/>
                <w:szCs w:val="1"/>
                <w:color w:val="auto"/>
              </w:rPr>
            </w:pPr>
          </w:p>
        </w:tc>
      </w:tr>
      <w:tr>
        <w:trPr>
          <w:trHeight w:val="227"/>
        </w:trPr>
        <w:tc>
          <w:tcPr>
            <w:tcW w:w="20" w:type="dxa"/>
            <w:vAlign w:val="bottom"/>
          </w:tcPr>
          <w:p>
            <w:pPr>
              <w:spacing w:after="0"/>
              <w:rPr>
                <w:sz w:val="19"/>
                <w:szCs w:val="19"/>
                <w:color w:val="auto"/>
              </w:rPr>
            </w:pPr>
          </w:p>
        </w:tc>
        <w:tc>
          <w:tcPr>
            <w:tcW w:w="2620" w:type="dxa"/>
            <w:vAlign w:val="bottom"/>
            <w:tcBorders>
              <w:bottom w:val="single" w:sz="8" w:color="auto"/>
            </w:tcBorders>
          </w:tcPr>
          <w:p>
            <w:pPr>
              <w:spacing w:after="0"/>
              <w:rPr>
                <w:sz w:val="19"/>
                <w:szCs w:val="19"/>
                <w:color w:val="auto"/>
              </w:rPr>
            </w:pPr>
          </w:p>
        </w:tc>
        <w:tc>
          <w:tcPr>
            <w:tcW w:w="2640" w:type="dxa"/>
            <w:vAlign w:val="bottom"/>
            <w:tcBorders>
              <w:bottom w:val="single" w:sz="8" w:color="auto"/>
            </w:tcBorders>
            <w:gridSpan w:val="3"/>
          </w:tcPr>
          <w:p>
            <w:pPr>
              <w:jc w:val="center"/>
              <w:ind w:left="473"/>
              <w:spacing w:after="0"/>
              <w:rPr>
                <w:sz w:val="20"/>
                <w:szCs w:val="20"/>
                <w:color w:val="auto"/>
              </w:rPr>
            </w:pPr>
            <w:r>
              <w:rPr>
                <w:rFonts w:ascii="Arial" w:cs="Arial" w:eastAsia="Arial" w:hAnsi="Arial"/>
                <w:sz w:val="17"/>
                <w:szCs w:val="17"/>
                <w:b w:val="1"/>
                <w:bCs w:val="1"/>
                <w:color w:val="auto"/>
                <w:w w:val="99"/>
              </w:rPr>
              <w:t>Annual Incentive</w:t>
            </w:r>
          </w:p>
        </w:tc>
        <w:tc>
          <w:tcPr>
            <w:tcW w:w="600" w:type="dxa"/>
            <w:vAlign w:val="bottom"/>
            <w:tcBorders>
              <w:bottom w:val="single" w:sz="8" w:color="auto"/>
            </w:tcBorders>
          </w:tcPr>
          <w:p>
            <w:pPr>
              <w:spacing w:after="0"/>
              <w:rPr>
                <w:sz w:val="19"/>
                <w:szCs w:val="19"/>
                <w:color w:val="auto"/>
              </w:rPr>
            </w:pPr>
          </w:p>
        </w:tc>
        <w:tc>
          <w:tcPr>
            <w:tcW w:w="1460" w:type="dxa"/>
            <w:vAlign w:val="bottom"/>
            <w:tcBorders>
              <w:bottom w:val="single" w:sz="8" w:color="auto"/>
            </w:tcBorders>
            <w:gridSpan w:val="3"/>
          </w:tcPr>
          <w:p>
            <w:pPr>
              <w:jc w:val="center"/>
              <w:ind w:right="600"/>
              <w:spacing w:after="0"/>
              <w:rPr>
                <w:sz w:val="20"/>
                <w:szCs w:val="20"/>
                <w:color w:val="auto"/>
              </w:rPr>
            </w:pPr>
            <w:r>
              <w:rPr>
                <w:rFonts w:ascii="Arial" w:cs="Arial" w:eastAsia="Arial" w:hAnsi="Arial"/>
                <w:sz w:val="17"/>
                <w:szCs w:val="17"/>
                <w:b w:val="1"/>
                <w:bCs w:val="1"/>
                <w:color w:val="auto"/>
              </w:rPr>
              <w:t>Shares</w:t>
            </w:r>
          </w:p>
        </w:tc>
        <w:tc>
          <w:tcPr>
            <w:tcW w:w="620" w:type="dxa"/>
            <w:vAlign w:val="bottom"/>
            <w:tcBorders>
              <w:bottom w:val="single" w:sz="8" w:color="auto"/>
            </w:tcBorders>
          </w:tcPr>
          <w:p>
            <w:pPr>
              <w:spacing w:after="0"/>
              <w:rPr>
                <w:sz w:val="19"/>
                <w:szCs w:val="19"/>
                <w:color w:val="auto"/>
              </w:rPr>
            </w:pPr>
          </w:p>
        </w:tc>
        <w:tc>
          <w:tcPr>
            <w:tcW w:w="1480" w:type="dxa"/>
            <w:vAlign w:val="bottom"/>
            <w:tcBorders>
              <w:bottom w:val="single" w:sz="8" w:color="auto"/>
            </w:tcBorders>
            <w:gridSpan w:val="2"/>
          </w:tcPr>
          <w:p>
            <w:pPr>
              <w:jc w:val="center"/>
              <w:ind w:right="620"/>
              <w:spacing w:after="0"/>
              <w:rPr>
                <w:sz w:val="20"/>
                <w:szCs w:val="20"/>
                <w:color w:val="auto"/>
              </w:rPr>
            </w:pPr>
            <w:r>
              <w:rPr>
                <w:rFonts w:ascii="Arial" w:cs="Arial" w:eastAsia="Arial" w:hAnsi="Arial"/>
                <w:sz w:val="17"/>
                <w:szCs w:val="17"/>
                <w:b w:val="1"/>
                <w:bCs w:val="1"/>
                <w:color w:val="auto"/>
                <w:w w:val="98"/>
              </w:rPr>
              <w:t>Units</w:t>
            </w:r>
          </w:p>
        </w:tc>
        <w:tc>
          <w:tcPr>
            <w:tcW w:w="1980" w:type="dxa"/>
            <w:vAlign w:val="bottom"/>
            <w:tcBorders>
              <w:bottom w:val="single" w:sz="8" w:color="auto"/>
            </w:tcBorders>
            <w:gridSpan w:val="3"/>
          </w:tcPr>
          <w:p>
            <w:pPr>
              <w:jc w:val="center"/>
              <w:ind w:left="15"/>
              <w:spacing w:after="0"/>
              <w:rPr>
                <w:sz w:val="20"/>
                <w:szCs w:val="20"/>
                <w:color w:val="auto"/>
              </w:rPr>
            </w:pPr>
            <w:r>
              <w:rPr>
                <w:rFonts w:ascii="Arial" w:cs="Arial" w:eastAsia="Arial" w:hAnsi="Arial"/>
                <w:sz w:val="17"/>
                <w:szCs w:val="17"/>
                <w:b w:val="1"/>
                <w:bCs w:val="1"/>
                <w:color w:val="auto"/>
              </w:rPr>
              <w:t>Stock Options</w:t>
            </w:r>
          </w:p>
        </w:tc>
        <w:tc>
          <w:tcPr>
            <w:tcW w:w="0" w:type="dxa"/>
            <w:vAlign w:val="bottom"/>
          </w:tcPr>
          <w:p>
            <w:pPr>
              <w:spacing w:after="0"/>
              <w:rPr>
                <w:sz w:val="1"/>
                <w:szCs w:val="1"/>
                <w:color w:val="auto"/>
              </w:rPr>
            </w:pPr>
          </w:p>
        </w:tc>
      </w:tr>
      <w:tr>
        <w:trPr>
          <w:trHeight w:val="178"/>
        </w:trPr>
        <w:tc>
          <w:tcPr>
            <w:tcW w:w="2640" w:type="dxa"/>
            <w:vAlign w:val="bottom"/>
            <w:gridSpan w:val="2"/>
            <w:vMerge w:val="restart"/>
          </w:tcPr>
          <w:p>
            <w:pPr>
              <w:spacing w:after="0"/>
              <w:rPr>
                <w:sz w:val="20"/>
                <w:szCs w:val="20"/>
                <w:color w:val="auto"/>
              </w:rPr>
            </w:pPr>
            <w:r>
              <w:rPr>
                <w:rFonts w:ascii="Arial" w:cs="Arial" w:eastAsia="Arial" w:hAnsi="Arial"/>
                <w:sz w:val="17"/>
                <w:szCs w:val="17"/>
                <w:b w:val="1"/>
                <w:bCs w:val="1"/>
                <w:color w:val="auto"/>
              </w:rPr>
              <w:t>Objective</w:t>
            </w:r>
          </w:p>
        </w:tc>
        <w:tc>
          <w:tcPr>
            <w:tcW w:w="2640" w:type="dxa"/>
            <w:vAlign w:val="bottom"/>
            <w:gridSpan w:val="3"/>
          </w:tcPr>
          <w:p>
            <w:pPr>
              <w:jc w:val="center"/>
              <w:ind w:left="453"/>
              <w:spacing w:after="0" w:line="179" w:lineRule="exact"/>
              <w:rPr>
                <w:sz w:val="20"/>
                <w:szCs w:val="20"/>
                <w:color w:val="auto"/>
              </w:rPr>
            </w:pPr>
            <w:r>
              <w:rPr>
                <w:rFonts w:ascii="Arial" w:cs="Arial" w:eastAsia="Arial" w:hAnsi="Arial"/>
                <w:sz w:val="17"/>
                <w:szCs w:val="17"/>
                <w:color w:val="auto"/>
              </w:rPr>
              <w:t>Short-term operational</w:t>
            </w:r>
          </w:p>
        </w:tc>
        <w:tc>
          <w:tcPr>
            <w:tcW w:w="2060" w:type="dxa"/>
            <w:vAlign w:val="bottom"/>
            <w:gridSpan w:val="4"/>
          </w:tcPr>
          <w:p>
            <w:pPr>
              <w:jc w:val="center"/>
              <w:spacing w:after="0" w:line="179" w:lineRule="exact"/>
              <w:rPr>
                <w:sz w:val="20"/>
                <w:szCs w:val="20"/>
                <w:color w:val="auto"/>
              </w:rPr>
            </w:pPr>
            <w:r>
              <w:rPr>
                <w:rFonts w:ascii="Arial" w:cs="Arial" w:eastAsia="Arial" w:hAnsi="Arial"/>
                <w:sz w:val="17"/>
                <w:szCs w:val="17"/>
                <w:color w:val="auto"/>
              </w:rPr>
              <w:t>Medium-term strategic</w:t>
            </w:r>
          </w:p>
        </w:tc>
        <w:tc>
          <w:tcPr>
            <w:tcW w:w="2100" w:type="dxa"/>
            <w:vAlign w:val="bottom"/>
            <w:gridSpan w:val="3"/>
          </w:tcPr>
          <w:p>
            <w:pPr>
              <w:jc w:val="center"/>
              <w:spacing w:after="0" w:line="179" w:lineRule="exact"/>
              <w:rPr>
                <w:sz w:val="20"/>
                <w:szCs w:val="20"/>
                <w:color w:val="auto"/>
              </w:rPr>
            </w:pPr>
            <w:r>
              <w:rPr>
                <w:rFonts w:ascii="Arial" w:cs="Arial" w:eastAsia="Arial" w:hAnsi="Arial"/>
                <w:sz w:val="17"/>
                <w:szCs w:val="17"/>
                <w:color w:val="auto"/>
              </w:rPr>
              <w:t>Long-term shareholder</w:t>
            </w:r>
          </w:p>
        </w:tc>
        <w:tc>
          <w:tcPr>
            <w:tcW w:w="1980" w:type="dxa"/>
            <w:vAlign w:val="bottom"/>
            <w:gridSpan w:val="3"/>
          </w:tcPr>
          <w:p>
            <w:pPr>
              <w:jc w:val="center"/>
              <w:ind w:left="15"/>
              <w:spacing w:after="0" w:line="179" w:lineRule="exact"/>
              <w:rPr>
                <w:sz w:val="20"/>
                <w:szCs w:val="20"/>
                <w:color w:val="auto"/>
              </w:rPr>
            </w:pPr>
            <w:r>
              <w:rPr>
                <w:rFonts w:ascii="Arial" w:cs="Arial" w:eastAsia="Arial" w:hAnsi="Arial"/>
                <w:sz w:val="17"/>
                <w:szCs w:val="17"/>
                <w:color w:val="auto"/>
                <w:w w:val="99"/>
              </w:rPr>
              <w:t>Long-term shareholder</w:t>
            </w:r>
          </w:p>
        </w:tc>
        <w:tc>
          <w:tcPr>
            <w:tcW w:w="0" w:type="dxa"/>
            <w:vAlign w:val="bottom"/>
          </w:tcPr>
          <w:p>
            <w:pPr>
              <w:spacing w:after="0"/>
              <w:rPr>
                <w:sz w:val="1"/>
                <w:szCs w:val="1"/>
                <w:color w:val="auto"/>
              </w:rPr>
            </w:pPr>
          </w:p>
        </w:tc>
      </w:tr>
      <w:tr>
        <w:trPr>
          <w:trHeight w:val="110"/>
        </w:trPr>
        <w:tc>
          <w:tcPr>
            <w:tcW w:w="2640" w:type="dxa"/>
            <w:vAlign w:val="bottom"/>
            <w:gridSpan w:val="2"/>
            <w:vMerge w:val="continue"/>
          </w:tcPr>
          <w:p>
            <w:pPr>
              <w:spacing w:after="0"/>
              <w:rPr>
                <w:sz w:val="9"/>
                <w:szCs w:val="9"/>
                <w:color w:val="auto"/>
              </w:rPr>
            </w:pPr>
          </w:p>
        </w:tc>
        <w:tc>
          <w:tcPr>
            <w:tcW w:w="2640" w:type="dxa"/>
            <w:vAlign w:val="bottom"/>
            <w:gridSpan w:val="3"/>
            <w:vMerge w:val="restart"/>
          </w:tcPr>
          <w:p>
            <w:pPr>
              <w:jc w:val="center"/>
              <w:ind w:left="473"/>
              <w:spacing w:after="0"/>
              <w:rPr>
                <w:sz w:val="20"/>
                <w:szCs w:val="20"/>
                <w:color w:val="auto"/>
              </w:rPr>
            </w:pPr>
            <w:r>
              <w:rPr>
                <w:rFonts w:ascii="Arial" w:cs="Arial" w:eastAsia="Arial" w:hAnsi="Arial"/>
                <w:sz w:val="17"/>
                <w:szCs w:val="17"/>
                <w:color w:val="auto"/>
                <w:w w:val="99"/>
              </w:rPr>
              <w:t>business priorities</w:t>
            </w:r>
          </w:p>
        </w:tc>
        <w:tc>
          <w:tcPr>
            <w:tcW w:w="2060" w:type="dxa"/>
            <w:vAlign w:val="bottom"/>
            <w:gridSpan w:val="4"/>
            <w:vMerge w:val="restart"/>
          </w:tcPr>
          <w:p>
            <w:pPr>
              <w:jc w:val="center"/>
              <w:ind w:right="20"/>
              <w:spacing w:after="0"/>
              <w:rPr>
                <w:sz w:val="20"/>
                <w:szCs w:val="20"/>
                <w:color w:val="auto"/>
              </w:rPr>
            </w:pPr>
            <w:r>
              <w:rPr>
                <w:rFonts w:ascii="Arial" w:cs="Arial" w:eastAsia="Arial" w:hAnsi="Arial"/>
                <w:sz w:val="17"/>
                <w:szCs w:val="17"/>
                <w:color w:val="auto"/>
              </w:rPr>
              <w:t>financial goals</w:t>
            </w:r>
          </w:p>
        </w:tc>
        <w:tc>
          <w:tcPr>
            <w:tcW w:w="2100" w:type="dxa"/>
            <w:vAlign w:val="bottom"/>
            <w:gridSpan w:val="3"/>
            <w:vMerge w:val="restart"/>
          </w:tcPr>
          <w:p>
            <w:pPr>
              <w:jc w:val="center"/>
              <w:spacing w:after="0"/>
              <w:rPr>
                <w:sz w:val="20"/>
                <w:szCs w:val="20"/>
                <w:color w:val="auto"/>
              </w:rPr>
            </w:pPr>
            <w:r>
              <w:rPr>
                <w:rFonts w:ascii="Arial" w:cs="Arial" w:eastAsia="Arial" w:hAnsi="Arial"/>
                <w:sz w:val="17"/>
                <w:szCs w:val="17"/>
                <w:color w:val="auto"/>
              </w:rPr>
              <w:t>value creation</w:t>
            </w:r>
          </w:p>
        </w:tc>
        <w:tc>
          <w:tcPr>
            <w:tcW w:w="1980" w:type="dxa"/>
            <w:vAlign w:val="bottom"/>
            <w:gridSpan w:val="3"/>
            <w:vMerge w:val="restart"/>
          </w:tcPr>
          <w:p>
            <w:pPr>
              <w:jc w:val="center"/>
              <w:ind w:left="15"/>
              <w:spacing w:after="0"/>
              <w:rPr>
                <w:sz w:val="20"/>
                <w:szCs w:val="20"/>
                <w:color w:val="auto"/>
              </w:rPr>
            </w:pPr>
            <w:r>
              <w:rPr>
                <w:rFonts w:ascii="Arial" w:cs="Arial" w:eastAsia="Arial" w:hAnsi="Arial"/>
                <w:sz w:val="17"/>
                <w:szCs w:val="17"/>
                <w:color w:val="auto"/>
              </w:rPr>
              <w:t>value creation</w:t>
            </w:r>
          </w:p>
        </w:tc>
        <w:tc>
          <w:tcPr>
            <w:tcW w:w="0" w:type="dxa"/>
            <w:vAlign w:val="bottom"/>
          </w:tcPr>
          <w:p>
            <w:pPr>
              <w:spacing w:after="0"/>
              <w:rPr>
                <w:sz w:val="1"/>
                <w:szCs w:val="1"/>
                <w:color w:val="auto"/>
              </w:rPr>
            </w:pPr>
          </w:p>
        </w:tc>
      </w:tr>
      <w:tr>
        <w:trPr>
          <w:trHeight w:val="85"/>
        </w:trPr>
        <w:tc>
          <w:tcPr>
            <w:tcW w:w="20" w:type="dxa"/>
            <w:vAlign w:val="bottom"/>
          </w:tcPr>
          <w:p>
            <w:pPr>
              <w:spacing w:after="0"/>
              <w:rPr>
                <w:sz w:val="7"/>
                <w:szCs w:val="7"/>
                <w:color w:val="auto"/>
              </w:rPr>
            </w:pPr>
          </w:p>
        </w:tc>
        <w:tc>
          <w:tcPr>
            <w:tcW w:w="2620" w:type="dxa"/>
            <w:vAlign w:val="bottom"/>
            <w:tcBorders>
              <w:bottom w:val="single" w:sz="8" w:color="auto"/>
            </w:tcBorders>
          </w:tcPr>
          <w:p>
            <w:pPr>
              <w:spacing w:after="0"/>
              <w:rPr>
                <w:sz w:val="7"/>
                <w:szCs w:val="7"/>
                <w:color w:val="auto"/>
              </w:rPr>
            </w:pPr>
          </w:p>
        </w:tc>
        <w:tc>
          <w:tcPr>
            <w:tcW w:w="2640" w:type="dxa"/>
            <w:vAlign w:val="bottom"/>
            <w:tcBorders>
              <w:bottom w:val="single" w:sz="8" w:color="auto"/>
            </w:tcBorders>
            <w:gridSpan w:val="3"/>
            <w:vMerge w:val="continue"/>
          </w:tcPr>
          <w:p>
            <w:pPr>
              <w:spacing w:after="0"/>
              <w:rPr>
                <w:sz w:val="7"/>
                <w:szCs w:val="7"/>
                <w:color w:val="auto"/>
              </w:rPr>
            </w:pPr>
          </w:p>
        </w:tc>
        <w:tc>
          <w:tcPr>
            <w:tcW w:w="2060" w:type="dxa"/>
            <w:vAlign w:val="bottom"/>
            <w:tcBorders>
              <w:bottom w:val="single" w:sz="8" w:color="auto"/>
            </w:tcBorders>
            <w:gridSpan w:val="4"/>
            <w:vMerge w:val="continue"/>
          </w:tcPr>
          <w:p>
            <w:pPr>
              <w:spacing w:after="0"/>
              <w:rPr>
                <w:sz w:val="7"/>
                <w:szCs w:val="7"/>
                <w:color w:val="auto"/>
              </w:rPr>
            </w:pPr>
          </w:p>
        </w:tc>
        <w:tc>
          <w:tcPr>
            <w:tcW w:w="2100" w:type="dxa"/>
            <w:vAlign w:val="bottom"/>
            <w:tcBorders>
              <w:bottom w:val="single" w:sz="8" w:color="auto"/>
            </w:tcBorders>
            <w:gridSpan w:val="3"/>
            <w:vMerge w:val="continue"/>
          </w:tcPr>
          <w:p>
            <w:pPr>
              <w:spacing w:after="0"/>
              <w:rPr>
                <w:sz w:val="7"/>
                <w:szCs w:val="7"/>
                <w:color w:val="auto"/>
              </w:rPr>
            </w:pPr>
          </w:p>
        </w:tc>
        <w:tc>
          <w:tcPr>
            <w:tcW w:w="1980" w:type="dxa"/>
            <w:vAlign w:val="bottom"/>
            <w:tcBorders>
              <w:bottom w:val="single" w:sz="8" w:color="auto"/>
            </w:tcBorders>
            <w:gridSpan w:val="3"/>
            <w:vMerge w:val="continue"/>
          </w:tcPr>
          <w:p>
            <w:pPr>
              <w:spacing w:after="0"/>
              <w:rPr>
                <w:sz w:val="7"/>
                <w:szCs w:val="7"/>
                <w:color w:val="auto"/>
              </w:rPr>
            </w:pPr>
          </w:p>
        </w:tc>
        <w:tc>
          <w:tcPr>
            <w:tcW w:w="0" w:type="dxa"/>
            <w:vAlign w:val="bottom"/>
          </w:tcPr>
          <w:p>
            <w:pPr>
              <w:spacing w:after="0"/>
              <w:rPr>
                <w:sz w:val="1"/>
                <w:szCs w:val="1"/>
                <w:color w:val="auto"/>
              </w:rPr>
            </w:pPr>
          </w:p>
        </w:tc>
      </w:tr>
      <w:tr>
        <w:trPr>
          <w:trHeight w:val="183"/>
        </w:trPr>
        <w:tc>
          <w:tcPr>
            <w:tcW w:w="20" w:type="dxa"/>
            <w:vAlign w:val="bottom"/>
          </w:tcPr>
          <w:p>
            <w:pPr>
              <w:spacing w:after="0"/>
              <w:rPr>
                <w:sz w:val="15"/>
                <w:szCs w:val="15"/>
                <w:color w:val="auto"/>
              </w:rPr>
            </w:pPr>
          </w:p>
        </w:tc>
        <w:tc>
          <w:tcPr>
            <w:tcW w:w="2620" w:type="dxa"/>
            <w:vAlign w:val="bottom"/>
            <w:tcBorders>
              <w:bottom w:val="single" w:sz="8" w:color="auto"/>
            </w:tcBorders>
          </w:tcPr>
          <w:p>
            <w:pPr>
              <w:spacing w:after="0" w:line="183" w:lineRule="exact"/>
              <w:rPr>
                <w:sz w:val="20"/>
                <w:szCs w:val="20"/>
                <w:color w:val="auto"/>
              </w:rPr>
            </w:pPr>
            <w:r>
              <w:rPr>
                <w:rFonts w:ascii="Arial" w:cs="Arial" w:eastAsia="Arial" w:hAnsi="Arial"/>
                <w:sz w:val="17"/>
                <w:szCs w:val="17"/>
                <w:b w:val="1"/>
                <w:bCs w:val="1"/>
                <w:color w:val="auto"/>
              </w:rPr>
              <w:t>Time Horizon</w:t>
            </w:r>
          </w:p>
        </w:tc>
        <w:tc>
          <w:tcPr>
            <w:tcW w:w="1140" w:type="dxa"/>
            <w:vAlign w:val="bottom"/>
            <w:tcBorders>
              <w:bottom w:val="single" w:sz="8" w:color="auto"/>
            </w:tcBorders>
          </w:tcPr>
          <w:p>
            <w:pPr>
              <w:spacing w:after="0"/>
              <w:rPr>
                <w:sz w:val="15"/>
                <w:szCs w:val="15"/>
                <w:color w:val="auto"/>
              </w:rPr>
            </w:pPr>
          </w:p>
        </w:tc>
        <w:tc>
          <w:tcPr>
            <w:tcW w:w="1500" w:type="dxa"/>
            <w:vAlign w:val="bottom"/>
            <w:tcBorders>
              <w:bottom w:val="single" w:sz="8" w:color="auto"/>
            </w:tcBorders>
            <w:gridSpan w:val="2"/>
          </w:tcPr>
          <w:p>
            <w:pPr>
              <w:jc w:val="center"/>
              <w:ind w:right="580"/>
              <w:spacing w:after="0" w:line="183" w:lineRule="exact"/>
              <w:rPr>
                <w:sz w:val="20"/>
                <w:szCs w:val="20"/>
                <w:color w:val="auto"/>
              </w:rPr>
            </w:pPr>
            <w:r>
              <w:rPr>
                <w:rFonts w:ascii="Arial" w:cs="Arial" w:eastAsia="Arial" w:hAnsi="Arial"/>
                <w:sz w:val="17"/>
                <w:szCs w:val="17"/>
                <w:color w:val="auto"/>
                <w:w w:val="95"/>
              </w:rPr>
              <w:t>1 Year</w:t>
            </w:r>
          </w:p>
        </w:tc>
        <w:tc>
          <w:tcPr>
            <w:tcW w:w="600" w:type="dxa"/>
            <w:vAlign w:val="bottom"/>
            <w:tcBorders>
              <w:bottom w:val="single" w:sz="8" w:color="auto"/>
            </w:tcBorders>
          </w:tcPr>
          <w:p>
            <w:pPr>
              <w:spacing w:after="0"/>
              <w:rPr>
                <w:sz w:val="15"/>
                <w:szCs w:val="15"/>
                <w:color w:val="auto"/>
              </w:rPr>
            </w:pPr>
          </w:p>
        </w:tc>
        <w:tc>
          <w:tcPr>
            <w:tcW w:w="1460" w:type="dxa"/>
            <w:vAlign w:val="bottom"/>
            <w:tcBorders>
              <w:bottom w:val="single" w:sz="8" w:color="auto"/>
            </w:tcBorders>
            <w:gridSpan w:val="3"/>
          </w:tcPr>
          <w:p>
            <w:pPr>
              <w:jc w:val="center"/>
              <w:ind w:right="600"/>
              <w:spacing w:after="0" w:line="183" w:lineRule="exact"/>
              <w:rPr>
                <w:sz w:val="20"/>
                <w:szCs w:val="20"/>
                <w:color w:val="auto"/>
              </w:rPr>
            </w:pPr>
            <w:r>
              <w:rPr>
                <w:rFonts w:ascii="Arial" w:cs="Arial" w:eastAsia="Arial" w:hAnsi="Arial"/>
                <w:sz w:val="17"/>
                <w:szCs w:val="17"/>
                <w:color w:val="auto"/>
                <w:w w:val="98"/>
              </w:rPr>
              <w:t>3 Years</w:t>
            </w:r>
          </w:p>
        </w:tc>
        <w:tc>
          <w:tcPr>
            <w:tcW w:w="620" w:type="dxa"/>
            <w:vAlign w:val="bottom"/>
            <w:tcBorders>
              <w:bottom w:val="single" w:sz="8" w:color="auto"/>
            </w:tcBorders>
          </w:tcPr>
          <w:p>
            <w:pPr>
              <w:spacing w:after="0"/>
              <w:rPr>
                <w:sz w:val="15"/>
                <w:szCs w:val="15"/>
                <w:color w:val="auto"/>
              </w:rPr>
            </w:pPr>
          </w:p>
        </w:tc>
        <w:tc>
          <w:tcPr>
            <w:tcW w:w="1480" w:type="dxa"/>
            <w:vAlign w:val="bottom"/>
            <w:tcBorders>
              <w:bottom w:val="single" w:sz="8" w:color="auto"/>
            </w:tcBorders>
            <w:gridSpan w:val="2"/>
          </w:tcPr>
          <w:p>
            <w:pPr>
              <w:jc w:val="center"/>
              <w:ind w:right="620"/>
              <w:spacing w:after="0" w:line="183" w:lineRule="exact"/>
              <w:rPr>
                <w:sz w:val="20"/>
                <w:szCs w:val="20"/>
                <w:color w:val="auto"/>
              </w:rPr>
            </w:pPr>
            <w:r>
              <w:rPr>
                <w:rFonts w:ascii="Arial" w:cs="Arial" w:eastAsia="Arial" w:hAnsi="Arial"/>
                <w:sz w:val="17"/>
                <w:szCs w:val="17"/>
                <w:color w:val="auto"/>
                <w:w w:val="98"/>
              </w:rPr>
              <w:t>3 Years</w:t>
            </w:r>
          </w:p>
        </w:tc>
        <w:tc>
          <w:tcPr>
            <w:tcW w:w="600" w:type="dxa"/>
            <w:vAlign w:val="bottom"/>
            <w:tcBorders>
              <w:bottom w:val="single" w:sz="8" w:color="auto"/>
            </w:tcBorders>
          </w:tcPr>
          <w:p>
            <w:pPr>
              <w:spacing w:after="0"/>
              <w:rPr>
                <w:sz w:val="15"/>
                <w:szCs w:val="15"/>
                <w:color w:val="auto"/>
              </w:rPr>
            </w:pPr>
          </w:p>
        </w:tc>
        <w:tc>
          <w:tcPr>
            <w:tcW w:w="1380" w:type="dxa"/>
            <w:vAlign w:val="bottom"/>
            <w:tcBorders>
              <w:bottom w:val="single" w:sz="8" w:color="auto"/>
            </w:tcBorders>
            <w:gridSpan w:val="2"/>
          </w:tcPr>
          <w:p>
            <w:pPr>
              <w:jc w:val="center"/>
              <w:ind w:right="500"/>
              <w:spacing w:after="0" w:line="183" w:lineRule="exact"/>
              <w:rPr>
                <w:sz w:val="20"/>
                <w:szCs w:val="20"/>
                <w:color w:val="auto"/>
              </w:rPr>
            </w:pPr>
            <w:r>
              <w:rPr>
                <w:rFonts w:ascii="Arial" w:cs="Arial" w:eastAsia="Arial" w:hAnsi="Arial"/>
                <w:sz w:val="17"/>
                <w:szCs w:val="17"/>
                <w:color w:val="auto"/>
                <w:w w:val="99"/>
              </w:rPr>
              <w:t>10 Years</w:t>
            </w:r>
          </w:p>
        </w:tc>
        <w:tc>
          <w:tcPr>
            <w:tcW w:w="0" w:type="dxa"/>
            <w:vAlign w:val="bottom"/>
          </w:tcPr>
          <w:p>
            <w:pPr>
              <w:spacing w:after="0"/>
              <w:rPr>
                <w:sz w:val="1"/>
                <w:szCs w:val="1"/>
                <w:color w:val="auto"/>
              </w:rPr>
            </w:pPr>
          </w:p>
        </w:tc>
      </w:tr>
      <w:tr>
        <w:trPr>
          <w:trHeight w:val="198"/>
        </w:trPr>
        <w:tc>
          <w:tcPr>
            <w:tcW w:w="20" w:type="dxa"/>
            <w:vAlign w:val="bottom"/>
          </w:tcPr>
          <w:p>
            <w:pPr>
              <w:spacing w:after="0"/>
              <w:rPr>
                <w:sz w:val="17"/>
                <w:szCs w:val="17"/>
                <w:color w:val="auto"/>
              </w:rPr>
            </w:pPr>
          </w:p>
        </w:tc>
        <w:tc>
          <w:tcPr>
            <w:tcW w:w="2620" w:type="dxa"/>
            <w:vAlign w:val="bottom"/>
          </w:tcPr>
          <w:p>
            <w:pPr>
              <w:spacing w:after="0"/>
              <w:rPr>
                <w:sz w:val="17"/>
                <w:szCs w:val="17"/>
                <w:color w:val="auto"/>
              </w:rPr>
            </w:pPr>
          </w:p>
        </w:tc>
        <w:tc>
          <w:tcPr>
            <w:tcW w:w="2640" w:type="dxa"/>
            <w:vAlign w:val="bottom"/>
            <w:gridSpan w:val="3"/>
          </w:tcPr>
          <w:p>
            <w:pPr>
              <w:jc w:val="center"/>
              <w:ind w:left="453"/>
              <w:spacing w:after="0"/>
              <w:rPr>
                <w:sz w:val="20"/>
                <w:szCs w:val="20"/>
                <w:color w:val="auto"/>
              </w:rPr>
            </w:pPr>
            <w:r>
              <w:rPr>
                <w:rFonts w:ascii="Arial" w:cs="Arial" w:eastAsia="Arial" w:hAnsi="Arial"/>
                <w:sz w:val="17"/>
                <w:szCs w:val="17"/>
                <w:color w:val="auto"/>
              </w:rPr>
              <w:t>70% EBIT/BIC</w:t>
            </w:r>
          </w:p>
        </w:tc>
        <w:tc>
          <w:tcPr>
            <w:tcW w:w="2060" w:type="dxa"/>
            <w:vAlign w:val="bottom"/>
            <w:gridSpan w:val="4"/>
          </w:tcPr>
          <w:p>
            <w:pPr>
              <w:jc w:val="center"/>
              <w:spacing w:after="0"/>
              <w:rPr>
                <w:sz w:val="20"/>
                <w:szCs w:val="20"/>
                <w:color w:val="auto"/>
              </w:rPr>
            </w:pPr>
            <w:r>
              <w:rPr>
                <w:rFonts w:ascii="Arial" w:cs="Arial" w:eastAsia="Arial" w:hAnsi="Arial"/>
                <w:sz w:val="17"/>
                <w:szCs w:val="17"/>
                <w:color w:val="auto"/>
                <w:w w:val="99"/>
              </w:rPr>
              <w:t>ROIC and EPS</w:t>
            </w:r>
          </w:p>
        </w:tc>
        <w:tc>
          <w:tcPr>
            <w:tcW w:w="620" w:type="dxa"/>
            <w:vAlign w:val="bottom"/>
          </w:tcPr>
          <w:p>
            <w:pPr>
              <w:spacing w:after="0"/>
              <w:rPr>
                <w:sz w:val="17"/>
                <w:szCs w:val="17"/>
                <w:color w:val="auto"/>
              </w:rPr>
            </w:pPr>
          </w:p>
        </w:tc>
        <w:tc>
          <w:tcPr>
            <w:tcW w:w="1480" w:type="dxa"/>
            <w:vAlign w:val="bottom"/>
            <w:gridSpan w:val="2"/>
          </w:tcPr>
          <w:p>
            <w:pPr>
              <w:jc w:val="center"/>
              <w:ind w:right="620"/>
              <w:spacing w:after="0"/>
              <w:rPr>
                <w:sz w:val="20"/>
                <w:szCs w:val="20"/>
                <w:color w:val="auto"/>
              </w:rPr>
            </w:pPr>
            <w:r>
              <w:rPr>
                <w:rFonts w:ascii="Arial" w:cs="Arial" w:eastAsia="Arial" w:hAnsi="Arial"/>
                <w:sz w:val="17"/>
                <w:szCs w:val="17"/>
                <w:color w:val="auto"/>
                <w:w w:val="99"/>
              </w:rPr>
              <w:t>Stock Price</w:t>
            </w:r>
          </w:p>
        </w:tc>
        <w:tc>
          <w:tcPr>
            <w:tcW w:w="600" w:type="dxa"/>
            <w:vAlign w:val="bottom"/>
          </w:tcPr>
          <w:p>
            <w:pPr>
              <w:spacing w:after="0"/>
              <w:rPr>
                <w:sz w:val="17"/>
                <w:szCs w:val="17"/>
                <w:color w:val="auto"/>
              </w:rPr>
            </w:pPr>
          </w:p>
        </w:tc>
        <w:tc>
          <w:tcPr>
            <w:tcW w:w="1380" w:type="dxa"/>
            <w:vAlign w:val="bottom"/>
            <w:gridSpan w:val="2"/>
          </w:tcPr>
          <w:p>
            <w:pPr>
              <w:jc w:val="center"/>
              <w:ind w:right="500"/>
              <w:spacing w:after="0"/>
              <w:rPr>
                <w:sz w:val="20"/>
                <w:szCs w:val="20"/>
                <w:color w:val="auto"/>
              </w:rPr>
            </w:pPr>
            <w:r>
              <w:rPr>
                <w:rFonts w:ascii="Arial" w:cs="Arial" w:eastAsia="Arial" w:hAnsi="Arial"/>
                <w:sz w:val="17"/>
                <w:szCs w:val="17"/>
                <w:color w:val="auto"/>
              </w:rPr>
              <w:t>Stock Price</w:t>
            </w:r>
          </w:p>
        </w:tc>
        <w:tc>
          <w:tcPr>
            <w:tcW w:w="0" w:type="dxa"/>
            <w:vAlign w:val="bottom"/>
          </w:tcPr>
          <w:p>
            <w:pPr>
              <w:spacing w:after="0"/>
              <w:rPr>
                <w:sz w:val="1"/>
                <w:szCs w:val="1"/>
                <w:color w:val="auto"/>
              </w:rPr>
            </w:pPr>
          </w:p>
        </w:tc>
      </w:tr>
      <w:tr>
        <w:trPr>
          <w:trHeight w:val="383"/>
        </w:trPr>
        <w:tc>
          <w:tcPr>
            <w:tcW w:w="20" w:type="dxa"/>
            <w:vAlign w:val="bottom"/>
          </w:tcPr>
          <w:p>
            <w:pPr>
              <w:spacing w:after="0"/>
              <w:rPr>
                <w:sz w:val="24"/>
                <w:szCs w:val="24"/>
                <w:color w:val="auto"/>
              </w:rPr>
            </w:pPr>
          </w:p>
        </w:tc>
        <w:tc>
          <w:tcPr>
            <w:tcW w:w="2620" w:type="dxa"/>
            <w:vAlign w:val="bottom"/>
          </w:tcPr>
          <w:p>
            <w:pPr>
              <w:spacing w:after="0"/>
              <w:rPr>
                <w:sz w:val="24"/>
                <w:szCs w:val="24"/>
                <w:color w:val="auto"/>
              </w:rPr>
            </w:pPr>
          </w:p>
        </w:tc>
        <w:tc>
          <w:tcPr>
            <w:tcW w:w="2640" w:type="dxa"/>
            <w:vAlign w:val="bottom"/>
            <w:gridSpan w:val="3"/>
          </w:tcPr>
          <w:p>
            <w:pPr>
              <w:jc w:val="center"/>
              <w:ind w:left="473"/>
              <w:spacing w:after="0"/>
              <w:rPr>
                <w:sz w:val="20"/>
                <w:szCs w:val="20"/>
                <w:color w:val="auto"/>
              </w:rPr>
            </w:pPr>
            <w:r>
              <w:rPr>
                <w:rFonts w:ascii="Arial" w:cs="Arial" w:eastAsia="Arial" w:hAnsi="Arial"/>
                <w:sz w:val="18"/>
                <w:szCs w:val="18"/>
                <w:color w:val="auto"/>
                <w:w w:val="99"/>
              </w:rPr>
              <w:t>15% working capital</w:t>
            </w:r>
          </w:p>
        </w:tc>
        <w:tc>
          <w:tcPr>
            <w:tcW w:w="2060" w:type="dxa"/>
            <w:vAlign w:val="bottom"/>
            <w:gridSpan w:val="4"/>
          </w:tcPr>
          <w:p>
            <w:pPr>
              <w:jc w:val="center"/>
              <w:spacing w:after="0"/>
              <w:rPr>
                <w:sz w:val="20"/>
                <w:szCs w:val="20"/>
                <w:color w:val="auto"/>
              </w:rPr>
            </w:pPr>
            <w:r>
              <w:rPr>
                <w:rFonts w:ascii="Arial" w:cs="Arial" w:eastAsia="Arial" w:hAnsi="Arial"/>
                <w:sz w:val="18"/>
                <w:szCs w:val="18"/>
                <w:color w:val="auto"/>
                <w:w w:val="98"/>
              </w:rPr>
              <w:t>Stock Price</w:t>
            </w:r>
          </w:p>
        </w:tc>
        <w:tc>
          <w:tcPr>
            <w:tcW w:w="620" w:type="dxa"/>
            <w:vAlign w:val="bottom"/>
          </w:tcPr>
          <w:p>
            <w:pPr>
              <w:spacing w:after="0"/>
              <w:rPr>
                <w:sz w:val="24"/>
                <w:szCs w:val="24"/>
                <w:color w:val="auto"/>
              </w:rPr>
            </w:pPr>
          </w:p>
        </w:tc>
        <w:tc>
          <w:tcPr>
            <w:tcW w:w="1480" w:type="dxa"/>
            <w:vAlign w:val="bottom"/>
            <w:gridSpan w:val="2"/>
          </w:tcPr>
          <w:p>
            <w:pPr>
              <w:jc w:val="center"/>
              <w:ind w:right="620"/>
              <w:spacing w:after="0"/>
              <w:rPr>
                <w:sz w:val="20"/>
                <w:szCs w:val="20"/>
                <w:color w:val="auto"/>
              </w:rPr>
            </w:pPr>
            <w:r>
              <w:rPr>
                <w:rFonts w:ascii="Arial" w:cs="Arial" w:eastAsia="Arial" w:hAnsi="Arial"/>
                <w:sz w:val="17"/>
                <w:szCs w:val="17"/>
                <w:color w:val="auto"/>
              </w:rPr>
              <w:t>Time</w:t>
            </w:r>
          </w:p>
        </w:tc>
        <w:tc>
          <w:tcPr>
            <w:tcW w:w="600" w:type="dxa"/>
            <w:vAlign w:val="bottom"/>
          </w:tcPr>
          <w:p>
            <w:pPr>
              <w:spacing w:after="0"/>
              <w:rPr>
                <w:sz w:val="24"/>
                <w:szCs w:val="24"/>
                <w:color w:val="auto"/>
              </w:rPr>
            </w:pPr>
          </w:p>
        </w:tc>
        <w:tc>
          <w:tcPr>
            <w:tcW w:w="1380" w:type="dxa"/>
            <w:vAlign w:val="bottom"/>
            <w:gridSpan w:val="2"/>
          </w:tcPr>
          <w:p>
            <w:pPr>
              <w:jc w:val="center"/>
              <w:ind w:right="500"/>
              <w:spacing w:after="0"/>
              <w:rPr>
                <w:sz w:val="20"/>
                <w:szCs w:val="20"/>
                <w:color w:val="auto"/>
              </w:rPr>
            </w:pPr>
            <w:r>
              <w:rPr>
                <w:rFonts w:ascii="Arial" w:cs="Arial" w:eastAsia="Arial" w:hAnsi="Arial"/>
                <w:sz w:val="17"/>
                <w:szCs w:val="17"/>
                <w:color w:val="auto"/>
                <w:w w:val="95"/>
              </w:rPr>
              <w:t>Time</w:t>
            </w:r>
          </w:p>
        </w:tc>
        <w:tc>
          <w:tcPr>
            <w:tcW w:w="0" w:type="dxa"/>
            <w:vAlign w:val="bottom"/>
          </w:tcPr>
          <w:p>
            <w:pPr>
              <w:spacing w:after="0"/>
              <w:rPr>
                <w:sz w:val="1"/>
                <w:szCs w:val="1"/>
                <w:color w:val="auto"/>
              </w:rPr>
            </w:pPr>
          </w:p>
        </w:tc>
      </w:tr>
      <w:tr>
        <w:trPr>
          <w:trHeight w:val="208"/>
        </w:trPr>
        <w:tc>
          <w:tcPr>
            <w:tcW w:w="2640" w:type="dxa"/>
            <w:vAlign w:val="bottom"/>
            <w:gridSpan w:val="2"/>
            <w:vMerge w:val="restart"/>
          </w:tcPr>
          <w:p>
            <w:pPr>
              <w:spacing w:after="0"/>
              <w:rPr>
                <w:sz w:val="20"/>
                <w:szCs w:val="20"/>
                <w:color w:val="auto"/>
              </w:rPr>
            </w:pPr>
            <w:r>
              <w:rPr>
                <w:rFonts w:ascii="Arial" w:cs="Arial" w:eastAsia="Arial" w:hAnsi="Arial"/>
                <w:sz w:val="17"/>
                <w:szCs w:val="17"/>
                <w:b w:val="1"/>
                <w:bCs w:val="1"/>
                <w:color w:val="auto"/>
              </w:rPr>
              <w:t>Metrics</w:t>
            </w:r>
          </w:p>
        </w:tc>
        <w:tc>
          <w:tcPr>
            <w:tcW w:w="2640" w:type="dxa"/>
            <w:vAlign w:val="bottom"/>
            <w:gridSpan w:val="3"/>
          </w:tcPr>
          <w:p>
            <w:pPr>
              <w:jc w:val="center"/>
              <w:ind w:left="453"/>
              <w:spacing w:after="0"/>
              <w:rPr>
                <w:sz w:val="20"/>
                <w:szCs w:val="20"/>
                <w:color w:val="auto"/>
              </w:rPr>
            </w:pPr>
            <w:r>
              <w:rPr>
                <w:rFonts w:ascii="Arial" w:cs="Arial" w:eastAsia="Arial" w:hAnsi="Arial"/>
                <w:sz w:val="18"/>
                <w:szCs w:val="18"/>
                <w:color w:val="auto"/>
              </w:rPr>
              <w:t>as a percentage of</w:t>
            </w:r>
          </w:p>
        </w:tc>
        <w:tc>
          <w:tcPr>
            <w:tcW w:w="600" w:type="dxa"/>
            <w:vAlign w:val="bottom"/>
          </w:tcPr>
          <w:p>
            <w:pPr>
              <w:spacing w:after="0"/>
              <w:rPr>
                <w:sz w:val="18"/>
                <w:szCs w:val="18"/>
                <w:color w:val="auto"/>
              </w:rPr>
            </w:pPr>
          </w:p>
        </w:tc>
        <w:tc>
          <w:tcPr>
            <w:tcW w:w="1460" w:type="dxa"/>
            <w:vAlign w:val="bottom"/>
            <w:gridSpan w:val="3"/>
          </w:tcPr>
          <w:p>
            <w:pPr>
              <w:jc w:val="center"/>
              <w:ind w:right="600"/>
              <w:spacing w:after="0"/>
              <w:rPr>
                <w:sz w:val="20"/>
                <w:szCs w:val="20"/>
                <w:color w:val="auto"/>
              </w:rPr>
            </w:pPr>
            <w:r>
              <w:rPr>
                <w:rFonts w:ascii="Arial" w:cs="Arial" w:eastAsia="Arial" w:hAnsi="Arial"/>
                <w:sz w:val="17"/>
                <w:szCs w:val="17"/>
                <w:color w:val="auto"/>
              </w:rPr>
              <w:t>Time</w:t>
            </w:r>
          </w:p>
        </w:tc>
        <w:tc>
          <w:tcPr>
            <w:tcW w:w="62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05"/>
        </w:trPr>
        <w:tc>
          <w:tcPr>
            <w:tcW w:w="2640" w:type="dxa"/>
            <w:vAlign w:val="bottom"/>
            <w:gridSpan w:val="2"/>
            <w:vMerge w:val="continue"/>
          </w:tcPr>
          <w:p>
            <w:pPr>
              <w:spacing w:after="0"/>
              <w:rPr>
                <w:sz w:val="9"/>
                <w:szCs w:val="9"/>
                <w:color w:val="auto"/>
              </w:rPr>
            </w:pPr>
          </w:p>
        </w:tc>
        <w:tc>
          <w:tcPr>
            <w:tcW w:w="1140" w:type="dxa"/>
            <w:vAlign w:val="bottom"/>
          </w:tcPr>
          <w:p>
            <w:pPr>
              <w:spacing w:after="0"/>
              <w:rPr>
                <w:sz w:val="9"/>
                <w:szCs w:val="9"/>
                <w:color w:val="auto"/>
              </w:rPr>
            </w:pPr>
          </w:p>
        </w:tc>
        <w:tc>
          <w:tcPr>
            <w:tcW w:w="1500" w:type="dxa"/>
            <w:vAlign w:val="bottom"/>
            <w:gridSpan w:val="2"/>
            <w:vMerge w:val="restart"/>
          </w:tcPr>
          <w:p>
            <w:pPr>
              <w:jc w:val="center"/>
              <w:ind w:right="600"/>
              <w:spacing w:after="0"/>
              <w:rPr>
                <w:sz w:val="20"/>
                <w:szCs w:val="20"/>
                <w:color w:val="auto"/>
              </w:rPr>
            </w:pPr>
            <w:r>
              <w:rPr>
                <w:rFonts w:ascii="Arial" w:cs="Arial" w:eastAsia="Arial" w:hAnsi="Arial"/>
                <w:sz w:val="18"/>
                <w:szCs w:val="18"/>
                <w:color w:val="auto"/>
                <w:w w:val="99"/>
              </w:rPr>
              <w:t>sales</w:t>
            </w:r>
          </w:p>
        </w:tc>
        <w:tc>
          <w:tcPr>
            <w:tcW w:w="600" w:type="dxa"/>
            <w:vAlign w:val="bottom"/>
          </w:tcPr>
          <w:p>
            <w:pPr>
              <w:spacing w:after="0"/>
              <w:rPr>
                <w:sz w:val="9"/>
                <w:szCs w:val="9"/>
                <w:color w:val="auto"/>
              </w:rPr>
            </w:pPr>
          </w:p>
        </w:tc>
        <w:tc>
          <w:tcPr>
            <w:tcW w:w="400" w:type="dxa"/>
            <w:vAlign w:val="bottom"/>
          </w:tcPr>
          <w:p>
            <w:pPr>
              <w:spacing w:after="0"/>
              <w:rPr>
                <w:sz w:val="9"/>
                <w:szCs w:val="9"/>
                <w:color w:val="auto"/>
              </w:rPr>
            </w:pPr>
          </w:p>
        </w:tc>
        <w:tc>
          <w:tcPr>
            <w:tcW w:w="460" w:type="dxa"/>
            <w:vAlign w:val="bottom"/>
          </w:tcPr>
          <w:p>
            <w:pPr>
              <w:spacing w:after="0"/>
              <w:rPr>
                <w:sz w:val="9"/>
                <w:szCs w:val="9"/>
                <w:color w:val="auto"/>
              </w:rPr>
            </w:pPr>
          </w:p>
        </w:tc>
        <w:tc>
          <w:tcPr>
            <w:tcW w:w="600" w:type="dxa"/>
            <w:vAlign w:val="bottom"/>
          </w:tcPr>
          <w:p>
            <w:pPr>
              <w:spacing w:after="0"/>
              <w:rPr>
                <w:sz w:val="9"/>
                <w:szCs w:val="9"/>
                <w:color w:val="auto"/>
              </w:rPr>
            </w:pPr>
          </w:p>
        </w:tc>
        <w:tc>
          <w:tcPr>
            <w:tcW w:w="620" w:type="dxa"/>
            <w:vAlign w:val="bottom"/>
          </w:tcPr>
          <w:p>
            <w:pPr>
              <w:spacing w:after="0"/>
              <w:rPr>
                <w:sz w:val="9"/>
                <w:szCs w:val="9"/>
                <w:color w:val="auto"/>
              </w:rPr>
            </w:pPr>
          </w:p>
        </w:tc>
        <w:tc>
          <w:tcPr>
            <w:tcW w:w="860" w:type="dxa"/>
            <w:vAlign w:val="bottom"/>
          </w:tcPr>
          <w:p>
            <w:pPr>
              <w:spacing w:after="0"/>
              <w:rPr>
                <w:sz w:val="9"/>
                <w:szCs w:val="9"/>
                <w:color w:val="auto"/>
              </w:rPr>
            </w:pPr>
          </w:p>
        </w:tc>
        <w:tc>
          <w:tcPr>
            <w:tcW w:w="620" w:type="dxa"/>
            <w:vAlign w:val="bottom"/>
          </w:tcPr>
          <w:p>
            <w:pPr>
              <w:spacing w:after="0"/>
              <w:rPr>
                <w:sz w:val="9"/>
                <w:szCs w:val="9"/>
                <w:color w:val="auto"/>
              </w:rPr>
            </w:pPr>
          </w:p>
        </w:tc>
        <w:tc>
          <w:tcPr>
            <w:tcW w:w="600" w:type="dxa"/>
            <w:vAlign w:val="bottom"/>
          </w:tcPr>
          <w:p>
            <w:pPr>
              <w:spacing w:after="0"/>
              <w:rPr>
                <w:sz w:val="9"/>
                <w:szCs w:val="9"/>
                <w:color w:val="auto"/>
              </w:rPr>
            </w:pPr>
          </w:p>
        </w:tc>
        <w:tc>
          <w:tcPr>
            <w:tcW w:w="880" w:type="dxa"/>
            <w:vAlign w:val="bottom"/>
          </w:tcPr>
          <w:p>
            <w:pPr>
              <w:spacing w:after="0"/>
              <w:rPr>
                <w:sz w:val="9"/>
                <w:szCs w:val="9"/>
                <w:color w:val="auto"/>
              </w:rPr>
            </w:pPr>
          </w:p>
        </w:tc>
        <w:tc>
          <w:tcPr>
            <w:tcW w:w="5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12"/>
        </w:trPr>
        <w:tc>
          <w:tcPr>
            <w:tcW w:w="20" w:type="dxa"/>
            <w:vAlign w:val="bottom"/>
          </w:tcPr>
          <w:p>
            <w:pPr>
              <w:spacing w:after="0"/>
              <w:rPr>
                <w:sz w:val="9"/>
                <w:szCs w:val="9"/>
                <w:color w:val="auto"/>
              </w:rPr>
            </w:pPr>
          </w:p>
        </w:tc>
        <w:tc>
          <w:tcPr>
            <w:tcW w:w="2620" w:type="dxa"/>
            <w:vAlign w:val="bottom"/>
          </w:tcPr>
          <w:p>
            <w:pPr>
              <w:spacing w:after="0"/>
              <w:rPr>
                <w:sz w:val="9"/>
                <w:szCs w:val="9"/>
                <w:color w:val="auto"/>
              </w:rPr>
            </w:pPr>
          </w:p>
        </w:tc>
        <w:tc>
          <w:tcPr>
            <w:tcW w:w="1140" w:type="dxa"/>
            <w:vAlign w:val="bottom"/>
          </w:tcPr>
          <w:p>
            <w:pPr>
              <w:spacing w:after="0"/>
              <w:rPr>
                <w:sz w:val="9"/>
                <w:szCs w:val="9"/>
                <w:color w:val="auto"/>
              </w:rPr>
            </w:pPr>
          </w:p>
        </w:tc>
        <w:tc>
          <w:tcPr>
            <w:tcW w:w="1500" w:type="dxa"/>
            <w:vAlign w:val="bottom"/>
            <w:gridSpan w:val="2"/>
            <w:vMerge w:val="continue"/>
          </w:tcPr>
          <w:p>
            <w:pPr>
              <w:spacing w:after="0"/>
              <w:rPr>
                <w:sz w:val="9"/>
                <w:szCs w:val="9"/>
                <w:color w:val="auto"/>
              </w:rPr>
            </w:pPr>
          </w:p>
        </w:tc>
        <w:tc>
          <w:tcPr>
            <w:tcW w:w="600" w:type="dxa"/>
            <w:vAlign w:val="bottom"/>
          </w:tcPr>
          <w:p>
            <w:pPr>
              <w:spacing w:after="0"/>
              <w:rPr>
                <w:sz w:val="9"/>
                <w:szCs w:val="9"/>
                <w:color w:val="auto"/>
              </w:rPr>
            </w:pPr>
          </w:p>
        </w:tc>
        <w:tc>
          <w:tcPr>
            <w:tcW w:w="400" w:type="dxa"/>
            <w:vAlign w:val="bottom"/>
          </w:tcPr>
          <w:p>
            <w:pPr>
              <w:spacing w:after="0"/>
              <w:rPr>
                <w:sz w:val="9"/>
                <w:szCs w:val="9"/>
                <w:color w:val="auto"/>
              </w:rPr>
            </w:pPr>
          </w:p>
        </w:tc>
        <w:tc>
          <w:tcPr>
            <w:tcW w:w="460" w:type="dxa"/>
            <w:vAlign w:val="bottom"/>
          </w:tcPr>
          <w:p>
            <w:pPr>
              <w:spacing w:after="0"/>
              <w:rPr>
                <w:sz w:val="9"/>
                <w:szCs w:val="9"/>
                <w:color w:val="auto"/>
              </w:rPr>
            </w:pPr>
          </w:p>
        </w:tc>
        <w:tc>
          <w:tcPr>
            <w:tcW w:w="600" w:type="dxa"/>
            <w:vAlign w:val="bottom"/>
          </w:tcPr>
          <w:p>
            <w:pPr>
              <w:spacing w:after="0"/>
              <w:rPr>
                <w:sz w:val="9"/>
                <w:szCs w:val="9"/>
                <w:color w:val="auto"/>
              </w:rPr>
            </w:pPr>
          </w:p>
        </w:tc>
        <w:tc>
          <w:tcPr>
            <w:tcW w:w="620" w:type="dxa"/>
            <w:vAlign w:val="bottom"/>
          </w:tcPr>
          <w:p>
            <w:pPr>
              <w:spacing w:after="0"/>
              <w:rPr>
                <w:sz w:val="9"/>
                <w:szCs w:val="9"/>
                <w:color w:val="auto"/>
              </w:rPr>
            </w:pPr>
          </w:p>
        </w:tc>
        <w:tc>
          <w:tcPr>
            <w:tcW w:w="860" w:type="dxa"/>
            <w:vAlign w:val="bottom"/>
          </w:tcPr>
          <w:p>
            <w:pPr>
              <w:spacing w:after="0"/>
              <w:rPr>
                <w:sz w:val="9"/>
                <w:szCs w:val="9"/>
                <w:color w:val="auto"/>
              </w:rPr>
            </w:pPr>
          </w:p>
        </w:tc>
        <w:tc>
          <w:tcPr>
            <w:tcW w:w="620" w:type="dxa"/>
            <w:vAlign w:val="bottom"/>
          </w:tcPr>
          <w:p>
            <w:pPr>
              <w:spacing w:after="0"/>
              <w:rPr>
                <w:sz w:val="9"/>
                <w:szCs w:val="9"/>
                <w:color w:val="auto"/>
              </w:rPr>
            </w:pPr>
          </w:p>
        </w:tc>
        <w:tc>
          <w:tcPr>
            <w:tcW w:w="600" w:type="dxa"/>
            <w:vAlign w:val="bottom"/>
          </w:tcPr>
          <w:p>
            <w:pPr>
              <w:spacing w:after="0"/>
              <w:rPr>
                <w:sz w:val="9"/>
                <w:szCs w:val="9"/>
                <w:color w:val="auto"/>
              </w:rPr>
            </w:pPr>
          </w:p>
        </w:tc>
        <w:tc>
          <w:tcPr>
            <w:tcW w:w="880" w:type="dxa"/>
            <w:vAlign w:val="bottom"/>
          </w:tcPr>
          <w:p>
            <w:pPr>
              <w:spacing w:after="0"/>
              <w:rPr>
                <w:sz w:val="9"/>
                <w:szCs w:val="9"/>
                <w:color w:val="auto"/>
              </w:rPr>
            </w:pPr>
          </w:p>
        </w:tc>
        <w:tc>
          <w:tcPr>
            <w:tcW w:w="5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372"/>
        </w:trPr>
        <w:tc>
          <w:tcPr>
            <w:tcW w:w="20" w:type="dxa"/>
            <w:vAlign w:val="bottom"/>
          </w:tcPr>
          <w:p>
            <w:pPr>
              <w:spacing w:after="0"/>
              <w:rPr>
                <w:sz w:val="24"/>
                <w:szCs w:val="24"/>
                <w:color w:val="auto"/>
              </w:rPr>
            </w:pPr>
          </w:p>
        </w:tc>
        <w:tc>
          <w:tcPr>
            <w:tcW w:w="2620" w:type="dxa"/>
            <w:vAlign w:val="bottom"/>
          </w:tcPr>
          <w:p>
            <w:pPr>
              <w:spacing w:after="0"/>
              <w:rPr>
                <w:sz w:val="24"/>
                <w:szCs w:val="24"/>
                <w:color w:val="auto"/>
              </w:rPr>
            </w:pPr>
          </w:p>
        </w:tc>
        <w:tc>
          <w:tcPr>
            <w:tcW w:w="2640" w:type="dxa"/>
            <w:vAlign w:val="bottom"/>
            <w:gridSpan w:val="3"/>
          </w:tcPr>
          <w:p>
            <w:pPr>
              <w:jc w:val="center"/>
              <w:ind w:left="453"/>
              <w:spacing w:after="0"/>
              <w:rPr>
                <w:sz w:val="20"/>
                <w:szCs w:val="20"/>
                <w:color w:val="auto"/>
              </w:rPr>
            </w:pPr>
            <w:r>
              <w:rPr>
                <w:rFonts w:ascii="Arial" w:cs="Arial" w:eastAsia="Arial" w:hAnsi="Arial"/>
                <w:sz w:val="17"/>
                <w:szCs w:val="17"/>
                <w:color w:val="auto"/>
              </w:rPr>
              <w:t>15% new business</w:t>
            </w:r>
          </w:p>
        </w:tc>
        <w:tc>
          <w:tcPr>
            <w:tcW w:w="60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07"/>
        </w:trPr>
        <w:tc>
          <w:tcPr>
            <w:tcW w:w="20" w:type="dxa"/>
            <w:vAlign w:val="bottom"/>
          </w:tcPr>
          <w:p>
            <w:pPr>
              <w:spacing w:after="0"/>
              <w:rPr>
                <w:sz w:val="17"/>
                <w:szCs w:val="17"/>
                <w:color w:val="auto"/>
              </w:rPr>
            </w:pPr>
          </w:p>
        </w:tc>
        <w:tc>
          <w:tcPr>
            <w:tcW w:w="2620" w:type="dxa"/>
            <w:vAlign w:val="bottom"/>
            <w:tcBorders>
              <w:bottom w:val="single" w:sz="8" w:color="auto"/>
            </w:tcBorders>
          </w:tcPr>
          <w:p>
            <w:pPr>
              <w:spacing w:after="0"/>
              <w:rPr>
                <w:sz w:val="17"/>
                <w:szCs w:val="17"/>
                <w:color w:val="auto"/>
              </w:rPr>
            </w:pPr>
          </w:p>
        </w:tc>
        <w:tc>
          <w:tcPr>
            <w:tcW w:w="1140" w:type="dxa"/>
            <w:vAlign w:val="bottom"/>
            <w:tcBorders>
              <w:bottom w:val="single" w:sz="8" w:color="auto"/>
            </w:tcBorders>
          </w:tcPr>
          <w:p>
            <w:pPr>
              <w:spacing w:after="0"/>
              <w:rPr>
                <w:sz w:val="17"/>
                <w:szCs w:val="17"/>
                <w:color w:val="auto"/>
              </w:rPr>
            </w:pPr>
          </w:p>
        </w:tc>
        <w:tc>
          <w:tcPr>
            <w:tcW w:w="1500" w:type="dxa"/>
            <w:vAlign w:val="bottom"/>
            <w:tcBorders>
              <w:bottom w:val="single" w:sz="8" w:color="auto"/>
            </w:tcBorders>
            <w:gridSpan w:val="2"/>
          </w:tcPr>
          <w:p>
            <w:pPr>
              <w:jc w:val="center"/>
              <w:ind w:right="580"/>
              <w:spacing w:after="0"/>
              <w:rPr>
                <w:sz w:val="20"/>
                <w:szCs w:val="20"/>
                <w:color w:val="auto"/>
              </w:rPr>
            </w:pPr>
            <w:r>
              <w:rPr>
                <w:rFonts w:ascii="Arial" w:cs="Arial" w:eastAsia="Arial" w:hAnsi="Arial"/>
                <w:sz w:val="17"/>
                <w:szCs w:val="17"/>
                <w:color w:val="auto"/>
              </w:rPr>
              <w:t>sales</w:t>
            </w:r>
          </w:p>
        </w:tc>
        <w:tc>
          <w:tcPr>
            <w:tcW w:w="600" w:type="dxa"/>
            <w:vAlign w:val="bottom"/>
            <w:tcBorders>
              <w:bottom w:val="single" w:sz="8" w:color="auto"/>
            </w:tcBorders>
          </w:tcPr>
          <w:p>
            <w:pPr>
              <w:spacing w:after="0"/>
              <w:rPr>
                <w:sz w:val="17"/>
                <w:szCs w:val="17"/>
                <w:color w:val="auto"/>
              </w:rPr>
            </w:pPr>
          </w:p>
        </w:tc>
        <w:tc>
          <w:tcPr>
            <w:tcW w:w="400" w:type="dxa"/>
            <w:vAlign w:val="bottom"/>
            <w:tcBorders>
              <w:bottom w:val="single" w:sz="8" w:color="auto"/>
            </w:tcBorders>
          </w:tcPr>
          <w:p>
            <w:pPr>
              <w:spacing w:after="0"/>
              <w:rPr>
                <w:sz w:val="17"/>
                <w:szCs w:val="17"/>
                <w:color w:val="auto"/>
              </w:rPr>
            </w:pPr>
          </w:p>
        </w:tc>
        <w:tc>
          <w:tcPr>
            <w:tcW w:w="460" w:type="dxa"/>
            <w:vAlign w:val="bottom"/>
            <w:tcBorders>
              <w:bottom w:val="single" w:sz="8" w:color="auto"/>
            </w:tcBorders>
          </w:tcPr>
          <w:p>
            <w:pPr>
              <w:spacing w:after="0"/>
              <w:rPr>
                <w:sz w:val="17"/>
                <w:szCs w:val="17"/>
                <w:color w:val="auto"/>
              </w:rPr>
            </w:pPr>
          </w:p>
        </w:tc>
        <w:tc>
          <w:tcPr>
            <w:tcW w:w="600" w:type="dxa"/>
            <w:vAlign w:val="bottom"/>
            <w:tcBorders>
              <w:bottom w:val="single" w:sz="8" w:color="auto"/>
            </w:tcBorders>
          </w:tcPr>
          <w:p>
            <w:pPr>
              <w:spacing w:after="0"/>
              <w:rPr>
                <w:sz w:val="17"/>
                <w:szCs w:val="17"/>
                <w:color w:val="auto"/>
              </w:rPr>
            </w:pPr>
          </w:p>
        </w:tc>
        <w:tc>
          <w:tcPr>
            <w:tcW w:w="620" w:type="dxa"/>
            <w:vAlign w:val="bottom"/>
            <w:tcBorders>
              <w:bottom w:val="single" w:sz="8" w:color="auto"/>
            </w:tcBorders>
          </w:tcPr>
          <w:p>
            <w:pPr>
              <w:spacing w:after="0"/>
              <w:rPr>
                <w:sz w:val="17"/>
                <w:szCs w:val="17"/>
                <w:color w:val="auto"/>
              </w:rPr>
            </w:pPr>
          </w:p>
        </w:tc>
        <w:tc>
          <w:tcPr>
            <w:tcW w:w="860" w:type="dxa"/>
            <w:vAlign w:val="bottom"/>
            <w:tcBorders>
              <w:bottom w:val="single" w:sz="8" w:color="auto"/>
            </w:tcBorders>
          </w:tcPr>
          <w:p>
            <w:pPr>
              <w:spacing w:after="0"/>
              <w:rPr>
                <w:sz w:val="17"/>
                <w:szCs w:val="17"/>
                <w:color w:val="auto"/>
              </w:rPr>
            </w:pPr>
          </w:p>
        </w:tc>
        <w:tc>
          <w:tcPr>
            <w:tcW w:w="620" w:type="dxa"/>
            <w:vAlign w:val="bottom"/>
            <w:tcBorders>
              <w:bottom w:val="single" w:sz="8" w:color="auto"/>
            </w:tcBorders>
          </w:tcPr>
          <w:p>
            <w:pPr>
              <w:spacing w:after="0"/>
              <w:rPr>
                <w:sz w:val="17"/>
                <w:szCs w:val="17"/>
                <w:color w:val="auto"/>
              </w:rPr>
            </w:pPr>
          </w:p>
        </w:tc>
        <w:tc>
          <w:tcPr>
            <w:tcW w:w="600" w:type="dxa"/>
            <w:vAlign w:val="bottom"/>
            <w:tcBorders>
              <w:bottom w:val="single" w:sz="8" w:color="auto"/>
            </w:tcBorders>
          </w:tcPr>
          <w:p>
            <w:pPr>
              <w:spacing w:after="0"/>
              <w:rPr>
                <w:sz w:val="17"/>
                <w:szCs w:val="17"/>
                <w:color w:val="auto"/>
              </w:rPr>
            </w:pPr>
          </w:p>
        </w:tc>
        <w:tc>
          <w:tcPr>
            <w:tcW w:w="880" w:type="dxa"/>
            <w:vAlign w:val="bottom"/>
            <w:tcBorders>
              <w:bottom w:val="single" w:sz="8" w:color="auto"/>
            </w:tcBorders>
          </w:tcPr>
          <w:p>
            <w:pPr>
              <w:spacing w:after="0"/>
              <w:rPr>
                <w:sz w:val="17"/>
                <w:szCs w:val="17"/>
                <w:color w:val="auto"/>
              </w:rPr>
            </w:pPr>
          </w:p>
        </w:tc>
        <w:tc>
          <w:tcPr>
            <w:tcW w:w="500" w:type="dxa"/>
            <w:vAlign w:val="bottom"/>
            <w:tcBorders>
              <w:bottom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12"/>
        </w:trPr>
        <w:tc>
          <w:tcPr>
            <w:tcW w:w="20" w:type="dxa"/>
            <w:vAlign w:val="bottom"/>
            <w:vMerge w:val="restart"/>
          </w:tcPr>
          <w:p>
            <w:pPr>
              <w:spacing w:after="0"/>
              <w:rPr>
                <w:sz w:val="18"/>
                <w:szCs w:val="18"/>
                <w:color w:val="auto"/>
              </w:rPr>
            </w:pPr>
          </w:p>
        </w:tc>
        <w:tc>
          <w:tcPr>
            <w:tcW w:w="2620" w:type="dxa"/>
            <w:vAlign w:val="bottom"/>
            <w:tcBorders>
              <w:bottom w:val="single" w:sz="8" w:color="auto"/>
            </w:tcBorders>
          </w:tcPr>
          <w:p>
            <w:pPr>
              <w:spacing w:after="0"/>
              <w:rPr>
                <w:sz w:val="18"/>
                <w:szCs w:val="18"/>
                <w:color w:val="auto"/>
              </w:rPr>
            </w:pPr>
          </w:p>
        </w:tc>
        <w:tc>
          <w:tcPr>
            <w:tcW w:w="1140" w:type="dxa"/>
            <w:vAlign w:val="bottom"/>
            <w:tcBorders>
              <w:bottom w:val="single" w:sz="8" w:color="auto"/>
            </w:tcBorders>
          </w:tcPr>
          <w:p>
            <w:pPr>
              <w:spacing w:after="0"/>
              <w:rPr>
                <w:sz w:val="18"/>
                <w:szCs w:val="18"/>
                <w:color w:val="auto"/>
              </w:rPr>
            </w:pPr>
          </w:p>
        </w:tc>
        <w:tc>
          <w:tcPr>
            <w:tcW w:w="900" w:type="dxa"/>
            <w:vAlign w:val="bottom"/>
            <w:tcBorders>
              <w:bottom w:val="single" w:sz="8" w:color="auto"/>
            </w:tcBorders>
          </w:tcPr>
          <w:p>
            <w:pPr>
              <w:spacing w:after="0"/>
              <w:rPr>
                <w:sz w:val="18"/>
                <w:szCs w:val="18"/>
                <w:color w:val="auto"/>
              </w:rPr>
            </w:pPr>
          </w:p>
        </w:tc>
        <w:tc>
          <w:tcPr>
            <w:tcW w:w="600" w:type="dxa"/>
            <w:vAlign w:val="bottom"/>
            <w:tcBorders>
              <w:bottom w:val="single" w:sz="8" w:color="auto"/>
            </w:tcBorders>
          </w:tcPr>
          <w:p>
            <w:pPr>
              <w:spacing w:after="0"/>
              <w:rPr>
                <w:sz w:val="18"/>
                <w:szCs w:val="18"/>
                <w:color w:val="auto"/>
              </w:rPr>
            </w:pPr>
          </w:p>
        </w:tc>
        <w:tc>
          <w:tcPr>
            <w:tcW w:w="600" w:type="dxa"/>
            <w:vAlign w:val="bottom"/>
            <w:tcBorders>
              <w:bottom w:val="single" w:sz="8" w:color="auto"/>
            </w:tcBorders>
          </w:tcPr>
          <w:p>
            <w:pPr>
              <w:spacing w:after="0"/>
              <w:rPr>
                <w:sz w:val="18"/>
                <w:szCs w:val="18"/>
                <w:color w:val="auto"/>
              </w:rPr>
            </w:pPr>
          </w:p>
        </w:tc>
        <w:tc>
          <w:tcPr>
            <w:tcW w:w="860" w:type="dxa"/>
            <w:vAlign w:val="bottom"/>
            <w:tcBorders>
              <w:bottom w:val="single" w:sz="8" w:color="auto"/>
            </w:tcBorders>
            <w:gridSpan w:val="2"/>
          </w:tcPr>
          <w:p>
            <w:pPr>
              <w:spacing w:after="0"/>
              <w:rPr>
                <w:sz w:val="18"/>
                <w:szCs w:val="18"/>
                <w:color w:val="auto"/>
              </w:rPr>
            </w:pPr>
          </w:p>
        </w:tc>
        <w:tc>
          <w:tcPr>
            <w:tcW w:w="1220" w:type="dxa"/>
            <w:vAlign w:val="bottom"/>
            <w:tcBorders>
              <w:bottom w:val="single" w:sz="8" w:color="auto"/>
            </w:tcBorders>
            <w:gridSpan w:val="2"/>
          </w:tcPr>
          <w:p>
            <w:pPr>
              <w:spacing w:after="0"/>
              <w:rPr>
                <w:sz w:val="18"/>
                <w:szCs w:val="18"/>
                <w:color w:val="auto"/>
              </w:rPr>
            </w:pPr>
          </w:p>
        </w:tc>
        <w:tc>
          <w:tcPr>
            <w:tcW w:w="860" w:type="dxa"/>
            <w:vAlign w:val="bottom"/>
            <w:tcBorders>
              <w:bottom w:val="single" w:sz="8" w:color="auto"/>
            </w:tcBorders>
          </w:tcPr>
          <w:p>
            <w:pPr>
              <w:spacing w:after="0"/>
              <w:rPr>
                <w:sz w:val="18"/>
                <w:szCs w:val="18"/>
                <w:color w:val="auto"/>
              </w:rPr>
            </w:pPr>
          </w:p>
        </w:tc>
        <w:tc>
          <w:tcPr>
            <w:tcW w:w="620" w:type="dxa"/>
            <w:vAlign w:val="bottom"/>
            <w:tcBorders>
              <w:bottom w:val="single" w:sz="8" w:color="auto"/>
            </w:tcBorders>
          </w:tcPr>
          <w:p>
            <w:pPr>
              <w:spacing w:after="0"/>
              <w:rPr>
                <w:sz w:val="18"/>
                <w:szCs w:val="18"/>
                <w:color w:val="auto"/>
              </w:rPr>
            </w:pPr>
          </w:p>
        </w:tc>
        <w:tc>
          <w:tcPr>
            <w:tcW w:w="600" w:type="dxa"/>
            <w:vAlign w:val="bottom"/>
            <w:tcBorders>
              <w:bottom w:val="single" w:sz="8" w:color="auto"/>
            </w:tcBorders>
          </w:tcPr>
          <w:p>
            <w:pPr>
              <w:spacing w:after="0"/>
              <w:rPr>
                <w:sz w:val="18"/>
                <w:szCs w:val="18"/>
                <w:color w:val="auto"/>
              </w:rPr>
            </w:pPr>
          </w:p>
        </w:tc>
        <w:tc>
          <w:tcPr>
            <w:tcW w:w="880" w:type="dxa"/>
            <w:vAlign w:val="bottom"/>
            <w:tcBorders>
              <w:bottom w:val="single" w:sz="8" w:color="auto"/>
            </w:tcBorders>
          </w:tcPr>
          <w:p>
            <w:pPr>
              <w:spacing w:after="0"/>
              <w:rPr>
                <w:sz w:val="18"/>
                <w:szCs w:val="18"/>
                <w:color w:val="auto"/>
              </w:rPr>
            </w:pPr>
          </w:p>
        </w:tc>
        <w:tc>
          <w:tcPr>
            <w:tcW w:w="500" w:type="dxa"/>
            <w:vAlign w:val="bottom"/>
            <w:tcBorders>
              <w:bottom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183"/>
        </w:trPr>
        <w:tc>
          <w:tcPr>
            <w:tcW w:w="20" w:type="dxa"/>
            <w:vAlign w:val="bottom"/>
            <w:tcBorders>
              <w:bottom w:val="single" w:sz="8" w:color="auto"/>
            </w:tcBorders>
            <w:vMerge w:val="continue"/>
          </w:tcPr>
          <w:p>
            <w:pPr>
              <w:spacing w:after="0"/>
              <w:rPr>
                <w:sz w:val="15"/>
                <w:szCs w:val="15"/>
                <w:color w:val="auto"/>
              </w:rPr>
            </w:pPr>
          </w:p>
        </w:tc>
        <w:tc>
          <w:tcPr>
            <w:tcW w:w="2620" w:type="dxa"/>
            <w:vAlign w:val="bottom"/>
            <w:tcBorders>
              <w:bottom w:val="single" w:sz="8" w:color="auto"/>
            </w:tcBorders>
          </w:tcPr>
          <w:p>
            <w:pPr>
              <w:spacing w:after="0" w:line="183" w:lineRule="exact"/>
              <w:rPr>
                <w:sz w:val="20"/>
                <w:szCs w:val="20"/>
                <w:color w:val="auto"/>
              </w:rPr>
            </w:pPr>
            <w:r>
              <w:rPr>
                <w:rFonts w:ascii="Arial" w:cs="Arial" w:eastAsia="Arial" w:hAnsi="Arial"/>
                <w:sz w:val="17"/>
                <w:szCs w:val="17"/>
                <w:b w:val="1"/>
                <w:bCs w:val="1"/>
                <w:color w:val="auto"/>
              </w:rPr>
              <w:t>What We Do</w:t>
            </w:r>
          </w:p>
        </w:tc>
        <w:tc>
          <w:tcPr>
            <w:tcW w:w="1140" w:type="dxa"/>
            <w:vAlign w:val="bottom"/>
            <w:tcBorders>
              <w:bottom w:val="single" w:sz="8" w:color="auto"/>
            </w:tcBorders>
          </w:tcPr>
          <w:p>
            <w:pPr>
              <w:spacing w:after="0"/>
              <w:rPr>
                <w:sz w:val="15"/>
                <w:szCs w:val="15"/>
                <w:color w:val="auto"/>
              </w:rPr>
            </w:pPr>
          </w:p>
        </w:tc>
        <w:tc>
          <w:tcPr>
            <w:tcW w:w="900" w:type="dxa"/>
            <w:vAlign w:val="bottom"/>
            <w:tcBorders>
              <w:bottom w:val="single" w:sz="8" w:color="auto"/>
            </w:tcBorders>
          </w:tcPr>
          <w:p>
            <w:pPr>
              <w:spacing w:after="0"/>
              <w:rPr>
                <w:sz w:val="15"/>
                <w:szCs w:val="15"/>
                <w:color w:val="auto"/>
              </w:rPr>
            </w:pPr>
          </w:p>
        </w:tc>
        <w:tc>
          <w:tcPr>
            <w:tcW w:w="600" w:type="dxa"/>
            <w:vAlign w:val="bottom"/>
            <w:tcBorders>
              <w:bottom w:val="single" w:sz="8" w:color="auto"/>
            </w:tcBorders>
          </w:tcPr>
          <w:p>
            <w:pPr>
              <w:spacing w:after="0"/>
              <w:rPr>
                <w:sz w:val="15"/>
                <w:szCs w:val="15"/>
                <w:color w:val="auto"/>
              </w:rPr>
            </w:pPr>
          </w:p>
        </w:tc>
        <w:tc>
          <w:tcPr>
            <w:tcW w:w="600" w:type="dxa"/>
            <w:vAlign w:val="bottom"/>
            <w:tcBorders>
              <w:bottom w:val="single" w:sz="8" w:color="auto"/>
            </w:tcBorders>
          </w:tcPr>
          <w:p>
            <w:pPr>
              <w:spacing w:after="0"/>
              <w:rPr>
                <w:sz w:val="15"/>
                <w:szCs w:val="15"/>
                <w:color w:val="auto"/>
              </w:rPr>
            </w:pPr>
          </w:p>
        </w:tc>
        <w:tc>
          <w:tcPr>
            <w:tcW w:w="3560" w:type="dxa"/>
            <w:vAlign w:val="bottom"/>
            <w:tcBorders>
              <w:bottom w:val="single" w:sz="8" w:color="auto"/>
            </w:tcBorders>
            <w:gridSpan w:val="6"/>
          </w:tcPr>
          <w:p>
            <w:pPr>
              <w:ind w:left="180"/>
              <w:spacing w:after="0" w:line="183" w:lineRule="exact"/>
              <w:rPr>
                <w:sz w:val="20"/>
                <w:szCs w:val="20"/>
                <w:color w:val="auto"/>
              </w:rPr>
            </w:pPr>
            <w:r>
              <w:rPr>
                <w:rFonts w:ascii="Arial" w:cs="Arial" w:eastAsia="Arial" w:hAnsi="Arial"/>
                <w:sz w:val="17"/>
                <w:szCs w:val="17"/>
                <w:b w:val="1"/>
                <w:bCs w:val="1"/>
                <w:color w:val="auto"/>
              </w:rPr>
              <w:t>What We Don’t Do</w:t>
            </w:r>
          </w:p>
        </w:tc>
        <w:tc>
          <w:tcPr>
            <w:tcW w:w="600" w:type="dxa"/>
            <w:vAlign w:val="bottom"/>
            <w:tcBorders>
              <w:bottom w:val="single" w:sz="8" w:color="auto"/>
            </w:tcBorders>
          </w:tcPr>
          <w:p>
            <w:pPr>
              <w:spacing w:after="0"/>
              <w:rPr>
                <w:sz w:val="15"/>
                <w:szCs w:val="15"/>
                <w:color w:val="auto"/>
              </w:rPr>
            </w:pPr>
          </w:p>
        </w:tc>
        <w:tc>
          <w:tcPr>
            <w:tcW w:w="880" w:type="dxa"/>
            <w:vAlign w:val="bottom"/>
            <w:tcBorders>
              <w:bottom w:val="single" w:sz="8" w:color="auto"/>
            </w:tcBorders>
          </w:tcPr>
          <w:p>
            <w:pPr>
              <w:spacing w:after="0"/>
              <w:rPr>
                <w:sz w:val="15"/>
                <w:szCs w:val="15"/>
                <w:color w:val="auto"/>
              </w:rPr>
            </w:pPr>
          </w:p>
        </w:tc>
        <w:tc>
          <w:tcPr>
            <w:tcW w:w="500" w:type="dxa"/>
            <w:vAlign w:val="bottom"/>
            <w:tcBorders>
              <w:bottom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56"/>
        </w:trPr>
        <w:tc>
          <w:tcPr>
            <w:tcW w:w="2640" w:type="dxa"/>
            <w:vAlign w:val="bottom"/>
            <w:gridSpan w:val="2"/>
          </w:tcPr>
          <w:p>
            <w:pPr>
              <w:spacing w:after="0" w:line="157" w:lineRule="exact"/>
              <w:rPr>
                <w:sz w:val="20"/>
                <w:szCs w:val="20"/>
                <w:color w:val="auto"/>
              </w:rPr>
            </w:pPr>
            <w:r>
              <w:rPr>
                <w:rFonts w:ascii="Arial" w:cs="Arial" w:eastAsia="Arial" w:hAnsi="Arial"/>
                <w:sz w:val="17"/>
                <w:szCs w:val="17"/>
                <w:color w:val="auto"/>
              </w:rPr>
              <w:t>ü   Pay-for-performance</w:t>
            </w:r>
          </w:p>
        </w:tc>
        <w:tc>
          <w:tcPr>
            <w:tcW w:w="1140" w:type="dxa"/>
            <w:vAlign w:val="bottom"/>
          </w:tcPr>
          <w:p>
            <w:pPr>
              <w:spacing w:after="0"/>
              <w:rPr>
                <w:sz w:val="13"/>
                <w:szCs w:val="13"/>
                <w:color w:val="auto"/>
              </w:rPr>
            </w:pPr>
          </w:p>
        </w:tc>
        <w:tc>
          <w:tcPr>
            <w:tcW w:w="90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400" w:type="dxa"/>
            <w:vAlign w:val="bottom"/>
          </w:tcPr>
          <w:p>
            <w:pPr>
              <w:ind w:left="180"/>
              <w:spacing w:after="0" w:line="157" w:lineRule="exact"/>
              <w:rPr>
                <w:sz w:val="20"/>
                <w:szCs w:val="20"/>
                <w:color w:val="auto"/>
              </w:rPr>
            </w:pPr>
            <w:r>
              <w:rPr>
                <w:rFonts w:ascii="Arial" w:cs="Arial" w:eastAsia="Arial" w:hAnsi="Arial"/>
                <w:sz w:val="17"/>
                <w:szCs w:val="17"/>
                <w:b w:val="1"/>
                <w:bCs w:val="1"/>
                <w:color w:val="auto"/>
              </w:rPr>
              <w:t>x</w:t>
            </w:r>
          </w:p>
        </w:tc>
        <w:tc>
          <w:tcPr>
            <w:tcW w:w="3160" w:type="dxa"/>
            <w:vAlign w:val="bottom"/>
            <w:gridSpan w:val="5"/>
          </w:tcPr>
          <w:p>
            <w:pPr>
              <w:ind w:left="120"/>
              <w:spacing w:after="0" w:line="157" w:lineRule="exact"/>
              <w:rPr>
                <w:sz w:val="20"/>
                <w:szCs w:val="20"/>
                <w:color w:val="auto"/>
              </w:rPr>
            </w:pPr>
            <w:r>
              <w:rPr>
                <w:rFonts w:ascii="Arial" w:cs="Arial" w:eastAsia="Arial" w:hAnsi="Arial"/>
                <w:sz w:val="17"/>
                <w:szCs w:val="17"/>
                <w:color w:val="auto"/>
              </w:rPr>
              <w:t>Provide tax gross-ups</w:t>
            </w:r>
          </w:p>
        </w:tc>
        <w:tc>
          <w:tcPr>
            <w:tcW w:w="60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89"/>
        </w:trPr>
        <w:tc>
          <w:tcPr>
            <w:tcW w:w="5280" w:type="dxa"/>
            <w:vAlign w:val="bottom"/>
            <w:gridSpan w:val="5"/>
          </w:tcPr>
          <w:p>
            <w:pPr>
              <w:spacing w:after="0" w:line="189" w:lineRule="exact"/>
              <w:rPr>
                <w:sz w:val="20"/>
                <w:szCs w:val="20"/>
                <w:color w:val="auto"/>
              </w:rPr>
            </w:pPr>
            <w:r>
              <w:rPr>
                <w:rFonts w:ascii="Arial" w:cs="Arial" w:eastAsia="Arial" w:hAnsi="Arial"/>
                <w:sz w:val="17"/>
                <w:szCs w:val="17"/>
                <w:color w:val="auto"/>
              </w:rPr>
              <w:t>ü   Establish target pay based on market norms</w:t>
            </w:r>
          </w:p>
        </w:tc>
        <w:tc>
          <w:tcPr>
            <w:tcW w:w="600" w:type="dxa"/>
            <w:vAlign w:val="bottom"/>
          </w:tcPr>
          <w:p>
            <w:pPr>
              <w:spacing w:after="0"/>
              <w:rPr>
                <w:sz w:val="16"/>
                <w:szCs w:val="16"/>
                <w:color w:val="auto"/>
              </w:rPr>
            </w:pPr>
          </w:p>
        </w:tc>
        <w:tc>
          <w:tcPr>
            <w:tcW w:w="400" w:type="dxa"/>
            <w:vAlign w:val="bottom"/>
          </w:tcPr>
          <w:p>
            <w:pPr>
              <w:ind w:left="180"/>
              <w:spacing w:after="0" w:line="189" w:lineRule="exact"/>
              <w:rPr>
                <w:sz w:val="20"/>
                <w:szCs w:val="20"/>
                <w:color w:val="auto"/>
              </w:rPr>
            </w:pPr>
            <w:r>
              <w:rPr>
                <w:rFonts w:ascii="Arial" w:cs="Arial" w:eastAsia="Arial" w:hAnsi="Arial"/>
                <w:sz w:val="17"/>
                <w:szCs w:val="17"/>
                <w:b w:val="1"/>
                <w:bCs w:val="1"/>
                <w:color w:val="auto"/>
              </w:rPr>
              <w:t>x</w:t>
            </w:r>
          </w:p>
        </w:tc>
        <w:tc>
          <w:tcPr>
            <w:tcW w:w="3160" w:type="dxa"/>
            <w:vAlign w:val="bottom"/>
            <w:gridSpan w:val="5"/>
          </w:tcPr>
          <w:p>
            <w:pPr>
              <w:ind w:left="120"/>
              <w:spacing w:after="0" w:line="189" w:lineRule="exact"/>
              <w:rPr>
                <w:sz w:val="20"/>
                <w:szCs w:val="20"/>
                <w:color w:val="auto"/>
              </w:rPr>
            </w:pPr>
            <w:r>
              <w:rPr>
                <w:rFonts w:ascii="Arial" w:cs="Arial" w:eastAsia="Arial" w:hAnsi="Arial"/>
                <w:sz w:val="17"/>
                <w:szCs w:val="17"/>
                <w:color w:val="auto"/>
              </w:rPr>
              <w:t>Re-price stock options</w:t>
            </w:r>
          </w:p>
        </w:tc>
        <w:tc>
          <w:tcPr>
            <w:tcW w:w="60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5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09"/>
        </w:trPr>
        <w:tc>
          <w:tcPr>
            <w:tcW w:w="5280" w:type="dxa"/>
            <w:vAlign w:val="bottom"/>
            <w:gridSpan w:val="5"/>
          </w:tcPr>
          <w:p>
            <w:pPr>
              <w:spacing w:after="0"/>
              <w:rPr>
                <w:sz w:val="20"/>
                <w:szCs w:val="20"/>
                <w:color w:val="auto"/>
              </w:rPr>
            </w:pPr>
            <w:r>
              <w:rPr>
                <w:rFonts w:ascii="Arial" w:cs="Arial" w:eastAsia="Arial" w:hAnsi="Arial"/>
                <w:sz w:val="17"/>
                <w:szCs w:val="17"/>
                <w:color w:val="auto"/>
              </w:rPr>
              <w:t>ü   Deliver total direct compensation primarily through</w:t>
            </w:r>
          </w:p>
        </w:tc>
        <w:tc>
          <w:tcPr>
            <w:tcW w:w="600" w:type="dxa"/>
            <w:vAlign w:val="bottom"/>
          </w:tcPr>
          <w:p>
            <w:pPr>
              <w:spacing w:after="0"/>
              <w:rPr>
                <w:sz w:val="18"/>
                <w:szCs w:val="18"/>
                <w:color w:val="auto"/>
              </w:rPr>
            </w:pPr>
          </w:p>
        </w:tc>
        <w:tc>
          <w:tcPr>
            <w:tcW w:w="5540" w:type="dxa"/>
            <w:vAlign w:val="bottom"/>
            <w:gridSpan w:val="9"/>
          </w:tcPr>
          <w:p>
            <w:pPr>
              <w:ind w:left="180"/>
              <w:spacing w:after="0"/>
              <w:rPr>
                <w:sz w:val="20"/>
                <w:szCs w:val="20"/>
                <w:color w:val="auto"/>
              </w:rPr>
            </w:pPr>
            <w:r>
              <w:rPr>
                <w:rFonts w:ascii="Arial" w:cs="Arial" w:eastAsia="Arial" w:hAnsi="Arial"/>
                <w:sz w:val="17"/>
                <w:szCs w:val="17"/>
                <w:b w:val="1"/>
                <w:bCs w:val="1"/>
                <w:color w:val="auto"/>
              </w:rPr>
              <w:t xml:space="preserve">x   </w:t>
            </w:r>
            <w:r>
              <w:rPr>
                <w:rFonts w:ascii="Arial" w:cs="Arial" w:eastAsia="Arial" w:hAnsi="Arial"/>
                <w:sz w:val="17"/>
                <w:szCs w:val="17"/>
                <w:color w:val="auto"/>
              </w:rPr>
              <w:t>Pay current dividends on performance-based</w:t>
            </w:r>
          </w:p>
        </w:tc>
        <w:tc>
          <w:tcPr>
            <w:tcW w:w="0" w:type="dxa"/>
            <w:vAlign w:val="bottom"/>
          </w:tcPr>
          <w:p>
            <w:pPr>
              <w:spacing w:after="0"/>
              <w:rPr>
                <w:sz w:val="1"/>
                <w:szCs w:val="1"/>
                <w:color w:val="auto"/>
              </w:rPr>
            </w:pPr>
          </w:p>
        </w:tc>
      </w:tr>
      <w:tr>
        <w:trPr>
          <w:trHeight w:val="195"/>
        </w:trPr>
        <w:tc>
          <w:tcPr>
            <w:tcW w:w="20" w:type="dxa"/>
            <w:vAlign w:val="bottom"/>
          </w:tcPr>
          <w:p>
            <w:pPr>
              <w:spacing w:after="0"/>
              <w:rPr>
                <w:sz w:val="16"/>
                <w:szCs w:val="16"/>
                <w:color w:val="auto"/>
              </w:rPr>
            </w:pPr>
          </w:p>
        </w:tc>
        <w:tc>
          <w:tcPr>
            <w:tcW w:w="2620" w:type="dxa"/>
            <w:vAlign w:val="bottom"/>
          </w:tcPr>
          <w:p>
            <w:pPr>
              <w:ind w:left="320"/>
              <w:spacing w:after="0"/>
              <w:rPr>
                <w:sz w:val="20"/>
                <w:szCs w:val="20"/>
                <w:color w:val="auto"/>
              </w:rPr>
            </w:pPr>
            <w:r>
              <w:rPr>
                <w:rFonts w:ascii="Arial" w:cs="Arial" w:eastAsia="Arial" w:hAnsi="Arial"/>
                <w:sz w:val="17"/>
                <w:szCs w:val="17"/>
                <w:color w:val="auto"/>
              </w:rPr>
              <w:t>variable pay</w:t>
            </w:r>
          </w:p>
        </w:tc>
        <w:tc>
          <w:tcPr>
            <w:tcW w:w="1140" w:type="dxa"/>
            <w:vAlign w:val="bottom"/>
          </w:tcPr>
          <w:p>
            <w:pPr>
              <w:spacing w:after="0"/>
              <w:rPr>
                <w:sz w:val="16"/>
                <w:szCs w:val="16"/>
                <w:color w:val="auto"/>
              </w:rPr>
            </w:pPr>
          </w:p>
        </w:tc>
        <w:tc>
          <w:tcPr>
            <w:tcW w:w="90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400" w:type="dxa"/>
            <w:vAlign w:val="bottom"/>
            <w:vMerge w:val="restart"/>
          </w:tcPr>
          <w:p>
            <w:pPr>
              <w:ind w:left="180"/>
              <w:spacing w:after="0"/>
              <w:rPr>
                <w:sz w:val="20"/>
                <w:szCs w:val="20"/>
                <w:color w:val="auto"/>
              </w:rPr>
            </w:pPr>
            <w:r>
              <w:rPr>
                <w:rFonts w:ascii="Arial" w:cs="Arial" w:eastAsia="Arial" w:hAnsi="Arial"/>
                <w:sz w:val="17"/>
                <w:szCs w:val="17"/>
                <w:b w:val="1"/>
                <w:bCs w:val="1"/>
                <w:color w:val="auto"/>
              </w:rPr>
              <w:t>x</w:t>
            </w:r>
          </w:p>
        </w:tc>
        <w:tc>
          <w:tcPr>
            <w:tcW w:w="3160" w:type="dxa"/>
            <w:vAlign w:val="bottom"/>
            <w:gridSpan w:val="5"/>
          </w:tcPr>
          <w:p>
            <w:pPr>
              <w:ind w:left="120"/>
              <w:spacing w:after="0"/>
              <w:rPr>
                <w:sz w:val="20"/>
                <w:szCs w:val="20"/>
                <w:color w:val="auto"/>
              </w:rPr>
            </w:pPr>
            <w:r>
              <w:rPr>
                <w:rFonts w:ascii="Arial" w:cs="Arial" w:eastAsia="Arial" w:hAnsi="Arial"/>
                <w:sz w:val="17"/>
                <w:szCs w:val="17"/>
                <w:color w:val="auto"/>
              </w:rPr>
              <w:t>restricted stock units</w:t>
            </w:r>
          </w:p>
        </w:tc>
        <w:tc>
          <w:tcPr>
            <w:tcW w:w="60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5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9"/>
        </w:trPr>
        <w:tc>
          <w:tcPr>
            <w:tcW w:w="5280" w:type="dxa"/>
            <w:vAlign w:val="bottom"/>
            <w:gridSpan w:val="5"/>
          </w:tcPr>
          <w:p>
            <w:pPr>
              <w:spacing w:after="0" w:line="189" w:lineRule="exact"/>
              <w:rPr>
                <w:sz w:val="20"/>
                <w:szCs w:val="20"/>
                <w:color w:val="auto"/>
              </w:rPr>
            </w:pPr>
            <w:r>
              <w:rPr>
                <w:rFonts w:ascii="Arial" w:cs="Arial" w:eastAsia="Arial" w:hAnsi="Arial"/>
                <w:sz w:val="17"/>
                <w:szCs w:val="17"/>
                <w:color w:val="auto"/>
              </w:rPr>
              <w:t>ü   Set challenging short- and long-term incentive</w:t>
            </w:r>
          </w:p>
        </w:tc>
        <w:tc>
          <w:tcPr>
            <w:tcW w:w="600" w:type="dxa"/>
            <w:vAlign w:val="bottom"/>
          </w:tcPr>
          <w:p>
            <w:pPr>
              <w:spacing w:after="0"/>
              <w:rPr>
                <w:sz w:val="16"/>
                <w:szCs w:val="16"/>
                <w:color w:val="auto"/>
              </w:rPr>
            </w:pPr>
          </w:p>
        </w:tc>
        <w:tc>
          <w:tcPr>
            <w:tcW w:w="400" w:type="dxa"/>
            <w:vAlign w:val="bottom"/>
            <w:vMerge w:val="continue"/>
          </w:tcPr>
          <w:p>
            <w:pPr>
              <w:spacing w:after="0"/>
              <w:rPr>
                <w:sz w:val="16"/>
                <w:szCs w:val="16"/>
                <w:color w:val="auto"/>
              </w:rPr>
            </w:pPr>
          </w:p>
        </w:tc>
        <w:tc>
          <w:tcPr>
            <w:tcW w:w="3160" w:type="dxa"/>
            <w:vAlign w:val="bottom"/>
            <w:gridSpan w:val="5"/>
          </w:tcPr>
          <w:p>
            <w:pPr>
              <w:ind w:left="120"/>
              <w:spacing w:after="0" w:line="189" w:lineRule="exact"/>
              <w:rPr>
                <w:sz w:val="20"/>
                <w:szCs w:val="20"/>
                <w:color w:val="auto"/>
              </w:rPr>
            </w:pPr>
            <w:r>
              <w:rPr>
                <w:rFonts w:ascii="Arial" w:cs="Arial" w:eastAsia="Arial" w:hAnsi="Arial"/>
                <w:sz w:val="17"/>
                <w:szCs w:val="17"/>
                <w:color w:val="auto"/>
              </w:rPr>
              <w:t>Provide excessive perquisites</w:t>
            </w:r>
          </w:p>
        </w:tc>
        <w:tc>
          <w:tcPr>
            <w:tcW w:w="60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5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3"/>
        </w:trPr>
        <w:tc>
          <w:tcPr>
            <w:tcW w:w="20" w:type="dxa"/>
            <w:vAlign w:val="bottom"/>
          </w:tcPr>
          <w:p>
            <w:pPr>
              <w:spacing w:after="0"/>
              <w:rPr>
                <w:sz w:val="15"/>
                <w:szCs w:val="15"/>
                <w:color w:val="auto"/>
              </w:rPr>
            </w:pPr>
          </w:p>
        </w:tc>
        <w:tc>
          <w:tcPr>
            <w:tcW w:w="2620" w:type="dxa"/>
            <w:vAlign w:val="bottom"/>
            <w:vMerge w:val="restart"/>
          </w:tcPr>
          <w:p>
            <w:pPr>
              <w:ind w:left="320"/>
              <w:spacing w:after="0"/>
              <w:rPr>
                <w:sz w:val="20"/>
                <w:szCs w:val="20"/>
                <w:color w:val="auto"/>
              </w:rPr>
            </w:pPr>
            <w:r>
              <w:rPr>
                <w:rFonts w:ascii="Arial" w:cs="Arial" w:eastAsia="Arial" w:hAnsi="Arial"/>
                <w:sz w:val="17"/>
                <w:szCs w:val="17"/>
                <w:color w:val="auto"/>
              </w:rPr>
              <w:t>award goals</w:t>
            </w:r>
          </w:p>
        </w:tc>
        <w:tc>
          <w:tcPr>
            <w:tcW w:w="114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600" w:type="dxa"/>
            <w:vAlign w:val="bottom"/>
          </w:tcPr>
          <w:p>
            <w:pPr>
              <w:spacing w:after="0"/>
              <w:rPr>
                <w:sz w:val="15"/>
                <w:szCs w:val="15"/>
                <w:color w:val="auto"/>
              </w:rPr>
            </w:pPr>
          </w:p>
        </w:tc>
        <w:tc>
          <w:tcPr>
            <w:tcW w:w="600" w:type="dxa"/>
            <w:vAlign w:val="bottom"/>
          </w:tcPr>
          <w:p>
            <w:pPr>
              <w:spacing w:after="0"/>
              <w:rPr>
                <w:sz w:val="15"/>
                <w:szCs w:val="15"/>
                <w:color w:val="auto"/>
              </w:rPr>
            </w:pPr>
          </w:p>
        </w:tc>
        <w:tc>
          <w:tcPr>
            <w:tcW w:w="5540" w:type="dxa"/>
            <w:vAlign w:val="bottom"/>
            <w:gridSpan w:val="9"/>
          </w:tcPr>
          <w:p>
            <w:pPr>
              <w:ind w:left="180"/>
              <w:spacing w:after="0" w:line="183" w:lineRule="exact"/>
              <w:rPr>
                <w:sz w:val="20"/>
                <w:szCs w:val="20"/>
                <w:color w:val="auto"/>
              </w:rPr>
            </w:pPr>
            <w:r>
              <w:rPr>
                <w:rFonts w:ascii="Arial" w:cs="Arial" w:eastAsia="Arial" w:hAnsi="Arial"/>
                <w:sz w:val="17"/>
                <w:szCs w:val="17"/>
                <w:b w:val="1"/>
                <w:bCs w:val="1"/>
                <w:color w:val="auto"/>
              </w:rPr>
              <w:t xml:space="preserve">x   </w:t>
            </w:r>
            <w:r>
              <w:rPr>
                <w:rFonts w:ascii="Arial" w:cs="Arial" w:eastAsia="Arial" w:hAnsi="Arial"/>
                <w:sz w:val="17"/>
                <w:szCs w:val="17"/>
                <w:color w:val="auto"/>
              </w:rPr>
              <w:t>Reward executives without a link to performance or</w:t>
            </w:r>
          </w:p>
        </w:tc>
        <w:tc>
          <w:tcPr>
            <w:tcW w:w="0" w:type="dxa"/>
            <w:vAlign w:val="bottom"/>
          </w:tcPr>
          <w:p>
            <w:pPr>
              <w:spacing w:after="0"/>
              <w:rPr>
                <w:sz w:val="1"/>
                <w:szCs w:val="1"/>
                <w:color w:val="auto"/>
              </w:rPr>
            </w:pPr>
          </w:p>
        </w:tc>
      </w:tr>
      <w:tr>
        <w:trPr>
          <w:trHeight w:val="42"/>
        </w:trPr>
        <w:tc>
          <w:tcPr>
            <w:tcW w:w="20" w:type="dxa"/>
            <w:vAlign w:val="bottom"/>
          </w:tcPr>
          <w:p>
            <w:pPr>
              <w:spacing w:after="0"/>
              <w:rPr>
                <w:sz w:val="3"/>
                <w:szCs w:val="3"/>
                <w:color w:val="auto"/>
              </w:rPr>
            </w:pPr>
          </w:p>
        </w:tc>
        <w:tc>
          <w:tcPr>
            <w:tcW w:w="2620" w:type="dxa"/>
            <w:vAlign w:val="bottom"/>
            <w:vMerge w:val="continue"/>
          </w:tcPr>
          <w:p>
            <w:pPr>
              <w:spacing w:after="0"/>
              <w:rPr>
                <w:sz w:val="3"/>
                <w:szCs w:val="3"/>
                <w:color w:val="auto"/>
              </w:rPr>
            </w:pPr>
          </w:p>
        </w:tc>
        <w:tc>
          <w:tcPr>
            <w:tcW w:w="1140" w:type="dxa"/>
            <w:vAlign w:val="bottom"/>
          </w:tcPr>
          <w:p>
            <w:pPr>
              <w:spacing w:after="0"/>
              <w:rPr>
                <w:sz w:val="3"/>
                <w:szCs w:val="3"/>
                <w:color w:val="auto"/>
              </w:rPr>
            </w:pPr>
          </w:p>
        </w:tc>
        <w:tc>
          <w:tcPr>
            <w:tcW w:w="900" w:type="dxa"/>
            <w:vAlign w:val="bottom"/>
          </w:tcPr>
          <w:p>
            <w:pPr>
              <w:spacing w:after="0"/>
              <w:rPr>
                <w:sz w:val="3"/>
                <w:szCs w:val="3"/>
                <w:color w:val="auto"/>
              </w:rPr>
            </w:pPr>
          </w:p>
        </w:tc>
        <w:tc>
          <w:tcPr>
            <w:tcW w:w="600" w:type="dxa"/>
            <w:vAlign w:val="bottom"/>
          </w:tcPr>
          <w:p>
            <w:pPr>
              <w:spacing w:after="0"/>
              <w:rPr>
                <w:sz w:val="3"/>
                <w:szCs w:val="3"/>
                <w:color w:val="auto"/>
              </w:rPr>
            </w:pPr>
          </w:p>
        </w:tc>
        <w:tc>
          <w:tcPr>
            <w:tcW w:w="600" w:type="dxa"/>
            <w:vAlign w:val="bottom"/>
          </w:tcPr>
          <w:p>
            <w:pPr>
              <w:spacing w:after="0"/>
              <w:rPr>
                <w:sz w:val="3"/>
                <w:szCs w:val="3"/>
                <w:color w:val="auto"/>
              </w:rPr>
            </w:pPr>
          </w:p>
        </w:tc>
        <w:tc>
          <w:tcPr>
            <w:tcW w:w="400" w:type="dxa"/>
            <w:vAlign w:val="bottom"/>
          </w:tcPr>
          <w:p>
            <w:pPr>
              <w:spacing w:after="0"/>
              <w:rPr>
                <w:sz w:val="3"/>
                <w:szCs w:val="3"/>
                <w:color w:val="auto"/>
              </w:rPr>
            </w:pPr>
          </w:p>
        </w:tc>
        <w:tc>
          <w:tcPr>
            <w:tcW w:w="3160" w:type="dxa"/>
            <w:vAlign w:val="bottom"/>
            <w:gridSpan w:val="5"/>
            <w:vMerge w:val="restart"/>
          </w:tcPr>
          <w:p>
            <w:pPr>
              <w:ind w:left="120"/>
              <w:spacing w:after="0"/>
              <w:rPr>
                <w:sz w:val="20"/>
                <w:szCs w:val="20"/>
                <w:color w:val="auto"/>
              </w:rPr>
            </w:pPr>
            <w:r>
              <w:rPr>
                <w:rFonts w:ascii="Arial" w:cs="Arial" w:eastAsia="Arial" w:hAnsi="Arial"/>
                <w:sz w:val="17"/>
                <w:szCs w:val="17"/>
                <w:color w:val="auto"/>
              </w:rPr>
              <w:t>shareholder-value creation</w:t>
            </w:r>
          </w:p>
        </w:tc>
        <w:tc>
          <w:tcPr>
            <w:tcW w:w="600" w:type="dxa"/>
            <w:vAlign w:val="bottom"/>
          </w:tcPr>
          <w:p>
            <w:pPr>
              <w:spacing w:after="0"/>
              <w:rPr>
                <w:sz w:val="3"/>
                <w:szCs w:val="3"/>
                <w:color w:val="auto"/>
              </w:rPr>
            </w:pPr>
          </w:p>
        </w:tc>
        <w:tc>
          <w:tcPr>
            <w:tcW w:w="880" w:type="dxa"/>
            <w:vAlign w:val="bottom"/>
          </w:tcPr>
          <w:p>
            <w:pPr>
              <w:spacing w:after="0"/>
              <w:rPr>
                <w:sz w:val="3"/>
                <w:szCs w:val="3"/>
                <w:color w:val="auto"/>
              </w:rPr>
            </w:pPr>
          </w:p>
        </w:tc>
        <w:tc>
          <w:tcPr>
            <w:tcW w:w="50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14"/>
        </w:trPr>
        <w:tc>
          <w:tcPr>
            <w:tcW w:w="5280" w:type="dxa"/>
            <w:vAlign w:val="bottom"/>
            <w:gridSpan w:val="5"/>
          </w:tcPr>
          <w:p>
            <w:pPr>
              <w:spacing w:after="0"/>
              <w:rPr>
                <w:sz w:val="20"/>
                <w:szCs w:val="20"/>
                <w:color w:val="auto"/>
              </w:rPr>
            </w:pPr>
            <w:r>
              <w:rPr>
                <w:rFonts w:ascii="Arial" w:cs="Arial" w:eastAsia="Arial" w:hAnsi="Arial"/>
                <w:sz w:val="17"/>
                <w:szCs w:val="17"/>
                <w:color w:val="auto"/>
              </w:rPr>
              <w:t>ü   Provide strong oversight that ensures adherence to</w:t>
            </w:r>
          </w:p>
        </w:tc>
        <w:tc>
          <w:tcPr>
            <w:tcW w:w="60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3160" w:type="dxa"/>
            <w:vAlign w:val="bottom"/>
            <w:gridSpan w:val="5"/>
            <w:vMerge w:val="continue"/>
          </w:tcPr>
          <w:p>
            <w:pPr>
              <w:spacing w:after="0"/>
              <w:rPr>
                <w:sz w:val="18"/>
                <w:szCs w:val="18"/>
                <w:color w:val="auto"/>
              </w:rPr>
            </w:pPr>
          </w:p>
        </w:tc>
        <w:tc>
          <w:tcPr>
            <w:tcW w:w="60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0" w:type="dxa"/>
            <w:vAlign w:val="bottom"/>
          </w:tcPr>
          <w:p>
            <w:pPr>
              <w:spacing w:after="0"/>
              <w:rPr>
                <w:sz w:val="1"/>
                <w:szCs w:val="1"/>
                <w:color w:val="auto"/>
              </w:rPr>
            </w:pPr>
          </w:p>
        </w:tc>
      </w:tr>
    </w:tbl>
    <w:p>
      <w:pPr>
        <w:ind w:left="340"/>
        <w:spacing w:after="0" w:line="232" w:lineRule="auto"/>
        <w:rPr>
          <w:sz w:val="20"/>
          <w:szCs w:val="20"/>
          <w:color w:val="auto"/>
        </w:rPr>
      </w:pPr>
      <w:r>
        <w:rPr>
          <w:rFonts w:ascii="Arial" w:cs="Arial" w:eastAsia="Arial" w:hAnsi="Arial"/>
          <w:sz w:val="17"/>
          <w:szCs w:val="17"/>
          <w:color w:val="auto"/>
        </w:rPr>
        <w:t>incentive grant regulations and limits</w:t>
      </w:r>
    </w:p>
    <w:p>
      <w:pPr>
        <w:ind w:left="380" w:hanging="372"/>
        <w:spacing w:after="0"/>
        <w:tabs>
          <w:tab w:leader="none" w:pos="380" w:val="left"/>
        </w:tabs>
        <w:numPr>
          <w:ilvl w:val="0"/>
          <w:numId w:val="13"/>
        </w:numPr>
        <w:rPr>
          <w:rFonts w:ascii="Arial" w:cs="Arial" w:eastAsia="Arial" w:hAnsi="Arial"/>
          <w:sz w:val="17"/>
          <w:szCs w:val="17"/>
          <w:color w:val="auto"/>
        </w:rPr>
      </w:pPr>
      <w:r>
        <w:rPr>
          <w:rFonts w:ascii="Arial" w:cs="Arial" w:eastAsia="Arial" w:hAnsi="Arial"/>
          <w:sz w:val="17"/>
          <w:szCs w:val="17"/>
          <w:color w:val="auto"/>
        </w:rPr>
        <w:t>Maintain robust stock ownership requirements</w:t>
      </w:r>
    </w:p>
    <w:p>
      <w:pPr>
        <w:spacing w:after="0" w:line="7" w:lineRule="exact"/>
        <w:rPr>
          <w:rFonts w:ascii="Arial" w:cs="Arial" w:eastAsia="Arial" w:hAnsi="Arial"/>
          <w:sz w:val="17"/>
          <w:szCs w:val="17"/>
          <w:color w:val="auto"/>
        </w:rPr>
      </w:pPr>
    </w:p>
    <w:p>
      <w:pPr>
        <w:ind w:left="380" w:hanging="372"/>
        <w:spacing w:after="0"/>
        <w:tabs>
          <w:tab w:leader="none" w:pos="380" w:val="left"/>
        </w:tabs>
        <w:numPr>
          <w:ilvl w:val="0"/>
          <w:numId w:val="13"/>
        </w:numPr>
        <w:rPr>
          <w:rFonts w:ascii="Arial" w:cs="Arial" w:eastAsia="Arial" w:hAnsi="Arial"/>
          <w:sz w:val="17"/>
          <w:szCs w:val="17"/>
          <w:color w:val="auto"/>
        </w:rPr>
      </w:pPr>
      <w:r>
        <w:rPr>
          <w:rFonts w:ascii="Arial" w:cs="Arial" w:eastAsia="Arial" w:hAnsi="Arial"/>
          <w:sz w:val="17"/>
          <w:szCs w:val="17"/>
          <w:color w:val="auto"/>
        </w:rPr>
        <w:t>Include double-trigger vesting in the event of a CIC</w:t>
      </w:r>
    </w:p>
    <w:p>
      <w:pPr>
        <w:spacing w:after="0" w:line="7" w:lineRule="exact"/>
        <w:rPr>
          <w:rFonts w:ascii="Arial" w:cs="Arial" w:eastAsia="Arial" w:hAnsi="Arial"/>
          <w:sz w:val="17"/>
          <w:szCs w:val="17"/>
          <w:color w:val="auto"/>
        </w:rPr>
      </w:pPr>
    </w:p>
    <w:p>
      <w:pPr>
        <w:ind w:left="340" w:right="7340" w:hanging="332"/>
        <w:spacing w:after="0"/>
        <w:tabs>
          <w:tab w:leader="none" w:pos="321" w:val="left"/>
        </w:tabs>
        <w:numPr>
          <w:ilvl w:val="0"/>
          <w:numId w:val="13"/>
        </w:numPr>
        <w:rPr>
          <w:rFonts w:ascii="Arial" w:cs="Arial" w:eastAsia="Arial" w:hAnsi="Arial"/>
          <w:sz w:val="17"/>
          <w:szCs w:val="17"/>
          <w:color w:val="auto"/>
        </w:rPr>
      </w:pPr>
      <w:r>
        <w:rPr>
          <w:rFonts w:ascii="Arial" w:cs="Arial" w:eastAsia="Arial" w:hAnsi="Arial"/>
          <w:sz w:val="17"/>
          <w:szCs w:val="17"/>
          <w:color w:val="auto"/>
        </w:rPr>
        <w:t>Adhere to an incentive compensation recoupment “clawback” policy</w:t>
      </w:r>
    </w:p>
    <w:p>
      <w:pPr>
        <w:ind w:left="340" w:right="7440" w:hanging="332"/>
        <w:spacing w:after="0"/>
        <w:tabs>
          <w:tab w:leader="none" w:pos="378" w:val="left"/>
        </w:tabs>
        <w:numPr>
          <w:ilvl w:val="0"/>
          <w:numId w:val="13"/>
        </w:numPr>
        <w:rPr>
          <w:rFonts w:ascii="Arial" w:cs="Arial" w:eastAsia="Arial" w:hAnsi="Arial"/>
          <w:sz w:val="17"/>
          <w:szCs w:val="17"/>
          <w:color w:val="auto"/>
        </w:rPr>
      </w:pPr>
      <w:r>
        <w:rPr>
          <w:rFonts w:ascii="Arial" w:cs="Arial" w:eastAsia="Arial" w:hAnsi="Arial"/>
          <w:sz w:val="17"/>
          <w:szCs w:val="17"/>
          <w:color w:val="auto"/>
        </w:rPr>
        <w:t>Maintain anti-hedging and anti-pledging policies with respect to Company stock</w:t>
      </w:r>
    </w:p>
    <w:p>
      <w:pPr>
        <w:ind w:left="380" w:hanging="372"/>
        <w:spacing w:after="0"/>
        <w:tabs>
          <w:tab w:leader="none" w:pos="380" w:val="left"/>
        </w:tabs>
        <w:numPr>
          <w:ilvl w:val="0"/>
          <w:numId w:val="13"/>
        </w:numPr>
        <w:rPr>
          <w:rFonts w:ascii="Arial" w:cs="Arial" w:eastAsia="Arial" w:hAnsi="Arial"/>
          <w:sz w:val="17"/>
          <w:szCs w:val="17"/>
          <w:color w:val="auto"/>
        </w:rPr>
      </w:pPr>
      <w:r>
        <w:rPr>
          <w:rFonts w:ascii="Arial" w:cs="Arial" w:eastAsia="Arial" w:hAnsi="Arial"/>
          <w:sz w:val="17"/>
          <w:szCs w:val="17"/>
          <w:color w:val="auto"/>
        </w:rPr>
        <w:t>Offer market-competitive benefits</w:t>
      </w:r>
    </w:p>
    <w:p>
      <w:pPr>
        <w:spacing w:after="0" w:line="7" w:lineRule="exact"/>
        <w:rPr>
          <w:rFonts w:ascii="Arial" w:cs="Arial" w:eastAsia="Arial" w:hAnsi="Arial"/>
          <w:sz w:val="17"/>
          <w:szCs w:val="17"/>
          <w:color w:val="auto"/>
        </w:rPr>
      </w:pPr>
    </w:p>
    <w:p>
      <w:pPr>
        <w:ind w:left="380" w:hanging="372"/>
        <w:spacing w:after="0"/>
        <w:tabs>
          <w:tab w:leader="none" w:pos="380" w:val="left"/>
        </w:tabs>
        <w:numPr>
          <w:ilvl w:val="0"/>
          <w:numId w:val="13"/>
        </w:numPr>
        <w:rPr>
          <w:rFonts w:ascii="Arial" w:cs="Arial" w:eastAsia="Arial" w:hAnsi="Arial"/>
          <w:sz w:val="17"/>
          <w:szCs w:val="17"/>
          <w:color w:val="auto"/>
        </w:rPr>
      </w:pPr>
      <w:r>
        <w:rPr>
          <w:rFonts w:ascii="Arial" w:cs="Arial" w:eastAsia="Arial" w:hAnsi="Arial"/>
          <w:sz w:val="17"/>
          <w:szCs w:val="17"/>
          <w:color w:val="auto"/>
        </w:rPr>
        <w:t>Consult with an independent advisor on pay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246620" cy="889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7">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174" w:lineRule="exact"/>
        <w:rPr>
          <w:sz w:val="20"/>
          <w:szCs w:val="20"/>
          <w:color w:val="auto"/>
        </w:rPr>
      </w:pPr>
    </w:p>
    <w:p>
      <w:pPr>
        <w:spacing w:after="0"/>
        <w:rPr>
          <w:sz w:val="20"/>
          <w:szCs w:val="20"/>
          <w:color w:val="auto"/>
        </w:rPr>
      </w:pPr>
      <w:r>
        <w:rPr>
          <w:rFonts w:ascii="Arial" w:cs="Arial" w:eastAsia="Arial" w:hAnsi="Arial"/>
          <w:sz w:val="14"/>
          <w:szCs w:val="14"/>
          <w:color w:val="auto"/>
        </w:rPr>
        <w:t>30</w:t>
      </w:r>
    </w:p>
    <w:p>
      <w:pPr>
        <w:sectPr>
          <w:pgSz w:w="11900" w:h="16838" w:orient="portrait"/>
          <w:cols w:equalWidth="0" w:num="1">
            <w:col w:w="11420"/>
          </w:cols>
          <w:pgMar w:left="240" w:top="459" w:right="239" w:bottom="1440" w:gutter="0" w:footer="0" w:header="0"/>
        </w:sectPr>
      </w:pPr>
    </w:p>
    <w:bookmarkStart w:id="36" w:name="page37"/>
    <w:bookmarkEnd w:id="3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08">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2715260</wp:posOffset>
            </wp:positionH>
            <wp:positionV relativeFrom="paragraph">
              <wp:posOffset>205740</wp:posOffset>
            </wp:positionV>
            <wp:extent cx="1826895" cy="20574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09">
                      <a:extLst>
                        <a:ext uri="{28A0092B-C50C-407E-A947-70E740481C1C}"/>
                      </a:extLst>
                    </a:blip>
                    <a:srcRect/>
                    <a:stretch>
                      <a:fillRect/>
                    </a:stretch>
                  </pic:blipFill>
                  <pic:spPr bwMode="auto">
                    <a:xfrm>
                      <a:off x="0" y="0"/>
                      <a:ext cx="1826895" cy="20574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50" w:lineRule="exact"/>
        <w:rPr>
          <w:sz w:val="20"/>
          <w:szCs w:val="20"/>
          <w:color w:val="auto"/>
        </w:rPr>
      </w:pPr>
    </w:p>
    <w:p>
      <w:pPr>
        <w:spacing w:after="0"/>
        <w:rPr>
          <w:sz w:val="20"/>
          <w:szCs w:val="20"/>
          <w:color w:val="auto"/>
        </w:rPr>
      </w:pPr>
      <w:r>
        <w:rPr>
          <w:rFonts w:ascii="Arial" w:cs="Arial" w:eastAsia="Arial" w:hAnsi="Arial"/>
          <w:sz w:val="17"/>
          <w:szCs w:val="17"/>
          <w:b w:val="1"/>
          <w:bCs w:val="1"/>
          <w:color w:val="666666"/>
        </w:rPr>
        <w:t>CONSIDERATION OF 2015 SAY-ON-PAY VOTE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72390</wp:posOffset>
            </wp:positionV>
            <wp:extent cx="7246620" cy="8890"/>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10">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183" w:lineRule="exact"/>
        <w:rPr>
          <w:sz w:val="20"/>
          <w:szCs w:val="20"/>
          <w:color w:val="auto"/>
        </w:rPr>
      </w:pPr>
    </w:p>
    <w:p>
      <w:pPr>
        <w:ind w:right="160"/>
        <w:spacing w:after="0" w:line="235" w:lineRule="auto"/>
        <w:rPr>
          <w:sz w:val="20"/>
          <w:szCs w:val="20"/>
          <w:color w:val="auto"/>
        </w:rPr>
      </w:pPr>
      <w:r>
        <w:rPr>
          <w:rFonts w:ascii="Arial" w:cs="Arial" w:eastAsia="Arial" w:hAnsi="Arial"/>
          <w:sz w:val="17"/>
          <w:szCs w:val="17"/>
          <w:color w:val="auto"/>
        </w:rPr>
        <w:t>In evaluating the design of our executive compensation programs and the specific compensation decisions for each of our NEOs, the Compensation Committee considers shareholder input, including the advisory “say-on-pay” vote at our annual meeting. In 2015, shareholders approved the compensation of our NEOs as described in our 2015 Proxy Statement, with 97% of votes cast in favor of our “say-on-pay” proposal. Based on this vote, as well as other feedback from conversations with investors during the course of 2015, the Compensation Committee determined not to make any changes to our compensation programs as a result of the shareholder advisory vote.</w:t>
      </w:r>
    </w:p>
    <w:p>
      <w:pPr>
        <w:spacing w:after="0" w:line="144" w:lineRule="exact"/>
        <w:rPr>
          <w:sz w:val="20"/>
          <w:szCs w:val="20"/>
          <w:color w:val="auto"/>
        </w:rPr>
      </w:pPr>
    </w:p>
    <w:p>
      <w:pPr>
        <w:spacing w:after="0"/>
        <w:rPr>
          <w:sz w:val="20"/>
          <w:szCs w:val="20"/>
          <w:color w:val="auto"/>
        </w:rPr>
      </w:pPr>
      <w:r>
        <w:rPr>
          <w:rFonts w:ascii="Arial" w:cs="Arial" w:eastAsia="Arial" w:hAnsi="Arial"/>
          <w:sz w:val="17"/>
          <w:szCs w:val="17"/>
          <w:b w:val="1"/>
          <w:bCs w:val="1"/>
          <w:color w:val="666666"/>
        </w:rPr>
        <w:t>DETERMINING COMPENSATION FOR 2015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72390</wp:posOffset>
            </wp:positionV>
            <wp:extent cx="7246620" cy="8890"/>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11">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360"/>
          </w:cols>
          <w:pgMar w:left="240" w:top="459" w:right="299" w:bottom="1440" w:gutter="0" w:footer="0" w:header="0"/>
        </w:sectPr>
      </w:pPr>
    </w:p>
    <w:p>
      <w:pPr>
        <w:spacing w:after="0" w:line="277" w:lineRule="exact"/>
        <w:rPr>
          <w:sz w:val="20"/>
          <w:szCs w:val="20"/>
          <w:color w:val="auto"/>
        </w:rPr>
      </w:pPr>
    </w:p>
    <w:p>
      <w:pPr>
        <w:spacing w:after="0"/>
        <w:rPr>
          <w:sz w:val="20"/>
          <w:szCs w:val="20"/>
          <w:color w:val="auto"/>
        </w:rPr>
      </w:pPr>
      <w:r>
        <w:rPr>
          <w:rFonts w:ascii="Arial" w:cs="Arial" w:eastAsia="Arial" w:hAnsi="Arial"/>
          <w:sz w:val="17"/>
          <w:szCs w:val="17"/>
          <w:b w:val="1"/>
          <w:bCs w:val="1"/>
          <w:color w:val="666666"/>
        </w:rPr>
        <w:t>ROLE OF THE COMPENSATION COMMITTEE</w:t>
      </w:r>
    </w:p>
    <w:p>
      <w:pPr>
        <w:spacing w:after="0" w:line="14" w:lineRule="exact"/>
        <w:rPr>
          <w:sz w:val="20"/>
          <w:szCs w:val="20"/>
          <w:color w:val="auto"/>
        </w:rPr>
      </w:pPr>
    </w:p>
    <w:p>
      <w:pPr>
        <w:spacing w:after="0" w:line="235" w:lineRule="auto"/>
        <w:rPr>
          <w:sz w:val="20"/>
          <w:szCs w:val="20"/>
          <w:color w:val="auto"/>
        </w:rPr>
      </w:pPr>
      <w:r>
        <w:rPr>
          <w:rFonts w:ascii="Arial" w:cs="Arial" w:eastAsia="Arial" w:hAnsi="Arial"/>
          <w:sz w:val="17"/>
          <w:szCs w:val="17"/>
          <w:color w:val="auto"/>
        </w:rPr>
        <w:t>The Compensation Committee determines the appropriate level of compensation for all executive officers, including the CEO and other NEOs. As part of this process, the Compensation Committee reviews all the components of compensation for the NEOs and determines whether each individual’s total compensation is reasonable and consistent with the Company’s</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347" w:lineRule="exact"/>
        <w:rPr>
          <w:sz w:val="20"/>
          <w:szCs w:val="20"/>
          <w:color w:val="auto"/>
        </w:rPr>
      </w:pPr>
    </w:p>
    <w:p>
      <w:pPr>
        <w:ind w:right="20"/>
        <w:spacing w:after="0" w:line="236" w:lineRule="auto"/>
        <w:rPr>
          <w:sz w:val="20"/>
          <w:szCs w:val="20"/>
          <w:color w:val="auto"/>
        </w:rPr>
      </w:pPr>
      <w:r>
        <w:rPr>
          <w:rFonts w:ascii="Arial" w:cs="Arial" w:eastAsia="Arial" w:hAnsi="Arial"/>
          <w:sz w:val="17"/>
          <w:szCs w:val="17"/>
          <w:color w:val="auto"/>
        </w:rPr>
        <w:t>In establishing and reviewing the Company’s compensation programs, the Compensation Committee considers whether the programs encourage unnecessary or excessive risk taking and has determined that they do not.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-259715</wp:posOffset>
            </wp:positionH>
            <wp:positionV relativeFrom="paragraph">
              <wp:posOffset>-535305</wp:posOffset>
            </wp:positionV>
            <wp:extent cx="3181350" cy="61722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12">
                      <a:extLst>
                        <a:ext uri="{28A0092B-C50C-407E-A947-70E740481C1C}"/>
                      </a:extLst>
                    </a:blip>
                    <a:srcRect/>
                    <a:stretch>
                      <a:fillRect/>
                    </a:stretch>
                  </pic:blipFill>
                  <pic:spPr bwMode="auto">
                    <a:xfrm>
                      <a:off x="0" y="0"/>
                      <a:ext cx="3181350" cy="617220"/>
                    </a:xfrm>
                    <a:prstGeom prst="rect">
                      <a:avLst/>
                    </a:prstGeom>
                    <a:noFill/>
                  </pic:spPr>
                </pic:pic>
              </a:graphicData>
            </a:graphic>
          </wp:anchor>
        </w:drawing>
      </w:r>
    </w:p>
    <w:p>
      <w:pPr>
        <w:spacing w:after="0" w:line="122" w:lineRule="exact"/>
        <w:rPr>
          <w:sz w:val="20"/>
          <w:szCs w:val="20"/>
          <w:color w:val="auto"/>
        </w:rPr>
      </w:pPr>
    </w:p>
    <w:p>
      <w:pPr>
        <w:sectPr>
          <w:pgSz w:w="11900" w:h="16838" w:orient="portrait"/>
          <w:cols w:equalWidth="0" w:num="2">
            <w:col w:w="6400" w:space="420"/>
            <w:col w:w="4540"/>
          </w:cols>
          <w:pgMar w:left="240" w:top="459" w:right="299" w:bottom="1440" w:gutter="0" w:footer="0" w:header="0"/>
          <w:type w:val="continuous"/>
        </w:sectPr>
      </w:pPr>
    </w:p>
    <w:p>
      <w:pPr>
        <w:ind w:right="80"/>
        <w:spacing w:after="0" w:line="236" w:lineRule="auto"/>
        <w:rPr>
          <w:sz w:val="20"/>
          <w:szCs w:val="20"/>
          <w:color w:val="auto"/>
        </w:rPr>
      </w:pPr>
      <w:r>
        <w:rPr>
          <w:rFonts w:ascii="Arial" w:cs="Arial" w:eastAsia="Arial" w:hAnsi="Arial"/>
          <w:sz w:val="17"/>
          <w:szCs w:val="17"/>
          <w:color w:val="auto"/>
        </w:rPr>
        <w:t>compensation philosophy. In making this determination, the Compensation Committee may consider the recommendations of the CEO, market data provided by the Committee’s external compensation consultant and additional factors, such as the executive’s operating responsibilities, experience level, retention risk and tenure and performance in the position, and may make adjustments to a particular element of an executive’s compensation in light of these considerations.</w:t>
      </w:r>
    </w:p>
    <w:p>
      <w:pPr>
        <w:spacing w:after="0" w:line="177" w:lineRule="exact"/>
        <w:rPr>
          <w:sz w:val="20"/>
          <w:szCs w:val="20"/>
          <w:color w:val="auto"/>
        </w:rPr>
      </w:pPr>
    </w:p>
    <w:p>
      <w:pPr>
        <w:ind w:right="120"/>
        <w:spacing w:after="0" w:line="236" w:lineRule="auto"/>
        <w:rPr>
          <w:sz w:val="20"/>
          <w:szCs w:val="20"/>
          <w:color w:val="auto"/>
        </w:rPr>
      </w:pPr>
      <w:r>
        <w:rPr>
          <w:rFonts w:ascii="Arial" w:cs="Arial" w:eastAsia="Arial" w:hAnsi="Arial"/>
          <w:sz w:val="17"/>
          <w:szCs w:val="17"/>
          <w:color w:val="auto"/>
        </w:rPr>
        <w:t>The Compensation Committee then approves, with any modifications it deems appropriate, base salary ranges, target annual performance award opportunities and long-term incentive opportunities and grants for the Company’s NEOs. The amount of past compensation realized or potentially realizable has not directly impacted the level at which current and long-term pay opportunities have been set, although the Compensation Committee does consider this information in its deliberations.</w:t>
      </w:r>
    </w:p>
    <w:p>
      <w:pPr>
        <w:spacing w:after="0" w:line="143" w:lineRule="exact"/>
        <w:rPr>
          <w:sz w:val="20"/>
          <w:szCs w:val="20"/>
          <w:color w:val="auto"/>
        </w:rPr>
      </w:pPr>
    </w:p>
    <w:p>
      <w:pPr>
        <w:spacing w:after="0"/>
        <w:rPr>
          <w:sz w:val="20"/>
          <w:szCs w:val="20"/>
          <w:color w:val="auto"/>
        </w:rPr>
      </w:pPr>
      <w:r>
        <w:rPr>
          <w:rFonts w:ascii="Arial" w:cs="Arial" w:eastAsia="Arial" w:hAnsi="Arial"/>
          <w:sz w:val="17"/>
          <w:szCs w:val="17"/>
          <w:b w:val="1"/>
          <w:bCs w:val="1"/>
          <w:color w:val="666666"/>
        </w:rPr>
        <w:t>ROLE OF THE CEO AND MANAGEMENT</w:t>
      </w:r>
    </w:p>
    <w:p>
      <w:pPr>
        <w:spacing w:after="0" w:line="14" w:lineRule="exact"/>
        <w:rPr>
          <w:sz w:val="20"/>
          <w:szCs w:val="20"/>
          <w:color w:val="auto"/>
        </w:rPr>
      </w:pPr>
    </w:p>
    <w:p>
      <w:pPr>
        <w:ind w:right="240"/>
        <w:spacing w:after="0" w:line="236" w:lineRule="auto"/>
        <w:rPr>
          <w:sz w:val="20"/>
          <w:szCs w:val="20"/>
          <w:color w:val="auto"/>
        </w:rPr>
      </w:pPr>
      <w:r>
        <w:rPr>
          <w:rFonts w:ascii="Arial" w:cs="Arial" w:eastAsia="Arial" w:hAnsi="Arial"/>
          <w:sz w:val="17"/>
          <w:szCs w:val="17"/>
          <w:color w:val="auto"/>
        </w:rPr>
        <w:t>The CEO, in consultation with Human Resources and Organizational Advancement leadership and the compensation consultant, prepares compensation recommendations for the NEOs (other than the CEO) and presents these recommendations to the Compensation Committee. These recommendations are based on the CEO’s personal review of the other NEOs’ performance, job responsibilities and importance to the Company’s overall</w:t>
      </w:r>
    </w:p>
    <w:p>
      <w:pPr>
        <w:sectPr>
          <w:pgSz w:w="11900" w:h="16838" w:orient="portrait"/>
          <w:cols w:equalWidth="0" w:num="1">
            <w:col w:w="11360"/>
          </w:cols>
          <w:pgMar w:left="240" w:top="459" w:right="299" w:bottom="1440" w:gutter="0" w:footer="0" w:header="0"/>
          <w:type w:val="continuous"/>
        </w:sectPr>
      </w:pPr>
    </w:p>
    <w:p>
      <w:pPr>
        <w:spacing w:after="0" w:line="68" w:lineRule="exact"/>
        <w:rPr>
          <w:sz w:val="20"/>
          <w:szCs w:val="20"/>
          <w:color w:val="auto"/>
        </w:rPr>
      </w:pPr>
    </w:p>
    <w:p>
      <w:pPr>
        <w:ind w:right="80"/>
        <w:spacing w:after="0" w:line="238" w:lineRule="auto"/>
        <w:rPr>
          <w:sz w:val="20"/>
          <w:szCs w:val="20"/>
          <w:color w:val="auto"/>
        </w:rPr>
      </w:pPr>
      <w:r>
        <w:rPr>
          <w:rFonts w:ascii="Arial" w:cs="Arial" w:eastAsia="Arial" w:hAnsi="Arial"/>
          <w:sz w:val="17"/>
          <w:szCs w:val="17"/>
          <w:color w:val="auto"/>
        </w:rPr>
        <w:t>business strategy, as well as the Company’s compensation philosophy. Although these recommendations are given significant weight, the Committee retains full discretion when determining compensation.</w:t>
      </w:r>
    </w:p>
    <w:p>
      <w:pPr>
        <w:spacing w:after="0" w:line="188" w:lineRule="exact"/>
        <w:rPr>
          <w:sz w:val="20"/>
          <w:szCs w:val="20"/>
          <w:color w:val="auto"/>
        </w:rPr>
      </w:pPr>
    </w:p>
    <w:p>
      <w:pPr>
        <w:spacing w:after="0"/>
        <w:rPr>
          <w:sz w:val="20"/>
          <w:szCs w:val="20"/>
          <w:color w:val="auto"/>
        </w:rPr>
      </w:pPr>
      <w:r>
        <w:rPr>
          <w:rFonts w:ascii="Arial" w:cs="Arial" w:eastAsia="Arial" w:hAnsi="Arial"/>
          <w:sz w:val="17"/>
          <w:szCs w:val="17"/>
          <w:color w:val="auto"/>
        </w:rPr>
        <w:t>In preparing compensation recommendations for the NEOs, the CEO and Human Resources and Organizational Advancement</w:t>
      </w:r>
    </w:p>
    <w:p>
      <w:pPr>
        <w:spacing w:after="0" w:line="20" w:lineRule="exact"/>
        <w:rPr>
          <w:sz w:val="20"/>
          <w:szCs w:val="20"/>
          <w:color w:val="auto"/>
        </w:rPr>
      </w:pPr>
      <w:r>
        <w:rPr>
          <w:sz w:val="20"/>
          <w:szCs w:val="20"/>
          <w:color w:val="auto"/>
        </w:rPr>
        <w:br w:type="column"/>
      </w:r>
    </w:p>
    <w:p>
      <w:pPr>
        <w:spacing w:after="0" w:line="28"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Establishing Base Salaries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-259715</wp:posOffset>
            </wp:positionH>
            <wp:positionV relativeFrom="paragraph">
              <wp:posOffset>-106680</wp:posOffset>
            </wp:positionV>
            <wp:extent cx="3181350" cy="737235"/>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3">
                      <a:extLst>
                        <a:ext uri="{28A0092B-C50C-407E-A947-70E740481C1C}"/>
                      </a:extLst>
                    </a:blip>
                    <a:srcRect/>
                    <a:stretch>
                      <a:fillRect/>
                    </a:stretch>
                  </pic:blipFill>
                  <pic:spPr bwMode="auto">
                    <a:xfrm>
                      <a:off x="0" y="0"/>
                      <a:ext cx="3181350" cy="737235"/>
                    </a:xfrm>
                    <a:prstGeom prst="rect">
                      <a:avLst/>
                    </a:prstGeom>
                    <a:noFill/>
                  </pic:spPr>
                </pic:pic>
              </a:graphicData>
            </a:graphic>
          </wp:anchor>
        </w:drawing>
      </w:r>
    </w:p>
    <w:p>
      <w:pPr>
        <w:ind w:right="180"/>
        <w:spacing w:after="0" w:line="236" w:lineRule="auto"/>
        <w:rPr>
          <w:sz w:val="20"/>
          <w:szCs w:val="20"/>
          <w:color w:val="auto"/>
        </w:rPr>
      </w:pPr>
      <w:r>
        <w:rPr>
          <w:rFonts w:ascii="Arial" w:cs="Arial" w:eastAsia="Arial" w:hAnsi="Arial"/>
          <w:sz w:val="17"/>
          <w:szCs w:val="17"/>
          <w:color w:val="auto"/>
        </w:rPr>
        <w:t>When establishing base salaries for NEOs, the Compensation Committee considers a competitive range around the 50th percentile of the general industry data for comparable roles as an initial guideline.</w:t>
      </w:r>
    </w:p>
    <w:p>
      <w:pPr>
        <w:spacing w:after="0" w:line="203" w:lineRule="exact"/>
        <w:rPr>
          <w:sz w:val="20"/>
          <w:szCs w:val="20"/>
          <w:color w:val="auto"/>
        </w:rPr>
      </w:pPr>
    </w:p>
    <w:p>
      <w:pPr>
        <w:sectPr>
          <w:pgSz w:w="11900" w:h="16838" w:orient="portrait"/>
          <w:cols w:equalWidth="0" w:num="2">
            <w:col w:w="6160" w:space="660"/>
            <w:col w:w="4540"/>
          </w:cols>
          <w:pgMar w:left="240" w:top="459" w:right="299" w:bottom="1440" w:gutter="0" w:footer="0" w:header="0"/>
          <w:type w:val="continuous"/>
        </w:sectPr>
      </w:pPr>
    </w:p>
    <w:p>
      <w:pPr>
        <w:spacing w:after="0" w:line="236" w:lineRule="auto"/>
        <w:rPr>
          <w:sz w:val="20"/>
          <w:szCs w:val="20"/>
          <w:color w:val="auto"/>
        </w:rPr>
      </w:pPr>
      <w:r>
        <w:rPr>
          <w:rFonts w:ascii="Arial" w:cs="Arial" w:eastAsia="Arial" w:hAnsi="Arial"/>
          <w:sz w:val="17"/>
          <w:szCs w:val="17"/>
          <w:color w:val="auto"/>
        </w:rPr>
        <w:t>leadership together consider market data for the key elements of compensation provided to the NEOs and evaluate the total compensation package in relation to the target established for the position, taking into account the scope of responsibilities for the particular position. Total direct compensation (base salary, annual incentives and long-term incentive grants) also is evaluated in relation to the total compensation of comparable positions derived from the general market data as well as internal equity considerations.</w:t>
      </w:r>
    </w:p>
    <w:p>
      <w:pPr>
        <w:spacing w:after="0" w:line="147" w:lineRule="exact"/>
        <w:rPr>
          <w:sz w:val="20"/>
          <w:szCs w:val="20"/>
          <w:color w:val="auto"/>
        </w:rPr>
      </w:pPr>
    </w:p>
    <w:p>
      <w:pPr>
        <w:ind w:left="11180"/>
        <w:spacing w:after="0"/>
        <w:rPr>
          <w:sz w:val="20"/>
          <w:szCs w:val="20"/>
          <w:color w:val="auto"/>
        </w:rPr>
      </w:pPr>
      <w:r>
        <w:rPr>
          <w:rFonts w:ascii="Arial" w:cs="Arial" w:eastAsia="Arial" w:hAnsi="Arial"/>
          <w:sz w:val="14"/>
          <w:szCs w:val="14"/>
          <w:color w:val="auto"/>
        </w:rPr>
        <w:t>31</w:t>
      </w:r>
    </w:p>
    <w:p>
      <w:pPr>
        <w:sectPr>
          <w:pgSz w:w="11900" w:h="16838" w:orient="portrait"/>
          <w:cols w:equalWidth="0" w:num="1">
            <w:col w:w="11360"/>
          </w:cols>
          <w:pgMar w:left="240" w:top="459" w:right="299" w:bottom="1440" w:gutter="0" w:footer="0" w:header="0"/>
          <w:type w:val="continuous"/>
        </w:sectPr>
      </w:pPr>
    </w:p>
    <w:bookmarkStart w:id="37" w:name="page38"/>
    <w:bookmarkEnd w:id="3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14">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3109595</wp:posOffset>
            </wp:positionH>
            <wp:positionV relativeFrom="paragraph">
              <wp:posOffset>205740</wp:posOffset>
            </wp:positionV>
            <wp:extent cx="1046480" cy="205740"/>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15">
                      <a:extLst>
                        <a:ext uri="{28A0092B-C50C-407E-A947-70E740481C1C}"/>
                      </a:extLst>
                    </a:blip>
                    <a:srcRect/>
                    <a:stretch>
                      <a:fillRect/>
                    </a:stretch>
                  </pic:blipFill>
                  <pic:spPr bwMode="auto">
                    <a:xfrm>
                      <a:off x="0" y="0"/>
                      <a:ext cx="1046480" cy="20574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70" w:lineRule="exact"/>
        <w:rPr>
          <w:sz w:val="20"/>
          <w:szCs w:val="20"/>
          <w:color w:val="auto"/>
        </w:rPr>
      </w:pPr>
    </w:p>
    <w:p>
      <w:pPr>
        <w:ind w:right="220"/>
        <w:spacing w:after="0" w:line="243" w:lineRule="auto"/>
        <w:rPr>
          <w:sz w:val="20"/>
          <w:szCs w:val="20"/>
          <w:color w:val="auto"/>
        </w:rPr>
      </w:pPr>
      <w:r>
        <w:rPr>
          <w:rFonts w:ascii="Arial" w:cs="Arial" w:eastAsia="Arial" w:hAnsi="Arial"/>
          <w:sz w:val="17"/>
          <w:szCs w:val="17"/>
          <w:color w:val="auto"/>
        </w:rPr>
        <w:t>The compensation package for the CEO is determined by the Compensation Committee and approved by the independent members of the Board of Directors during executive session.</w:t>
      </w:r>
    </w:p>
    <w:p>
      <w:pPr>
        <w:spacing w:after="0" w:line="151" w:lineRule="exact"/>
        <w:rPr>
          <w:sz w:val="20"/>
          <w:szCs w:val="20"/>
          <w:color w:val="auto"/>
        </w:rPr>
      </w:pPr>
    </w:p>
    <w:p>
      <w:pPr>
        <w:spacing w:after="0"/>
        <w:rPr>
          <w:sz w:val="20"/>
          <w:szCs w:val="20"/>
          <w:color w:val="auto"/>
        </w:rPr>
      </w:pPr>
      <w:r>
        <w:rPr>
          <w:rFonts w:ascii="Arial" w:cs="Arial" w:eastAsia="Arial" w:hAnsi="Arial"/>
          <w:sz w:val="17"/>
          <w:szCs w:val="17"/>
          <w:b w:val="1"/>
          <w:bCs w:val="1"/>
          <w:color w:val="666666"/>
        </w:rPr>
        <w:t>ROLE OF THE COMPENSATION CONSULTANT</w:t>
      </w:r>
    </w:p>
    <w:p>
      <w:pPr>
        <w:spacing w:after="0" w:line="14" w:lineRule="exact"/>
        <w:rPr>
          <w:sz w:val="20"/>
          <w:szCs w:val="20"/>
          <w:color w:val="auto"/>
        </w:rPr>
      </w:pPr>
    </w:p>
    <w:p>
      <w:pPr>
        <w:ind w:right="260"/>
        <w:spacing w:after="0" w:line="235" w:lineRule="auto"/>
        <w:rPr>
          <w:sz w:val="20"/>
          <w:szCs w:val="20"/>
          <w:color w:val="auto"/>
        </w:rPr>
      </w:pPr>
      <w:r>
        <w:rPr>
          <w:rFonts w:ascii="Arial" w:cs="Arial" w:eastAsia="Arial" w:hAnsi="Arial"/>
          <w:sz w:val="17"/>
          <w:szCs w:val="17"/>
          <w:color w:val="auto"/>
        </w:rPr>
        <w:t>The Compensation Committee retains the authority to approve and monitor all compensation and benefit programs (other than broad-based welfare benefit programs). To add rigor in the review process and to inform the Compensation Committee of market trends, the Compensation Committee engages the services of a compensation consultant to analyze our executive compensation structure and plan designs, and to assess whether the compensation program is competitive and supports the Compensation Committee’s goal to align the interests of executive officers with those of shareholders. The consultant also provides market data directly to the Compensation Committee, which the Compensation Committee references when determining compensation for executive officers.</w:t>
      </w:r>
    </w:p>
    <w:p>
      <w:pPr>
        <w:spacing w:after="0" w:line="162" w:lineRule="exact"/>
        <w:rPr>
          <w:sz w:val="20"/>
          <w:szCs w:val="20"/>
          <w:color w:val="auto"/>
        </w:rPr>
      </w:pPr>
    </w:p>
    <w:p>
      <w:pPr>
        <w:spacing w:after="0" w:line="235" w:lineRule="auto"/>
        <w:rPr>
          <w:sz w:val="20"/>
          <w:szCs w:val="20"/>
          <w:color w:val="auto"/>
        </w:rPr>
      </w:pPr>
      <w:r>
        <w:rPr>
          <w:rFonts w:ascii="Arial" w:cs="Arial" w:eastAsia="Arial" w:hAnsi="Arial"/>
          <w:sz w:val="17"/>
          <w:szCs w:val="17"/>
          <w:color w:val="auto"/>
        </w:rPr>
        <w:t>In 2015, the Compensation Committee initiated a search for an independent compensation consultant to serve the Committee as its advisor and asked the CEO and Human Resources and Organizational Advancement leadership to participate in the review and the initial evaluation of independent compensation consultants. The Committee was in search of a top consultant with extensive experience with public companies and industry expertise to provide partnership, objectivity and independence. In May of 2015 the Compensation Committee selected Meridian Compensation Partners to replace Willis Towers Watson as its compensation consultant.</w:t>
      </w:r>
    </w:p>
    <w:p>
      <w:pPr>
        <w:spacing w:after="0" w:line="164" w:lineRule="exact"/>
        <w:rPr>
          <w:sz w:val="20"/>
          <w:szCs w:val="20"/>
          <w:color w:val="auto"/>
        </w:rPr>
      </w:pPr>
    </w:p>
    <w:p>
      <w:pPr>
        <w:spacing w:after="0"/>
        <w:rPr>
          <w:sz w:val="20"/>
          <w:szCs w:val="20"/>
          <w:color w:val="auto"/>
        </w:rPr>
      </w:pPr>
      <w:r>
        <w:rPr>
          <w:rFonts w:ascii="Arial" w:cs="Arial" w:eastAsia="Arial" w:hAnsi="Arial"/>
          <w:sz w:val="17"/>
          <w:szCs w:val="17"/>
          <w:color w:val="auto"/>
        </w:rPr>
        <w:t>In 2015, Meridian’s and Willis Towers Watson’s primary areas of assistance were:</w:t>
      </w:r>
    </w:p>
    <w:p>
      <w:pPr>
        <w:spacing w:after="0" w:line="210" w:lineRule="exact"/>
        <w:rPr>
          <w:sz w:val="20"/>
          <w:szCs w:val="20"/>
          <w:color w:val="auto"/>
        </w:rPr>
      </w:pPr>
    </w:p>
    <w:p>
      <w:pPr>
        <w:ind w:left="220" w:right="480" w:hanging="212"/>
        <w:spacing w:after="0" w:line="243" w:lineRule="auto"/>
        <w:tabs>
          <w:tab w:leader="none" w:pos="220" w:val="left"/>
        </w:tabs>
        <w:numPr>
          <w:ilvl w:val="0"/>
          <w:numId w:val="14"/>
        </w:numPr>
        <w:rPr>
          <w:rFonts w:ascii="Arial" w:cs="Arial" w:eastAsia="Arial" w:hAnsi="Arial"/>
          <w:sz w:val="17"/>
          <w:szCs w:val="17"/>
          <w:color w:val="auto"/>
        </w:rPr>
      </w:pPr>
      <w:r>
        <w:rPr>
          <w:rFonts w:ascii="Arial" w:cs="Arial" w:eastAsia="Arial" w:hAnsi="Arial"/>
          <w:sz w:val="17"/>
          <w:szCs w:val="17"/>
          <w:color w:val="auto"/>
        </w:rPr>
        <w:t>Gathering information related to current trends and practices in executive compensation in response to questions raised by the Compensation Committee and management;</w:t>
      </w:r>
    </w:p>
    <w:p>
      <w:pPr>
        <w:spacing w:after="0" w:line="198" w:lineRule="exact"/>
        <w:rPr>
          <w:rFonts w:ascii="Arial" w:cs="Arial" w:eastAsia="Arial" w:hAnsi="Arial"/>
          <w:sz w:val="17"/>
          <w:szCs w:val="17"/>
          <w:color w:val="auto"/>
        </w:rPr>
      </w:pPr>
    </w:p>
    <w:p>
      <w:pPr>
        <w:ind w:left="220" w:right="620" w:hanging="212"/>
        <w:spacing w:after="0" w:line="243" w:lineRule="auto"/>
        <w:tabs>
          <w:tab w:leader="none" w:pos="220" w:val="left"/>
        </w:tabs>
        <w:numPr>
          <w:ilvl w:val="0"/>
          <w:numId w:val="14"/>
        </w:numPr>
        <w:rPr>
          <w:rFonts w:ascii="Arial" w:cs="Arial" w:eastAsia="Arial" w:hAnsi="Arial"/>
          <w:sz w:val="17"/>
          <w:szCs w:val="17"/>
          <w:color w:val="auto"/>
        </w:rPr>
      </w:pPr>
      <w:r>
        <w:rPr>
          <w:rFonts w:ascii="Arial" w:cs="Arial" w:eastAsia="Arial" w:hAnsi="Arial"/>
          <w:sz w:val="17"/>
          <w:szCs w:val="17"/>
          <w:color w:val="auto"/>
        </w:rPr>
        <w:t>Reviewing information developed by management for the Compensation Committee and providing its input to the Committee regarding such information;</w:t>
      </w:r>
    </w:p>
    <w:p>
      <w:pPr>
        <w:spacing w:after="0" w:line="198" w:lineRule="exact"/>
        <w:rPr>
          <w:rFonts w:ascii="Arial" w:cs="Arial" w:eastAsia="Arial" w:hAnsi="Arial"/>
          <w:sz w:val="17"/>
          <w:szCs w:val="17"/>
          <w:color w:val="auto"/>
        </w:rPr>
      </w:pPr>
    </w:p>
    <w:p>
      <w:pPr>
        <w:ind w:left="220" w:right="180" w:hanging="212"/>
        <w:spacing w:after="0" w:line="243" w:lineRule="auto"/>
        <w:tabs>
          <w:tab w:leader="none" w:pos="220" w:val="left"/>
        </w:tabs>
        <w:numPr>
          <w:ilvl w:val="0"/>
          <w:numId w:val="14"/>
        </w:numPr>
        <w:rPr>
          <w:rFonts w:ascii="Arial" w:cs="Arial" w:eastAsia="Arial" w:hAnsi="Arial"/>
          <w:sz w:val="17"/>
          <w:szCs w:val="17"/>
          <w:color w:val="auto"/>
        </w:rPr>
      </w:pPr>
      <w:r>
        <w:rPr>
          <w:rFonts w:ascii="Arial" w:cs="Arial" w:eastAsia="Arial" w:hAnsi="Arial"/>
          <w:sz w:val="17"/>
          <w:szCs w:val="17"/>
          <w:color w:val="auto"/>
        </w:rPr>
        <w:t>Attending and participating in meetings with the Compensation Committee, as well as briefings with the Committee Chairperson and management prior to meetings; and</w:t>
      </w:r>
    </w:p>
    <w:p>
      <w:pPr>
        <w:spacing w:after="0" w:line="198" w:lineRule="exact"/>
        <w:rPr>
          <w:rFonts w:ascii="Arial" w:cs="Arial" w:eastAsia="Arial" w:hAnsi="Arial"/>
          <w:sz w:val="17"/>
          <w:szCs w:val="17"/>
          <w:color w:val="auto"/>
        </w:rPr>
      </w:pPr>
    </w:p>
    <w:p>
      <w:pPr>
        <w:ind w:left="220" w:hanging="212"/>
        <w:spacing w:after="0"/>
        <w:tabs>
          <w:tab w:leader="none" w:pos="220" w:val="left"/>
        </w:tabs>
        <w:numPr>
          <w:ilvl w:val="0"/>
          <w:numId w:val="14"/>
        </w:numPr>
        <w:rPr>
          <w:rFonts w:ascii="Arial" w:cs="Arial" w:eastAsia="Arial" w:hAnsi="Arial"/>
          <w:sz w:val="17"/>
          <w:szCs w:val="17"/>
          <w:color w:val="auto"/>
        </w:rPr>
      </w:pPr>
      <w:r>
        <w:rPr>
          <w:rFonts w:ascii="Arial" w:cs="Arial" w:eastAsia="Arial" w:hAnsi="Arial"/>
          <w:sz w:val="17"/>
          <w:szCs w:val="17"/>
          <w:color w:val="auto"/>
        </w:rPr>
        <w:t>Reviewing with management and the Compensation Committee materials to be used in the Company’s Proxy Statement.</w:t>
      </w:r>
    </w:p>
    <w:p>
      <w:pPr>
        <w:spacing w:after="0" w:line="183" w:lineRule="exact"/>
        <w:rPr>
          <w:sz w:val="20"/>
          <w:szCs w:val="20"/>
          <w:color w:val="auto"/>
        </w:rPr>
      </w:pPr>
    </w:p>
    <w:p>
      <w:pPr>
        <w:ind w:right="380"/>
        <w:spacing w:after="0" w:line="243" w:lineRule="auto"/>
        <w:rPr>
          <w:sz w:val="20"/>
          <w:szCs w:val="20"/>
          <w:color w:val="auto"/>
        </w:rPr>
      </w:pPr>
      <w:r>
        <w:rPr>
          <w:rFonts w:ascii="Arial" w:cs="Arial" w:eastAsia="Arial" w:hAnsi="Arial"/>
          <w:sz w:val="17"/>
          <w:szCs w:val="17"/>
          <w:color w:val="auto"/>
        </w:rPr>
        <w:t>While the consultant reports directly to the Compensation Committee, the Committee has authorized the consultant to interact with the Company’s management, as needed, on behalf of the Compensation Committee.</w:t>
      </w:r>
    </w:p>
    <w:p>
      <w:pPr>
        <w:spacing w:after="0" w:line="158" w:lineRule="exact"/>
        <w:rPr>
          <w:sz w:val="20"/>
          <w:szCs w:val="20"/>
          <w:color w:val="auto"/>
        </w:rPr>
      </w:pPr>
    </w:p>
    <w:p>
      <w:pPr>
        <w:ind w:right="60"/>
        <w:spacing w:after="0" w:line="236" w:lineRule="auto"/>
        <w:rPr>
          <w:sz w:val="20"/>
          <w:szCs w:val="20"/>
          <w:color w:val="auto"/>
        </w:rPr>
      </w:pPr>
      <w:r>
        <w:rPr>
          <w:rFonts w:ascii="Arial" w:cs="Arial" w:eastAsia="Arial" w:hAnsi="Arial"/>
          <w:sz w:val="17"/>
          <w:szCs w:val="17"/>
          <w:color w:val="auto"/>
        </w:rPr>
        <w:t>The Compensation Committee has the sole authority to approve the independent compensation consultant’s fees and terms of the engagement. Thus, the Compensation Committee annually reviews its relationship with, and assesses the independence of, its consultant to ensure executive compensation consulting independence. The process includes a review of the services provided, the quality of those services, and fees associated with the services during the fiscal year.</w:t>
      </w:r>
    </w:p>
    <w:p>
      <w:pPr>
        <w:spacing w:after="0" w:line="163" w:lineRule="exact"/>
        <w:rPr>
          <w:sz w:val="20"/>
          <w:szCs w:val="20"/>
          <w:color w:val="auto"/>
        </w:rPr>
      </w:pPr>
    </w:p>
    <w:p>
      <w:pPr>
        <w:ind w:right="120"/>
        <w:spacing w:after="0" w:line="235" w:lineRule="auto"/>
        <w:rPr>
          <w:sz w:val="20"/>
          <w:szCs w:val="20"/>
          <w:color w:val="auto"/>
        </w:rPr>
      </w:pPr>
      <w:r>
        <w:rPr>
          <w:rFonts w:ascii="Arial" w:cs="Arial" w:eastAsia="Arial" w:hAnsi="Arial"/>
          <w:sz w:val="17"/>
          <w:szCs w:val="17"/>
          <w:color w:val="auto"/>
        </w:rPr>
        <w:t>As noted above, Willis Towers Watson served as the compensation consultant to the Compensation Committee until May 2015. Willis Towers Watson was paid $73,420 for executive compensation advice during 2015 and $841,179 for consulting and administration services related to the Company’s retirement and health benefits during 2015. With respect to the period that Willis Towers Watson served as the compensation consultant to the Compensation Committee, the Committee considered and assessed all relevant factors that could give rise to a potential conflict of interest with respect to the work performed by Willis Towers Watson. Based on this review, the Compensation Committee determined that Willis Towers Watson was independent of the Company and management and did not identify any conflict of interest raised by the work performed by Willis Towers Watson.</w:t>
      </w:r>
    </w:p>
    <w:p>
      <w:pPr>
        <w:spacing w:after="0" w:line="146" w:lineRule="exact"/>
        <w:rPr>
          <w:sz w:val="20"/>
          <w:szCs w:val="20"/>
          <w:color w:val="auto"/>
        </w:rPr>
      </w:pPr>
    </w:p>
    <w:p>
      <w:pPr>
        <w:spacing w:after="0"/>
        <w:rPr>
          <w:sz w:val="20"/>
          <w:szCs w:val="20"/>
          <w:color w:val="auto"/>
        </w:rPr>
      </w:pPr>
      <w:r>
        <w:rPr>
          <w:rFonts w:ascii="Arial" w:cs="Arial" w:eastAsia="Arial" w:hAnsi="Arial"/>
          <w:sz w:val="14"/>
          <w:szCs w:val="14"/>
          <w:color w:val="auto"/>
        </w:rPr>
        <w:t>32</w:t>
      </w:r>
    </w:p>
    <w:p>
      <w:pPr>
        <w:sectPr>
          <w:pgSz w:w="11900" w:h="16838" w:orient="portrait"/>
          <w:cols w:equalWidth="0" w:num="1">
            <w:col w:w="11420"/>
          </w:cols>
          <w:pgMar w:left="240" w:top="459" w:right="239" w:bottom="1440" w:gutter="0" w:footer="0" w:header="0"/>
        </w:sectPr>
      </w:pPr>
    </w:p>
    <w:bookmarkStart w:id="38" w:name="page39"/>
    <w:bookmarkEnd w:id="3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16">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651510</wp:posOffset>
            </wp:positionV>
            <wp:extent cx="7246620" cy="8890"/>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7">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2715260</wp:posOffset>
            </wp:positionH>
            <wp:positionV relativeFrom="paragraph">
              <wp:posOffset>205740</wp:posOffset>
            </wp:positionV>
            <wp:extent cx="1826895" cy="205740"/>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18">
                      <a:extLst>
                        <a:ext uri="{28A0092B-C50C-407E-A947-70E740481C1C}"/>
                      </a:extLst>
                    </a:blip>
                    <a:srcRect/>
                    <a:stretch>
                      <a:fillRect/>
                    </a:stretch>
                  </pic:blipFill>
                  <pic:spPr bwMode="auto">
                    <a:xfrm>
                      <a:off x="0" y="0"/>
                      <a:ext cx="1826895" cy="20574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9" w:lineRule="exact"/>
        <w:rPr>
          <w:sz w:val="20"/>
          <w:szCs w:val="20"/>
          <w:color w:val="auto"/>
        </w:rPr>
      </w:pPr>
    </w:p>
    <w:p>
      <w:pPr>
        <w:spacing w:after="0"/>
        <w:rPr>
          <w:sz w:val="20"/>
          <w:szCs w:val="20"/>
          <w:color w:val="auto"/>
        </w:rPr>
      </w:pPr>
      <w:r>
        <w:rPr>
          <w:rFonts w:ascii="Arial" w:cs="Arial" w:eastAsia="Arial" w:hAnsi="Arial"/>
          <w:sz w:val="18"/>
          <w:szCs w:val="18"/>
          <w:color w:val="auto"/>
        </w:rPr>
        <w:t>ELEMENTS OF THE EXECUTIVE COMPENSATION PROGRAM</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57785</wp:posOffset>
            </wp:positionV>
            <wp:extent cx="7246620" cy="8890"/>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19">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234" w:lineRule="exact"/>
        <w:rPr>
          <w:sz w:val="20"/>
          <w:szCs w:val="20"/>
          <w:color w:val="auto"/>
        </w:rPr>
      </w:pPr>
    </w:p>
    <w:p>
      <w:pPr>
        <w:spacing w:after="0"/>
        <w:rPr>
          <w:sz w:val="20"/>
          <w:szCs w:val="20"/>
          <w:color w:val="auto"/>
        </w:rPr>
      </w:pPr>
      <w:r>
        <w:rPr>
          <w:rFonts w:ascii="Arial" w:cs="Arial" w:eastAsia="Arial" w:hAnsi="Arial"/>
          <w:sz w:val="17"/>
          <w:szCs w:val="17"/>
          <w:b w:val="1"/>
          <w:bCs w:val="1"/>
          <w:color w:val="666666"/>
        </w:rPr>
        <w:t>KEY ELEMENTS OF OUR 2015 TOTAL REWARDS PROGRAM</w:t>
      </w:r>
    </w:p>
    <w:p>
      <w:pPr>
        <w:spacing w:after="0" w:line="14" w:lineRule="exact"/>
        <w:rPr>
          <w:sz w:val="20"/>
          <w:szCs w:val="20"/>
          <w:color w:val="auto"/>
        </w:rPr>
      </w:pPr>
    </w:p>
    <w:p>
      <w:pPr>
        <w:jc w:val="both"/>
        <w:ind w:right="460"/>
        <w:spacing w:after="0" w:line="238" w:lineRule="auto"/>
        <w:rPr>
          <w:sz w:val="20"/>
          <w:szCs w:val="20"/>
          <w:color w:val="auto"/>
        </w:rPr>
      </w:pPr>
      <w:r>
        <w:rPr>
          <w:rFonts w:ascii="Arial" w:cs="Arial" w:eastAsia="Arial" w:hAnsi="Arial"/>
          <w:sz w:val="17"/>
          <w:szCs w:val="17"/>
          <w:color w:val="auto"/>
        </w:rPr>
        <w:t>Our executive compensation programs are designed to align the interests of our executives and shareholders and to encourage the personal and collective growth of our executives through improved Company performance. The following chart highlights the key elements of our total rewards program and how each is linked to program objectives.</w:t>
      </w:r>
    </w:p>
    <w:p>
      <w:pPr>
        <w:spacing w:after="0" w:line="215" w:lineRule="exact"/>
        <w:rPr>
          <w:sz w:val="20"/>
          <w:szCs w:val="20"/>
          <w:color w:val="auto"/>
        </w:rPr>
      </w:pPr>
    </w:p>
    <w:tbl>
      <w:tblPr>
        <w:tblLayout w:type="fixed"/>
        <w:tblInd w:w="0" w:type="dxa"/>
        <w:tblCellMar>
          <w:top w:w="0" w:type="dxa"/>
          <w:left w:w="0" w:type="dxa"/>
          <w:bottom w:w="0" w:type="dxa"/>
          <w:right w:w="0" w:type="dxa"/>
        </w:tblCellMar>
      </w:tblPr>
      <w:tr>
        <w:trPr>
          <w:trHeight w:val="176"/>
        </w:trPr>
        <w:tc>
          <w:tcPr>
            <w:tcW w:w="20" w:type="dxa"/>
            <w:vAlign w:val="bottom"/>
          </w:tcPr>
          <w:p>
            <w:pPr>
              <w:spacing w:after="0"/>
              <w:rPr>
                <w:sz w:val="15"/>
                <w:szCs w:val="15"/>
                <w:color w:val="auto"/>
              </w:rPr>
            </w:pPr>
          </w:p>
        </w:tc>
        <w:tc>
          <w:tcPr>
            <w:tcW w:w="1880" w:type="dxa"/>
            <w:vAlign w:val="bottom"/>
            <w:tcBorders>
              <w:top w:val="single" w:sz="8" w:color="auto"/>
              <w:right w:val="single" w:sz="8" w:color="auto"/>
            </w:tcBorders>
          </w:tcPr>
          <w:p>
            <w:pPr>
              <w:spacing w:after="0"/>
              <w:rPr>
                <w:sz w:val="15"/>
                <w:szCs w:val="15"/>
                <w:color w:val="auto"/>
              </w:rPr>
            </w:pPr>
          </w:p>
        </w:tc>
        <w:tc>
          <w:tcPr>
            <w:tcW w:w="1500" w:type="dxa"/>
            <w:vAlign w:val="bottom"/>
            <w:tcBorders>
              <w:top w:val="single" w:sz="8" w:color="auto"/>
              <w:right w:val="single" w:sz="8" w:color="auto"/>
            </w:tcBorders>
          </w:tcPr>
          <w:p>
            <w:pPr>
              <w:ind w:left="80"/>
              <w:spacing w:after="0" w:line="176" w:lineRule="exact"/>
              <w:rPr>
                <w:sz w:val="20"/>
                <w:szCs w:val="20"/>
                <w:color w:val="auto"/>
              </w:rPr>
            </w:pPr>
            <w:r>
              <w:rPr>
                <w:rFonts w:ascii="Arial" w:cs="Arial" w:eastAsia="Arial" w:hAnsi="Arial"/>
                <w:sz w:val="17"/>
                <w:szCs w:val="17"/>
                <w:b w:val="1"/>
                <w:bCs w:val="1"/>
                <w:color w:val="auto"/>
              </w:rPr>
              <w:t>Type of</w:t>
            </w:r>
          </w:p>
        </w:tc>
        <w:tc>
          <w:tcPr>
            <w:tcW w:w="8020" w:type="dxa"/>
            <w:vAlign w:val="bottom"/>
            <w:tcBorders>
              <w:top w:val="single" w:sz="8" w:color="auto"/>
            </w:tcBorders>
          </w:tcPr>
          <w:p>
            <w:pPr>
              <w:spacing w:after="0"/>
              <w:rPr>
                <w:sz w:val="15"/>
                <w:szCs w:val="15"/>
                <w:color w:val="auto"/>
              </w:rPr>
            </w:pPr>
          </w:p>
        </w:tc>
      </w:tr>
      <w:tr>
        <w:trPr>
          <w:trHeight w:val="215"/>
        </w:trPr>
        <w:tc>
          <w:tcPr>
            <w:tcW w:w="20" w:type="dxa"/>
            <w:vAlign w:val="bottom"/>
          </w:tcPr>
          <w:p>
            <w:pPr>
              <w:spacing w:after="0"/>
              <w:rPr>
                <w:sz w:val="18"/>
                <w:szCs w:val="18"/>
                <w:color w:val="auto"/>
              </w:rPr>
            </w:pPr>
          </w:p>
        </w:tc>
        <w:tc>
          <w:tcPr>
            <w:tcW w:w="1880" w:type="dxa"/>
            <w:vAlign w:val="bottom"/>
            <w:tcBorders>
              <w:bottom w:val="single" w:sz="8" w:color="auto"/>
              <w:right w:val="single" w:sz="8" w:color="auto"/>
            </w:tcBorders>
          </w:tcPr>
          <w:p>
            <w:pPr>
              <w:spacing w:after="0"/>
              <w:rPr>
                <w:sz w:val="18"/>
                <w:szCs w:val="18"/>
                <w:color w:val="auto"/>
              </w:rPr>
            </w:pPr>
          </w:p>
        </w:tc>
        <w:tc>
          <w:tcPr>
            <w:tcW w:w="1500" w:type="dxa"/>
            <w:vAlign w:val="bottom"/>
            <w:tcBorders>
              <w:bottom w:val="single" w:sz="8" w:color="auto"/>
              <w:right w:val="single" w:sz="8" w:color="auto"/>
            </w:tcBorders>
          </w:tcPr>
          <w:p>
            <w:pPr>
              <w:ind w:left="80"/>
              <w:spacing w:after="0"/>
              <w:rPr>
                <w:sz w:val="20"/>
                <w:szCs w:val="20"/>
                <w:color w:val="auto"/>
              </w:rPr>
            </w:pPr>
            <w:r>
              <w:rPr>
                <w:rFonts w:ascii="Arial" w:cs="Arial" w:eastAsia="Arial" w:hAnsi="Arial"/>
                <w:sz w:val="17"/>
                <w:szCs w:val="17"/>
                <w:b w:val="1"/>
                <w:bCs w:val="1"/>
                <w:color w:val="auto"/>
              </w:rPr>
              <w:t>Compensation</w:t>
            </w:r>
          </w:p>
        </w:tc>
        <w:tc>
          <w:tcPr>
            <w:tcW w:w="8020" w:type="dxa"/>
            <w:vAlign w:val="bottom"/>
            <w:tcBorders>
              <w:bottom w:val="single" w:sz="8" w:color="auto"/>
            </w:tcBorders>
          </w:tcPr>
          <w:p>
            <w:pPr>
              <w:ind w:left="80"/>
              <w:spacing w:after="0"/>
              <w:rPr>
                <w:sz w:val="20"/>
                <w:szCs w:val="20"/>
                <w:color w:val="auto"/>
              </w:rPr>
            </w:pPr>
            <w:r>
              <w:rPr>
                <w:rFonts w:ascii="Arial" w:cs="Arial" w:eastAsia="Arial" w:hAnsi="Arial"/>
                <w:sz w:val="17"/>
                <w:szCs w:val="17"/>
                <w:b w:val="1"/>
                <w:bCs w:val="1"/>
                <w:color w:val="auto"/>
              </w:rPr>
              <w:t>Link to Program Objectives</w:t>
            </w:r>
          </w:p>
        </w:tc>
      </w:tr>
      <w:tr>
        <w:trPr>
          <w:trHeight w:val="176"/>
        </w:trPr>
        <w:tc>
          <w:tcPr>
            <w:tcW w:w="20" w:type="dxa"/>
            <w:vAlign w:val="bottom"/>
          </w:tcPr>
          <w:p>
            <w:pPr>
              <w:spacing w:after="0"/>
              <w:rPr>
                <w:sz w:val="15"/>
                <w:szCs w:val="15"/>
                <w:color w:val="auto"/>
              </w:rPr>
            </w:pPr>
          </w:p>
        </w:tc>
        <w:tc>
          <w:tcPr>
            <w:tcW w:w="1880" w:type="dxa"/>
            <w:vAlign w:val="bottom"/>
            <w:tcBorders>
              <w:right w:val="single" w:sz="8" w:color="auto"/>
            </w:tcBorders>
          </w:tcPr>
          <w:p>
            <w:pPr>
              <w:spacing w:after="0" w:line="176" w:lineRule="exact"/>
              <w:rPr>
                <w:sz w:val="20"/>
                <w:szCs w:val="20"/>
                <w:color w:val="auto"/>
              </w:rPr>
            </w:pPr>
            <w:r>
              <w:rPr>
                <w:rFonts w:ascii="Arial" w:cs="Arial" w:eastAsia="Arial" w:hAnsi="Arial"/>
                <w:sz w:val="17"/>
                <w:szCs w:val="17"/>
                <w:b w:val="1"/>
                <w:bCs w:val="1"/>
                <w:color w:val="auto"/>
              </w:rPr>
              <w:t>Base Salary</w:t>
            </w:r>
          </w:p>
        </w:tc>
        <w:tc>
          <w:tcPr>
            <w:tcW w:w="1500" w:type="dxa"/>
            <w:vAlign w:val="bottom"/>
            <w:tcBorders>
              <w:right w:val="single" w:sz="8" w:color="auto"/>
            </w:tcBorders>
          </w:tcPr>
          <w:p>
            <w:pPr>
              <w:ind w:left="80"/>
              <w:spacing w:after="0" w:line="176" w:lineRule="exact"/>
              <w:rPr>
                <w:sz w:val="20"/>
                <w:szCs w:val="20"/>
                <w:color w:val="auto"/>
              </w:rPr>
            </w:pPr>
            <w:r>
              <w:rPr>
                <w:rFonts w:ascii="Arial" w:cs="Arial" w:eastAsia="Arial" w:hAnsi="Arial"/>
                <w:sz w:val="17"/>
                <w:szCs w:val="17"/>
                <w:color w:val="auto"/>
              </w:rPr>
              <w:t>Cash</w:t>
            </w:r>
          </w:p>
        </w:tc>
        <w:tc>
          <w:tcPr>
            <w:tcW w:w="8020" w:type="dxa"/>
            <w:vAlign w:val="bottom"/>
          </w:tcPr>
          <w:p>
            <w:pPr>
              <w:ind w:left="80"/>
              <w:spacing w:after="0" w:line="176" w:lineRule="exact"/>
              <w:rPr>
                <w:sz w:val="20"/>
                <w:szCs w:val="20"/>
                <w:color w:val="auto"/>
              </w:rPr>
            </w:pPr>
            <w:r>
              <w:rPr>
                <w:rFonts w:ascii="Arial" w:cs="Arial" w:eastAsia="Arial" w:hAnsi="Arial"/>
                <w:sz w:val="17"/>
                <w:szCs w:val="17"/>
                <w:color w:val="auto"/>
              </w:rPr>
              <w:t>Provides a stable source of income and is a standard compensation element in executive compensation</w:t>
            </w:r>
          </w:p>
        </w:tc>
      </w:tr>
      <w:tr>
        <w:trPr>
          <w:trHeight w:val="195"/>
        </w:trPr>
        <w:tc>
          <w:tcPr>
            <w:tcW w:w="20" w:type="dxa"/>
            <w:vAlign w:val="bottom"/>
          </w:tcPr>
          <w:p>
            <w:pPr>
              <w:spacing w:after="0"/>
              <w:rPr>
                <w:sz w:val="16"/>
                <w:szCs w:val="16"/>
                <w:color w:val="auto"/>
              </w:rPr>
            </w:pPr>
          </w:p>
        </w:tc>
        <w:tc>
          <w:tcPr>
            <w:tcW w:w="1880" w:type="dxa"/>
            <w:vAlign w:val="bottom"/>
            <w:tcBorders>
              <w:bottom w:val="single" w:sz="8" w:color="auto"/>
              <w:right w:val="single" w:sz="8" w:color="auto"/>
            </w:tcBorders>
          </w:tcPr>
          <w:p>
            <w:pPr>
              <w:spacing w:after="0"/>
              <w:rPr>
                <w:sz w:val="16"/>
                <w:szCs w:val="16"/>
                <w:color w:val="auto"/>
              </w:rPr>
            </w:pPr>
          </w:p>
        </w:tc>
        <w:tc>
          <w:tcPr>
            <w:tcW w:w="1500" w:type="dxa"/>
            <w:vAlign w:val="bottom"/>
            <w:tcBorders>
              <w:bottom w:val="single" w:sz="8" w:color="auto"/>
              <w:right w:val="single" w:sz="8" w:color="auto"/>
            </w:tcBorders>
          </w:tcPr>
          <w:p>
            <w:pPr>
              <w:spacing w:after="0"/>
              <w:rPr>
                <w:sz w:val="16"/>
                <w:szCs w:val="16"/>
                <w:color w:val="auto"/>
              </w:rPr>
            </w:pPr>
          </w:p>
        </w:tc>
        <w:tc>
          <w:tcPr>
            <w:tcW w:w="8020" w:type="dxa"/>
            <w:vAlign w:val="bottom"/>
            <w:tcBorders>
              <w:bottom w:val="single" w:sz="8" w:color="auto"/>
            </w:tcBorders>
          </w:tcPr>
          <w:p>
            <w:pPr>
              <w:ind w:left="80"/>
              <w:spacing w:after="0"/>
              <w:rPr>
                <w:sz w:val="20"/>
                <w:szCs w:val="20"/>
                <w:color w:val="auto"/>
              </w:rPr>
            </w:pPr>
            <w:r>
              <w:rPr>
                <w:rFonts w:ascii="Arial" w:cs="Arial" w:eastAsia="Arial" w:hAnsi="Arial"/>
                <w:sz w:val="17"/>
                <w:szCs w:val="17"/>
                <w:color w:val="auto"/>
              </w:rPr>
              <w:t>packages.</w:t>
            </w:r>
          </w:p>
        </w:tc>
      </w:tr>
      <w:tr>
        <w:trPr>
          <w:trHeight w:val="176"/>
        </w:trPr>
        <w:tc>
          <w:tcPr>
            <w:tcW w:w="20" w:type="dxa"/>
            <w:vAlign w:val="bottom"/>
          </w:tcPr>
          <w:p>
            <w:pPr>
              <w:spacing w:after="0"/>
              <w:rPr>
                <w:sz w:val="15"/>
                <w:szCs w:val="15"/>
                <w:color w:val="auto"/>
              </w:rPr>
            </w:pPr>
          </w:p>
        </w:tc>
        <w:tc>
          <w:tcPr>
            <w:tcW w:w="1880" w:type="dxa"/>
            <w:vAlign w:val="bottom"/>
            <w:tcBorders>
              <w:right w:val="single" w:sz="8" w:color="auto"/>
            </w:tcBorders>
          </w:tcPr>
          <w:p>
            <w:pPr>
              <w:spacing w:after="0" w:line="176" w:lineRule="exact"/>
              <w:rPr>
                <w:sz w:val="20"/>
                <w:szCs w:val="20"/>
                <w:color w:val="auto"/>
              </w:rPr>
            </w:pPr>
            <w:r>
              <w:rPr>
                <w:rFonts w:ascii="Arial" w:cs="Arial" w:eastAsia="Arial" w:hAnsi="Arial"/>
                <w:sz w:val="17"/>
                <w:szCs w:val="17"/>
                <w:b w:val="1"/>
                <w:bCs w:val="1"/>
                <w:color w:val="auto"/>
              </w:rPr>
              <w:t>Annual Incentive</w:t>
            </w:r>
          </w:p>
        </w:tc>
        <w:tc>
          <w:tcPr>
            <w:tcW w:w="1500" w:type="dxa"/>
            <w:vAlign w:val="bottom"/>
            <w:tcBorders>
              <w:right w:val="single" w:sz="8" w:color="auto"/>
            </w:tcBorders>
          </w:tcPr>
          <w:p>
            <w:pPr>
              <w:ind w:left="80"/>
              <w:spacing w:after="0" w:line="176" w:lineRule="exact"/>
              <w:rPr>
                <w:sz w:val="20"/>
                <w:szCs w:val="20"/>
                <w:color w:val="auto"/>
              </w:rPr>
            </w:pPr>
            <w:r>
              <w:rPr>
                <w:rFonts w:ascii="Arial" w:cs="Arial" w:eastAsia="Arial" w:hAnsi="Arial"/>
                <w:sz w:val="17"/>
                <w:szCs w:val="17"/>
                <w:color w:val="auto"/>
              </w:rPr>
              <w:t>Cash</w:t>
            </w:r>
          </w:p>
        </w:tc>
        <w:tc>
          <w:tcPr>
            <w:tcW w:w="8020" w:type="dxa"/>
            <w:vAlign w:val="bottom"/>
          </w:tcPr>
          <w:p>
            <w:pPr>
              <w:ind w:left="80"/>
              <w:spacing w:after="0" w:line="176" w:lineRule="exact"/>
              <w:rPr>
                <w:sz w:val="20"/>
                <w:szCs w:val="20"/>
                <w:color w:val="auto"/>
              </w:rPr>
            </w:pPr>
            <w:r>
              <w:rPr>
                <w:rFonts w:ascii="Arial" w:cs="Arial" w:eastAsia="Arial" w:hAnsi="Arial"/>
                <w:sz w:val="17"/>
                <w:szCs w:val="17"/>
                <w:color w:val="auto"/>
              </w:rPr>
              <w:t>Encourages executives to focus on specific corporate performance goals. Target incentive opportunity is</w:t>
            </w:r>
          </w:p>
        </w:tc>
      </w:tr>
      <w:tr>
        <w:trPr>
          <w:trHeight w:val="195"/>
        </w:trPr>
        <w:tc>
          <w:tcPr>
            <w:tcW w:w="20" w:type="dxa"/>
            <w:vAlign w:val="bottom"/>
          </w:tcPr>
          <w:p>
            <w:pPr>
              <w:spacing w:after="0"/>
              <w:rPr>
                <w:sz w:val="16"/>
                <w:szCs w:val="16"/>
                <w:color w:val="auto"/>
              </w:rPr>
            </w:pPr>
          </w:p>
        </w:tc>
        <w:tc>
          <w:tcPr>
            <w:tcW w:w="1880" w:type="dxa"/>
            <w:vAlign w:val="bottom"/>
            <w:tcBorders>
              <w:bottom w:val="single" w:sz="8" w:color="auto"/>
              <w:right w:val="single" w:sz="8" w:color="auto"/>
            </w:tcBorders>
          </w:tcPr>
          <w:p>
            <w:pPr>
              <w:spacing w:after="0"/>
              <w:rPr>
                <w:sz w:val="16"/>
                <w:szCs w:val="16"/>
                <w:color w:val="auto"/>
              </w:rPr>
            </w:pPr>
          </w:p>
        </w:tc>
        <w:tc>
          <w:tcPr>
            <w:tcW w:w="1500" w:type="dxa"/>
            <w:vAlign w:val="bottom"/>
            <w:tcBorders>
              <w:bottom w:val="single" w:sz="8" w:color="auto"/>
              <w:right w:val="single" w:sz="8" w:color="auto"/>
            </w:tcBorders>
          </w:tcPr>
          <w:p>
            <w:pPr>
              <w:spacing w:after="0"/>
              <w:rPr>
                <w:sz w:val="16"/>
                <w:szCs w:val="16"/>
                <w:color w:val="auto"/>
              </w:rPr>
            </w:pPr>
          </w:p>
        </w:tc>
        <w:tc>
          <w:tcPr>
            <w:tcW w:w="8020" w:type="dxa"/>
            <w:vAlign w:val="bottom"/>
            <w:tcBorders>
              <w:bottom w:val="single" w:sz="8" w:color="auto"/>
            </w:tcBorders>
          </w:tcPr>
          <w:p>
            <w:pPr>
              <w:ind w:left="80"/>
              <w:spacing w:after="0"/>
              <w:rPr>
                <w:sz w:val="20"/>
                <w:szCs w:val="20"/>
                <w:color w:val="auto"/>
              </w:rPr>
            </w:pPr>
            <w:r>
              <w:rPr>
                <w:rFonts w:ascii="Arial" w:cs="Arial" w:eastAsia="Arial" w:hAnsi="Arial"/>
                <w:sz w:val="17"/>
                <w:szCs w:val="17"/>
                <w:color w:val="auto"/>
              </w:rPr>
              <w:t>set as a percentage of base salary and awards are earned after threshold performance levels are met.</w:t>
            </w:r>
          </w:p>
        </w:tc>
      </w:tr>
      <w:tr>
        <w:trPr>
          <w:trHeight w:val="176"/>
        </w:trPr>
        <w:tc>
          <w:tcPr>
            <w:tcW w:w="20" w:type="dxa"/>
            <w:vAlign w:val="bottom"/>
          </w:tcPr>
          <w:p>
            <w:pPr>
              <w:spacing w:after="0"/>
              <w:rPr>
                <w:sz w:val="15"/>
                <w:szCs w:val="15"/>
                <w:color w:val="auto"/>
              </w:rPr>
            </w:pPr>
          </w:p>
        </w:tc>
        <w:tc>
          <w:tcPr>
            <w:tcW w:w="1880" w:type="dxa"/>
            <w:vAlign w:val="bottom"/>
            <w:tcBorders>
              <w:right w:val="single" w:sz="8" w:color="auto"/>
            </w:tcBorders>
          </w:tcPr>
          <w:p>
            <w:pPr>
              <w:spacing w:after="0" w:line="176" w:lineRule="exact"/>
              <w:rPr>
                <w:sz w:val="20"/>
                <w:szCs w:val="20"/>
                <w:color w:val="auto"/>
              </w:rPr>
            </w:pPr>
            <w:r>
              <w:rPr>
                <w:rFonts w:ascii="Arial" w:cs="Arial" w:eastAsia="Arial" w:hAnsi="Arial"/>
                <w:sz w:val="17"/>
                <w:szCs w:val="17"/>
                <w:b w:val="1"/>
                <w:bCs w:val="1"/>
                <w:color w:val="auto"/>
              </w:rPr>
              <w:t>Long-Term Incentive:</w:t>
            </w:r>
          </w:p>
        </w:tc>
        <w:tc>
          <w:tcPr>
            <w:tcW w:w="1500" w:type="dxa"/>
            <w:vAlign w:val="bottom"/>
            <w:tcBorders>
              <w:right w:val="single" w:sz="8" w:color="auto"/>
            </w:tcBorders>
          </w:tcPr>
          <w:p>
            <w:pPr>
              <w:ind w:left="80"/>
              <w:spacing w:after="0" w:line="176" w:lineRule="exact"/>
              <w:rPr>
                <w:sz w:val="20"/>
                <w:szCs w:val="20"/>
                <w:color w:val="auto"/>
              </w:rPr>
            </w:pPr>
            <w:r>
              <w:rPr>
                <w:rFonts w:ascii="Arial" w:cs="Arial" w:eastAsia="Arial" w:hAnsi="Arial"/>
                <w:sz w:val="17"/>
                <w:szCs w:val="17"/>
                <w:color w:val="auto"/>
              </w:rPr>
              <w:t>Long-Term Equity</w:t>
            </w:r>
          </w:p>
        </w:tc>
        <w:tc>
          <w:tcPr>
            <w:tcW w:w="8020" w:type="dxa"/>
            <w:vAlign w:val="bottom"/>
          </w:tcPr>
          <w:p>
            <w:pPr>
              <w:ind w:left="80"/>
              <w:spacing w:after="0" w:line="176" w:lineRule="exact"/>
              <w:rPr>
                <w:sz w:val="20"/>
                <w:szCs w:val="20"/>
                <w:color w:val="auto"/>
              </w:rPr>
            </w:pPr>
            <w:r>
              <w:rPr>
                <w:rFonts w:ascii="Arial" w:cs="Arial" w:eastAsia="Arial" w:hAnsi="Arial"/>
                <w:sz w:val="17"/>
                <w:szCs w:val="17"/>
                <w:color w:val="auto"/>
              </w:rPr>
              <w:t>Helps ensure executive pay is directly linked to value created for shareholders. Four-year vesting</w:t>
            </w:r>
          </w:p>
        </w:tc>
      </w:tr>
      <w:tr>
        <w:trPr>
          <w:trHeight w:val="189"/>
        </w:trPr>
        <w:tc>
          <w:tcPr>
            <w:tcW w:w="1900" w:type="dxa"/>
            <w:vAlign w:val="bottom"/>
            <w:tcBorders>
              <w:right w:val="single" w:sz="8" w:color="auto"/>
            </w:tcBorders>
            <w:gridSpan w:val="2"/>
          </w:tcPr>
          <w:p>
            <w:pPr>
              <w:spacing w:after="0" w:line="189" w:lineRule="exact"/>
              <w:rPr>
                <w:sz w:val="20"/>
                <w:szCs w:val="20"/>
                <w:color w:val="auto"/>
              </w:rPr>
            </w:pPr>
            <w:r>
              <w:rPr>
                <w:rFonts w:ascii="Arial" w:cs="Arial" w:eastAsia="Arial" w:hAnsi="Arial"/>
                <w:sz w:val="17"/>
                <w:szCs w:val="17"/>
                <w:color w:val="auto"/>
              </w:rPr>
              <w:t>Nonqualified Stock</w:t>
            </w:r>
          </w:p>
        </w:tc>
        <w:tc>
          <w:tcPr>
            <w:tcW w:w="1500" w:type="dxa"/>
            <w:vAlign w:val="bottom"/>
            <w:tcBorders>
              <w:right w:val="single" w:sz="8" w:color="auto"/>
            </w:tcBorders>
          </w:tcPr>
          <w:p>
            <w:pPr>
              <w:spacing w:after="0"/>
              <w:rPr>
                <w:sz w:val="16"/>
                <w:szCs w:val="16"/>
                <w:color w:val="auto"/>
              </w:rPr>
            </w:pPr>
          </w:p>
        </w:tc>
        <w:tc>
          <w:tcPr>
            <w:tcW w:w="8020" w:type="dxa"/>
            <w:vAlign w:val="bottom"/>
          </w:tcPr>
          <w:p>
            <w:pPr>
              <w:ind w:left="80"/>
              <w:spacing w:after="0" w:line="189" w:lineRule="exact"/>
              <w:rPr>
                <w:sz w:val="20"/>
                <w:szCs w:val="20"/>
                <w:color w:val="auto"/>
              </w:rPr>
            </w:pPr>
            <w:r>
              <w:rPr>
                <w:rFonts w:ascii="Arial" w:cs="Arial" w:eastAsia="Arial" w:hAnsi="Arial"/>
                <w:sz w:val="17"/>
                <w:szCs w:val="17"/>
                <w:color w:val="auto"/>
              </w:rPr>
              <w:t>promotes retention, and NEOs holding nonqualified stock options will receive greater value if the stock</w:t>
            </w:r>
          </w:p>
        </w:tc>
      </w:tr>
      <w:tr>
        <w:trPr>
          <w:trHeight w:val="195"/>
        </w:trPr>
        <w:tc>
          <w:tcPr>
            <w:tcW w:w="1900" w:type="dxa"/>
            <w:vAlign w:val="bottom"/>
            <w:tcBorders>
              <w:bottom w:val="single" w:sz="8" w:color="auto"/>
              <w:right w:val="single" w:sz="8" w:color="auto"/>
            </w:tcBorders>
            <w:gridSpan w:val="2"/>
          </w:tcPr>
          <w:p>
            <w:pPr>
              <w:spacing w:after="0"/>
              <w:rPr>
                <w:sz w:val="20"/>
                <w:szCs w:val="20"/>
                <w:color w:val="auto"/>
              </w:rPr>
            </w:pPr>
            <w:r>
              <w:rPr>
                <w:rFonts w:ascii="Arial" w:cs="Arial" w:eastAsia="Arial" w:hAnsi="Arial"/>
                <w:sz w:val="17"/>
                <w:szCs w:val="17"/>
                <w:color w:val="auto"/>
              </w:rPr>
              <w:t>Options</w:t>
            </w:r>
          </w:p>
        </w:tc>
        <w:tc>
          <w:tcPr>
            <w:tcW w:w="1500" w:type="dxa"/>
            <w:vAlign w:val="bottom"/>
            <w:tcBorders>
              <w:bottom w:val="single" w:sz="8" w:color="auto"/>
              <w:right w:val="single" w:sz="8" w:color="auto"/>
            </w:tcBorders>
          </w:tcPr>
          <w:p>
            <w:pPr>
              <w:spacing w:after="0"/>
              <w:rPr>
                <w:sz w:val="16"/>
                <w:szCs w:val="16"/>
                <w:color w:val="auto"/>
              </w:rPr>
            </w:pPr>
          </w:p>
        </w:tc>
        <w:tc>
          <w:tcPr>
            <w:tcW w:w="8020" w:type="dxa"/>
            <w:vAlign w:val="bottom"/>
            <w:tcBorders>
              <w:bottom w:val="single" w:sz="8" w:color="auto"/>
            </w:tcBorders>
          </w:tcPr>
          <w:p>
            <w:pPr>
              <w:ind w:left="80"/>
              <w:spacing w:after="0"/>
              <w:rPr>
                <w:sz w:val="20"/>
                <w:szCs w:val="20"/>
                <w:color w:val="auto"/>
              </w:rPr>
            </w:pPr>
            <w:r>
              <w:rPr>
                <w:rFonts w:ascii="Arial" w:cs="Arial" w:eastAsia="Arial" w:hAnsi="Arial"/>
                <w:sz w:val="17"/>
                <w:szCs w:val="17"/>
                <w:color w:val="auto"/>
              </w:rPr>
              <w:t>price rises.</w:t>
            </w:r>
          </w:p>
        </w:tc>
      </w:tr>
      <w:tr>
        <w:trPr>
          <w:trHeight w:val="176"/>
        </w:trPr>
        <w:tc>
          <w:tcPr>
            <w:tcW w:w="1900" w:type="dxa"/>
            <w:vAlign w:val="bottom"/>
            <w:tcBorders>
              <w:right w:val="single" w:sz="8" w:color="auto"/>
            </w:tcBorders>
            <w:gridSpan w:val="2"/>
          </w:tcPr>
          <w:p>
            <w:pPr>
              <w:spacing w:after="0" w:line="176" w:lineRule="exact"/>
              <w:rPr>
                <w:sz w:val="20"/>
                <w:szCs w:val="20"/>
                <w:color w:val="auto"/>
              </w:rPr>
            </w:pPr>
            <w:r>
              <w:rPr>
                <w:rFonts w:ascii="Arial" w:cs="Arial" w:eastAsia="Arial" w:hAnsi="Arial"/>
                <w:sz w:val="17"/>
                <w:szCs w:val="17"/>
                <w:b w:val="1"/>
                <w:bCs w:val="1"/>
                <w:color w:val="auto"/>
              </w:rPr>
              <w:t>Long-Term Incentive:</w:t>
            </w:r>
          </w:p>
        </w:tc>
        <w:tc>
          <w:tcPr>
            <w:tcW w:w="1500" w:type="dxa"/>
            <w:vAlign w:val="bottom"/>
            <w:tcBorders>
              <w:right w:val="single" w:sz="8" w:color="auto"/>
            </w:tcBorders>
          </w:tcPr>
          <w:p>
            <w:pPr>
              <w:ind w:left="80"/>
              <w:spacing w:after="0" w:line="176" w:lineRule="exact"/>
              <w:rPr>
                <w:sz w:val="20"/>
                <w:szCs w:val="20"/>
                <w:color w:val="auto"/>
              </w:rPr>
            </w:pPr>
            <w:r>
              <w:rPr>
                <w:rFonts w:ascii="Arial" w:cs="Arial" w:eastAsia="Arial" w:hAnsi="Arial"/>
                <w:sz w:val="17"/>
                <w:szCs w:val="17"/>
                <w:color w:val="auto"/>
              </w:rPr>
              <w:t>Long-Term Equity</w:t>
            </w:r>
          </w:p>
        </w:tc>
        <w:tc>
          <w:tcPr>
            <w:tcW w:w="8020" w:type="dxa"/>
            <w:vAlign w:val="bottom"/>
          </w:tcPr>
          <w:p>
            <w:pPr>
              <w:ind w:left="80"/>
              <w:spacing w:after="0" w:line="176" w:lineRule="exact"/>
              <w:rPr>
                <w:sz w:val="20"/>
                <w:szCs w:val="20"/>
                <w:color w:val="auto"/>
              </w:rPr>
            </w:pPr>
            <w:r>
              <w:rPr>
                <w:rFonts w:ascii="Arial" w:cs="Arial" w:eastAsia="Arial" w:hAnsi="Arial"/>
                <w:sz w:val="17"/>
                <w:szCs w:val="17"/>
                <w:color w:val="auto"/>
              </w:rPr>
              <w:t>Links compensation of executives to the building of long-term shareholder value, balances short-term</w:t>
            </w:r>
          </w:p>
        </w:tc>
      </w:tr>
      <w:tr>
        <w:trPr>
          <w:trHeight w:val="189"/>
        </w:trPr>
        <w:tc>
          <w:tcPr>
            <w:tcW w:w="1900" w:type="dxa"/>
            <w:vAlign w:val="bottom"/>
            <w:tcBorders>
              <w:right w:val="single" w:sz="8" w:color="auto"/>
            </w:tcBorders>
            <w:gridSpan w:val="2"/>
          </w:tcPr>
          <w:p>
            <w:pPr>
              <w:spacing w:after="0" w:line="189" w:lineRule="exact"/>
              <w:rPr>
                <w:sz w:val="20"/>
                <w:szCs w:val="20"/>
                <w:color w:val="auto"/>
              </w:rPr>
            </w:pPr>
            <w:r>
              <w:rPr>
                <w:rFonts w:ascii="Arial" w:cs="Arial" w:eastAsia="Arial" w:hAnsi="Arial"/>
                <w:sz w:val="17"/>
                <w:szCs w:val="17"/>
                <w:color w:val="auto"/>
              </w:rPr>
              <w:t>Performance Shares</w:t>
            </w:r>
          </w:p>
        </w:tc>
        <w:tc>
          <w:tcPr>
            <w:tcW w:w="1500" w:type="dxa"/>
            <w:vAlign w:val="bottom"/>
            <w:tcBorders>
              <w:right w:val="single" w:sz="8" w:color="auto"/>
            </w:tcBorders>
          </w:tcPr>
          <w:p>
            <w:pPr>
              <w:spacing w:after="0"/>
              <w:rPr>
                <w:sz w:val="16"/>
                <w:szCs w:val="16"/>
                <w:color w:val="auto"/>
              </w:rPr>
            </w:pPr>
          </w:p>
        </w:tc>
        <w:tc>
          <w:tcPr>
            <w:tcW w:w="8020" w:type="dxa"/>
            <w:vAlign w:val="bottom"/>
          </w:tcPr>
          <w:p>
            <w:pPr>
              <w:ind w:left="80"/>
              <w:spacing w:after="0" w:line="189" w:lineRule="exact"/>
              <w:rPr>
                <w:sz w:val="20"/>
                <w:szCs w:val="20"/>
                <w:color w:val="auto"/>
              </w:rPr>
            </w:pPr>
            <w:r>
              <w:rPr>
                <w:rFonts w:ascii="Arial" w:cs="Arial" w:eastAsia="Arial" w:hAnsi="Arial"/>
                <w:sz w:val="17"/>
                <w:szCs w:val="17"/>
                <w:color w:val="auto"/>
              </w:rPr>
              <w:t>operating focus, and aligns the long-term financial interests of executive management with those of our</w:t>
            </w:r>
          </w:p>
        </w:tc>
      </w:tr>
      <w:tr>
        <w:trPr>
          <w:trHeight w:val="189"/>
        </w:trPr>
        <w:tc>
          <w:tcPr>
            <w:tcW w:w="20" w:type="dxa"/>
            <w:vAlign w:val="bottom"/>
          </w:tcPr>
          <w:p>
            <w:pPr>
              <w:spacing w:after="0"/>
              <w:rPr>
                <w:sz w:val="16"/>
                <w:szCs w:val="16"/>
                <w:color w:val="auto"/>
              </w:rPr>
            </w:pPr>
          </w:p>
        </w:tc>
        <w:tc>
          <w:tcPr>
            <w:tcW w:w="1880" w:type="dxa"/>
            <w:vAlign w:val="bottom"/>
            <w:tcBorders>
              <w:right w:val="single" w:sz="8" w:color="auto"/>
            </w:tcBorders>
          </w:tcPr>
          <w:p>
            <w:pPr>
              <w:spacing w:after="0"/>
              <w:rPr>
                <w:sz w:val="16"/>
                <w:szCs w:val="16"/>
                <w:color w:val="auto"/>
              </w:rPr>
            </w:pPr>
          </w:p>
        </w:tc>
        <w:tc>
          <w:tcPr>
            <w:tcW w:w="1500" w:type="dxa"/>
            <w:vAlign w:val="bottom"/>
            <w:tcBorders>
              <w:right w:val="single" w:sz="8" w:color="auto"/>
            </w:tcBorders>
          </w:tcPr>
          <w:p>
            <w:pPr>
              <w:spacing w:after="0"/>
              <w:rPr>
                <w:sz w:val="16"/>
                <w:szCs w:val="16"/>
                <w:color w:val="auto"/>
              </w:rPr>
            </w:pPr>
          </w:p>
        </w:tc>
        <w:tc>
          <w:tcPr>
            <w:tcW w:w="8020" w:type="dxa"/>
            <w:vAlign w:val="bottom"/>
          </w:tcPr>
          <w:p>
            <w:pPr>
              <w:ind w:left="80"/>
              <w:spacing w:after="0" w:line="189" w:lineRule="exact"/>
              <w:rPr>
                <w:sz w:val="20"/>
                <w:szCs w:val="20"/>
                <w:color w:val="auto"/>
              </w:rPr>
            </w:pPr>
            <w:r>
              <w:rPr>
                <w:rFonts w:ascii="Arial" w:cs="Arial" w:eastAsia="Arial" w:hAnsi="Arial"/>
                <w:sz w:val="17"/>
                <w:szCs w:val="17"/>
                <w:color w:val="auto"/>
              </w:rPr>
              <w:t>shareholders.</w:t>
            </w:r>
          </w:p>
        </w:tc>
      </w:tr>
      <w:tr>
        <w:trPr>
          <w:trHeight w:val="189"/>
        </w:trPr>
        <w:tc>
          <w:tcPr>
            <w:tcW w:w="20" w:type="dxa"/>
            <w:vAlign w:val="bottom"/>
          </w:tcPr>
          <w:p>
            <w:pPr>
              <w:spacing w:after="0"/>
              <w:rPr>
                <w:sz w:val="16"/>
                <w:szCs w:val="16"/>
                <w:color w:val="auto"/>
              </w:rPr>
            </w:pPr>
          </w:p>
        </w:tc>
        <w:tc>
          <w:tcPr>
            <w:tcW w:w="1880" w:type="dxa"/>
            <w:vAlign w:val="bottom"/>
            <w:tcBorders>
              <w:right w:val="single" w:sz="8" w:color="auto"/>
            </w:tcBorders>
          </w:tcPr>
          <w:p>
            <w:pPr>
              <w:spacing w:after="0"/>
              <w:rPr>
                <w:sz w:val="16"/>
                <w:szCs w:val="16"/>
                <w:color w:val="auto"/>
              </w:rPr>
            </w:pPr>
          </w:p>
        </w:tc>
        <w:tc>
          <w:tcPr>
            <w:tcW w:w="1500" w:type="dxa"/>
            <w:vAlign w:val="bottom"/>
            <w:tcBorders>
              <w:right w:val="single" w:sz="8" w:color="auto"/>
            </w:tcBorders>
          </w:tcPr>
          <w:p>
            <w:pPr>
              <w:spacing w:after="0"/>
              <w:rPr>
                <w:sz w:val="16"/>
                <w:szCs w:val="16"/>
                <w:color w:val="auto"/>
              </w:rPr>
            </w:pPr>
          </w:p>
        </w:tc>
        <w:tc>
          <w:tcPr>
            <w:tcW w:w="8020" w:type="dxa"/>
            <w:vAlign w:val="bottom"/>
          </w:tcPr>
          <w:p>
            <w:pPr>
              <w:ind w:left="80"/>
              <w:spacing w:after="0" w:line="189" w:lineRule="exact"/>
              <w:rPr>
                <w:sz w:val="20"/>
                <w:szCs w:val="20"/>
                <w:color w:val="auto"/>
              </w:rPr>
            </w:pPr>
            <w:r>
              <w:rPr>
                <w:rFonts w:ascii="Arial" w:cs="Arial" w:eastAsia="Arial" w:hAnsi="Arial"/>
                <w:sz w:val="17"/>
                <w:szCs w:val="17"/>
                <w:color w:val="auto"/>
              </w:rPr>
              <w:t>Designed to reward executives for attainment of specified medium-term corporate performance goals;</w:t>
            </w:r>
          </w:p>
        </w:tc>
      </w:tr>
      <w:tr>
        <w:trPr>
          <w:trHeight w:val="205"/>
        </w:trPr>
        <w:tc>
          <w:tcPr>
            <w:tcW w:w="20" w:type="dxa"/>
            <w:vAlign w:val="bottom"/>
          </w:tcPr>
          <w:p>
            <w:pPr>
              <w:spacing w:after="0"/>
              <w:rPr>
                <w:sz w:val="17"/>
                <w:szCs w:val="17"/>
                <w:color w:val="auto"/>
              </w:rPr>
            </w:pPr>
          </w:p>
        </w:tc>
        <w:tc>
          <w:tcPr>
            <w:tcW w:w="1880" w:type="dxa"/>
            <w:vAlign w:val="bottom"/>
            <w:tcBorders>
              <w:bottom w:val="single" w:sz="8" w:color="auto"/>
              <w:right w:val="single" w:sz="8" w:color="auto"/>
            </w:tcBorders>
          </w:tcPr>
          <w:p>
            <w:pPr>
              <w:spacing w:after="0"/>
              <w:rPr>
                <w:sz w:val="17"/>
                <w:szCs w:val="17"/>
                <w:color w:val="auto"/>
              </w:rPr>
            </w:pPr>
          </w:p>
        </w:tc>
        <w:tc>
          <w:tcPr>
            <w:tcW w:w="1500" w:type="dxa"/>
            <w:vAlign w:val="bottom"/>
            <w:tcBorders>
              <w:bottom w:val="single" w:sz="8" w:color="auto"/>
              <w:right w:val="single" w:sz="8" w:color="auto"/>
            </w:tcBorders>
          </w:tcPr>
          <w:p>
            <w:pPr>
              <w:spacing w:after="0"/>
              <w:rPr>
                <w:sz w:val="17"/>
                <w:szCs w:val="17"/>
                <w:color w:val="auto"/>
              </w:rPr>
            </w:pPr>
          </w:p>
        </w:tc>
        <w:tc>
          <w:tcPr>
            <w:tcW w:w="8020" w:type="dxa"/>
            <w:vAlign w:val="bottom"/>
            <w:tcBorders>
              <w:bottom w:val="single" w:sz="8" w:color="auto"/>
            </w:tcBorders>
          </w:tcPr>
          <w:p>
            <w:pPr>
              <w:ind w:left="80"/>
              <w:spacing w:after="0"/>
              <w:rPr>
                <w:sz w:val="20"/>
                <w:szCs w:val="20"/>
                <w:color w:val="auto"/>
              </w:rPr>
            </w:pPr>
            <w:r>
              <w:rPr>
                <w:rFonts w:ascii="Arial" w:cs="Arial" w:eastAsia="Arial" w:hAnsi="Arial"/>
                <w:sz w:val="17"/>
                <w:szCs w:val="17"/>
                <w:color w:val="auto"/>
              </w:rPr>
              <w:t>value is linked to the stock price.</w:t>
            </w:r>
          </w:p>
        </w:tc>
      </w:tr>
      <w:tr>
        <w:trPr>
          <w:trHeight w:val="180"/>
        </w:trPr>
        <w:tc>
          <w:tcPr>
            <w:tcW w:w="20" w:type="dxa"/>
            <w:vAlign w:val="bottom"/>
          </w:tcPr>
          <w:p>
            <w:pPr>
              <w:spacing w:after="0"/>
              <w:rPr>
                <w:sz w:val="15"/>
                <w:szCs w:val="15"/>
                <w:color w:val="auto"/>
              </w:rPr>
            </w:pPr>
          </w:p>
        </w:tc>
        <w:tc>
          <w:tcPr>
            <w:tcW w:w="1880" w:type="dxa"/>
            <w:vAlign w:val="bottom"/>
            <w:tcBorders>
              <w:right w:val="single" w:sz="8" w:color="auto"/>
            </w:tcBorders>
          </w:tcPr>
          <w:p>
            <w:pPr>
              <w:spacing w:after="0" w:line="180" w:lineRule="exact"/>
              <w:rPr>
                <w:sz w:val="20"/>
                <w:szCs w:val="20"/>
                <w:color w:val="auto"/>
              </w:rPr>
            </w:pPr>
            <w:r>
              <w:rPr>
                <w:rFonts w:ascii="Arial" w:cs="Arial" w:eastAsia="Arial" w:hAnsi="Arial"/>
                <w:sz w:val="17"/>
                <w:szCs w:val="17"/>
                <w:b w:val="1"/>
                <w:bCs w:val="1"/>
                <w:color w:val="auto"/>
              </w:rPr>
              <w:t>Long-Term Incentive:</w:t>
            </w:r>
          </w:p>
        </w:tc>
        <w:tc>
          <w:tcPr>
            <w:tcW w:w="1500" w:type="dxa"/>
            <w:vAlign w:val="bottom"/>
            <w:tcBorders>
              <w:right w:val="single" w:sz="8" w:color="auto"/>
            </w:tcBorders>
          </w:tcPr>
          <w:p>
            <w:pPr>
              <w:ind w:left="80"/>
              <w:spacing w:after="0" w:line="180" w:lineRule="exact"/>
              <w:rPr>
                <w:sz w:val="20"/>
                <w:szCs w:val="20"/>
                <w:color w:val="auto"/>
              </w:rPr>
            </w:pPr>
            <w:r>
              <w:rPr>
                <w:rFonts w:ascii="Arial" w:cs="Arial" w:eastAsia="Arial" w:hAnsi="Arial"/>
                <w:sz w:val="17"/>
                <w:szCs w:val="17"/>
                <w:color w:val="auto"/>
              </w:rPr>
              <w:t>Long-Term Equity</w:t>
            </w:r>
          </w:p>
        </w:tc>
        <w:tc>
          <w:tcPr>
            <w:tcW w:w="8020" w:type="dxa"/>
            <w:vAlign w:val="bottom"/>
          </w:tcPr>
          <w:p>
            <w:pPr>
              <w:ind w:left="80"/>
              <w:spacing w:after="0" w:line="180" w:lineRule="exact"/>
              <w:rPr>
                <w:sz w:val="20"/>
                <w:szCs w:val="20"/>
                <w:color w:val="auto"/>
              </w:rPr>
            </w:pPr>
            <w:r>
              <w:rPr>
                <w:rFonts w:ascii="Arial" w:cs="Arial" w:eastAsia="Arial" w:hAnsi="Arial"/>
                <w:sz w:val="17"/>
                <w:szCs w:val="17"/>
                <w:color w:val="auto"/>
              </w:rPr>
              <w:t>Rewards long-term shareholder value creation. Three-year cliff vesting promotes retention and enhances</w:t>
            </w:r>
          </w:p>
        </w:tc>
      </w:tr>
      <w:tr>
        <w:trPr>
          <w:trHeight w:val="195"/>
        </w:trPr>
        <w:tc>
          <w:tcPr>
            <w:tcW w:w="1900" w:type="dxa"/>
            <w:vAlign w:val="bottom"/>
            <w:tcBorders>
              <w:bottom w:val="single" w:sz="8" w:color="auto"/>
              <w:right w:val="single" w:sz="8" w:color="auto"/>
            </w:tcBorders>
            <w:gridSpan w:val="2"/>
          </w:tcPr>
          <w:p>
            <w:pPr>
              <w:spacing w:after="0"/>
              <w:rPr>
                <w:sz w:val="20"/>
                <w:szCs w:val="20"/>
                <w:color w:val="auto"/>
              </w:rPr>
            </w:pPr>
            <w:r>
              <w:rPr>
                <w:rFonts w:ascii="Arial" w:cs="Arial" w:eastAsia="Arial" w:hAnsi="Arial"/>
                <w:sz w:val="17"/>
                <w:szCs w:val="17"/>
                <w:color w:val="auto"/>
              </w:rPr>
              <w:t>Restricted Stock Units</w:t>
            </w:r>
          </w:p>
        </w:tc>
        <w:tc>
          <w:tcPr>
            <w:tcW w:w="1500" w:type="dxa"/>
            <w:vAlign w:val="bottom"/>
            <w:tcBorders>
              <w:bottom w:val="single" w:sz="8" w:color="auto"/>
              <w:right w:val="single" w:sz="8" w:color="auto"/>
            </w:tcBorders>
          </w:tcPr>
          <w:p>
            <w:pPr>
              <w:spacing w:after="0"/>
              <w:rPr>
                <w:sz w:val="16"/>
                <w:szCs w:val="16"/>
                <w:color w:val="auto"/>
              </w:rPr>
            </w:pPr>
          </w:p>
        </w:tc>
        <w:tc>
          <w:tcPr>
            <w:tcW w:w="8020" w:type="dxa"/>
            <w:vAlign w:val="bottom"/>
            <w:tcBorders>
              <w:bottom w:val="single" w:sz="8" w:color="auto"/>
            </w:tcBorders>
          </w:tcPr>
          <w:p>
            <w:pPr>
              <w:ind w:left="80"/>
              <w:spacing w:after="0"/>
              <w:rPr>
                <w:sz w:val="20"/>
                <w:szCs w:val="20"/>
                <w:color w:val="auto"/>
              </w:rPr>
            </w:pPr>
            <w:r>
              <w:rPr>
                <w:rFonts w:ascii="Arial" w:cs="Arial" w:eastAsia="Arial" w:hAnsi="Arial"/>
                <w:sz w:val="17"/>
                <w:szCs w:val="17"/>
                <w:color w:val="auto"/>
              </w:rPr>
              <w:t>executive stock ownership.</w:t>
            </w:r>
          </w:p>
        </w:tc>
      </w:tr>
      <w:tr>
        <w:trPr>
          <w:trHeight w:val="156"/>
        </w:trPr>
        <w:tc>
          <w:tcPr>
            <w:tcW w:w="1900" w:type="dxa"/>
            <w:vAlign w:val="bottom"/>
            <w:tcBorders>
              <w:right w:val="single" w:sz="8" w:color="auto"/>
            </w:tcBorders>
            <w:gridSpan w:val="2"/>
          </w:tcPr>
          <w:p>
            <w:pPr>
              <w:spacing w:after="0" w:line="157" w:lineRule="exact"/>
              <w:rPr>
                <w:sz w:val="20"/>
                <w:szCs w:val="20"/>
                <w:color w:val="auto"/>
              </w:rPr>
            </w:pPr>
            <w:r>
              <w:rPr>
                <w:rFonts w:ascii="Arial" w:cs="Arial" w:eastAsia="Arial" w:hAnsi="Arial"/>
                <w:sz w:val="17"/>
                <w:szCs w:val="17"/>
                <w:b w:val="1"/>
                <w:bCs w:val="1"/>
                <w:color w:val="auto"/>
              </w:rPr>
              <w:t>Retirement and</w:t>
            </w:r>
          </w:p>
        </w:tc>
        <w:tc>
          <w:tcPr>
            <w:tcW w:w="1500" w:type="dxa"/>
            <w:vAlign w:val="bottom"/>
            <w:tcBorders>
              <w:right w:val="single" w:sz="8" w:color="auto"/>
            </w:tcBorders>
          </w:tcPr>
          <w:p>
            <w:pPr>
              <w:ind w:left="80"/>
              <w:spacing w:after="0" w:line="157" w:lineRule="exact"/>
              <w:rPr>
                <w:sz w:val="20"/>
                <w:szCs w:val="20"/>
                <w:color w:val="auto"/>
              </w:rPr>
            </w:pPr>
            <w:r>
              <w:rPr>
                <w:rFonts w:ascii="Arial" w:cs="Arial" w:eastAsia="Arial" w:hAnsi="Arial"/>
                <w:sz w:val="17"/>
                <w:szCs w:val="17"/>
                <w:color w:val="auto"/>
              </w:rPr>
              <w:t>Benefit</w:t>
            </w:r>
          </w:p>
        </w:tc>
        <w:tc>
          <w:tcPr>
            <w:tcW w:w="8020" w:type="dxa"/>
            <w:vAlign w:val="bottom"/>
          </w:tcPr>
          <w:p>
            <w:pPr>
              <w:ind w:left="80"/>
              <w:spacing w:after="0" w:line="157" w:lineRule="exact"/>
              <w:rPr>
                <w:sz w:val="20"/>
                <w:szCs w:val="20"/>
                <w:color w:val="auto"/>
              </w:rPr>
            </w:pPr>
            <w:r>
              <w:rPr>
                <w:rFonts w:ascii="Arial" w:cs="Arial" w:eastAsia="Arial" w:hAnsi="Arial"/>
                <w:sz w:val="17"/>
                <w:szCs w:val="17"/>
                <w:color w:val="auto"/>
              </w:rPr>
              <w:t>Helps attract and retain executive talent. NEOs receive retirement benefits through several plans:</w:t>
            </w:r>
          </w:p>
        </w:tc>
      </w:tr>
      <w:tr>
        <w:trPr>
          <w:trHeight w:val="209"/>
        </w:trPr>
        <w:tc>
          <w:tcPr>
            <w:tcW w:w="1900" w:type="dxa"/>
            <w:vAlign w:val="bottom"/>
            <w:tcBorders>
              <w:right w:val="single" w:sz="8" w:color="auto"/>
            </w:tcBorders>
            <w:gridSpan w:val="2"/>
          </w:tcPr>
          <w:p>
            <w:pPr>
              <w:spacing w:after="0"/>
              <w:rPr>
                <w:sz w:val="20"/>
                <w:szCs w:val="20"/>
                <w:color w:val="auto"/>
              </w:rPr>
            </w:pPr>
            <w:r>
              <w:rPr>
                <w:rFonts w:ascii="Arial" w:cs="Arial" w:eastAsia="Arial" w:hAnsi="Arial"/>
                <w:sz w:val="17"/>
                <w:szCs w:val="17"/>
                <w:b w:val="1"/>
                <w:bCs w:val="1"/>
                <w:color w:val="auto"/>
              </w:rPr>
              <w:t>Savings</w:t>
            </w:r>
          </w:p>
        </w:tc>
        <w:tc>
          <w:tcPr>
            <w:tcW w:w="1500" w:type="dxa"/>
            <w:vAlign w:val="bottom"/>
            <w:tcBorders>
              <w:right w:val="single" w:sz="8" w:color="auto"/>
            </w:tcBorders>
          </w:tcPr>
          <w:p>
            <w:pPr>
              <w:spacing w:after="0"/>
              <w:rPr>
                <w:sz w:val="18"/>
                <w:szCs w:val="18"/>
                <w:color w:val="auto"/>
              </w:rPr>
            </w:pPr>
          </w:p>
        </w:tc>
        <w:tc>
          <w:tcPr>
            <w:tcW w:w="8020" w:type="dxa"/>
            <w:vAlign w:val="bottom"/>
          </w:tcPr>
          <w:p>
            <w:pPr>
              <w:ind w:left="80"/>
              <w:spacing w:after="0"/>
              <w:rPr>
                <w:sz w:val="20"/>
                <w:szCs w:val="20"/>
                <w:color w:val="auto"/>
              </w:rPr>
            </w:pPr>
            <w:r>
              <w:rPr>
                <w:rFonts w:ascii="Arial" w:cs="Arial" w:eastAsia="Arial" w:hAnsi="Arial"/>
                <w:sz w:val="17"/>
                <w:szCs w:val="17"/>
                <w:color w:val="auto"/>
              </w:rPr>
              <w:t>•Qualified and nonqualified defined contribution plans;</w:t>
            </w:r>
          </w:p>
        </w:tc>
      </w:tr>
      <w:tr>
        <w:trPr>
          <w:trHeight w:val="189"/>
        </w:trPr>
        <w:tc>
          <w:tcPr>
            <w:tcW w:w="20" w:type="dxa"/>
            <w:vAlign w:val="bottom"/>
          </w:tcPr>
          <w:p>
            <w:pPr>
              <w:spacing w:after="0"/>
              <w:rPr>
                <w:sz w:val="16"/>
                <w:szCs w:val="16"/>
                <w:color w:val="auto"/>
              </w:rPr>
            </w:pPr>
          </w:p>
        </w:tc>
        <w:tc>
          <w:tcPr>
            <w:tcW w:w="1880" w:type="dxa"/>
            <w:vAlign w:val="bottom"/>
            <w:tcBorders>
              <w:right w:val="single" w:sz="8" w:color="auto"/>
            </w:tcBorders>
          </w:tcPr>
          <w:p>
            <w:pPr>
              <w:spacing w:after="0"/>
              <w:rPr>
                <w:sz w:val="16"/>
                <w:szCs w:val="16"/>
                <w:color w:val="auto"/>
              </w:rPr>
            </w:pPr>
          </w:p>
        </w:tc>
        <w:tc>
          <w:tcPr>
            <w:tcW w:w="1500" w:type="dxa"/>
            <w:vAlign w:val="bottom"/>
            <w:tcBorders>
              <w:right w:val="single" w:sz="8" w:color="auto"/>
            </w:tcBorders>
          </w:tcPr>
          <w:p>
            <w:pPr>
              <w:spacing w:after="0"/>
              <w:rPr>
                <w:sz w:val="16"/>
                <w:szCs w:val="16"/>
                <w:color w:val="auto"/>
              </w:rPr>
            </w:pPr>
          </w:p>
        </w:tc>
        <w:tc>
          <w:tcPr>
            <w:tcW w:w="8020" w:type="dxa"/>
            <w:vAlign w:val="bottom"/>
          </w:tcPr>
          <w:p>
            <w:pPr>
              <w:ind w:left="80"/>
              <w:spacing w:after="0" w:line="189" w:lineRule="exact"/>
              <w:rPr>
                <w:sz w:val="20"/>
                <w:szCs w:val="20"/>
                <w:color w:val="auto"/>
              </w:rPr>
            </w:pPr>
            <w:r>
              <w:rPr>
                <w:rFonts w:ascii="Arial" w:cs="Arial" w:eastAsia="Arial" w:hAnsi="Arial"/>
                <w:sz w:val="17"/>
                <w:szCs w:val="17"/>
                <w:color w:val="auto"/>
              </w:rPr>
              <w:t>•Qualified and nonqualified defined benefit plans; and</w:t>
            </w:r>
          </w:p>
        </w:tc>
      </w:tr>
      <w:tr>
        <w:trPr>
          <w:trHeight w:val="205"/>
        </w:trPr>
        <w:tc>
          <w:tcPr>
            <w:tcW w:w="20" w:type="dxa"/>
            <w:vAlign w:val="bottom"/>
          </w:tcPr>
          <w:p>
            <w:pPr>
              <w:spacing w:after="0"/>
              <w:rPr>
                <w:sz w:val="17"/>
                <w:szCs w:val="17"/>
                <w:color w:val="auto"/>
              </w:rPr>
            </w:pPr>
          </w:p>
        </w:tc>
        <w:tc>
          <w:tcPr>
            <w:tcW w:w="1880" w:type="dxa"/>
            <w:vAlign w:val="bottom"/>
            <w:tcBorders>
              <w:bottom w:val="single" w:sz="8" w:color="auto"/>
              <w:right w:val="single" w:sz="8" w:color="auto"/>
            </w:tcBorders>
          </w:tcPr>
          <w:p>
            <w:pPr>
              <w:spacing w:after="0"/>
              <w:rPr>
                <w:sz w:val="17"/>
                <w:szCs w:val="17"/>
                <w:color w:val="auto"/>
              </w:rPr>
            </w:pPr>
          </w:p>
        </w:tc>
        <w:tc>
          <w:tcPr>
            <w:tcW w:w="1500" w:type="dxa"/>
            <w:vAlign w:val="bottom"/>
            <w:tcBorders>
              <w:bottom w:val="single" w:sz="8" w:color="auto"/>
              <w:right w:val="single" w:sz="8" w:color="auto"/>
            </w:tcBorders>
          </w:tcPr>
          <w:p>
            <w:pPr>
              <w:spacing w:after="0"/>
              <w:rPr>
                <w:sz w:val="17"/>
                <w:szCs w:val="17"/>
                <w:color w:val="auto"/>
              </w:rPr>
            </w:pPr>
          </w:p>
        </w:tc>
        <w:tc>
          <w:tcPr>
            <w:tcW w:w="8020" w:type="dxa"/>
            <w:vAlign w:val="bottom"/>
            <w:tcBorders>
              <w:bottom w:val="single" w:sz="8" w:color="auto"/>
            </w:tcBorders>
          </w:tcPr>
          <w:p>
            <w:pPr>
              <w:ind w:left="80"/>
              <w:spacing w:after="0"/>
              <w:rPr>
                <w:sz w:val="20"/>
                <w:szCs w:val="20"/>
                <w:color w:val="auto"/>
              </w:rPr>
            </w:pPr>
            <w:r>
              <w:rPr>
                <w:rFonts w:ascii="Arial" w:cs="Arial" w:eastAsia="Arial" w:hAnsi="Arial"/>
                <w:sz w:val="17"/>
                <w:szCs w:val="17"/>
                <w:color w:val="auto"/>
              </w:rPr>
              <w:t>•Deferred compensation plan.</w:t>
            </w:r>
          </w:p>
        </w:tc>
      </w:tr>
      <w:tr>
        <w:trPr>
          <w:trHeight w:val="180"/>
        </w:trPr>
        <w:tc>
          <w:tcPr>
            <w:tcW w:w="20" w:type="dxa"/>
            <w:vAlign w:val="bottom"/>
          </w:tcPr>
          <w:p>
            <w:pPr>
              <w:spacing w:after="0"/>
              <w:rPr>
                <w:sz w:val="15"/>
                <w:szCs w:val="15"/>
                <w:color w:val="auto"/>
              </w:rPr>
            </w:pPr>
          </w:p>
        </w:tc>
        <w:tc>
          <w:tcPr>
            <w:tcW w:w="1880" w:type="dxa"/>
            <w:vAlign w:val="bottom"/>
            <w:tcBorders>
              <w:right w:val="single" w:sz="8" w:color="auto"/>
            </w:tcBorders>
          </w:tcPr>
          <w:p>
            <w:pPr>
              <w:spacing w:after="0" w:line="180" w:lineRule="exact"/>
              <w:rPr>
                <w:sz w:val="20"/>
                <w:szCs w:val="20"/>
                <w:color w:val="auto"/>
              </w:rPr>
            </w:pPr>
            <w:r>
              <w:rPr>
                <w:rFonts w:ascii="Arial" w:cs="Arial" w:eastAsia="Arial" w:hAnsi="Arial"/>
                <w:sz w:val="17"/>
                <w:szCs w:val="17"/>
                <w:b w:val="1"/>
                <w:bCs w:val="1"/>
                <w:color w:val="auto"/>
              </w:rPr>
              <w:t>Other Benefits</w:t>
            </w:r>
          </w:p>
        </w:tc>
        <w:tc>
          <w:tcPr>
            <w:tcW w:w="1500" w:type="dxa"/>
            <w:vAlign w:val="bottom"/>
            <w:tcBorders>
              <w:right w:val="single" w:sz="8" w:color="auto"/>
            </w:tcBorders>
          </w:tcPr>
          <w:p>
            <w:pPr>
              <w:ind w:left="80"/>
              <w:spacing w:after="0" w:line="180" w:lineRule="exact"/>
              <w:rPr>
                <w:sz w:val="20"/>
                <w:szCs w:val="20"/>
                <w:color w:val="auto"/>
              </w:rPr>
            </w:pPr>
            <w:r>
              <w:rPr>
                <w:rFonts w:ascii="Arial" w:cs="Arial" w:eastAsia="Arial" w:hAnsi="Arial"/>
                <w:sz w:val="17"/>
                <w:szCs w:val="17"/>
                <w:color w:val="auto"/>
              </w:rPr>
              <w:t>Benefit</w:t>
            </w:r>
          </w:p>
        </w:tc>
        <w:tc>
          <w:tcPr>
            <w:tcW w:w="8020" w:type="dxa"/>
            <w:vAlign w:val="bottom"/>
          </w:tcPr>
          <w:p>
            <w:pPr>
              <w:ind w:left="80"/>
              <w:spacing w:after="0" w:line="180" w:lineRule="exact"/>
              <w:rPr>
                <w:sz w:val="20"/>
                <w:szCs w:val="20"/>
                <w:color w:val="auto"/>
              </w:rPr>
            </w:pPr>
            <w:r>
              <w:rPr>
                <w:rFonts w:ascii="Arial" w:cs="Arial" w:eastAsia="Arial" w:hAnsi="Arial"/>
                <w:sz w:val="17"/>
                <w:szCs w:val="17"/>
                <w:color w:val="auto"/>
              </w:rPr>
              <w:t>Helps attract and retain executive talent. NEOs participate in the benefit plans available to salaried</w:t>
            </w:r>
          </w:p>
        </w:tc>
      </w:tr>
      <w:tr>
        <w:trPr>
          <w:trHeight w:val="189"/>
        </w:trPr>
        <w:tc>
          <w:tcPr>
            <w:tcW w:w="20" w:type="dxa"/>
            <w:vAlign w:val="bottom"/>
          </w:tcPr>
          <w:p>
            <w:pPr>
              <w:spacing w:after="0"/>
              <w:rPr>
                <w:sz w:val="16"/>
                <w:szCs w:val="16"/>
                <w:color w:val="auto"/>
              </w:rPr>
            </w:pPr>
          </w:p>
        </w:tc>
        <w:tc>
          <w:tcPr>
            <w:tcW w:w="1880" w:type="dxa"/>
            <w:vAlign w:val="bottom"/>
            <w:tcBorders>
              <w:right w:val="single" w:sz="8" w:color="auto"/>
            </w:tcBorders>
          </w:tcPr>
          <w:p>
            <w:pPr>
              <w:spacing w:after="0"/>
              <w:rPr>
                <w:sz w:val="16"/>
                <w:szCs w:val="16"/>
                <w:color w:val="auto"/>
              </w:rPr>
            </w:pPr>
          </w:p>
        </w:tc>
        <w:tc>
          <w:tcPr>
            <w:tcW w:w="1500" w:type="dxa"/>
            <w:vAlign w:val="bottom"/>
            <w:tcBorders>
              <w:right w:val="single" w:sz="8" w:color="auto"/>
            </w:tcBorders>
          </w:tcPr>
          <w:p>
            <w:pPr>
              <w:spacing w:after="0"/>
              <w:rPr>
                <w:sz w:val="16"/>
                <w:szCs w:val="16"/>
                <w:color w:val="auto"/>
              </w:rPr>
            </w:pPr>
          </w:p>
        </w:tc>
        <w:tc>
          <w:tcPr>
            <w:tcW w:w="8020" w:type="dxa"/>
            <w:vAlign w:val="bottom"/>
          </w:tcPr>
          <w:p>
            <w:pPr>
              <w:ind w:left="80"/>
              <w:spacing w:after="0" w:line="189" w:lineRule="exact"/>
              <w:rPr>
                <w:sz w:val="20"/>
                <w:szCs w:val="20"/>
                <w:color w:val="auto"/>
              </w:rPr>
            </w:pPr>
            <w:r>
              <w:rPr>
                <w:rFonts w:ascii="Arial" w:cs="Arial" w:eastAsia="Arial" w:hAnsi="Arial"/>
                <w:sz w:val="17"/>
                <w:szCs w:val="17"/>
                <w:color w:val="auto"/>
              </w:rPr>
              <w:t>employees including medical and dental benefits, and life, accidental death and disability insurance.</w:t>
            </w:r>
          </w:p>
        </w:tc>
      </w:tr>
      <w:tr>
        <w:trPr>
          <w:trHeight w:val="195"/>
        </w:trPr>
        <w:tc>
          <w:tcPr>
            <w:tcW w:w="20" w:type="dxa"/>
            <w:vAlign w:val="bottom"/>
          </w:tcPr>
          <w:p>
            <w:pPr>
              <w:spacing w:after="0"/>
              <w:rPr>
                <w:sz w:val="16"/>
                <w:szCs w:val="16"/>
                <w:color w:val="auto"/>
              </w:rPr>
            </w:pPr>
          </w:p>
        </w:tc>
        <w:tc>
          <w:tcPr>
            <w:tcW w:w="1880" w:type="dxa"/>
            <w:vAlign w:val="bottom"/>
            <w:tcBorders>
              <w:bottom w:val="single" w:sz="8" w:color="auto"/>
              <w:right w:val="single" w:sz="8" w:color="auto"/>
            </w:tcBorders>
          </w:tcPr>
          <w:p>
            <w:pPr>
              <w:spacing w:after="0"/>
              <w:rPr>
                <w:sz w:val="16"/>
                <w:szCs w:val="16"/>
                <w:color w:val="auto"/>
              </w:rPr>
            </w:pPr>
          </w:p>
        </w:tc>
        <w:tc>
          <w:tcPr>
            <w:tcW w:w="1500" w:type="dxa"/>
            <w:vAlign w:val="bottom"/>
            <w:tcBorders>
              <w:bottom w:val="single" w:sz="8" w:color="auto"/>
              <w:right w:val="single" w:sz="8" w:color="auto"/>
            </w:tcBorders>
          </w:tcPr>
          <w:p>
            <w:pPr>
              <w:spacing w:after="0"/>
              <w:rPr>
                <w:sz w:val="16"/>
                <w:szCs w:val="16"/>
                <w:color w:val="auto"/>
              </w:rPr>
            </w:pPr>
          </w:p>
        </w:tc>
        <w:tc>
          <w:tcPr>
            <w:tcW w:w="8020" w:type="dxa"/>
            <w:vAlign w:val="bottom"/>
            <w:tcBorders>
              <w:bottom w:val="single" w:sz="8" w:color="auto"/>
            </w:tcBorders>
          </w:tcPr>
          <w:p>
            <w:pPr>
              <w:ind w:left="80"/>
              <w:spacing w:after="0"/>
              <w:rPr>
                <w:sz w:val="20"/>
                <w:szCs w:val="20"/>
                <w:color w:val="auto"/>
              </w:rPr>
            </w:pPr>
            <w:r>
              <w:rPr>
                <w:rFonts w:ascii="Arial" w:cs="Arial" w:eastAsia="Arial" w:hAnsi="Arial"/>
                <w:sz w:val="17"/>
                <w:szCs w:val="17"/>
                <w:color w:val="auto"/>
              </w:rPr>
              <w:t>Perquisites are limited in amount and the Compensation Committee limits eligibility and use.</w:t>
            </w:r>
          </w:p>
        </w:tc>
      </w:tr>
      <w:tr>
        <w:trPr>
          <w:trHeight w:val="156"/>
        </w:trPr>
        <w:tc>
          <w:tcPr>
            <w:tcW w:w="20" w:type="dxa"/>
            <w:vAlign w:val="bottom"/>
          </w:tcPr>
          <w:p>
            <w:pPr>
              <w:spacing w:after="0"/>
              <w:rPr>
                <w:sz w:val="13"/>
                <w:szCs w:val="13"/>
                <w:color w:val="auto"/>
              </w:rPr>
            </w:pPr>
          </w:p>
        </w:tc>
        <w:tc>
          <w:tcPr>
            <w:tcW w:w="1880" w:type="dxa"/>
            <w:vAlign w:val="bottom"/>
            <w:tcBorders>
              <w:right w:val="single" w:sz="8" w:color="auto"/>
            </w:tcBorders>
          </w:tcPr>
          <w:p>
            <w:pPr>
              <w:spacing w:after="0" w:line="157" w:lineRule="exact"/>
              <w:rPr>
                <w:sz w:val="20"/>
                <w:szCs w:val="20"/>
                <w:color w:val="auto"/>
              </w:rPr>
            </w:pPr>
            <w:r>
              <w:rPr>
                <w:rFonts w:ascii="Arial" w:cs="Arial" w:eastAsia="Arial" w:hAnsi="Arial"/>
                <w:sz w:val="17"/>
                <w:szCs w:val="17"/>
                <w:b w:val="1"/>
                <w:bCs w:val="1"/>
                <w:color w:val="auto"/>
              </w:rPr>
              <w:t>Severance and</w:t>
            </w:r>
          </w:p>
        </w:tc>
        <w:tc>
          <w:tcPr>
            <w:tcW w:w="1500" w:type="dxa"/>
            <w:vAlign w:val="bottom"/>
            <w:tcBorders>
              <w:right w:val="single" w:sz="8" w:color="auto"/>
            </w:tcBorders>
          </w:tcPr>
          <w:p>
            <w:pPr>
              <w:ind w:left="80"/>
              <w:spacing w:after="0" w:line="157" w:lineRule="exact"/>
              <w:rPr>
                <w:sz w:val="20"/>
                <w:szCs w:val="20"/>
                <w:color w:val="auto"/>
              </w:rPr>
            </w:pPr>
            <w:r>
              <w:rPr>
                <w:rFonts w:ascii="Arial" w:cs="Arial" w:eastAsia="Arial" w:hAnsi="Arial"/>
                <w:sz w:val="17"/>
                <w:szCs w:val="17"/>
                <w:color w:val="auto"/>
              </w:rPr>
              <w:t>Benefit</w:t>
            </w:r>
          </w:p>
        </w:tc>
        <w:tc>
          <w:tcPr>
            <w:tcW w:w="8020" w:type="dxa"/>
            <w:vAlign w:val="bottom"/>
          </w:tcPr>
          <w:p>
            <w:pPr>
              <w:ind w:left="80"/>
              <w:spacing w:after="0" w:line="157" w:lineRule="exact"/>
              <w:rPr>
                <w:sz w:val="20"/>
                <w:szCs w:val="20"/>
                <w:color w:val="auto"/>
              </w:rPr>
            </w:pPr>
            <w:r>
              <w:rPr>
                <w:rFonts w:ascii="Arial" w:cs="Arial" w:eastAsia="Arial" w:hAnsi="Arial"/>
                <w:sz w:val="17"/>
                <w:szCs w:val="17"/>
                <w:color w:val="auto"/>
              </w:rPr>
              <w:t>Helps ensure NEOs remain focused on creating sustainable performance. Agreements protect the</w:t>
            </w:r>
          </w:p>
        </w:tc>
      </w:tr>
      <w:tr>
        <w:trPr>
          <w:trHeight w:val="189"/>
        </w:trPr>
        <w:tc>
          <w:tcPr>
            <w:tcW w:w="1900" w:type="dxa"/>
            <w:vAlign w:val="bottom"/>
            <w:tcBorders>
              <w:right w:val="single" w:sz="8" w:color="auto"/>
            </w:tcBorders>
            <w:gridSpan w:val="2"/>
          </w:tcPr>
          <w:p>
            <w:pPr>
              <w:spacing w:after="0" w:line="189" w:lineRule="exact"/>
              <w:rPr>
                <w:sz w:val="20"/>
                <w:szCs w:val="20"/>
                <w:color w:val="auto"/>
              </w:rPr>
            </w:pPr>
            <w:r>
              <w:rPr>
                <w:rFonts w:ascii="Arial" w:cs="Arial" w:eastAsia="Arial" w:hAnsi="Arial"/>
                <w:sz w:val="17"/>
                <w:szCs w:val="17"/>
                <w:b w:val="1"/>
                <w:bCs w:val="1"/>
                <w:color w:val="auto"/>
              </w:rPr>
              <w:t>Change in Control</w:t>
            </w:r>
          </w:p>
        </w:tc>
        <w:tc>
          <w:tcPr>
            <w:tcW w:w="1500" w:type="dxa"/>
            <w:vAlign w:val="bottom"/>
            <w:tcBorders>
              <w:right w:val="single" w:sz="8" w:color="auto"/>
            </w:tcBorders>
          </w:tcPr>
          <w:p>
            <w:pPr>
              <w:spacing w:after="0"/>
              <w:rPr>
                <w:sz w:val="16"/>
                <w:szCs w:val="16"/>
                <w:color w:val="auto"/>
              </w:rPr>
            </w:pPr>
          </w:p>
        </w:tc>
        <w:tc>
          <w:tcPr>
            <w:tcW w:w="8020" w:type="dxa"/>
            <w:vAlign w:val="bottom"/>
          </w:tcPr>
          <w:p>
            <w:pPr>
              <w:ind w:left="80"/>
              <w:spacing w:after="0" w:line="189" w:lineRule="exact"/>
              <w:rPr>
                <w:sz w:val="20"/>
                <w:szCs w:val="20"/>
                <w:color w:val="auto"/>
              </w:rPr>
            </w:pPr>
            <w:r>
              <w:rPr>
                <w:rFonts w:ascii="Arial" w:cs="Arial" w:eastAsia="Arial" w:hAnsi="Arial"/>
                <w:sz w:val="17"/>
                <w:szCs w:val="17"/>
                <w:color w:val="auto"/>
              </w:rPr>
              <w:t>Company and the NEOs from risks by providing:</w:t>
            </w:r>
          </w:p>
        </w:tc>
      </w:tr>
      <w:tr>
        <w:trPr>
          <w:trHeight w:val="209"/>
        </w:trPr>
        <w:tc>
          <w:tcPr>
            <w:tcW w:w="1900" w:type="dxa"/>
            <w:vAlign w:val="bottom"/>
            <w:tcBorders>
              <w:right w:val="single" w:sz="8" w:color="auto"/>
            </w:tcBorders>
            <w:gridSpan w:val="2"/>
          </w:tcPr>
          <w:p>
            <w:pPr>
              <w:spacing w:after="0"/>
              <w:rPr>
                <w:sz w:val="20"/>
                <w:szCs w:val="20"/>
                <w:color w:val="auto"/>
              </w:rPr>
            </w:pPr>
            <w:r>
              <w:rPr>
                <w:rFonts w:ascii="Arial" w:cs="Arial" w:eastAsia="Arial" w:hAnsi="Arial"/>
                <w:sz w:val="17"/>
                <w:szCs w:val="17"/>
                <w:b w:val="1"/>
                <w:bCs w:val="1"/>
                <w:color w:val="auto"/>
              </w:rPr>
              <w:t>Agreements</w:t>
            </w:r>
          </w:p>
        </w:tc>
        <w:tc>
          <w:tcPr>
            <w:tcW w:w="1500" w:type="dxa"/>
            <w:vAlign w:val="bottom"/>
            <w:tcBorders>
              <w:right w:val="single" w:sz="8" w:color="auto"/>
            </w:tcBorders>
          </w:tcPr>
          <w:p>
            <w:pPr>
              <w:spacing w:after="0"/>
              <w:rPr>
                <w:sz w:val="18"/>
                <w:szCs w:val="18"/>
                <w:color w:val="auto"/>
              </w:rPr>
            </w:pPr>
          </w:p>
        </w:tc>
        <w:tc>
          <w:tcPr>
            <w:tcW w:w="8020" w:type="dxa"/>
            <w:vAlign w:val="bottom"/>
          </w:tcPr>
          <w:p>
            <w:pPr>
              <w:ind w:left="80"/>
              <w:spacing w:after="0"/>
              <w:rPr>
                <w:sz w:val="20"/>
                <w:szCs w:val="20"/>
                <w:color w:val="auto"/>
              </w:rPr>
            </w:pPr>
            <w:r>
              <w:rPr>
                <w:rFonts w:ascii="Arial" w:cs="Arial" w:eastAsia="Arial" w:hAnsi="Arial"/>
                <w:sz w:val="17"/>
                <w:szCs w:val="17"/>
                <w:color w:val="auto"/>
              </w:rPr>
              <w:t>•Economic stability;</w:t>
            </w:r>
          </w:p>
        </w:tc>
      </w:tr>
      <w:tr>
        <w:trPr>
          <w:trHeight w:val="189"/>
        </w:trPr>
        <w:tc>
          <w:tcPr>
            <w:tcW w:w="20" w:type="dxa"/>
            <w:vAlign w:val="bottom"/>
          </w:tcPr>
          <w:p>
            <w:pPr>
              <w:spacing w:after="0"/>
              <w:rPr>
                <w:sz w:val="16"/>
                <w:szCs w:val="16"/>
                <w:color w:val="auto"/>
              </w:rPr>
            </w:pPr>
          </w:p>
        </w:tc>
        <w:tc>
          <w:tcPr>
            <w:tcW w:w="1880" w:type="dxa"/>
            <w:vAlign w:val="bottom"/>
            <w:tcBorders>
              <w:right w:val="single" w:sz="8" w:color="auto"/>
            </w:tcBorders>
          </w:tcPr>
          <w:p>
            <w:pPr>
              <w:spacing w:after="0"/>
              <w:rPr>
                <w:sz w:val="16"/>
                <w:szCs w:val="16"/>
                <w:color w:val="auto"/>
              </w:rPr>
            </w:pPr>
          </w:p>
        </w:tc>
        <w:tc>
          <w:tcPr>
            <w:tcW w:w="1500" w:type="dxa"/>
            <w:vAlign w:val="bottom"/>
            <w:tcBorders>
              <w:right w:val="single" w:sz="8" w:color="auto"/>
            </w:tcBorders>
          </w:tcPr>
          <w:p>
            <w:pPr>
              <w:spacing w:after="0"/>
              <w:rPr>
                <w:sz w:val="16"/>
                <w:szCs w:val="16"/>
                <w:color w:val="auto"/>
              </w:rPr>
            </w:pPr>
          </w:p>
        </w:tc>
        <w:tc>
          <w:tcPr>
            <w:tcW w:w="8020" w:type="dxa"/>
            <w:vAlign w:val="bottom"/>
          </w:tcPr>
          <w:p>
            <w:pPr>
              <w:ind w:left="80"/>
              <w:spacing w:after="0" w:line="189" w:lineRule="exact"/>
              <w:rPr>
                <w:sz w:val="20"/>
                <w:szCs w:val="20"/>
                <w:color w:val="auto"/>
              </w:rPr>
            </w:pPr>
            <w:r>
              <w:rPr>
                <w:rFonts w:ascii="Arial" w:cs="Arial" w:eastAsia="Arial" w:hAnsi="Arial"/>
                <w:sz w:val="17"/>
                <w:szCs w:val="17"/>
                <w:color w:val="auto"/>
              </w:rPr>
              <w:t>•Death or disability payments; and</w:t>
            </w:r>
          </w:p>
        </w:tc>
      </w:tr>
      <w:tr>
        <w:trPr>
          <w:trHeight w:val="207"/>
        </w:trPr>
        <w:tc>
          <w:tcPr>
            <w:tcW w:w="20" w:type="dxa"/>
            <w:vAlign w:val="bottom"/>
          </w:tcPr>
          <w:p>
            <w:pPr>
              <w:spacing w:after="0"/>
              <w:rPr>
                <w:sz w:val="17"/>
                <w:szCs w:val="17"/>
                <w:color w:val="auto"/>
              </w:rPr>
            </w:pPr>
          </w:p>
        </w:tc>
        <w:tc>
          <w:tcPr>
            <w:tcW w:w="1880" w:type="dxa"/>
            <w:vAlign w:val="bottom"/>
            <w:tcBorders>
              <w:bottom w:val="single" w:sz="8" w:color="auto"/>
              <w:right w:val="single" w:sz="8" w:color="auto"/>
            </w:tcBorders>
          </w:tcPr>
          <w:p>
            <w:pPr>
              <w:spacing w:after="0"/>
              <w:rPr>
                <w:sz w:val="17"/>
                <w:szCs w:val="17"/>
                <w:color w:val="auto"/>
              </w:rPr>
            </w:pPr>
          </w:p>
        </w:tc>
        <w:tc>
          <w:tcPr>
            <w:tcW w:w="1500" w:type="dxa"/>
            <w:vAlign w:val="bottom"/>
            <w:tcBorders>
              <w:bottom w:val="single" w:sz="8" w:color="auto"/>
              <w:right w:val="single" w:sz="8" w:color="auto"/>
            </w:tcBorders>
          </w:tcPr>
          <w:p>
            <w:pPr>
              <w:spacing w:after="0"/>
              <w:rPr>
                <w:sz w:val="17"/>
                <w:szCs w:val="17"/>
                <w:color w:val="auto"/>
              </w:rPr>
            </w:pPr>
          </w:p>
        </w:tc>
        <w:tc>
          <w:tcPr>
            <w:tcW w:w="8020" w:type="dxa"/>
            <w:vAlign w:val="bottom"/>
            <w:tcBorders>
              <w:bottom w:val="single" w:sz="8" w:color="auto"/>
            </w:tcBorders>
          </w:tcPr>
          <w:p>
            <w:pPr>
              <w:ind w:left="80"/>
              <w:spacing w:after="0"/>
              <w:rPr>
                <w:sz w:val="20"/>
                <w:szCs w:val="20"/>
                <w:color w:val="auto"/>
              </w:rPr>
            </w:pPr>
            <w:r>
              <w:rPr>
                <w:rFonts w:ascii="Arial" w:cs="Arial" w:eastAsia="Arial" w:hAnsi="Arial"/>
                <w:sz w:val="17"/>
                <w:szCs w:val="17"/>
                <w:color w:val="auto"/>
              </w:rPr>
              <w:t>•Payments and benefits in the event of a change in control.</w:t>
            </w:r>
          </w:p>
        </w:tc>
      </w:tr>
      <w:tr>
        <w:trPr>
          <w:trHeight w:val="321"/>
        </w:trPr>
        <w:tc>
          <w:tcPr>
            <w:tcW w:w="20" w:type="dxa"/>
            <w:vAlign w:val="bottom"/>
          </w:tcPr>
          <w:p>
            <w:pPr>
              <w:spacing w:after="0"/>
              <w:rPr>
                <w:sz w:val="24"/>
                <w:szCs w:val="24"/>
                <w:color w:val="auto"/>
              </w:rPr>
            </w:pPr>
          </w:p>
        </w:tc>
        <w:tc>
          <w:tcPr>
            <w:tcW w:w="1880" w:type="dxa"/>
            <w:vAlign w:val="bottom"/>
          </w:tcPr>
          <w:p>
            <w:pPr>
              <w:spacing w:after="0"/>
              <w:rPr>
                <w:sz w:val="24"/>
                <w:szCs w:val="24"/>
                <w:color w:val="auto"/>
              </w:rPr>
            </w:pPr>
          </w:p>
        </w:tc>
        <w:tc>
          <w:tcPr>
            <w:tcW w:w="1500" w:type="dxa"/>
            <w:vAlign w:val="bottom"/>
          </w:tcPr>
          <w:p>
            <w:pPr>
              <w:spacing w:after="0"/>
              <w:rPr>
                <w:sz w:val="24"/>
                <w:szCs w:val="24"/>
                <w:color w:val="auto"/>
              </w:rPr>
            </w:pPr>
          </w:p>
        </w:tc>
        <w:tc>
          <w:tcPr>
            <w:tcW w:w="8020" w:type="dxa"/>
            <w:vAlign w:val="bottom"/>
          </w:tcPr>
          <w:p>
            <w:pPr>
              <w:ind w:left="7780"/>
              <w:spacing w:after="0"/>
              <w:rPr>
                <w:sz w:val="20"/>
                <w:szCs w:val="20"/>
                <w:color w:val="auto"/>
              </w:rPr>
            </w:pPr>
            <w:r>
              <w:rPr>
                <w:rFonts w:ascii="Arial" w:cs="Arial" w:eastAsia="Arial" w:hAnsi="Arial"/>
                <w:sz w:val="14"/>
                <w:szCs w:val="14"/>
                <w:color w:val="auto"/>
              </w:rPr>
              <w:t>33</w:t>
            </w:r>
          </w:p>
        </w:tc>
      </w:tr>
    </w:tbl>
    <w:p>
      <w:pPr>
        <w:sectPr>
          <w:pgSz w:w="11900" w:h="16838" w:orient="portrait"/>
          <w:cols w:equalWidth="0" w:num="1">
            <w:col w:w="11420"/>
          </w:cols>
          <w:pgMar w:left="240" w:top="459" w:right="239" w:bottom="1440" w:gutter="0" w:footer="0" w:header="0"/>
        </w:sectPr>
      </w:pPr>
    </w:p>
    <w:bookmarkStart w:id="39" w:name="page40"/>
    <w:bookmarkEnd w:id="3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20">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643255</wp:posOffset>
            </wp:positionV>
            <wp:extent cx="7246620" cy="1629410"/>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21">
                      <a:extLst>
                        <a:ext uri="{28A0092B-C50C-407E-A947-70E740481C1C}"/>
                      </a:extLst>
                    </a:blip>
                    <a:srcRect/>
                    <a:stretch>
                      <a:fillRect/>
                    </a:stretch>
                  </pic:blipFill>
                  <pic:spPr bwMode="auto">
                    <a:xfrm>
                      <a:off x="0" y="0"/>
                      <a:ext cx="7246620" cy="1629410"/>
                    </a:xfrm>
                    <a:prstGeom prst="rect">
                      <a:avLst/>
                    </a:prstGeom>
                    <a:noFill/>
                  </pic:spPr>
                </pic:pic>
              </a:graphicData>
            </a:graphic>
          </wp:anchor>
        </w:drawing>
        <w:drawing>
          <wp:anchor simplePos="0" relativeHeight="251657728" behindDoc="1" locked="0" layoutInCell="0" allowOverlap="1">
            <wp:simplePos x="0" y="0"/>
            <wp:positionH relativeFrom="column">
              <wp:posOffset>3109595</wp:posOffset>
            </wp:positionH>
            <wp:positionV relativeFrom="paragraph">
              <wp:posOffset>205740</wp:posOffset>
            </wp:positionV>
            <wp:extent cx="1046480" cy="20574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22">
                      <a:extLst>
                        <a:ext uri="{28A0092B-C50C-407E-A947-70E740481C1C}"/>
                      </a:extLst>
                    </a:blip>
                    <a:srcRect/>
                    <a:stretch>
                      <a:fillRect/>
                    </a:stretch>
                  </pic:blipFill>
                  <pic:spPr bwMode="auto">
                    <a:xfrm>
                      <a:off x="0" y="0"/>
                      <a:ext cx="1046480" cy="20574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5" w:lineRule="exact"/>
        <w:rPr>
          <w:sz w:val="20"/>
          <w:szCs w:val="20"/>
          <w:color w:val="auto"/>
        </w:rPr>
      </w:pPr>
    </w:p>
    <w:p>
      <w:pPr>
        <w:ind w:left="180" w:right="180"/>
        <w:spacing w:after="0" w:line="238" w:lineRule="auto"/>
        <w:rPr>
          <w:sz w:val="20"/>
          <w:szCs w:val="20"/>
          <w:color w:val="auto"/>
        </w:rPr>
      </w:pPr>
      <w:r>
        <w:rPr>
          <w:rFonts w:ascii="Arial" w:cs="Arial" w:eastAsia="Arial" w:hAnsi="Arial"/>
          <w:sz w:val="17"/>
          <w:szCs w:val="17"/>
          <w:color w:val="auto"/>
        </w:rPr>
        <w:t>Guidelines for base salaries, annual incentives and long-term incentive grants are initially based on the 50th percentile of the general industry data for comparable roles. While the Company also reviews compensation practices within the steel and related industries, this data is not the primary consideration for pay guidelines.</w:t>
      </w:r>
    </w:p>
    <w:p>
      <w:pPr>
        <w:spacing w:after="0" w:line="188" w:lineRule="exact"/>
        <w:rPr>
          <w:sz w:val="20"/>
          <w:szCs w:val="20"/>
          <w:color w:val="auto"/>
        </w:rPr>
      </w:pPr>
    </w:p>
    <w:p>
      <w:pPr>
        <w:ind w:left="180" w:right="280"/>
        <w:spacing w:after="0" w:line="243" w:lineRule="auto"/>
        <w:rPr>
          <w:sz w:val="20"/>
          <w:szCs w:val="20"/>
          <w:color w:val="auto"/>
        </w:rPr>
      </w:pPr>
      <w:r>
        <w:rPr>
          <w:rFonts w:ascii="Arial" w:cs="Arial" w:eastAsia="Arial" w:hAnsi="Arial"/>
          <w:sz w:val="17"/>
          <w:szCs w:val="17"/>
          <w:color w:val="auto"/>
        </w:rPr>
        <w:t>The Company may provide target compensation above or below the 50</w:t>
      </w:r>
      <w:r>
        <w:rPr>
          <w:rFonts w:ascii="Arial" w:cs="Arial" w:eastAsia="Arial" w:hAnsi="Arial"/>
          <w:sz w:val="14"/>
          <w:szCs w:val="14"/>
          <w:color w:val="auto"/>
        </w:rPr>
        <w:t>th</w:t>
      </w:r>
      <w:r>
        <w:rPr>
          <w:rFonts w:ascii="Arial" w:cs="Arial" w:eastAsia="Arial" w:hAnsi="Arial"/>
          <w:sz w:val="17"/>
          <w:szCs w:val="17"/>
          <w:color w:val="auto"/>
        </w:rPr>
        <w:t xml:space="preserve"> percentile for a particular position, based on internal factors such as the executive’s operating responsibilities, experience level, retention risk, tenure and performance in the position.</w:t>
      </w:r>
    </w:p>
    <w:p>
      <w:pPr>
        <w:spacing w:after="0" w:line="185" w:lineRule="exact"/>
        <w:rPr>
          <w:sz w:val="20"/>
          <w:szCs w:val="20"/>
          <w:color w:val="auto"/>
        </w:rPr>
      </w:pPr>
    </w:p>
    <w:p>
      <w:pPr>
        <w:ind w:left="180"/>
        <w:spacing w:after="0"/>
        <w:rPr>
          <w:sz w:val="20"/>
          <w:szCs w:val="20"/>
          <w:color w:val="auto"/>
        </w:rPr>
      </w:pPr>
      <w:r>
        <w:rPr>
          <w:rFonts w:ascii="Arial" w:cs="Arial" w:eastAsia="Arial" w:hAnsi="Arial"/>
          <w:sz w:val="17"/>
          <w:szCs w:val="17"/>
          <w:color w:val="auto"/>
        </w:rPr>
        <w:t>The Company establishes compensation levels in this way for two main reasons:</w:t>
      </w:r>
    </w:p>
    <w:p>
      <w:pPr>
        <w:spacing w:after="0" w:line="196" w:lineRule="exact"/>
        <w:rPr>
          <w:sz w:val="20"/>
          <w:szCs w:val="20"/>
          <w:color w:val="auto"/>
        </w:rPr>
      </w:pPr>
    </w:p>
    <w:p>
      <w:pPr>
        <w:ind w:left="180"/>
        <w:spacing w:after="0"/>
        <w:rPr>
          <w:sz w:val="20"/>
          <w:szCs w:val="20"/>
          <w:color w:val="auto"/>
        </w:rPr>
      </w:pPr>
      <w:r>
        <w:rPr>
          <w:rFonts w:ascii="Arial" w:cs="Arial" w:eastAsia="Arial" w:hAnsi="Arial"/>
          <w:sz w:val="17"/>
          <w:szCs w:val="17"/>
          <w:color w:val="auto"/>
        </w:rPr>
        <w:t>•First, this approach sets fair and reasonable pay levels needed to attract and retain qualified executives; and</w:t>
      </w:r>
    </w:p>
    <w:p>
      <w:pPr>
        <w:spacing w:after="0" w:line="196" w:lineRule="exact"/>
        <w:rPr>
          <w:sz w:val="20"/>
          <w:szCs w:val="20"/>
          <w:color w:val="auto"/>
        </w:rPr>
      </w:pPr>
    </w:p>
    <w:p>
      <w:pPr>
        <w:ind w:left="180"/>
        <w:spacing w:after="0"/>
        <w:rPr>
          <w:sz w:val="20"/>
          <w:szCs w:val="20"/>
          <w:color w:val="auto"/>
        </w:rPr>
      </w:pPr>
      <w:r>
        <w:rPr>
          <w:rFonts w:ascii="Arial" w:cs="Arial" w:eastAsia="Arial" w:hAnsi="Arial"/>
          <w:sz w:val="17"/>
          <w:szCs w:val="17"/>
          <w:color w:val="auto"/>
        </w:rPr>
        <w:t>•Second, it requires excellent performance for pay that is higher than that indicated in the general industry data for comparable roles.</w:t>
      </w:r>
    </w:p>
    <w:p>
      <w:pPr>
        <w:spacing w:after="0" w:line="298" w:lineRule="exact"/>
        <w:rPr>
          <w:sz w:val="20"/>
          <w:szCs w:val="20"/>
          <w:color w:val="auto"/>
        </w:rPr>
      </w:pPr>
    </w:p>
    <w:p>
      <w:pPr>
        <w:spacing w:after="0"/>
        <w:rPr>
          <w:sz w:val="20"/>
          <w:szCs w:val="20"/>
          <w:color w:val="auto"/>
        </w:rPr>
      </w:pPr>
      <w:r>
        <w:rPr>
          <w:rFonts w:ascii="Arial" w:cs="Arial" w:eastAsia="Arial" w:hAnsi="Arial"/>
          <w:sz w:val="17"/>
          <w:szCs w:val="17"/>
          <w:b w:val="1"/>
          <w:bCs w:val="1"/>
          <w:color w:val="666666"/>
        </w:rPr>
        <w:t>ANALYSIS OF 2015 COMPENSATION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72390</wp:posOffset>
            </wp:positionV>
            <wp:extent cx="7246620" cy="8890"/>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23">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257" w:lineRule="exact"/>
        <w:rPr>
          <w:sz w:val="20"/>
          <w:szCs w:val="20"/>
          <w:color w:val="auto"/>
        </w:rPr>
      </w:pPr>
    </w:p>
    <w:p>
      <w:pPr>
        <w:spacing w:after="0"/>
        <w:rPr>
          <w:sz w:val="20"/>
          <w:szCs w:val="20"/>
          <w:color w:val="auto"/>
        </w:rPr>
      </w:pPr>
      <w:r>
        <w:rPr>
          <w:rFonts w:ascii="Arial" w:cs="Arial" w:eastAsia="Arial" w:hAnsi="Arial"/>
          <w:sz w:val="17"/>
          <w:szCs w:val="17"/>
          <w:b w:val="1"/>
          <w:bCs w:val="1"/>
          <w:color w:val="666666"/>
        </w:rPr>
        <w:t>BASE SALARY</w:t>
      </w:r>
    </w:p>
    <w:p>
      <w:pPr>
        <w:spacing w:after="0" w:line="14" w:lineRule="exact"/>
        <w:rPr>
          <w:sz w:val="20"/>
          <w:szCs w:val="20"/>
          <w:color w:val="auto"/>
        </w:rPr>
      </w:pPr>
    </w:p>
    <w:p>
      <w:pPr>
        <w:jc w:val="both"/>
        <w:ind w:right="260"/>
        <w:spacing w:after="0" w:line="236" w:lineRule="auto"/>
        <w:rPr>
          <w:sz w:val="20"/>
          <w:szCs w:val="20"/>
          <w:color w:val="auto"/>
        </w:rPr>
      </w:pPr>
      <w:r>
        <w:rPr>
          <w:rFonts w:ascii="Arial" w:cs="Arial" w:eastAsia="Arial" w:hAnsi="Arial"/>
          <w:sz w:val="17"/>
          <w:szCs w:val="17"/>
          <w:color w:val="auto"/>
        </w:rPr>
        <w:t>Base salaries for the NEOs are intended to reflect the scope of their responsibilities, the length of their experience performing those responsibilities and their performance. The Compensation Committee initially determines base salary ranges for executive officers using external surveys of salary practices for positions with similar levels of responsibility. The Compensation Committee also reviews base salaries for the NEOs annually in light of each officer’s experience, leadership, current salary and position in the salary range.</w:t>
      </w:r>
    </w:p>
    <w:p>
      <w:pPr>
        <w:spacing w:after="0" w:line="143"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2015 Base Salary Decisions</w:t>
      </w:r>
    </w:p>
    <w:p>
      <w:pPr>
        <w:spacing w:after="0" w:line="81" w:lineRule="exact"/>
        <w:rPr>
          <w:sz w:val="20"/>
          <w:szCs w:val="20"/>
          <w:color w:val="auto"/>
        </w:rPr>
      </w:pPr>
    </w:p>
    <w:tbl>
      <w:tblPr>
        <w:tblLayout w:type="fixed"/>
        <w:tblInd w:w="0" w:type="dxa"/>
        <w:tblCellMar>
          <w:top w:w="0" w:type="dxa"/>
          <w:left w:w="0" w:type="dxa"/>
          <w:bottom w:w="0" w:type="dxa"/>
          <w:right w:w="0" w:type="dxa"/>
        </w:tblCellMar>
      </w:tblPr>
      <w:tr>
        <w:trPr>
          <w:trHeight w:val="176"/>
        </w:trPr>
        <w:tc>
          <w:tcPr>
            <w:tcW w:w="3640" w:type="dxa"/>
            <w:vAlign w:val="bottom"/>
            <w:tcBorders>
              <w:top w:val="single" w:sz="8" w:color="auto"/>
            </w:tcBorders>
          </w:tcPr>
          <w:p>
            <w:pPr>
              <w:spacing w:after="0"/>
              <w:rPr>
                <w:sz w:val="15"/>
                <w:szCs w:val="15"/>
                <w:color w:val="auto"/>
              </w:rPr>
            </w:pPr>
          </w:p>
        </w:tc>
        <w:tc>
          <w:tcPr>
            <w:tcW w:w="2160" w:type="dxa"/>
            <w:vAlign w:val="bottom"/>
            <w:tcBorders>
              <w:top w:val="single" w:sz="8" w:color="auto"/>
            </w:tcBorders>
          </w:tcPr>
          <w:p>
            <w:pPr>
              <w:spacing w:after="0"/>
              <w:rPr>
                <w:sz w:val="15"/>
                <w:szCs w:val="15"/>
                <w:color w:val="auto"/>
              </w:rPr>
            </w:pPr>
          </w:p>
        </w:tc>
        <w:tc>
          <w:tcPr>
            <w:tcW w:w="1060" w:type="dxa"/>
            <w:vAlign w:val="bottom"/>
            <w:tcBorders>
              <w:top w:val="single" w:sz="8" w:color="auto"/>
            </w:tcBorders>
          </w:tcPr>
          <w:p>
            <w:pPr>
              <w:spacing w:after="0"/>
              <w:rPr>
                <w:sz w:val="15"/>
                <w:szCs w:val="15"/>
                <w:color w:val="auto"/>
              </w:rPr>
            </w:pPr>
          </w:p>
        </w:tc>
        <w:tc>
          <w:tcPr>
            <w:tcW w:w="2520" w:type="dxa"/>
            <w:vAlign w:val="bottom"/>
            <w:tcBorders>
              <w:top w:val="single" w:sz="8" w:color="auto"/>
            </w:tcBorders>
            <w:gridSpan w:val="2"/>
          </w:tcPr>
          <w:p>
            <w:pPr>
              <w:ind w:left="320"/>
              <w:spacing w:after="0" w:line="176" w:lineRule="exact"/>
              <w:rPr>
                <w:sz w:val="20"/>
                <w:szCs w:val="20"/>
                <w:color w:val="auto"/>
              </w:rPr>
            </w:pPr>
            <w:r>
              <w:rPr>
                <w:rFonts w:ascii="Arial" w:cs="Arial" w:eastAsia="Arial" w:hAnsi="Arial"/>
                <w:sz w:val="17"/>
                <w:szCs w:val="17"/>
                <w:b w:val="1"/>
                <w:bCs w:val="1"/>
                <w:color w:val="auto"/>
              </w:rPr>
              <w:t>Base Salary (Annualized)</w:t>
            </w:r>
          </w:p>
        </w:tc>
        <w:tc>
          <w:tcPr>
            <w:tcW w:w="2040" w:type="dxa"/>
            <w:vAlign w:val="bottom"/>
            <w:tcBorders>
              <w:top w:val="single" w:sz="8" w:color="auto"/>
            </w:tcBorders>
          </w:tcPr>
          <w:p>
            <w:pPr>
              <w:spacing w:after="0"/>
              <w:rPr>
                <w:sz w:val="15"/>
                <w:szCs w:val="15"/>
                <w:color w:val="auto"/>
              </w:rPr>
            </w:pPr>
          </w:p>
        </w:tc>
      </w:tr>
      <w:tr>
        <w:trPr>
          <w:trHeight w:val="215"/>
        </w:trPr>
        <w:tc>
          <w:tcPr>
            <w:tcW w:w="3640" w:type="dxa"/>
            <w:vAlign w:val="bottom"/>
            <w:tcBorders>
              <w:bottom w:val="single" w:sz="8" w:color="auto"/>
            </w:tcBorders>
          </w:tcPr>
          <w:p>
            <w:pPr>
              <w:spacing w:after="0"/>
              <w:rPr>
                <w:sz w:val="20"/>
                <w:szCs w:val="20"/>
                <w:color w:val="auto"/>
              </w:rPr>
            </w:pPr>
            <w:r>
              <w:rPr>
                <w:rFonts w:ascii="Arial" w:cs="Arial" w:eastAsia="Arial" w:hAnsi="Arial"/>
                <w:sz w:val="17"/>
                <w:szCs w:val="17"/>
                <w:b w:val="1"/>
                <w:bCs w:val="1"/>
                <w:color w:val="auto"/>
              </w:rPr>
              <w:t>NEO</w:t>
            </w:r>
          </w:p>
        </w:tc>
        <w:tc>
          <w:tcPr>
            <w:tcW w:w="3220" w:type="dxa"/>
            <w:vAlign w:val="bottom"/>
            <w:tcBorders>
              <w:bottom w:val="single" w:sz="8" w:color="auto"/>
            </w:tcBorders>
            <w:gridSpan w:val="2"/>
          </w:tcPr>
          <w:p>
            <w:pPr>
              <w:ind w:left="1940"/>
              <w:spacing w:after="0"/>
              <w:rPr>
                <w:sz w:val="20"/>
                <w:szCs w:val="20"/>
                <w:color w:val="auto"/>
              </w:rPr>
            </w:pPr>
            <w:r>
              <w:rPr>
                <w:rFonts w:ascii="Arial" w:cs="Arial" w:eastAsia="Arial" w:hAnsi="Arial"/>
                <w:sz w:val="17"/>
                <w:szCs w:val="17"/>
                <w:b w:val="1"/>
                <w:bCs w:val="1"/>
                <w:color w:val="auto"/>
              </w:rPr>
              <w:t>2014 Salary</w:t>
            </w:r>
          </w:p>
        </w:tc>
        <w:tc>
          <w:tcPr>
            <w:tcW w:w="2520" w:type="dxa"/>
            <w:vAlign w:val="bottom"/>
            <w:tcBorders>
              <w:bottom w:val="single" w:sz="8" w:color="auto"/>
            </w:tcBorders>
            <w:gridSpan w:val="2"/>
          </w:tcPr>
          <w:p>
            <w:pPr>
              <w:ind w:left="640"/>
              <w:spacing w:after="0"/>
              <w:rPr>
                <w:sz w:val="20"/>
                <w:szCs w:val="20"/>
                <w:color w:val="auto"/>
              </w:rPr>
            </w:pPr>
            <w:r>
              <w:rPr>
                <w:rFonts w:ascii="Arial" w:cs="Arial" w:eastAsia="Arial" w:hAnsi="Arial"/>
                <w:sz w:val="17"/>
                <w:szCs w:val="17"/>
                <w:b w:val="1"/>
                <w:bCs w:val="1"/>
                <w:color w:val="auto"/>
              </w:rPr>
              <w:t>2015 Salary</w:t>
            </w:r>
          </w:p>
        </w:tc>
        <w:tc>
          <w:tcPr>
            <w:tcW w:w="2040" w:type="dxa"/>
            <w:vAlign w:val="bottom"/>
            <w:tcBorders>
              <w:bottom w:val="single" w:sz="8" w:color="auto"/>
            </w:tcBorders>
          </w:tcPr>
          <w:p>
            <w:pPr>
              <w:jc w:val="right"/>
              <w:ind w:right="515"/>
              <w:spacing w:after="0"/>
              <w:rPr>
                <w:sz w:val="20"/>
                <w:szCs w:val="20"/>
                <w:color w:val="auto"/>
              </w:rPr>
            </w:pPr>
            <w:r>
              <w:rPr>
                <w:rFonts w:ascii="Arial" w:cs="Arial" w:eastAsia="Arial" w:hAnsi="Arial"/>
                <w:sz w:val="17"/>
                <w:szCs w:val="17"/>
                <w:b w:val="1"/>
                <w:bCs w:val="1"/>
                <w:color w:val="auto"/>
              </w:rPr>
              <w:t>Percent Change</w:t>
            </w:r>
          </w:p>
        </w:tc>
      </w:tr>
      <w:tr>
        <w:trPr>
          <w:trHeight w:val="183"/>
        </w:trPr>
        <w:tc>
          <w:tcPr>
            <w:tcW w:w="3640" w:type="dxa"/>
            <w:vAlign w:val="bottom"/>
            <w:shd w:val="clear" w:color="auto" w:fill="CCEEFF"/>
          </w:tcPr>
          <w:p>
            <w:pPr>
              <w:spacing w:after="0" w:line="183" w:lineRule="exact"/>
              <w:rPr>
                <w:sz w:val="20"/>
                <w:szCs w:val="20"/>
                <w:color w:val="auto"/>
              </w:rPr>
            </w:pPr>
            <w:r>
              <w:rPr>
                <w:rFonts w:ascii="Arial" w:cs="Arial" w:eastAsia="Arial" w:hAnsi="Arial"/>
                <w:sz w:val="17"/>
                <w:szCs w:val="17"/>
                <w:color w:val="auto"/>
              </w:rPr>
              <w:t>Ward J. Timken, Jr.</w:t>
            </w:r>
          </w:p>
        </w:tc>
        <w:tc>
          <w:tcPr>
            <w:tcW w:w="2160" w:type="dxa"/>
            <w:vAlign w:val="bottom"/>
            <w:shd w:val="clear" w:color="auto" w:fill="CCEEFF"/>
          </w:tcPr>
          <w:p>
            <w:pPr>
              <w:ind w:left="1940"/>
              <w:spacing w:after="0" w:line="183" w:lineRule="exact"/>
              <w:rPr>
                <w:sz w:val="20"/>
                <w:szCs w:val="20"/>
                <w:color w:val="auto"/>
              </w:rPr>
            </w:pPr>
            <w:r>
              <w:rPr>
                <w:rFonts w:ascii="Arial" w:cs="Arial" w:eastAsia="Arial" w:hAnsi="Arial"/>
                <w:sz w:val="17"/>
                <w:szCs w:val="17"/>
                <w:color w:val="auto"/>
              </w:rPr>
              <w:t>$</w:t>
            </w:r>
          </w:p>
        </w:tc>
        <w:tc>
          <w:tcPr>
            <w:tcW w:w="1060" w:type="dxa"/>
            <w:vAlign w:val="bottom"/>
            <w:shd w:val="clear" w:color="auto" w:fill="CCEEFF"/>
          </w:tcPr>
          <w:p>
            <w:pPr>
              <w:jc w:val="right"/>
              <w:ind w:right="235"/>
              <w:spacing w:after="0" w:line="183" w:lineRule="exact"/>
              <w:rPr>
                <w:sz w:val="20"/>
                <w:szCs w:val="20"/>
                <w:color w:val="auto"/>
              </w:rPr>
            </w:pPr>
            <w:r>
              <w:rPr>
                <w:rFonts w:ascii="Arial" w:cs="Arial" w:eastAsia="Arial" w:hAnsi="Arial"/>
                <w:sz w:val="17"/>
                <w:szCs w:val="17"/>
                <w:color w:val="auto"/>
              </w:rPr>
              <w:t>865,200</w:t>
            </w:r>
          </w:p>
        </w:tc>
        <w:tc>
          <w:tcPr>
            <w:tcW w:w="860" w:type="dxa"/>
            <w:vAlign w:val="bottom"/>
            <w:shd w:val="clear" w:color="auto" w:fill="CCEEFF"/>
          </w:tcPr>
          <w:p>
            <w:pPr>
              <w:ind w:left="640"/>
              <w:spacing w:after="0" w:line="183" w:lineRule="exact"/>
              <w:rPr>
                <w:sz w:val="20"/>
                <w:szCs w:val="20"/>
                <w:color w:val="auto"/>
              </w:rPr>
            </w:pPr>
            <w:r>
              <w:rPr>
                <w:rFonts w:ascii="Arial" w:cs="Arial" w:eastAsia="Arial" w:hAnsi="Arial"/>
                <w:sz w:val="17"/>
                <w:szCs w:val="17"/>
                <w:color w:val="auto"/>
              </w:rPr>
              <w:t>$</w:t>
            </w:r>
          </w:p>
        </w:tc>
        <w:tc>
          <w:tcPr>
            <w:tcW w:w="1660" w:type="dxa"/>
            <w:vAlign w:val="bottom"/>
            <w:shd w:val="clear" w:color="auto" w:fill="CCEEFF"/>
          </w:tcPr>
          <w:p>
            <w:pPr>
              <w:jc w:val="right"/>
              <w:ind w:right="855"/>
              <w:spacing w:after="0" w:line="183" w:lineRule="exact"/>
              <w:rPr>
                <w:sz w:val="20"/>
                <w:szCs w:val="20"/>
                <w:color w:val="auto"/>
              </w:rPr>
            </w:pPr>
            <w:r>
              <w:rPr>
                <w:rFonts w:ascii="Arial" w:cs="Arial" w:eastAsia="Arial" w:hAnsi="Arial"/>
                <w:sz w:val="17"/>
                <w:szCs w:val="17"/>
                <w:color w:val="auto"/>
              </w:rPr>
              <w:t>865,200</w:t>
            </w:r>
          </w:p>
        </w:tc>
        <w:tc>
          <w:tcPr>
            <w:tcW w:w="2040" w:type="dxa"/>
            <w:vAlign w:val="bottom"/>
            <w:shd w:val="clear" w:color="auto" w:fill="CCEEFF"/>
          </w:tcPr>
          <w:p>
            <w:pPr>
              <w:jc w:val="right"/>
              <w:ind w:right="355"/>
              <w:spacing w:after="0" w:line="183" w:lineRule="exact"/>
              <w:rPr>
                <w:sz w:val="20"/>
                <w:szCs w:val="20"/>
                <w:color w:val="auto"/>
              </w:rPr>
            </w:pPr>
            <w:r>
              <w:rPr>
                <w:rFonts w:ascii="Arial" w:cs="Arial" w:eastAsia="Arial" w:hAnsi="Arial"/>
                <w:sz w:val="17"/>
                <w:szCs w:val="17"/>
                <w:color w:val="auto"/>
              </w:rPr>
              <w:t>0%</w:t>
            </w:r>
          </w:p>
        </w:tc>
      </w:tr>
      <w:tr>
        <w:trPr>
          <w:trHeight w:val="189"/>
        </w:trPr>
        <w:tc>
          <w:tcPr>
            <w:tcW w:w="3640" w:type="dxa"/>
            <w:vAlign w:val="bottom"/>
          </w:tcPr>
          <w:p>
            <w:pPr>
              <w:spacing w:after="0" w:line="189" w:lineRule="exact"/>
              <w:rPr>
                <w:sz w:val="20"/>
                <w:szCs w:val="20"/>
                <w:color w:val="auto"/>
              </w:rPr>
            </w:pPr>
            <w:r>
              <w:rPr>
                <w:rFonts w:ascii="Arial" w:cs="Arial" w:eastAsia="Arial" w:hAnsi="Arial"/>
                <w:sz w:val="17"/>
                <w:szCs w:val="17"/>
                <w:color w:val="auto"/>
              </w:rPr>
              <w:t>Christopher J. Holding</w:t>
            </w:r>
          </w:p>
        </w:tc>
        <w:tc>
          <w:tcPr>
            <w:tcW w:w="2160" w:type="dxa"/>
            <w:vAlign w:val="bottom"/>
          </w:tcPr>
          <w:p>
            <w:pPr>
              <w:ind w:left="1940"/>
              <w:spacing w:after="0" w:line="189" w:lineRule="exact"/>
              <w:rPr>
                <w:sz w:val="20"/>
                <w:szCs w:val="20"/>
                <w:color w:val="auto"/>
              </w:rPr>
            </w:pPr>
            <w:r>
              <w:rPr>
                <w:rFonts w:ascii="Arial" w:cs="Arial" w:eastAsia="Arial" w:hAnsi="Arial"/>
                <w:sz w:val="17"/>
                <w:szCs w:val="17"/>
                <w:color w:val="auto"/>
              </w:rPr>
              <w:t>$</w:t>
            </w:r>
          </w:p>
        </w:tc>
        <w:tc>
          <w:tcPr>
            <w:tcW w:w="1060" w:type="dxa"/>
            <w:vAlign w:val="bottom"/>
          </w:tcPr>
          <w:p>
            <w:pPr>
              <w:jc w:val="right"/>
              <w:ind w:right="235"/>
              <w:spacing w:after="0" w:line="189" w:lineRule="exact"/>
              <w:rPr>
                <w:sz w:val="20"/>
                <w:szCs w:val="20"/>
                <w:color w:val="auto"/>
              </w:rPr>
            </w:pPr>
            <w:r>
              <w:rPr>
                <w:rFonts w:ascii="Arial" w:cs="Arial" w:eastAsia="Arial" w:hAnsi="Arial"/>
                <w:sz w:val="17"/>
                <w:szCs w:val="17"/>
                <w:color w:val="auto"/>
              </w:rPr>
              <w:t>350,000</w:t>
            </w:r>
          </w:p>
        </w:tc>
        <w:tc>
          <w:tcPr>
            <w:tcW w:w="860" w:type="dxa"/>
            <w:vAlign w:val="bottom"/>
          </w:tcPr>
          <w:p>
            <w:pPr>
              <w:ind w:left="640"/>
              <w:spacing w:after="0" w:line="189" w:lineRule="exact"/>
              <w:rPr>
                <w:sz w:val="20"/>
                <w:szCs w:val="20"/>
                <w:color w:val="auto"/>
              </w:rPr>
            </w:pPr>
            <w:r>
              <w:rPr>
                <w:rFonts w:ascii="Arial" w:cs="Arial" w:eastAsia="Arial" w:hAnsi="Arial"/>
                <w:sz w:val="17"/>
                <w:szCs w:val="17"/>
                <w:color w:val="auto"/>
              </w:rPr>
              <w:t>$</w:t>
            </w:r>
          </w:p>
        </w:tc>
        <w:tc>
          <w:tcPr>
            <w:tcW w:w="1660" w:type="dxa"/>
            <w:vAlign w:val="bottom"/>
          </w:tcPr>
          <w:p>
            <w:pPr>
              <w:jc w:val="right"/>
              <w:ind w:right="855"/>
              <w:spacing w:after="0" w:line="189" w:lineRule="exact"/>
              <w:rPr>
                <w:sz w:val="20"/>
                <w:szCs w:val="20"/>
                <w:color w:val="auto"/>
              </w:rPr>
            </w:pPr>
            <w:r>
              <w:rPr>
                <w:rFonts w:ascii="Arial" w:cs="Arial" w:eastAsia="Arial" w:hAnsi="Arial"/>
                <w:sz w:val="17"/>
                <w:szCs w:val="17"/>
                <w:color w:val="auto"/>
              </w:rPr>
              <w:t>367,500</w:t>
            </w:r>
          </w:p>
        </w:tc>
        <w:tc>
          <w:tcPr>
            <w:tcW w:w="2040" w:type="dxa"/>
            <w:vAlign w:val="bottom"/>
          </w:tcPr>
          <w:p>
            <w:pPr>
              <w:jc w:val="right"/>
              <w:ind w:right="355"/>
              <w:spacing w:after="0" w:line="189" w:lineRule="exact"/>
              <w:rPr>
                <w:sz w:val="20"/>
                <w:szCs w:val="20"/>
                <w:color w:val="auto"/>
              </w:rPr>
            </w:pPr>
            <w:r>
              <w:rPr>
                <w:rFonts w:ascii="Arial" w:cs="Arial" w:eastAsia="Arial" w:hAnsi="Arial"/>
                <w:sz w:val="17"/>
                <w:szCs w:val="17"/>
                <w:color w:val="auto"/>
              </w:rPr>
              <w:t>5%</w:t>
            </w:r>
          </w:p>
        </w:tc>
      </w:tr>
      <w:tr>
        <w:trPr>
          <w:trHeight w:val="189"/>
        </w:trPr>
        <w:tc>
          <w:tcPr>
            <w:tcW w:w="3640" w:type="dxa"/>
            <w:vAlign w:val="bottom"/>
            <w:shd w:val="clear" w:color="auto" w:fill="CCEEFF"/>
          </w:tcPr>
          <w:p>
            <w:pPr>
              <w:spacing w:after="0" w:line="189" w:lineRule="exact"/>
              <w:rPr>
                <w:sz w:val="20"/>
                <w:szCs w:val="20"/>
                <w:color w:val="auto"/>
              </w:rPr>
            </w:pPr>
            <w:r>
              <w:rPr>
                <w:rFonts w:ascii="Arial" w:cs="Arial" w:eastAsia="Arial" w:hAnsi="Arial"/>
                <w:sz w:val="17"/>
                <w:szCs w:val="17"/>
                <w:color w:val="auto"/>
              </w:rPr>
              <w:t>Donald L. Walker</w:t>
            </w:r>
          </w:p>
        </w:tc>
        <w:tc>
          <w:tcPr>
            <w:tcW w:w="2160" w:type="dxa"/>
            <w:vAlign w:val="bottom"/>
            <w:shd w:val="clear" w:color="auto" w:fill="CCEEFF"/>
          </w:tcPr>
          <w:p>
            <w:pPr>
              <w:ind w:left="1940"/>
              <w:spacing w:after="0" w:line="189" w:lineRule="exact"/>
              <w:rPr>
                <w:sz w:val="20"/>
                <w:szCs w:val="20"/>
                <w:color w:val="auto"/>
              </w:rPr>
            </w:pPr>
            <w:r>
              <w:rPr>
                <w:rFonts w:ascii="Arial" w:cs="Arial" w:eastAsia="Arial" w:hAnsi="Arial"/>
                <w:sz w:val="17"/>
                <w:szCs w:val="17"/>
                <w:color w:val="auto"/>
              </w:rPr>
              <w:t>$</w:t>
            </w:r>
          </w:p>
        </w:tc>
        <w:tc>
          <w:tcPr>
            <w:tcW w:w="1060" w:type="dxa"/>
            <w:vAlign w:val="bottom"/>
            <w:shd w:val="clear" w:color="auto" w:fill="CCEEFF"/>
          </w:tcPr>
          <w:p>
            <w:pPr>
              <w:jc w:val="right"/>
              <w:ind w:right="235"/>
              <w:spacing w:after="0" w:line="189" w:lineRule="exact"/>
              <w:rPr>
                <w:sz w:val="20"/>
                <w:szCs w:val="20"/>
                <w:color w:val="auto"/>
              </w:rPr>
            </w:pPr>
            <w:r>
              <w:rPr>
                <w:rFonts w:ascii="Arial" w:cs="Arial" w:eastAsia="Arial" w:hAnsi="Arial"/>
                <w:sz w:val="17"/>
                <w:szCs w:val="17"/>
                <w:color w:val="auto"/>
              </w:rPr>
              <w:t>365,040</w:t>
            </w:r>
          </w:p>
        </w:tc>
        <w:tc>
          <w:tcPr>
            <w:tcW w:w="860" w:type="dxa"/>
            <w:vAlign w:val="bottom"/>
            <w:shd w:val="clear" w:color="auto" w:fill="CCEEFF"/>
          </w:tcPr>
          <w:p>
            <w:pPr>
              <w:ind w:left="640"/>
              <w:spacing w:after="0" w:line="189" w:lineRule="exact"/>
              <w:rPr>
                <w:sz w:val="20"/>
                <w:szCs w:val="20"/>
                <w:color w:val="auto"/>
              </w:rPr>
            </w:pPr>
            <w:r>
              <w:rPr>
                <w:rFonts w:ascii="Arial" w:cs="Arial" w:eastAsia="Arial" w:hAnsi="Arial"/>
                <w:sz w:val="17"/>
                <w:szCs w:val="17"/>
                <w:color w:val="auto"/>
              </w:rPr>
              <w:t>$</w:t>
            </w:r>
          </w:p>
        </w:tc>
        <w:tc>
          <w:tcPr>
            <w:tcW w:w="1660" w:type="dxa"/>
            <w:vAlign w:val="bottom"/>
            <w:shd w:val="clear" w:color="auto" w:fill="CCEEFF"/>
          </w:tcPr>
          <w:p>
            <w:pPr>
              <w:jc w:val="right"/>
              <w:ind w:right="855"/>
              <w:spacing w:after="0" w:line="189" w:lineRule="exact"/>
              <w:rPr>
                <w:sz w:val="20"/>
                <w:szCs w:val="20"/>
                <w:color w:val="auto"/>
              </w:rPr>
            </w:pPr>
            <w:r>
              <w:rPr>
                <w:rFonts w:ascii="Arial" w:cs="Arial" w:eastAsia="Arial" w:hAnsi="Arial"/>
                <w:sz w:val="17"/>
                <w:szCs w:val="17"/>
                <w:color w:val="auto"/>
              </w:rPr>
              <w:t>365,040</w:t>
            </w:r>
          </w:p>
        </w:tc>
        <w:tc>
          <w:tcPr>
            <w:tcW w:w="2040" w:type="dxa"/>
            <w:vAlign w:val="bottom"/>
            <w:shd w:val="clear" w:color="auto" w:fill="CCEEFF"/>
          </w:tcPr>
          <w:p>
            <w:pPr>
              <w:jc w:val="right"/>
              <w:ind w:right="355"/>
              <w:spacing w:after="0" w:line="189" w:lineRule="exact"/>
              <w:rPr>
                <w:sz w:val="20"/>
                <w:szCs w:val="20"/>
                <w:color w:val="auto"/>
              </w:rPr>
            </w:pPr>
            <w:r>
              <w:rPr>
                <w:rFonts w:ascii="Arial" w:cs="Arial" w:eastAsia="Arial" w:hAnsi="Arial"/>
                <w:sz w:val="17"/>
                <w:szCs w:val="17"/>
                <w:color w:val="auto"/>
              </w:rPr>
              <w:t>0%</w:t>
            </w:r>
          </w:p>
        </w:tc>
      </w:tr>
      <w:tr>
        <w:trPr>
          <w:trHeight w:val="189"/>
        </w:trPr>
        <w:tc>
          <w:tcPr>
            <w:tcW w:w="3640" w:type="dxa"/>
            <w:vAlign w:val="bottom"/>
            <w:tcBorders>
              <w:bottom w:val="single" w:sz="8" w:color="auto"/>
            </w:tcBorders>
          </w:tcPr>
          <w:p>
            <w:pPr>
              <w:spacing w:after="0" w:line="189" w:lineRule="exact"/>
              <w:rPr>
                <w:sz w:val="20"/>
                <w:szCs w:val="20"/>
                <w:color w:val="auto"/>
              </w:rPr>
            </w:pPr>
            <w:r>
              <w:rPr>
                <w:rFonts w:ascii="Arial" w:cs="Arial" w:eastAsia="Arial" w:hAnsi="Arial"/>
                <w:sz w:val="17"/>
                <w:szCs w:val="17"/>
                <w:color w:val="auto"/>
              </w:rPr>
              <w:t>Frank A. DiPiero</w:t>
            </w:r>
          </w:p>
        </w:tc>
        <w:tc>
          <w:tcPr>
            <w:tcW w:w="2160" w:type="dxa"/>
            <w:vAlign w:val="bottom"/>
            <w:tcBorders>
              <w:bottom w:val="single" w:sz="8" w:color="auto"/>
            </w:tcBorders>
          </w:tcPr>
          <w:p>
            <w:pPr>
              <w:ind w:left="1940"/>
              <w:spacing w:after="0" w:line="189" w:lineRule="exact"/>
              <w:rPr>
                <w:sz w:val="20"/>
                <w:szCs w:val="20"/>
                <w:color w:val="auto"/>
              </w:rPr>
            </w:pPr>
            <w:r>
              <w:rPr>
                <w:rFonts w:ascii="Arial" w:cs="Arial" w:eastAsia="Arial" w:hAnsi="Arial"/>
                <w:sz w:val="17"/>
                <w:szCs w:val="17"/>
                <w:color w:val="auto"/>
              </w:rPr>
              <w:t>$</w:t>
            </w:r>
          </w:p>
        </w:tc>
        <w:tc>
          <w:tcPr>
            <w:tcW w:w="1060" w:type="dxa"/>
            <w:vAlign w:val="bottom"/>
            <w:tcBorders>
              <w:bottom w:val="single" w:sz="8" w:color="auto"/>
            </w:tcBorders>
          </w:tcPr>
          <w:p>
            <w:pPr>
              <w:jc w:val="right"/>
              <w:ind w:right="235"/>
              <w:spacing w:after="0" w:line="189" w:lineRule="exact"/>
              <w:rPr>
                <w:sz w:val="20"/>
                <w:szCs w:val="20"/>
                <w:color w:val="auto"/>
              </w:rPr>
            </w:pPr>
            <w:r>
              <w:rPr>
                <w:rFonts w:ascii="Arial" w:cs="Arial" w:eastAsia="Arial" w:hAnsi="Arial"/>
                <w:sz w:val="17"/>
                <w:szCs w:val="17"/>
                <w:color w:val="auto"/>
              </w:rPr>
              <w:t>350,004</w:t>
            </w:r>
          </w:p>
        </w:tc>
        <w:tc>
          <w:tcPr>
            <w:tcW w:w="860" w:type="dxa"/>
            <w:vAlign w:val="bottom"/>
            <w:tcBorders>
              <w:bottom w:val="single" w:sz="8" w:color="auto"/>
            </w:tcBorders>
          </w:tcPr>
          <w:p>
            <w:pPr>
              <w:ind w:left="640"/>
              <w:spacing w:after="0" w:line="189" w:lineRule="exact"/>
              <w:rPr>
                <w:sz w:val="20"/>
                <w:szCs w:val="20"/>
                <w:color w:val="auto"/>
              </w:rPr>
            </w:pPr>
            <w:r>
              <w:rPr>
                <w:rFonts w:ascii="Arial" w:cs="Arial" w:eastAsia="Arial" w:hAnsi="Arial"/>
                <w:sz w:val="17"/>
                <w:szCs w:val="17"/>
                <w:color w:val="auto"/>
              </w:rPr>
              <w:t>$</w:t>
            </w:r>
          </w:p>
        </w:tc>
        <w:tc>
          <w:tcPr>
            <w:tcW w:w="1660" w:type="dxa"/>
            <w:vAlign w:val="bottom"/>
            <w:tcBorders>
              <w:bottom w:val="single" w:sz="8" w:color="auto"/>
            </w:tcBorders>
          </w:tcPr>
          <w:p>
            <w:pPr>
              <w:jc w:val="right"/>
              <w:ind w:right="855"/>
              <w:spacing w:after="0" w:line="189" w:lineRule="exact"/>
              <w:rPr>
                <w:sz w:val="20"/>
                <w:szCs w:val="20"/>
                <w:color w:val="auto"/>
              </w:rPr>
            </w:pPr>
            <w:r>
              <w:rPr>
                <w:rFonts w:ascii="Arial" w:cs="Arial" w:eastAsia="Arial" w:hAnsi="Arial"/>
                <w:sz w:val="17"/>
                <w:szCs w:val="17"/>
                <w:color w:val="auto"/>
              </w:rPr>
              <w:t>360,504</w:t>
            </w:r>
          </w:p>
        </w:tc>
        <w:tc>
          <w:tcPr>
            <w:tcW w:w="2040" w:type="dxa"/>
            <w:vAlign w:val="bottom"/>
            <w:tcBorders>
              <w:bottom w:val="single" w:sz="8" w:color="auto"/>
            </w:tcBorders>
          </w:tcPr>
          <w:p>
            <w:pPr>
              <w:jc w:val="right"/>
              <w:ind w:right="355"/>
              <w:spacing w:after="0" w:line="189" w:lineRule="exact"/>
              <w:rPr>
                <w:sz w:val="20"/>
                <w:szCs w:val="20"/>
                <w:color w:val="auto"/>
              </w:rPr>
            </w:pPr>
            <w:r>
              <w:rPr>
                <w:rFonts w:ascii="Arial" w:cs="Arial" w:eastAsia="Arial" w:hAnsi="Arial"/>
                <w:sz w:val="17"/>
                <w:szCs w:val="17"/>
                <w:color w:val="auto"/>
              </w:rPr>
              <w:t>3%</w:t>
            </w:r>
          </w:p>
        </w:tc>
      </w:tr>
    </w:tbl>
    <w:p>
      <w:pPr>
        <w:spacing w:after="0" w:line="163" w:lineRule="exact"/>
        <w:rPr>
          <w:sz w:val="20"/>
          <w:szCs w:val="20"/>
          <w:color w:val="auto"/>
        </w:rPr>
      </w:pPr>
    </w:p>
    <w:p>
      <w:pPr>
        <w:spacing w:after="0"/>
        <w:rPr>
          <w:sz w:val="20"/>
          <w:szCs w:val="20"/>
          <w:color w:val="auto"/>
        </w:rPr>
      </w:pPr>
      <w:r>
        <w:rPr>
          <w:rFonts w:ascii="Arial" w:cs="Arial" w:eastAsia="Arial" w:hAnsi="Arial"/>
          <w:sz w:val="17"/>
          <w:szCs w:val="17"/>
          <w:b w:val="1"/>
          <w:bCs w:val="1"/>
          <w:color w:val="666666"/>
        </w:rPr>
        <w:t>ANNUAL INCENTIVE</w:t>
      </w:r>
    </w:p>
    <w:p>
      <w:pPr>
        <w:spacing w:after="0" w:line="14" w:lineRule="exact"/>
        <w:rPr>
          <w:sz w:val="20"/>
          <w:szCs w:val="20"/>
          <w:color w:val="auto"/>
        </w:rPr>
      </w:pPr>
    </w:p>
    <w:p>
      <w:pPr>
        <w:ind w:right="220"/>
        <w:spacing w:after="0" w:line="238" w:lineRule="auto"/>
        <w:rPr>
          <w:sz w:val="20"/>
          <w:szCs w:val="20"/>
          <w:color w:val="auto"/>
        </w:rPr>
      </w:pPr>
      <w:r>
        <w:rPr>
          <w:rFonts w:ascii="Arial" w:cs="Arial" w:eastAsia="Arial" w:hAnsi="Arial"/>
          <w:sz w:val="17"/>
          <w:szCs w:val="17"/>
          <w:color w:val="auto"/>
        </w:rPr>
        <w:t>The Company’s annual incentive provides the NEOs with the opportunity to earn rewards based on the achievement of corporate performance goals established by the Compensation Committee. It is intended to focus the NEOs on specific performance goals in the current year. For the NEOs, the annual incentive is delivered through the Senior Executive Management Performance Plan (SEMPP).</w:t>
      </w:r>
    </w:p>
    <w:p>
      <w:pPr>
        <w:sectPr>
          <w:pgSz w:w="11900" w:h="16838" w:orient="portrait"/>
          <w:cols w:equalWidth="0" w:num="1">
            <w:col w:w="11420"/>
          </w:cols>
          <w:pgMar w:left="240" w:top="459" w:right="239" w:bottom="1440" w:gutter="0" w:footer="0" w:header="0"/>
        </w:sectPr>
      </w:pPr>
    </w:p>
    <w:p>
      <w:pPr>
        <w:spacing w:after="0" w:line="195" w:lineRule="exact"/>
        <w:rPr>
          <w:sz w:val="20"/>
          <w:szCs w:val="20"/>
          <w:color w:val="auto"/>
        </w:rPr>
      </w:pPr>
    </w:p>
    <w:p>
      <w:pPr>
        <w:spacing w:after="0"/>
        <w:rPr>
          <w:sz w:val="20"/>
          <w:szCs w:val="20"/>
          <w:color w:val="auto"/>
        </w:rPr>
      </w:pPr>
      <w:r>
        <w:rPr>
          <w:rFonts w:ascii="Arial" w:cs="Arial" w:eastAsia="Arial" w:hAnsi="Arial"/>
          <w:sz w:val="17"/>
          <w:szCs w:val="17"/>
          <w:color w:val="auto"/>
        </w:rPr>
        <w:t>Our SEMPP generally permits us to grant awards that may comply with</w:t>
      </w:r>
    </w:p>
    <w:p>
      <w:pPr>
        <w:spacing w:after="0" w:line="235" w:lineRule="auto"/>
        <w:rPr>
          <w:sz w:val="20"/>
          <w:szCs w:val="20"/>
          <w:color w:val="auto"/>
        </w:rPr>
      </w:pPr>
      <w:r>
        <w:rPr>
          <w:rFonts w:ascii="Arial" w:cs="Arial" w:eastAsia="Arial" w:hAnsi="Arial"/>
          <w:sz w:val="17"/>
          <w:szCs w:val="17"/>
          <w:color w:val="auto"/>
        </w:rPr>
        <w:t>Section 162(m) of the Internal Revenue Code. In order for amounts earned under this plan to qualify as “performance-based,” the Compensation Committee can exercise discretion only to reduce a calculated award under the plan formula. As a result, performance at target levels results in the plan being initially funded above the level of the Company’s broad-based annual incentive plan, the Annual Performance Award plan (APA plan). This provides the Compensation</w:t>
      </w:r>
    </w:p>
    <w:p>
      <w:pPr>
        <w:spacing w:after="0" w:line="146" w:lineRule="exact"/>
        <w:rPr>
          <w:sz w:val="20"/>
          <w:szCs w:val="20"/>
          <w:color w:val="auto"/>
        </w:rPr>
      </w:pPr>
    </w:p>
    <w:p>
      <w:pPr>
        <w:spacing w:after="0"/>
        <w:rPr>
          <w:sz w:val="20"/>
          <w:szCs w:val="20"/>
          <w:color w:val="auto"/>
        </w:rPr>
      </w:pPr>
      <w:r>
        <w:rPr>
          <w:rFonts w:ascii="Arial" w:cs="Arial" w:eastAsia="Arial" w:hAnsi="Arial"/>
          <w:sz w:val="14"/>
          <w:szCs w:val="14"/>
          <w:color w:val="auto"/>
        </w:rPr>
        <w:t>34</w:t>
      </w:r>
    </w:p>
    <w:p>
      <w:pPr>
        <w:spacing w:after="0" w:line="20" w:lineRule="exact"/>
        <w:rPr>
          <w:sz w:val="20"/>
          <w:szCs w:val="20"/>
          <w:color w:val="auto"/>
        </w:rPr>
      </w:pPr>
      <w:r>
        <w:rPr>
          <w:sz w:val="20"/>
          <w:szCs w:val="20"/>
          <w:color w:val="auto"/>
        </w:rPr>
        <w:br w:type="column"/>
      </w:r>
    </w:p>
    <w:p>
      <w:pPr>
        <w:spacing w:after="0" w:line="243"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Linking Compensation to Performance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-259715</wp:posOffset>
            </wp:positionH>
            <wp:positionV relativeFrom="paragraph">
              <wp:posOffset>-158115</wp:posOffset>
            </wp:positionV>
            <wp:extent cx="3181350" cy="840740"/>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24">
                      <a:extLst>
                        <a:ext uri="{28A0092B-C50C-407E-A947-70E740481C1C}"/>
                      </a:extLst>
                    </a:blip>
                    <a:srcRect/>
                    <a:stretch>
                      <a:fillRect/>
                    </a:stretch>
                  </pic:blipFill>
                  <pic:spPr bwMode="auto">
                    <a:xfrm>
                      <a:off x="0" y="0"/>
                      <a:ext cx="3181350" cy="840740"/>
                    </a:xfrm>
                    <a:prstGeom prst="rect">
                      <a:avLst/>
                    </a:prstGeom>
                    <a:noFill/>
                  </pic:spPr>
                </pic:pic>
              </a:graphicData>
            </a:graphic>
          </wp:anchor>
        </w:drawing>
      </w:r>
    </w:p>
    <w:p>
      <w:pPr>
        <w:ind w:right="260"/>
        <w:spacing w:after="0" w:line="236" w:lineRule="auto"/>
        <w:rPr>
          <w:sz w:val="20"/>
          <w:szCs w:val="20"/>
          <w:color w:val="auto"/>
        </w:rPr>
      </w:pPr>
      <w:r>
        <w:rPr>
          <w:rFonts w:ascii="Arial" w:cs="Arial" w:eastAsia="Arial" w:hAnsi="Arial"/>
          <w:sz w:val="17"/>
          <w:szCs w:val="17"/>
          <w:color w:val="auto"/>
        </w:rPr>
        <w:t>The Compensation Committee established corporate EBIT/BIC as the primary performance measure under the annual incentive plan because it believes this measure is closely correlated with the creation of shareholder value.</w:t>
      </w:r>
    </w:p>
    <w:p>
      <w:pPr>
        <w:sectPr>
          <w:pgSz w:w="11900" w:h="16838" w:orient="portrait"/>
          <w:cols w:equalWidth="0" w:num="2">
            <w:col w:w="6220" w:space="600"/>
            <w:col w:w="4600"/>
          </w:cols>
          <w:pgMar w:left="240" w:top="459" w:right="239" w:bottom="1440" w:gutter="0" w:footer="0" w:header="0"/>
          <w:type w:val="continuous"/>
        </w:sectPr>
      </w:pPr>
    </w:p>
    <w:bookmarkStart w:id="40" w:name="page41"/>
    <w:bookmarkEnd w:id="4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25">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2715260</wp:posOffset>
            </wp:positionH>
            <wp:positionV relativeFrom="paragraph">
              <wp:posOffset>205740</wp:posOffset>
            </wp:positionV>
            <wp:extent cx="1826895" cy="205740"/>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26">
                      <a:extLst>
                        <a:ext uri="{28A0092B-C50C-407E-A947-70E740481C1C}"/>
                      </a:extLst>
                    </a:blip>
                    <a:srcRect/>
                    <a:stretch>
                      <a:fillRect/>
                    </a:stretch>
                  </pic:blipFill>
                  <pic:spPr bwMode="auto">
                    <a:xfrm>
                      <a:off x="0" y="0"/>
                      <a:ext cx="1826895" cy="20574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70" w:lineRule="exact"/>
        <w:rPr>
          <w:sz w:val="20"/>
          <w:szCs w:val="20"/>
          <w:color w:val="auto"/>
        </w:rPr>
      </w:pPr>
    </w:p>
    <w:p>
      <w:pPr>
        <w:ind w:right="160"/>
        <w:spacing w:after="0" w:line="238" w:lineRule="auto"/>
        <w:rPr>
          <w:sz w:val="20"/>
          <w:szCs w:val="20"/>
          <w:color w:val="auto"/>
        </w:rPr>
      </w:pPr>
      <w:r>
        <w:rPr>
          <w:rFonts w:ascii="Arial" w:cs="Arial" w:eastAsia="Arial" w:hAnsi="Arial"/>
          <w:sz w:val="17"/>
          <w:szCs w:val="17"/>
          <w:color w:val="auto"/>
        </w:rPr>
        <w:t>Committee with the ability to set the payout under the SEMPP consistent with payouts under the APA plan. Actual awards for the NEOs are comparable with the awards made to other annual incentive plan participants under the APA plan, while providing the Committee with the flexibility to pay up to the funded level if performance warrants.</w:t>
      </w:r>
    </w:p>
    <w:p>
      <w:pPr>
        <w:spacing w:after="0" w:line="175" w:lineRule="exact"/>
        <w:rPr>
          <w:sz w:val="20"/>
          <w:szCs w:val="20"/>
          <w:color w:val="auto"/>
        </w:rPr>
      </w:pPr>
    </w:p>
    <w:p>
      <w:pPr>
        <w:ind w:right="180"/>
        <w:spacing w:after="0" w:line="236" w:lineRule="auto"/>
        <w:rPr>
          <w:sz w:val="20"/>
          <w:szCs w:val="20"/>
          <w:color w:val="auto"/>
        </w:rPr>
      </w:pPr>
      <w:r>
        <w:rPr>
          <w:rFonts w:ascii="Arial" w:cs="Arial" w:eastAsia="Arial" w:hAnsi="Arial"/>
          <w:sz w:val="17"/>
          <w:szCs w:val="17"/>
          <w:color w:val="auto"/>
        </w:rPr>
        <w:t>For 2015, the SEMPP provided the CEO a target award opportunity of 120% of base salary. The SEMPP provided the other NEOs a target award opportunity of 55% to 65% of base salary. Target award opportunity levels for the NEOs were determined by the Compensation Committee based on external surveys of practices for positions with similar levels of responsibility. The actual awards could be higher or lower than the target opportunity based on the results for each performance measure and the extent to which the Compensation Committee uses discretion to reduce the awards.</w:t>
      </w:r>
    </w:p>
    <w:p>
      <w:pPr>
        <w:spacing w:after="0" w:line="143"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2015 Annual Performance Award Decisions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89535</wp:posOffset>
            </wp:positionV>
            <wp:extent cx="7246620" cy="2101215"/>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27">
                      <a:extLst>
                        <a:ext uri="{28A0092B-C50C-407E-A947-70E740481C1C}"/>
                      </a:extLst>
                    </a:blip>
                    <a:srcRect/>
                    <a:stretch>
                      <a:fillRect/>
                    </a:stretch>
                  </pic:blipFill>
                  <pic:spPr bwMode="auto">
                    <a:xfrm>
                      <a:off x="0" y="0"/>
                      <a:ext cx="7246620" cy="2101215"/>
                    </a:xfrm>
                    <a:prstGeom prst="rect">
                      <a:avLst/>
                    </a:prstGeom>
                    <a:noFill/>
                  </pic:spPr>
                </pic:pic>
              </a:graphicData>
            </a:graphic>
          </wp:anchor>
        </w:drawing>
      </w:r>
    </w:p>
    <w:p>
      <w:pPr>
        <w:spacing w:after="0" w:line="176" w:lineRule="exact"/>
        <w:rPr>
          <w:sz w:val="20"/>
          <w:szCs w:val="20"/>
          <w:color w:val="auto"/>
        </w:rPr>
      </w:pPr>
    </w:p>
    <w:p>
      <w:pPr>
        <w:ind w:left="180"/>
        <w:spacing w:after="0"/>
        <w:rPr>
          <w:sz w:val="20"/>
          <w:szCs w:val="20"/>
          <w:color w:val="auto"/>
        </w:rPr>
      </w:pPr>
      <w:r>
        <w:rPr>
          <w:rFonts w:ascii="Arial" w:cs="Arial" w:eastAsia="Arial" w:hAnsi="Arial"/>
          <w:sz w:val="17"/>
          <w:szCs w:val="17"/>
          <w:b w:val="1"/>
          <w:bCs w:val="1"/>
          <w:color w:val="auto"/>
        </w:rPr>
        <w:t>Aligning Executive Annual Incentives with Company-wide Annual Performance Award Incentive Plan</w:t>
      </w:r>
    </w:p>
    <w:p>
      <w:pPr>
        <w:spacing w:after="0" w:line="14" w:lineRule="exact"/>
        <w:rPr>
          <w:sz w:val="20"/>
          <w:szCs w:val="20"/>
          <w:color w:val="auto"/>
        </w:rPr>
      </w:pPr>
    </w:p>
    <w:p>
      <w:pPr>
        <w:ind w:left="180"/>
        <w:spacing w:after="0" w:line="236" w:lineRule="auto"/>
        <w:rPr>
          <w:sz w:val="20"/>
          <w:szCs w:val="20"/>
          <w:color w:val="auto"/>
        </w:rPr>
      </w:pPr>
      <w:r>
        <w:rPr>
          <w:rFonts w:ascii="Arial" w:cs="Arial" w:eastAsia="Arial" w:hAnsi="Arial"/>
          <w:sz w:val="17"/>
          <w:szCs w:val="17"/>
          <w:color w:val="auto"/>
        </w:rPr>
        <w:t>Like all salaried TimkenSteel employees, our NEOs have the opportunity to receive an annual incentive award for meeting and exceeding a series of individual and collective performance targets over the course of the year. While the SEMPP is the overarching plan in which the executives participate, the payouts from this plan are calculated consistently with payouts associated with the Company-wide APA plan that covers all salaried employees. APA and SEMPP payouts are determined by the following factors:</w:t>
      </w:r>
    </w:p>
    <w:p>
      <w:pPr>
        <w:spacing w:after="0" w:line="190" w:lineRule="exact"/>
        <w:rPr>
          <w:sz w:val="20"/>
          <w:szCs w:val="20"/>
          <w:color w:val="auto"/>
        </w:rPr>
      </w:pPr>
    </w:p>
    <w:p>
      <w:pPr>
        <w:ind w:left="180"/>
        <w:spacing w:after="0"/>
        <w:rPr>
          <w:sz w:val="20"/>
          <w:szCs w:val="20"/>
          <w:color w:val="auto"/>
        </w:rPr>
      </w:pPr>
      <w:r>
        <w:rPr>
          <w:rFonts w:ascii="Arial" w:cs="Arial" w:eastAsia="Arial" w:hAnsi="Arial"/>
          <w:sz w:val="17"/>
          <w:szCs w:val="17"/>
          <w:color w:val="auto"/>
        </w:rPr>
        <w:t>•Earnings measured by EBIT/BIC;</w:t>
      </w:r>
    </w:p>
    <w:p>
      <w:pPr>
        <w:spacing w:after="0" w:line="196" w:lineRule="exact"/>
        <w:rPr>
          <w:sz w:val="20"/>
          <w:szCs w:val="20"/>
          <w:color w:val="auto"/>
        </w:rPr>
      </w:pPr>
    </w:p>
    <w:p>
      <w:pPr>
        <w:ind w:left="180"/>
        <w:spacing w:after="0"/>
        <w:rPr>
          <w:sz w:val="20"/>
          <w:szCs w:val="20"/>
          <w:color w:val="auto"/>
        </w:rPr>
      </w:pPr>
      <w:r>
        <w:rPr>
          <w:rFonts w:ascii="Arial" w:cs="Arial" w:eastAsia="Arial" w:hAnsi="Arial"/>
          <w:sz w:val="17"/>
          <w:szCs w:val="17"/>
          <w:color w:val="auto"/>
        </w:rPr>
        <w:t>•Working capital management measured by working capital as a percentage of sales;</w:t>
      </w:r>
    </w:p>
    <w:p>
      <w:pPr>
        <w:spacing w:after="0" w:line="196" w:lineRule="exact"/>
        <w:rPr>
          <w:sz w:val="20"/>
          <w:szCs w:val="20"/>
          <w:color w:val="auto"/>
        </w:rPr>
      </w:pPr>
    </w:p>
    <w:p>
      <w:pPr>
        <w:ind w:left="180"/>
        <w:spacing w:after="0"/>
        <w:rPr>
          <w:sz w:val="20"/>
          <w:szCs w:val="20"/>
          <w:color w:val="auto"/>
        </w:rPr>
      </w:pPr>
      <w:r>
        <w:rPr>
          <w:rFonts w:ascii="Arial" w:cs="Arial" w:eastAsia="Arial" w:hAnsi="Arial"/>
          <w:sz w:val="17"/>
          <w:szCs w:val="17"/>
          <w:color w:val="auto"/>
        </w:rPr>
        <w:t>•New business sales; and</w:t>
      </w:r>
    </w:p>
    <w:p>
      <w:pPr>
        <w:spacing w:after="0" w:line="196" w:lineRule="exact"/>
        <w:rPr>
          <w:sz w:val="20"/>
          <w:szCs w:val="20"/>
          <w:color w:val="auto"/>
        </w:rPr>
      </w:pPr>
    </w:p>
    <w:p>
      <w:pPr>
        <w:ind w:left="180"/>
        <w:spacing w:after="0"/>
        <w:rPr>
          <w:sz w:val="20"/>
          <w:szCs w:val="20"/>
          <w:color w:val="auto"/>
        </w:rPr>
      </w:pPr>
      <w:r>
        <w:rPr>
          <w:rFonts w:ascii="Arial" w:cs="Arial" w:eastAsia="Arial" w:hAnsi="Arial"/>
          <w:sz w:val="17"/>
          <w:szCs w:val="17"/>
          <w:color w:val="auto"/>
        </w:rPr>
        <w:t>•Individual performance.</w:t>
      </w:r>
    </w:p>
    <w:p>
      <w:pPr>
        <w:spacing w:after="0" w:line="196" w:lineRule="exact"/>
        <w:rPr>
          <w:sz w:val="20"/>
          <w:szCs w:val="20"/>
          <w:color w:val="auto"/>
        </w:rPr>
      </w:pPr>
    </w:p>
    <w:p>
      <w:pPr>
        <w:ind w:left="180" w:right="340"/>
        <w:spacing w:after="0" w:line="243" w:lineRule="auto"/>
        <w:rPr>
          <w:sz w:val="20"/>
          <w:szCs w:val="20"/>
          <w:color w:val="auto"/>
        </w:rPr>
      </w:pPr>
      <w:r>
        <w:rPr>
          <w:rFonts w:ascii="Arial" w:cs="Arial" w:eastAsia="Arial" w:hAnsi="Arial"/>
          <w:sz w:val="17"/>
          <w:szCs w:val="17"/>
          <w:color w:val="auto"/>
        </w:rPr>
        <w:t>The degree of achievement of these goals is used by the Compensation Committee to determine if and how to apply negative discretion to NEO bonuses as calculated under the SEMPP.</w:t>
      </w:r>
    </w:p>
    <w:p>
      <w:pPr>
        <w:spacing w:after="0" w:line="277" w:lineRule="exact"/>
        <w:rPr>
          <w:sz w:val="20"/>
          <w:szCs w:val="20"/>
          <w:color w:val="auto"/>
        </w:rPr>
      </w:pPr>
    </w:p>
    <w:p>
      <w:pPr>
        <w:ind w:left="11180"/>
        <w:spacing w:after="0"/>
        <w:rPr>
          <w:sz w:val="20"/>
          <w:szCs w:val="20"/>
          <w:color w:val="auto"/>
        </w:rPr>
      </w:pPr>
      <w:r>
        <w:rPr>
          <w:rFonts w:ascii="Arial" w:cs="Arial" w:eastAsia="Arial" w:hAnsi="Arial"/>
          <w:sz w:val="14"/>
          <w:szCs w:val="14"/>
          <w:color w:val="auto"/>
        </w:rPr>
        <w:t>35</w:t>
      </w:r>
    </w:p>
    <w:p>
      <w:pPr>
        <w:sectPr>
          <w:pgSz w:w="11900" w:h="16838" w:orient="portrait"/>
          <w:cols w:equalWidth="0" w:num="1">
            <w:col w:w="11400"/>
          </w:cols>
          <w:pgMar w:left="240" w:top="459" w:right="259" w:bottom="1440" w:gutter="0" w:footer="0" w:header="0"/>
        </w:sectPr>
      </w:pPr>
    </w:p>
    <w:bookmarkStart w:id="41" w:name="page42"/>
    <w:bookmarkEnd w:id="4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28">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3109595</wp:posOffset>
            </wp:positionH>
            <wp:positionV relativeFrom="paragraph">
              <wp:posOffset>205740</wp:posOffset>
            </wp:positionV>
            <wp:extent cx="1046480" cy="205740"/>
            <wp:wrapNone/>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29">
                      <a:extLst>
                        <a:ext uri="{28A0092B-C50C-407E-A947-70E740481C1C}"/>
                      </a:extLst>
                    </a:blip>
                    <a:srcRect/>
                    <a:stretch>
                      <a:fillRect/>
                    </a:stretch>
                  </pic:blipFill>
                  <pic:spPr bwMode="auto">
                    <a:xfrm>
                      <a:off x="0" y="0"/>
                      <a:ext cx="1046480" cy="20574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70" w:lineRule="exact"/>
        <w:rPr>
          <w:sz w:val="20"/>
          <w:szCs w:val="20"/>
          <w:color w:val="auto"/>
        </w:rPr>
      </w:pPr>
    </w:p>
    <w:p>
      <w:pPr>
        <w:spacing w:after="0"/>
        <w:rPr>
          <w:sz w:val="20"/>
          <w:szCs w:val="20"/>
          <w:color w:val="auto"/>
        </w:rPr>
      </w:pPr>
      <w:r>
        <w:rPr>
          <w:rFonts w:ascii="Arial" w:cs="Arial" w:eastAsia="Arial" w:hAnsi="Arial"/>
          <w:sz w:val="17"/>
          <w:szCs w:val="17"/>
          <w:color w:val="auto"/>
        </w:rPr>
        <w:t>The following charts show performance targets, actual performance levels and actual payouts for the 2015 APA plan: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1840230</wp:posOffset>
            </wp:positionH>
            <wp:positionV relativeFrom="paragraph">
              <wp:posOffset>76835</wp:posOffset>
            </wp:positionV>
            <wp:extent cx="3584575" cy="3413125"/>
            <wp:wrapNone/>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30">
                      <a:extLst>
                        <a:ext uri="{28A0092B-C50C-407E-A947-70E740481C1C}"/>
                      </a:extLst>
                    </a:blip>
                    <a:srcRect/>
                    <a:stretch>
                      <a:fillRect/>
                    </a:stretch>
                  </pic:blipFill>
                  <pic:spPr bwMode="auto">
                    <a:xfrm>
                      <a:off x="0" y="0"/>
                      <a:ext cx="3584575" cy="341312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4" w:lineRule="exact"/>
        <w:rPr>
          <w:sz w:val="20"/>
          <w:szCs w:val="20"/>
          <w:color w:val="auto"/>
        </w:rPr>
      </w:pPr>
    </w:p>
    <w:tbl>
      <w:tblPr>
        <w:tblLayout w:type="fixed"/>
        <w:tblInd w:w="1840" w:type="dxa"/>
        <w:tblCellMar>
          <w:top w:w="0" w:type="dxa"/>
          <w:left w:w="0" w:type="dxa"/>
          <w:bottom w:w="0" w:type="dxa"/>
          <w:right w:w="0" w:type="dxa"/>
        </w:tblCellMar>
      </w:tblPr>
      <w:tr>
        <w:trPr>
          <w:trHeight w:val="161"/>
        </w:trPr>
        <w:tc>
          <w:tcPr>
            <w:tcW w:w="2220" w:type="dxa"/>
            <w:vAlign w:val="bottom"/>
          </w:tcPr>
          <w:p>
            <w:pPr>
              <w:jc w:val="right"/>
              <w:ind w:right="368"/>
              <w:spacing w:after="0"/>
              <w:rPr>
                <w:sz w:val="20"/>
                <w:szCs w:val="20"/>
                <w:color w:val="auto"/>
              </w:rPr>
            </w:pPr>
            <w:r>
              <w:rPr>
                <w:rFonts w:ascii="Arial" w:cs="Arial" w:eastAsia="Arial" w:hAnsi="Arial"/>
                <w:sz w:val="14"/>
                <w:szCs w:val="14"/>
                <w:color w:val="auto"/>
              </w:rPr>
              <w:t>Weighting</w:t>
            </w:r>
          </w:p>
        </w:tc>
        <w:tc>
          <w:tcPr>
            <w:tcW w:w="2000" w:type="dxa"/>
            <w:vAlign w:val="bottom"/>
          </w:tcPr>
          <w:p>
            <w:pPr>
              <w:jc w:val="center"/>
              <w:ind w:right="190"/>
              <w:spacing w:after="0"/>
              <w:rPr>
                <w:sz w:val="20"/>
                <w:szCs w:val="20"/>
                <w:color w:val="auto"/>
              </w:rPr>
            </w:pPr>
            <w:r>
              <w:rPr>
                <w:rFonts w:ascii="Arial" w:cs="Arial" w:eastAsia="Arial" w:hAnsi="Arial"/>
                <w:sz w:val="13"/>
                <w:szCs w:val="13"/>
                <w:b w:val="1"/>
                <w:bCs w:val="1"/>
                <w:color w:val="auto"/>
                <w:w w:val="99"/>
              </w:rPr>
              <w:t>70%</w:t>
            </w:r>
          </w:p>
        </w:tc>
        <w:tc>
          <w:tcPr>
            <w:tcW w:w="1920" w:type="dxa"/>
            <w:vAlign w:val="bottom"/>
          </w:tcPr>
          <w:p>
            <w:pPr>
              <w:jc w:val="center"/>
              <w:ind w:right="11"/>
              <w:spacing w:after="0"/>
              <w:rPr>
                <w:sz w:val="20"/>
                <w:szCs w:val="20"/>
                <w:color w:val="auto"/>
              </w:rPr>
            </w:pPr>
            <w:r>
              <w:rPr>
                <w:rFonts w:ascii="Arial" w:cs="Arial" w:eastAsia="Arial" w:hAnsi="Arial"/>
                <w:sz w:val="13"/>
                <w:szCs w:val="13"/>
                <w:b w:val="1"/>
                <w:bCs w:val="1"/>
                <w:color w:val="auto"/>
                <w:w w:val="92"/>
              </w:rPr>
              <w:t>15%</w:t>
            </w:r>
          </w:p>
        </w:tc>
        <w:tc>
          <w:tcPr>
            <w:tcW w:w="1620" w:type="dxa"/>
            <w:vAlign w:val="bottom"/>
          </w:tcPr>
          <w:p>
            <w:pPr>
              <w:jc w:val="center"/>
              <w:ind w:left="371"/>
              <w:spacing w:after="0"/>
              <w:rPr>
                <w:sz w:val="20"/>
                <w:szCs w:val="20"/>
                <w:color w:val="auto"/>
              </w:rPr>
            </w:pPr>
            <w:r>
              <w:rPr>
                <w:rFonts w:ascii="Arial" w:cs="Arial" w:eastAsia="Arial" w:hAnsi="Arial"/>
                <w:sz w:val="13"/>
                <w:szCs w:val="13"/>
                <w:b w:val="1"/>
                <w:bCs w:val="1"/>
                <w:color w:val="auto"/>
                <w:w w:val="99"/>
              </w:rPr>
              <w:t>15%</w:t>
            </w:r>
          </w:p>
        </w:tc>
      </w:tr>
      <w:tr>
        <w:trPr>
          <w:trHeight w:val="162"/>
        </w:trPr>
        <w:tc>
          <w:tcPr>
            <w:tcW w:w="2220" w:type="dxa"/>
            <w:vAlign w:val="bottom"/>
            <w:shd w:val="clear" w:color="auto" w:fill="CCEEFF"/>
          </w:tcPr>
          <w:p>
            <w:pPr>
              <w:jc w:val="right"/>
              <w:ind w:right="368"/>
              <w:spacing w:after="0"/>
              <w:rPr>
                <w:sz w:val="20"/>
                <w:szCs w:val="20"/>
                <w:color w:val="auto"/>
              </w:rPr>
            </w:pPr>
            <w:r>
              <w:rPr>
                <w:rFonts w:ascii="Arial" w:cs="Arial" w:eastAsia="Arial" w:hAnsi="Arial"/>
                <w:sz w:val="14"/>
                <w:szCs w:val="14"/>
                <w:color w:val="auto"/>
              </w:rPr>
              <w:t>Performance Target</w:t>
            </w:r>
          </w:p>
        </w:tc>
        <w:tc>
          <w:tcPr>
            <w:tcW w:w="2000" w:type="dxa"/>
            <w:vAlign w:val="bottom"/>
            <w:shd w:val="clear" w:color="auto" w:fill="CCEEFF"/>
          </w:tcPr>
          <w:p>
            <w:pPr>
              <w:jc w:val="center"/>
              <w:ind w:right="210"/>
              <w:spacing w:after="0"/>
              <w:rPr>
                <w:sz w:val="20"/>
                <w:szCs w:val="20"/>
                <w:color w:val="auto"/>
              </w:rPr>
            </w:pPr>
            <w:r>
              <w:rPr>
                <w:rFonts w:ascii="Arial" w:cs="Arial" w:eastAsia="Arial" w:hAnsi="Arial"/>
                <w:sz w:val="14"/>
                <w:szCs w:val="14"/>
                <w:color w:val="auto"/>
              </w:rPr>
              <w:t>8.4%</w:t>
            </w:r>
          </w:p>
        </w:tc>
        <w:tc>
          <w:tcPr>
            <w:tcW w:w="1920" w:type="dxa"/>
            <w:vAlign w:val="bottom"/>
            <w:shd w:val="clear" w:color="auto" w:fill="CCEEFF"/>
          </w:tcPr>
          <w:p>
            <w:pPr>
              <w:jc w:val="center"/>
              <w:ind w:right="11"/>
              <w:spacing w:after="0"/>
              <w:rPr>
                <w:sz w:val="20"/>
                <w:szCs w:val="20"/>
                <w:color w:val="auto"/>
              </w:rPr>
            </w:pPr>
            <w:r>
              <w:rPr>
                <w:rFonts w:ascii="Arial" w:cs="Arial" w:eastAsia="Arial" w:hAnsi="Arial"/>
                <w:sz w:val="14"/>
                <w:szCs w:val="14"/>
                <w:color w:val="auto"/>
              </w:rPr>
              <w:t>22.3%</w:t>
            </w:r>
          </w:p>
        </w:tc>
        <w:tc>
          <w:tcPr>
            <w:tcW w:w="1620" w:type="dxa"/>
            <w:vAlign w:val="bottom"/>
            <w:shd w:val="clear" w:color="auto" w:fill="CCEEFF"/>
          </w:tcPr>
          <w:p>
            <w:pPr>
              <w:jc w:val="center"/>
              <w:ind w:left="351"/>
              <w:spacing w:after="0"/>
              <w:rPr>
                <w:sz w:val="20"/>
                <w:szCs w:val="20"/>
                <w:color w:val="auto"/>
              </w:rPr>
            </w:pPr>
            <w:r>
              <w:rPr>
                <w:rFonts w:ascii="Arial" w:cs="Arial" w:eastAsia="Arial" w:hAnsi="Arial"/>
                <w:sz w:val="14"/>
                <w:szCs w:val="14"/>
                <w:color w:val="auto"/>
              </w:rPr>
              <w:t>$250M</w:t>
            </w:r>
          </w:p>
        </w:tc>
      </w:tr>
      <w:tr>
        <w:trPr>
          <w:trHeight w:val="162"/>
        </w:trPr>
        <w:tc>
          <w:tcPr>
            <w:tcW w:w="2220" w:type="dxa"/>
            <w:vAlign w:val="bottom"/>
          </w:tcPr>
          <w:p>
            <w:pPr>
              <w:jc w:val="right"/>
              <w:ind w:right="368"/>
              <w:spacing w:after="0"/>
              <w:rPr>
                <w:sz w:val="20"/>
                <w:szCs w:val="20"/>
                <w:color w:val="auto"/>
              </w:rPr>
            </w:pPr>
            <w:r>
              <w:rPr>
                <w:rFonts w:ascii="Arial" w:cs="Arial" w:eastAsia="Arial" w:hAnsi="Arial"/>
                <w:sz w:val="14"/>
                <w:szCs w:val="14"/>
                <w:b w:val="1"/>
                <w:bCs w:val="1"/>
                <w:color w:val="auto"/>
              </w:rPr>
              <w:t>Actual Result</w:t>
            </w:r>
          </w:p>
        </w:tc>
        <w:tc>
          <w:tcPr>
            <w:tcW w:w="2000" w:type="dxa"/>
            <w:vAlign w:val="bottom"/>
          </w:tcPr>
          <w:p>
            <w:pPr>
              <w:jc w:val="center"/>
              <w:ind w:right="190"/>
              <w:spacing w:after="0"/>
              <w:rPr>
                <w:sz w:val="20"/>
                <w:szCs w:val="20"/>
                <w:color w:val="auto"/>
              </w:rPr>
            </w:pPr>
            <w:r>
              <w:rPr>
                <w:rFonts w:ascii="Arial" w:cs="Arial" w:eastAsia="Arial" w:hAnsi="Arial"/>
                <w:sz w:val="14"/>
                <w:szCs w:val="14"/>
                <w:b w:val="1"/>
                <w:bCs w:val="1"/>
                <w:color w:val="auto"/>
              </w:rPr>
              <w:t>-10.1%</w:t>
            </w:r>
          </w:p>
        </w:tc>
        <w:tc>
          <w:tcPr>
            <w:tcW w:w="1920" w:type="dxa"/>
            <w:vAlign w:val="bottom"/>
          </w:tcPr>
          <w:p>
            <w:pPr>
              <w:jc w:val="center"/>
              <w:ind w:right="11"/>
              <w:spacing w:after="0"/>
              <w:rPr>
                <w:sz w:val="20"/>
                <w:szCs w:val="20"/>
                <w:color w:val="auto"/>
              </w:rPr>
            </w:pPr>
            <w:r>
              <w:rPr>
                <w:rFonts w:ascii="Arial" w:cs="Arial" w:eastAsia="Arial" w:hAnsi="Arial"/>
                <w:sz w:val="14"/>
                <w:szCs w:val="14"/>
                <w:b w:val="1"/>
                <w:bCs w:val="1"/>
                <w:color w:val="auto"/>
              </w:rPr>
              <w:t>27.2%</w:t>
            </w:r>
          </w:p>
        </w:tc>
        <w:tc>
          <w:tcPr>
            <w:tcW w:w="1620" w:type="dxa"/>
            <w:vAlign w:val="bottom"/>
          </w:tcPr>
          <w:p>
            <w:pPr>
              <w:jc w:val="center"/>
              <w:ind w:left="351"/>
              <w:spacing w:after="0"/>
              <w:rPr>
                <w:sz w:val="20"/>
                <w:szCs w:val="20"/>
                <w:color w:val="auto"/>
              </w:rPr>
            </w:pPr>
            <w:r>
              <w:rPr>
                <w:rFonts w:ascii="Arial" w:cs="Arial" w:eastAsia="Arial" w:hAnsi="Arial"/>
                <w:sz w:val="14"/>
                <w:szCs w:val="14"/>
                <w:b w:val="1"/>
                <w:bCs w:val="1"/>
                <w:color w:val="auto"/>
              </w:rPr>
              <w:t>$255M</w:t>
            </w:r>
          </w:p>
        </w:tc>
      </w:tr>
      <w:tr>
        <w:trPr>
          <w:trHeight w:val="167"/>
        </w:trPr>
        <w:tc>
          <w:tcPr>
            <w:tcW w:w="2220" w:type="dxa"/>
            <w:vAlign w:val="bottom"/>
            <w:shd w:val="clear" w:color="auto" w:fill="CCEEFF"/>
          </w:tcPr>
          <w:p>
            <w:pPr>
              <w:spacing w:after="0"/>
              <w:rPr>
                <w:sz w:val="14"/>
                <w:szCs w:val="14"/>
                <w:color w:val="auto"/>
              </w:rPr>
            </w:pPr>
          </w:p>
        </w:tc>
        <w:tc>
          <w:tcPr>
            <w:tcW w:w="2000" w:type="dxa"/>
            <w:vAlign w:val="bottom"/>
            <w:shd w:val="clear" w:color="auto" w:fill="CCEEFF"/>
          </w:tcPr>
          <w:p>
            <w:pPr>
              <w:jc w:val="center"/>
              <w:ind w:right="210"/>
              <w:spacing w:after="0"/>
              <w:rPr>
                <w:sz w:val="20"/>
                <w:szCs w:val="20"/>
                <w:color w:val="auto"/>
              </w:rPr>
            </w:pPr>
            <w:r>
              <w:rPr>
                <w:rFonts w:ascii="Arial" w:cs="Arial" w:eastAsia="Arial" w:hAnsi="Arial"/>
                <w:sz w:val="14"/>
                <w:szCs w:val="14"/>
                <w:color w:val="auto"/>
              </w:rPr>
              <w:t>Below Circuit</w:t>
            </w:r>
          </w:p>
        </w:tc>
        <w:tc>
          <w:tcPr>
            <w:tcW w:w="1920" w:type="dxa"/>
            <w:vAlign w:val="bottom"/>
            <w:shd w:val="clear" w:color="auto" w:fill="CCEEFF"/>
          </w:tcPr>
          <w:p>
            <w:pPr>
              <w:spacing w:after="0"/>
              <w:rPr>
                <w:sz w:val="14"/>
                <w:szCs w:val="14"/>
                <w:color w:val="auto"/>
              </w:rPr>
            </w:pPr>
          </w:p>
        </w:tc>
        <w:tc>
          <w:tcPr>
            <w:tcW w:w="1620" w:type="dxa"/>
            <w:vAlign w:val="bottom"/>
            <w:shd w:val="clear" w:color="auto" w:fill="CCEEFF"/>
          </w:tcPr>
          <w:p>
            <w:pPr>
              <w:spacing w:after="0"/>
              <w:rPr>
                <w:sz w:val="14"/>
                <w:szCs w:val="14"/>
                <w:color w:val="auto"/>
              </w:rPr>
            </w:pPr>
          </w:p>
        </w:tc>
      </w:tr>
      <w:tr>
        <w:trPr>
          <w:trHeight w:val="157"/>
        </w:trPr>
        <w:tc>
          <w:tcPr>
            <w:tcW w:w="2220" w:type="dxa"/>
            <w:vAlign w:val="bottom"/>
            <w:shd w:val="clear" w:color="auto" w:fill="CCEEFF"/>
          </w:tcPr>
          <w:p>
            <w:pPr>
              <w:spacing w:after="0"/>
              <w:rPr>
                <w:sz w:val="13"/>
                <w:szCs w:val="13"/>
                <w:color w:val="auto"/>
              </w:rPr>
            </w:pPr>
          </w:p>
        </w:tc>
        <w:tc>
          <w:tcPr>
            <w:tcW w:w="2000" w:type="dxa"/>
            <w:vAlign w:val="bottom"/>
            <w:shd w:val="clear" w:color="auto" w:fill="CCEEFF"/>
          </w:tcPr>
          <w:p>
            <w:pPr>
              <w:jc w:val="center"/>
              <w:ind w:right="210"/>
              <w:spacing w:after="0" w:line="157" w:lineRule="exact"/>
              <w:rPr>
                <w:sz w:val="20"/>
                <w:szCs w:val="20"/>
                <w:color w:val="auto"/>
              </w:rPr>
            </w:pPr>
            <w:r>
              <w:rPr>
                <w:rFonts w:ascii="Arial" w:cs="Arial" w:eastAsia="Arial" w:hAnsi="Arial"/>
                <w:sz w:val="14"/>
                <w:szCs w:val="14"/>
                <w:color w:val="auto"/>
              </w:rPr>
              <w:t>Breader</w:t>
            </w:r>
          </w:p>
        </w:tc>
        <w:tc>
          <w:tcPr>
            <w:tcW w:w="1920" w:type="dxa"/>
            <w:vAlign w:val="bottom"/>
            <w:shd w:val="clear" w:color="auto" w:fill="CCEEFF"/>
          </w:tcPr>
          <w:p>
            <w:pPr>
              <w:spacing w:after="0"/>
              <w:rPr>
                <w:sz w:val="13"/>
                <w:szCs w:val="13"/>
                <w:color w:val="auto"/>
              </w:rPr>
            </w:pPr>
          </w:p>
        </w:tc>
        <w:tc>
          <w:tcPr>
            <w:tcW w:w="1620" w:type="dxa"/>
            <w:vAlign w:val="bottom"/>
            <w:shd w:val="clear" w:color="auto" w:fill="CCEEFF"/>
          </w:tcPr>
          <w:p>
            <w:pPr>
              <w:spacing w:after="0"/>
              <w:rPr>
                <w:sz w:val="13"/>
                <w:szCs w:val="13"/>
                <w:color w:val="auto"/>
              </w:rPr>
            </w:pPr>
          </w:p>
        </w:tc>
      </w:tr>
    </w:tbl>
    <w:p>
      <w:pPr>
        <w:spacing w:after="0" w:line="183" w:lineRule="exact"/>
        <w:rPr>
          <w:sz w:val="20"/>
          <w:szCs w:val="20"/>
          <w:color w:val="auto"/>
        </w:rPr>
      </w:pPr>
    </w:p>
    <w:p>
      <w:pPr>
        <w:spacing w:after="0" w:line="234" w:lineRule="auto"/>
        <w:rPr>
          <w:sz w:val="20"/>
          <w:szCs w:val="20"/>
          <w:color w:val="auto"/>
        </w:rPr>
      </w:pPr>
      <w:r>
        <w:rPr>
          <w:rFonts w:ascii="Arial" w:cs="Arial" w:eastAsia="Arial" w:hAnsi="Arial"/>
          <w:sz w:val="17"/>
          <w:szCs w:val="17"/>
          <w:color w:val="auto"/>
        </w:rPr>
        <w:t>As noted above, payouts under the SEMPP are determined and calculated consistently with payouts under the APA Plan. Accordingly, for the 2015 SEMPP, the following performance measures were applied: (1) corporate EBIT/BIC (calculated to exclude the effects of acquisitions and divestitures above $50 million in size, changes in tax laws or accounting principles, non-cash impairments, non-budgeted restructuring actions, changes in other comprehensive income and any amounts received under the U.S. Continued Dumping and Subsidy Offset Act); and (2) working capital as a percentage of sales. Corporate EBIT/BIC constituted 70% of the total award calculation and working capital as a percentage of sales constituted 30%. As reflected in the APA table above, actual performance on the EBIT/BIC measure was below threshold for 2015, working capital was slightly above threshold (unfavorable), and the circuit breaker established for the plan (below which no payout may be made) of 3.4% EBIT/BIC was not achieved. As a result, the Senior Executive Management Performance Plan was not funded for 2015 and no payouts were made.</w:t>
      </w:r>
    </w:p>
    <w:p>
      <w:pPr>
        <w:spacing w:after="0" w:line="143" w:lineRule="exact"/>
        <w:rPr>
          <w:sz w:val="20"/>
          <w:szCs w:val="20"/>
          <w:color w:val="auto"/>
        </w:rPr>
      </w:pPr>
    </w:p>
    <w:p>
      <w:pPr>
        <w:spacing w:after="0"/>
        <w:rPr>
          <w:sz w:val="20"/>
          <w:szCs w:val="20"/>
          <w:color w:val="auto"/>
        </w:rPr>
      </w:pPr>
      <w:r>
        <w:rPr>
          <w:rFonts w:ascii="Arial" w:cs="Arial" w:eastAsia="Arial" w:hAnsi="Arial"/>
          <w:sz w:val="17"/>
          <w:szCs w:val="17"/>
          <w:b w:val="1"/>
          <w:bCs w:val="1"/>
          <w:color w:val="666666"/>
        </w:rPr>
        <w:t>LONG-TERM INCENTIVES</w:t>
      </w:r>
    </w:p>
    <w:p>
      <w:pPr>
        <w:spacing w:after="0" w:line="14" w:lineRule="exact"/>
        <w:rPr>
          <w:sz w:val="20"/>
          <w:szCs w:val="20"/>
          <w:color w:val="auto"/>
        </w:rPr>
      </w:pPr>
    </w:p>
    <w:p>
      <w:pPr>
        <w:spacing w:after="0"/>
        <w:rPr>
          <w:sz w:val="20"/>
          <w:szCs w:val="20"/>
          <w:color w:val="auto"/>
        </w:rPr>
      </w:pPr>
      <w:r>
        <w:rPr>
          <w:rFonts w:ascii="Arial" w:cs="Arial" w:eastAsia="Arial" w:hAnsi="Arial"/>
          <w:sz w:val="17"/>
          <w:szCs w:val="17"/>
          <w:color w:val="auto"/>
        </w:rPr>
        <w:t>In 2015, three different types of long-term incentive grants were utilized for the NEOs:</w:t>
      </w:r>
    </w:p>
    <w:p>
      <w:pPr>
        <w:spacing w:after="0" w:line="210" w:lineRule="exact"/>
        <w:rPr>
          <w:sz w:val="20"/>
          <w:szCs w:val="20"/>
          <w:color w:val="auto"/>
        </w:rPr>
      </w:pPr>
    </w:p>
    <w:p>
      <w:pPr>
        <w:ind w:left="220" w:right="320" w:hanging="212"/>
        <w:spacing w:after="0" w:line="243" w:lineRule="auto"/>
        <w:tabs>
          <w:tab w:leader="none" w:pos="220" w:val="left"/>
        </w:tabs>
        <w:numPr>
          <w:ilvl w:val="0"/>
          <w:numId w:val="15"/>
        </w:numPr>
        <w:rPr>
          <w:rFonts w:ascii="Arial" w:cs="Arial" w:eastAsia="Arial" w:hAnsi="Arial"/>
          <w:sz w:val="17"/>
          <w:szCs w:val="17"/>
          <w:color w:val="auto"/>
        </w:rPr>
      </w:pPr>
      <w:r>
        <w:rPr>
          <w:rFonts w:ascii="Arial" w:cs="Arial" w:eastAsia="Arial" w:hAnsi="Arial"/>
          <w:sz w:val="17"/>
          <w:szCs w:val="17"/>
          <w:color w:val="auto"/>
        </w:rPr>
        <w:t>Nonqualified stock options, which vest 25% per year over four years and are intended to provide value to the holder only if shareholders receive additional value (in the form of share price appreciation) after the date of grant;</w:t>
      </w:r>
    </w:p>
    <w:p>
      <w:pPr>
        <w:spacing w:after="0" w:line="142" w:lineRule="exact"/>
        <w:rPr>
          <w:sz w:val="20"/>
          <w:szCs w:val="20"/>
          <w:color w:val="auto"/>
        </w:rPr>
      </w:pPr>
    </w:p>
    <w:p>
      <w:pPr>
        <w:spacing w:after="0"/>
        <w:rPr>
          <w:sz w:val="20"/>
          <w:szCs w:val="20"/>
          <w:color w:val="auto"/>
        </w:rPr>
      </w:pPr>
      <w:r>
        <w:rPr>
          <w:rFonts w:ascii="Arial" w:cs="Arial" w:eastAsia="Arial" w:hAnsi="Arial"/>
          <w:sz w:val="14"/>
          <w:szCs w:val="14"/>
          <w:color w:val="auto"/>
        </w:rPr>
        <w:t>36</w:t>
      </w:r>
    </w:p>
    <w:p>
      <w:pPr>
        <w:sectPr>
          <w:pgSz w:w="11900" w:h="16838" w:orient="portrait"/>
          <w:cols w:equalWidth="0" w:num="1">
            <w:col w:w="11400"/>
          </w:cols>
          <w:pgMar w:left="240" w:top="459" w:right="259" w:bottom="1440" w:gutter="0" w:footer="0" w:header="0"/>
        </w:sectPr>
      </w:pPr>
    </w:p>
    <w:bookmarkStart w:id="42" w:name="page43"/>
    <w:bookmarkEnd w:id="4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31">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2715260</wp:posOffset>
            </wp:positionH>
            <wp:positionV relativeFrom="paragraph">
              <wp:posOffset>205740</wp:posOffset>
            </wp:positionV>
            <wp:extent cx="1826895" cy="205740"/>
            <wp:wrapNone/>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32">
                      <a:extLst>
                        <a:ext uri="{28A0092B-C50C-407E-A947-70E740481C1C}"/>
                      </a:extLst>
                    </a:blip>
                    <a:srcRect/>
                    <a:stretch>
                      <a:fillRect/>
                    </a:stretch>
                  </pic:blipFill>
                  <pic:spPr bwMode="auto">
                    <a:xfrm>
                      <a:off x="0" y="0"/>
                      <a:ext cx="1826895" cy="20574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7" w:lineRule="exact"/>
        <w:rPr>
          <w:sz w:val="20"/>
          <w:szCs w:val="20"/>
          <w:color w:val="auto"/>
        </w:rPr>
      </w:pPr>
    </w:p>
    <w:p>
      <w:pPr>
        <w:ind w:left="220" w:right="240" w:hanging="212"/>
        <w:spacing w:after="0" w:line="243" w:lineRule="auto"/>
        <w:tabs>
          <w:tab w:leader="none" w:pos="220" w:val="left"/>
        </w:tabs>
        <w:numPr>
          <w:ilvl w:val="0"/>
          <w:numId w:val="16"/>
        </w:numPr>
        <w:rPr>
          <w:rFonts w:ascii="Arial" w:cs="Arial" w:eastAsia="Arial" w:hAnsi="Arial"/>
          <w:sz w:val="17"/>
          <w:szCs w:val="17"/>
          <w:color w:val="auto"/>
        </w:rPr>
      </w:pPr>
      <w:r>
        <w:rPr>
          <w:rFonts w:ascii="Arial" w:cs="Arial" w:eastAsia="Arial" w:hAnsi="Arial"/>
          <w:sz w:val="17"/>
          <w:szCs w:val="17"/>
          <w:color w:val="auto"/>
        </w:rPr>
        <w:t>Restricted stock units, which cliff-vest at the end of a three-year period and have a value that changes based on changes in the Company’s stock price; and</w:t>
      </w:r>
    </w:p>
    <w:p>
      <w:pPr>
        <w:spacing w:after="0" w:line="198" w:lineRule="exact"/>
        <w:rPr>
          <w:rFonts w:ascii="Arial" w:cs="Arial" w:eastAsia="Arial" w:hAnsi="Arial"/>
          <w:sz w:val="17"/>
          <w:szCs w:val="17"/>
          <w:color w:val="auto"/>
        </w:rPr>
      </w:pPr>
    </w:p>
    <w:p>
      <w:pPr>
        <w:ind w:left="220" w:right="280" w:hanging="212"/>
        <w:spacing w:after="0" w:line="243" w:lineRule="auto"/>
        <w:tabs>
          <w:tab w:leader="none" w:pos="220" w:val="left"/>
        </w:tabs>
        <w:numPr>
          <w:ilvl w:val="0"/>
          <w:numId w:val="16"/>
        </w:numPr>
        <w:rPr>
          <w:rFonts w:ascii="Arial" w:cs="Arial" w:eastAsia="Arial" w:hAnsi="Arial"/>
          <w:sz w:val="17"/>
          <w:szCs w:val="17"/>
          <w:color w:val="auto"/>
        </w:rPr>
      </w:pPr>
      <w:r>
        <w:rPr>
          <w:rFonts w:ascii="Arial" w:cs="Arial" w:eastAsia="Arial" w:hAnsi="Arial"/>
          <w:sz w:val="17"/>
          <w:szCs w:val="17"/>
          <w:color w:val="auto"/>
        </w:rPr>
        <w:t>Performance shares, which are performance-based restricted stock units designed to reward executives for attainment of specified medium-term (three-year) corporate performance goals and the value of which is linked to the share price.</w:t>
      </w:r>
    </w:p>
    <w:p>
      <w:pPr>
        <w:spacing w:after="0" w:line="192" w:lineRule="exact"/>
        <w:rPr>
          <w:sz w:val="20"/>
          <w:szCs w:val="20"/>
          <w:color w:val="auto"/>
        </w:rPr>
      </w:pPr>
    </w:p>
    <w:p>
      <w:pPr>
        <w:ind w:left="4220"/>
        <w:spacing w:after="0"/>
        <w:rPr>
          <w:sz w:val="20"/>
          <w:szCs w:val="20"/>
          <w:color w:val="auto"/>
        </w:rPr>
      </w:pPr>
      <w:r>
        <w:rPr>
          <w:rFonts w:ascii="Arial" w:cs="Arial" w:eastAsia="Arial" w:hAnsi="Arial"/>
          <w:sz w:val="17"/>
          <w:szCs w:val="17"/>
          <w:b w:val="1"/>
          <w:bCs w:val="1"/>
          <w:color w:val="auto"/>
        </w:rPr>
        <w:t>2015 Long-Term Incentive Mix</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-115570</wp:posOffset>
            </wp:positionV>
            <wp:extent cx="7246620" cy="8890"/>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33">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tbl>
      <w:tblPr>
        <w:tblLayout w:type="fixed"/>
        <w:tblInd w:w="0" w:type="dxa"/>
        <w:tblCellMar>
          <w:top w:w="0" w:type="dxa"/>
          <w:left w:w="0" w:type="dxa"/>
          <w:bottom w:w="0" w:type="dxa"/>
          <w:right w:w="0" w:type="dxa"/>
        </w:tblCellMar>
      </w:tblPr>
      <w:tr>
        <w:trPr>
          <w:trHeight w:val="183"/>
        </w:trPr>
        <w:tc>
          <w:tcPr>
            <w:tcW w:w="3840" w:type="dxa"/>
            <w:vAlign w:val="bottom"/>
            <w:tcBorders>
              <w:top w:val="single" w:sz="8" w:color="auto"/>
              <w:bottom w:val="single" w:sz="8" w:color="auto"/>
            </w:tcBorders>
          </w:tcPr>
          <w:p>
            <w:pPr>
              <w:spacing w:after="0"/>
              <w:rPr>
                <w:sz w:val="15"/>
                <w:szCs w:val="15"/>
                <w:color w:val="auto"/>
              </w:rPr>
            </w:pPr>
          </w:p>
        </w:tc>
        <w:tc>
          <w:tcPr>
            <w:tcW w:w="5520" w:type="dxa"/>
            <w:vAlign w:val="bottom"/>
            <w:tcBorders>
              <w:top w:val="single" w:sz="8" w:color="auto"/>
              <w:bottom w:val="single" w:sz="8" w:color="auto"/>
            </w:tcBorders>
            <w:gridSpan w:val="2"/>
          </w:tcPr>
          <w:p>
            <w:pPr>
              <w:jc w:val="right"/>
              <w:ind w:right="1135"/>
              <w:spacing w:after="0" w:line="183" w:lineRule="exact"/>
              <w:rPr>
                <w:sz w:val="20"/>
                <w:szCs w:val="20"/>
                <w:color w:val="auto"/>
              </w:rPr>
            </w:pPr>
            <w:r>
              <w:rPr>
                <w:rFonts w:ascii="Arial" w:cs="Arial" w:eastAsia="Arial" w:hAnsi="Arial"/>
                <w:sz w:val="17"/>
                <w:szCs w:val="17"/>
                <w:b w:val="1"/>
                <w:bCs w:val="1"/>
                <w:color w:val="auto"/>
              </w:rPr>
              <w:t>Performance-Based</w:t>
            </w:r>
          </w:p>
        </w:tc>
        <w:tc>
          <w:tcPr>
            <w:tcW w:w="2060" w:type="dxa"/>
            <w:vAlign w:val="bottom"/>
            <w:tcBorders>
              <w:top w:val="single" w:sz="8" w:color="auto"/>
              <w:bottom w:val="single" w:sz="8" w:color="auto"/>
            </w:tcBorders>
          </w:tcPr>
          <w:p>
            <w:pPr>
              <w:jc w:val="center"/>
              <w:ind w:right="15"/>
              <w:spacing w:after="0" w:line="183" w:lineRule="exact"/>
              <w:rPr>
                <w:sz w:val="20"/>
                <w:szCs w:val="20"/>
                <w:color w:val="auto"/>
              </w:rPr>
            </w:pPr>
            <w:r>
              <w:rPr>
                <w:rFonts w:ascii="Arial" w:cs="Arial" w:eastAsia="Arial" w:hAnsi="Arial"/>
                <w:sz w:val="17"/>
                <w:szCs w:val="17"/>
                <w:b w:val="1"/>
                <w:bCs w:val="1"/>
                <w:color w:val="auto"/>
                <w:w w:val="99"/>
              </w:rPr>
              <w:t>Time-Based</w:t>
            </w:r>
          </w:p>
        </w:tc>
      </w:tr>
      <w:tr>
        <w:trPr>
          <w:trHeight w:val="156"/>
        </w:trPr>
        <w:tc>
          <w:tcPr>
            <w:tcW w:w="3840" w:type="dxa"/>
            <w:vAlign w:val="bottom"/>
          </w:tcPr>
          <w:p>
            <w:pPr>
              <w:spacing w:after="0"/>
              <w:rPr>
                <w:sz w:val="13"/>
                <w:szCs w:val="13"/>
                <w:color w:val="auto"/>
              </w:rPr>
            </w:pPr>
          </w:p>
        </w:tc>
        <w:tc>
          <w:tcPr>
            <w:tcW w:w="3760" w:type="dxa"/>
            <w:vAlign w:val="bottom"/>
          </w:tcPr>
          <w:p>
            <w:pPr>
              <w:spacing w:after="0"/>
              <w:rPr>
                <w:sz w:val="13"/>
                <w:szCs w:val="13"/>
                <w:color w:val="auto"/>
              </w:rPr>
            </w:pPr>
          </w:p>
        </w:tc>
        <w:tc>
          <w:tcPr>
            <w:tcW w:w="1760" w:type="dxa"/>
            <w:vAlign w:val="bottom"/>
          </w:tcPr>
          <w:p>
            <w:pPr>
              <w:spacing w:after="0"/>
              <w:rPr>
                <w:sz w:val="13"/>
                <w:szCs w:val="13"/>
                <w:color w:val="auto"/>
              </w:rPr>
            </w:pPr>
          </w:p>
        </w:tc>
        <w:tc>
          <w:tcPr>
            <w:tcW w:w="2060" w:type="dxa"/>
            <w:vAlign w:val="bottom"/>
          </w:tcPr>
          <w:p>
            <w:pPr>
              <w:jc w:val="center"/>
              <w:ind w:right="15"/>
              <w:spacing w:after="0" w:line="157" w:lineRule="exact"/>
              <w:rPr>
                <w:sz w:val="20"/>
                <w:szCs w:val="20"/>
                <w:color w:val="auto"/>
              </w:rPr>
            </w:pPr>
            <w:r>
              <w:rPr>
                <w:rFonts w:ascii="Arial" w:cs="Arial" w:eastAsia="Arial" w:hAnsi="Arial"/>
                <w:sz w:val="17"/>
                <w:szCs w:val="17"/>
                <w:b w:val="1"/>
                <w:bCs w:val="1"/>
                <w:color w:val="auto"/>
                <w:w w:val="98"/>
              </w:rPr>
              <w:t>Time-Vested</w:t>
            </w:r>
          </w:p>
        </w:tc>
      </w:tr>
      <w:tr>
        <w:trPr>
          <w:trHeight w:val="189"/>
        </w:trPr>
        <w:tc>
          <w:tcPr>
            <w:tcW w:w="3840" w:type="dxa"/>
            <w:vAlign w:val="bottom"/>
          </w:tcPr>
          <w:p>
            <w:pPr>
              <w:spacing w:after="0"/>
              <w:rPr>
                <w:sz w:val="16"/>
                <w:szCs w:val="16"/>
                <w:color w:val="auto"/>
              </w:rPr>
            </w:pPr>
          </w:p>
        </w:tc>
        <w:tc>
          <w:tcPr>
            <w:tcW w:w="3760" w:type="dxa"/>
            <w:vAlign w:val="bottom"/>
          </w:tcPr>
          <w:p>
            <w:pPr>
              <w:jc w:val="right"/>
              <w:ind w:right="535"/>
              <w:spacing w:after="0" w:line="189" w:lineRule="exact"/>
              <w:rPr>
                <w:sz w:val="20"/>
                <w:szCs w:val="20"/>
                <w:color w:val="auto"/>
              </w:rPr>
            </w:pPr>
            <w:r>
              <w:rPr>
                <w:rFonts w:ascii="Arial" w:cs="Arial" w:eastAsia="Arial" w:hAnsi="Arial"/>
                <w:sz w:val="17"/>
                <w:szCs w:val="17"/>
                <w:b w:val="1"/>
                <w:bCs w:val="1"/>
                <w:color w:val="auto"/>
              </w:rPr>
              <w:t>Performance</w:t>
            </w:r>
          </w:p>
        </w:tc>
        <w:tc>
          <w:tcPr>
            <w:tcW w:w="1760" w:type="dxa"/>
            <w:vAlign w:val="bottom"/>
          </w:tcPr>
          <w:p>
            <w:pPr>
              <w:jc w:val="right"/>
              <w:ind w:right="635"/>
              <w:spacing w:after="0" w:line="189" w:lineRule="exact"/>
              <w:rPr>
                <w:sz w:val="20"/>
                <w:szCs w:val="20"/>
                <w:color w:val="auto"/>
              </w:rPr>
            </w:pPr>
            <w:r>
              <w:rPr>
                <w:rFonts w:ascii="Arial" w:cs="Arial" w:eastAsia="Arial" w:hAnsi="Arial"/>
                <w:sz w:val="17"/>
                <w:szCs w:val="17"/>
                <w:b w:val="1"/>
                <w:bCs w:val="1"/>
                <w:color w:val="auto"/>
              </w:rPr>
              <w:t>Stock</w:t>
            </w:r>
          </w:p>
        </w:tc>
        <w:tc>
          <w:tcPr>
            <w:tcW w:w="2060" w:type="dxa"/>
            <w:vAlign w:val="bottom"/>
          </w:tcPr>
          <w:p>
            <w:pPr>
              <w:jc w:val="center"/>
              <w:ind w:right="15"/>
              <w:spacing w:after="0" w:line="189" w:lineRule="exact"/>
              <w:rPr>
                <w:sz w:val="20"/>
                <w:szCs w:val="20"/>
                <w:color w:val="auto"/>
              </w:rPr>
            </w:pPr>
            <w:r>
              <w:rPr>
                <w:rFonts w:ascii="Arial" w:cs="Arial" w:eastAsia="Arial" w:hAnsi="Arial"/>
                <w:sz w:val="17"/>
                <w:szCs w:val="17"/>
                <w:b w:val="1"/>
                <w:bCs w:val="1"/>
                <w:color w:val="auto"/>
              </w:rPr>
              <w:t>Restricted</w:t>
            </w:r>
          </w:p>
        </w:tc>
      </w:tr>
      <w:tr>
        <w:trPr>
          <w:trHeight w:val="215"/>
        </w:trPr>
        <w:tc>
          <w:tcPr>
            <w:tcW w:w="3840" w:type="dxa"/>
            <w:vAlign w:val="bottom"/>
            <w:tcBorders>
              <w:bottom w:val="single" w:sz="8" w:color="auto"/>
            </w:tcBorders>
          </w:tcPr>
          <w:p>
            <w:pPr>
              <w:spacing w:after="0"/>
              <w:rPr>
                <w:sz w:val="18"/>
                <w:szCs w:val="18"/>
                <w:color w:val="auto"/>
              </w:rPr>
            </w:pPr>
          </w:p>
        </w:tc>
        <w:tc>
          <w:tcPr>
            <w:tcW w:w="3760" w:type="dxa"/>
            <w:vAlign w:val="bottom"/>
            <w:tcBorders>
              <w:bottom w:val="single" w:sz="8" w:color="auto"/>
            </w:tcBorders>
          </w:tcPr>
          <w:p>
            <w:pPr>
              <w:jc w:val="right"/>
              <w:ind w:right="775"/>
              <w:spacing w:after="0"/>
              <w:rPr>
                <w:sz w:val="20"/>
                <w:szCs w:val="20"/>
                <w:color w:val="auto"/>
              </w:rPr>
            </w:pPr>
            <w:r>
              <w:rPr>
                <w:rFonts w:ascii="Arial" w:cs="Arial" w:eastAsia="Arial" w:hAnsi="Arial"/>
                <w:sz w:val="17"/>
                <w:szCs w:val="17"/>
                <w:b w:val="1"/>
                <w:bCs w:val="1"/>
                <w:color w:val="auto"/>
              </w:rPr>
              <w:t>Shares</w:t>
            </w:r>
          </w:p>
        </w:tc>
        <w:tc>
          <w:tcPr>
            <w:tcW w:w="1760" w:type="dxa"/>
            <w:vAlign w:val="bottom"/>
            <w:tcBorders>
              <w:bottom w:val="single" w:sz="8" w:color="auto"/>
            </w:tcBorders>
          </w:tcPr>
          <w:p>
            <w:pPr>
              <w:jc w:val="right"/>
              <w:ind w:right="535"/>
              <w:spacing w:after="0"/>
              <w:rPr>
                <w:sz w:val="20"/>
                <w:szCs w:val="20"/>
                <w:color w:val="auto"/>
              </w:rPr>
            </w:pPr>
            <w:r>
              <w:rPr>
                <w:rFonts w:ascii="Arial" w:cs="Arial" w:eastAsia="Arial" w:hAnsi="Arial"/>
                <w:sz w:val="17"/>
                <w:szCs w:val="17"/>
                <w:b w:val="1"/>
                <w:bCs w:val="1"/>
                <w:color w:val="auto"/>
              </w:rPr>
              <w:t>Options</w:t>
            </w:r>
          </w:p>
        </w:tc>
        <w:tc>
          <w:tcPr>
            <w:tcW w:w="2060" w:type="dxa"/>
            <w:vAlign w:val="bottom"/>
            <w:tcBorders>
              <w:bottom w:val="single" w:sz="8" w:color="auto"/>
            </w:tcBorders>
          </w:tcPr>
          <w:p>
            <w:pPr>
              <w:jc w:val="center"/>
              <w:spacing w:after="0"/>
              <w:rPr>
                <w:sz w:val="20"/>
                <w:szCs w:val="20"/>
                <w:color w:val="auto"/>
              </w:rPr>
            </w:pPr>
            <w:r>
              <w:rPr>
                <w:rFonts w:ascii="Arial" w:cs="Arial" w:eastAsia="Arial" w:hAnsi="Arial"/>
                <w:sz w:val="17"/>
                <w:szCs w:val="17"/>
                <w:b w:val="1"/>
                <w:bCs w:val="1"/>
                <w:color w:val="auto"/>
              </w:rPr>
              <w:t>Stock Units</w:t>
            </w:r>
          </w:p>
        </w:tc>
      </w:tr>
      <w:tr>
        <w:trPr>
          <w:trHeight w:val="183"/>
        </w:trPr>
        <w:tc>
          <w:tcPr>
            <w:tcW w:w="3840" w:type="dxa"/>
            <w:vAlign w:val="bottom"/>
            <w:shd w:val="clear" w:color="auto" w:fill="CCEEFF"/>
          </w:tcPr>
          <w:p>
            <w:pPr>
              <w:spacing w:after="0" w:line="183" w:lineRule="exact"/>
              <w:rPr>
                <w:sz w:val="20"/>
                <w:szCs w:val="20"/>
                <w:color w:val="auto"/>
              </w:rPr>
            </w:pPr>
            <w:r>
              <w:rPr>
                <w:rFonts w:ascii="Arial" w:cs="Arial" w:eastAsia="Arial" w:hAnsi="Arial"/>
                <w:sz w:val="17"/>
                <w:szCs w:val="17"/>
                <w:color w:val="auto"/>
              </w:rPr>
              <w:t>Chief Executive Officer</w:t>
            </w:r>
          </w:p>
        </w:tc>
        <w:tc>
          <w:tcPr>
            <w:tcW w:w="3760" w:type="dxa"/>
            <w:vAlign w:val="bottom"/>
            <w:shd w:val="clear" w:color="auto" w:fill="CCEEFF"/>
          </w:tcPr>
          <w:p>
            <w:pPr>
              <w:jc w:val="right"/>
              <w:ind w:right="395"/>
              <w:spacing w:after="0" w:line="183" w:lineRule="exact"/>
              <w:rPr>
                <w:sz w:val="20"/>
                <w:szCs w:val="20"/>
                <w:color w:val="auto"/>
              </w:rPr>
            </w:pPr>
            <w:r>
              <w:rPr>
                <w:rFonts w:ascii="Arial" w:cs="Arial" w:eastAsia="Arial" w:hAnsi="Arial"/>
                <w:sz w:val="17"/>
                <w:szCs w:val="17"/>
                <w:color w:val="auto"/>
              </w:rPr>
              <w:t>70%</w:t>
            </w:r>
          </w:p>
        </w:tc>
        <w:tc>
          <w:tcPr>
            <w:tcW w:w="1760" w:type="dxa"/>
            <w:vAlign w:val="bottom"/>
            <w:shd w:val="clear" w:color="auto" w:fill="CCEEFF"/>
          </w:tcPr>
          <w:p>
            <w:pPr>
              <w:jc w:val="right"/>
              <w:ind w:right="395"/>
              <w:spacing w:after="0" w:line="183" w:lineRule="exact"/>
              <w:rPr>
                <w:sz w:val="20"/>
                <w:szCs w:val="20"/>
                <w:color w:val="auto"/>
              </w:rPr>
            </w:pPr>
            <w:r>
              <w:rPr>
                <w:rFonts w:ascii="Arial" w:cs="Arial" w:eastAsia="Arial" w:hAnsi="Arial"/>
                <w:sz w:val="17"/>
                <w:szCs w:val="17"/>
                <w:color w:val="auto"/>
              </w:rPr>
              <w:t>30%</w:t>
            </w:r>
          </w:p>
        </w:tc>
        <w:tc>
          <w:tcPr>
            <w:tcW w:w="2060" w:type="dxa"/>
            <w:vAlign w:val="bottom"/>
            <w:shd w:val="clear" w:color="auto" w:fill="CCEEFF"/>
          </w:tcPr>
          <w:p>
            <w:pPr>
              <w:jc w:val="right"/>
              <w:ind w:right="335"/>
              <w:spacing w:after="0" w:line="183" w:lineRule="exact"/>
              <w:rPr>
                <w:sz w:val="20"/>
                <w:szCs w:val="20"/>
                <w:color w:val="auto"/>
              </w:rPr>
            </w:pPr>
            <w:r>
              <w:rPr>
                <w:rFonts w:ascii="Arial" w:cs="Arial" w:eastAsia="Arial" w:hAnsi="Arial"/>
                <w:sz w:val="17"/>
                <w:szCs w:val="17"/>
                <w:color w:val="auto"/>
              </w:rPr>
              <w:t>0%</w:t>
            </w:r>
          </w:p>
        </w:tc>
      </w:tr>
      <w:tr>
        <w:trPr>
          <w:trHeight w:val="189"/>
        </w:trPr>
        <w:tc>
          <w:tcPr>
            <w:tcW w:w="3840" w:type="dxa"/>
            <w:vAlign w:val="bottom"/>
            <w:tcBorders>
              <w:bottom w:val="single" w:sz="8" w:color="auto"/>
            </w:tcBorders>
          </w:tcPr>
          <w:p>
            <w:pPr>
              <w:spacing w:after="0" w:line="189" w:lineRule="exact"/>
              <w:rPr>
                <w:sz w:val="20"/>
                <w:szCs w:val="20"/>
                <w:color w:val="auto"/>
              </w:rPr>
            </w:pPr>
            <w:r>
              <w:rPr>
                <w:rFonts w:ascii="Arial" w:cs="Arial" w:eastAsia="Arial" w:hAnsi="Arial"/>
                <w:sz w:val="17"/>
                <w:szCs w:val="17"/>
                <w:color w:val="auto"/>
              </w:rPr>
              <w:t>Other NEOs</w:t>
            </w:r>
          </w:p>
        </w:tc>
        <w:tc>
          <w:tcPr>
            <w:tcW w:w="3760" w:type="dxa"/>
            <w:vAlign w:val="bottom"/>
            <w:tcBorders>
              <w:bottom w:val="single" w:sz="8" w:color="auto"/>
            </w:tcBorders>
          </w:tcPr>
          <w:p>
            <w:pPr>
              <w:jc w:val="right"/>
              <w:ind w:right="395"/>
              <w:spacing w:after="0" w:line="189" w:lineRule="exact"/>
              <w:rPr>
                <w:sz w:val="20"/>
                <w:szCs w:val="20"/>
                <w:color w:val="auto"/>
              </w:rPr>
            </w:pPr>
            <w:r>
              <w:rPr>
                <w:rFonts w:ascii="Arial" w:cs="Arial" w:eastAsia="Arial" w:hAnsi="Arial"/>
                <w:sz w:val="17"/>
                <w:szCs w:val="17"/>
                <w:color w:val="auto"/>
              </w:rPr>
              <w:t>45%</w:t>
            </w:r>
          </w:p>
        </w:tc>
        <w:tc>
          <w:tcPr>
            <w:tcW w:w="1760" w:type="dxa"/>
            <w:vAlign w:val="bottom"/>
            <w:tcBorders>
              <w:bottom w:val="single" w:sz="8" w:color="auto"/>
            </w:tcBorders>
          </w:tcPr>
          <w:p>
            <w:pPr>
              <w:jc w:val="right"/>
              <w:ind w:right="395"/>
              <w:spacing w:after="0" w:line="189" w:lineRule="exact"/>
              <w:rPr>
                <w:sz w:val="20"/>
                <w:szCs w:val="20"/>
                <w:color w:val="auto"/>
              </w:rPr>
            </w:pPr>
            <w:r>
              <w:rPr>
                <w:rFonts w:ascii="Arial" w:cs="Arial" w:eastAsia="Arial" w:hAnsi="Arial"/>
                <w:sz w:val="17"/>
                <w:szCs w:val="17"/>
                <w:color w:val="auto"/>
              </w:rPr>
              <w:t>30%</w:t>
            </w:r>
          </w:p>
        </w:tc>
        <w:tc>
          <w:tcPr>
            <w:tcW w:w="2060" w:type="dxa"/>
            <w:vAlign w:val="bottom"/>
            <w:tcBorders>
              <w:bottom w:val="single" w:sz="8" w:color="auto"/>
            </w:tcBorders>
          </w:tcPr>
          <w:p>
            <w:pPr>
              <w:jc w:val="right"/>
              <w:ind w:right="335"/>
              <w:spacing w:after="0" w:line="189" w:lineRule="exact"/>
              <w:rPr>
                <w:sz w:val="20"/>
                <w:szCs w:val="20"/>
                <w:color w:val="auto"/>
              </w:rPr>
            </w:pPr>
            <w:r>
              <w:rPr>
                <w:rFonts w:ascii="Arial" w:cs="Arial" w:eastAsia="Arial" w:hAnsi="Arial"/>
                <w:sz w:val="17"/>
                <w:szCs w:val="17"/>
                <w:color w:val="auto"/>
              </w:rPr>
              <w:t>25%</w:t>
            </w:r>
          </w:p>
        </w:tc>
      </w:tr>
    </w:tbl>
    <w:p>
      <w:pPr>
        <w:spacing w:after="0" w:line="183" w:lineRule="exact"/>
        <w:rPr>
          <w:sz w:val="20"/>
          <w:szCs w:val="20"/>
          <w:color w:val="auto"/>
        </w:rPr>
      </w:pPr>
    </w:p>
    <w:p>
      <w:pPr>
        <w:ind w:right="160"/>
        <w:spacing w:after="0" w:line="238" w:lineRule="auto"/>
        <w:rPr>
          <w:sz w:val="20"/>
          <w:szCs w:val="20"/>
          <w:color w:val="auto"/>
        </w:rPr>
      </w:pPr>
      <w:r>
        <w:rPr>
          <w:rFonts w:ascii="Arial" w:cs="Arial" w:eastAsia="Arial" w:hAnsi="Arial"/>
          <w:sz w:val="17"/>
          <w:szCs w:val="17"/>
          <w:color w:val="auto"/>
        </w:rPr>
        <w:t>In total, we believe these grants provide a balanced focus on shareholder value creation and retention of executive management over the course of a full business cycle. These grants also serve to balance the short-term operating focus of the Company and align the long-term financial interests of executive management with those of our shareholders.</w:t>
      </w:r>
    </w:p>
    <w:p>
      <w:pPr>
        <w:spacing w:after="0" w:line="161" w:lineRule="exact"/>
        <w:rPr>
          <w:sz w:val="20"/>
          <w:szCs w:val="20"/>
          <w:color w:val="auto"/>
        </w:rPr>
      </w:pPr>
    </w:p>
    <w:p>
      <w:pPr>
        <w:ind w:right="60"/>
        <w:spacing w:after="0" w:line="236" w:lineRule="auto"/>
        <w:rPr>
          <w:sz w:val="20"/>
          <w:szCs w:val="20"/>
          <w:color w:val="auto"/>
        </w:rPr>
      </w:pPr>
      <w:r>
        <w:rPr>
          <w:rFonts w:ascii="Arial" w:cs="Arial" w:eastAsia="Arial" w:hAnsi="Arial"/>
          <w:sz w:val="17"/>
          <w:szCs w:val="17"/>
          <w:color w:val="auto"/>
        </w:rPr>
        <w:t>The value of the entire long-term incentive grant is linked directly to the price of our common stock. For nonqualified stock options, the recipient recognizes value only to the extent the stock price rises above the market price of the stock at the time the option is granted. For restricted stock units, value rises or falls depending on the stock price performance. For performance shares, the value is tied to both the Company’s stock price and the achievement of financial objectives.</w:t>
      </w:r>
    </w:p>
    <w:p>
      <w:pPr>
        <w:spacing w:after="0" w:line="163" w:lineRule="exact"/>
        <w:rPr>
          <w:sz w:val="20"/>
          <w:szCs w:val="20"/>
          <w:color w:val="auto"/>
        </w:rPr>
      </w:pPr>
    </w:p>
    <w:p>
      <w:pPr>
        <w:ind w:right="220"/>
        <w:spacing w:after="0" w:line="243" w:lineRule="auto"/>
        <w:rPr>
          <w:sz w:val="20"/>
          <w:szCs w:val="20"/>
          <w:color w:val="auto"/>
        </w:rPr>
      </w:pPr>
      <w:r>
        <w:rPr>
          <w:rFonts w:ascii="Arial" w:cs="Arial" w:eastAsia="Arial" w:hAnsi="Arial"/>
          <w:sz w:val="17"/>
          <w:szCs w:val="17"/>
          <w:color w:val="auto"/>
        </w:rPr>
        <w:t>The size of the long-term incentive grants and the allocation of grant value among the long-term incentive grant types are based on a combination of market practice, internal equity considerations and the relative importance of the objectives behind each of the grant types.</w:t>
      </w:r>
    </w:p>
    <w:p>
      <w:pPr>
        <w:spacing w:after="0" w:line="151"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2015 Long-Term Incentive Decisions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64135</wp:posOffset>
            </wp:positionV>
            <wp:extent cx="7246620" cy="8890"/>
            <wp:wrapNone/>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34">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81" w:lineRule="exact"/>
        <w:rPr>
          <w:sz w:val="20"/>
          <w:szCs w:val="20"/>
          <w:color w:val="auto"/>
        </w:rPr>
      </w:pPr>
    </w:p>
    <w:p>
      <w:pPr>
        <w:jc w:val="center"/>
        <w:ind w:right="100"/>
        <w:spacing w:after="0"/>
        <w:rPr>
          <w:sz w:val="20"/>
          <w:szCs w:val="20"/>
          <w:color w:val="auto"/>
        </w:rPr>
      </w:pPr>
      <w:r>
        <w:rPr>
          <w:rFonts w:ascii="Arial" w:cs="Arial" w:eastAsia="Arial" w:hAnsi="Arial"/>
          <w:sz w:val="14"/>
          <w:szCs w:val="14"/>
          <w:b w:val="1"/>
          <w:bCs w:val="1"/>
          <w:color w:val="auto"/>
        </w:rPr>
        <w:t>Long-Term Incentives</w:t>
      </w:r>
    </w:p>
    <w:p>
      <w:pPr>
        <w:spacing w:after="0" w:line="14" w:lineRule="exact"/>
        <w:rPr>
          <w:sz w:val="20"/>
          <w:szCs w:val="20"/>
          <w:color w:val="auto"/>
        </w:rPr>
      </w:pPr>
    </w:p>
    <w:tbl>
      <w:tblPr>
        <w:tblLayout w:type="fixed"/>
        <w:tblInd w:w="0" w:type="dxa"/>
        <w:tblCellMar>
          <w:top w:w="0" w:type="dxa"/>
          <w:left w:w="0" w:type="dxa"/>
          <w:bottom w:w="0" w:type="dxa"/>
          <w:right w:w="0" w:type="dxa"/>
        </w:tblCellMar>
      </w:tblPr>
      <w:tr>
        <w:trPr>
          <w:trHeight w:val="142"/>
        </w:trPr>
        <w:tc>
          <w:tcPr>
            <w:tcW w:w="2460" w:type="dxa"/>
            <w:vAlign w:val="bottom"/>
            <w:tcBorders>
              <w:top w:val="single" w:sz="8" w:color="auto"/>
            </w:tcBorders>
          </w:tcPr>
          <w:p>
            <w:pPr>
              <w:spacing w:after="0"/>
              <w:rPr>
                <w:sz w:val="12"/>
                <w:szCs w:val="12"/>
                <w:color w:val="auto"/>
              </w:rPr>
            </w:pPr>
          </w:p>
        </w:tc>
        <w:tc>
          <w:tcPr>
            <w:tcW w:w="1860" w:type="dxa"/>
            <w:vAlign w:val="bottom"/>
            <w:tcBorders>
              <w:top w:val="single" w:sz="8" w:color="auto"/>
            </w:tcBorders>
          </w:tcPr>
          <w:p>
            <w:pPr>
              <w:spacing w:after="0"/>
              <w:rPr>
                <w:sz w:val="12"/>
                <w:szCs w:val="12"/>
                <w:color w:val="auto"/>
              </w:rPr>
            </w:pPr>
          </w:p>
        </w:tc>
        <w:tc>
          <w:tcPr>
            <w:tcW w:w="760" w:type="dxa"/>
            <w:vAlign w:val="bottom"/>
            <w:tcBorders>
              <w:top w:val="single" w:sz="8" w:color="auto"/>
            </w:tcBorders>
          </w:tcPr>
          <w:p>
            <w:pPr>
              <w:spacing w:after="0"/>
              <w:rPr>
                <w:sz w:val="12"/>
                <w:szCs w:val="12"/>
                <w:color w:val="auto"/>
              </w:rPr>
            </w:pPr>
          </w:p>
        </w:tc>
        <w:tc>
          <w:tcPr>
            <w:tcW w:w="220" w:type="dxa"/>
            <w:vAlign w:val="bottom"/>
            <w:tcBorders>
              <w:top w:val="single" w:sz="8" w:color="auto"/>
            </w:tcBorders>
          </w:tcPr>
          <w:p>
            <w:pPr>
              <w:spacing w:after="0"/>
              <w:rPr>
                <w:sz w:val="12"/>
                <w:szCs w:val="12"/>
                <w:color w:val="auto"/>
              </w:rPr>
            </w:pPr>
          </w:p>
        </w:tc>
        <w:tc>
          <w:tcPr>
            <w:tcW w:w="740" w:type="dxa"/>
            <w:vAlign w:val="bottom"/>
            <w:tcBorders>
              <w:top w:val="single" w:sz="8" w:color="auto"/>
            </w:tcBorders>
          </w:tcPr>
          <w:p>
            <w:pPr>
              <w:spacing w:after="0"/>
              <w:rPr>
                <w:sz w:val="12"/>
                <w:szCs w:val="12"/>
                <w:color w:val="auto"/>
              </w:rPr>
            </w:pPr>
          </w:p>
        </w:tc>
        <w:tc>
          <w:tcPr>
            <w:tcW w:w="1040" w:type="dxa"/>
            <w:vAlign w:val="bottom"/>
            <w:tcBorders>
              <w:top w:val="single" w:sz="8" w:color="auto"/>
            </w:tcBorders>
          </w:tcPr>
          <w:p>
            <w:pPr>
              <w:jc w:val="center"/>
              <w:ind w:right="41"/>
              <w:spacing w:after="0" w:line="143" w:lineRule="exact"/>
              <w:rPr>
                <w:sz w:val="20"/>
                <w:szCs w:val="20"/>
                <w:color w:val="auto"/>
              </w:rPr>
            </w:pPr>
            <w:r>
              <w:rPr>
                <w:rFonts w:ascii="Arial" w:cs="Arial" w:eastAsia="Arial" w:hAnsi="Arial"/>
                <w:sz w:val="14"/>
                <w:szCs w:val="14"/>
                <w:b w:val="1"/>
                <w:bCs w:val="1"/>
                <w:color w:val="auto"/>
              </w:rPr>
              <w:t>Number of</w:t>
            </w:r>
          </w:p>
        </w:tc>
        <w:tc>
          <w:tcPr>
            <w:tcW w:w="1040" w:type="dxa"/>
            <w:vAlign w:val="bottom"/>
            <w:tcBorders>
              <w:top w:val="single" w:sz="8" w:color="auto"/>
            </w:tcBorders>
            <w:gridSpan w:val="2"/>
          </w:tcPr>
          <w:p>
            <w:pPr>
              <w:ind w:left="180"/>
              <w:spacing w:after="0" w:line="143" w:lineRule="exact"/>
              <w:rPr>
                <w:sz w:val="20"/>
                <w:szCs w:val="20"/>
                <w:color w:val="auto"/>
              </w:rPr>
            </w:pPr>
            <w:r>
              <w:rPr>
                <w:rFonts w:ascii="Arial" w:cs="Arial" w:eastAsia="Arial" w:hAnsi="Arial"/>
                <w:sz w:val="14"/>
                <w:szCs w:val="14"/>
                <w:b w:val="1"/>
                <w:bCs w:val="1"/>
                <w:color w:val="auto"/>
              </w:rPr>
              <w:t>Value of</w:t>
            </w:r>
          </w:p>
        </w:tc>
        <w:tc>
          <w:tcPr>
            <w:tcW w:w="1080" w:type="dxa"/>
            <w:vAlign w:val="bottom"/>
            <w:tcBorders>
              <w:top w:val="single" w:sz="8" w:color="auto"/>
            </w:tcBorders>
          </w:tcPr>
          <w:p>
            <w:pPr>
              <w:spacing w:after="0"/>
              <w:rPr>
                <w:sz w:val="12"/>
                <w:szCs w:val="12"/>
                <w:color w:val="auto"/>
              </w:rPr>
            </w:pPr>
          </w:p>
        </w:tc>
        <w:tc>
          <w:tcPr>
            <w:tcW w:w="220" w:type="dxa"/>
            <w:vAlign w:val="bottom"/>
            <w:tcBorders>
              <w:top w:val="single" w:sz="8" w:color="auto"/>
            </w:tcBorders>
          </w:tcPr>
          <w:p>
            <w:pPr>
              <w:spacing w:after="0"/>
              <w:rPr>
                <w:sz w:val="12"/>
                <w:szCs w:val="12"/>
                <w:color w:val="auto"/>
              </w:rPr>
            </w:pPr>
          </w:p>
        </w:tc>
        <w:tc>
          <w:tcPr>
            <w:tcW w:w="880" w:type="dxa"/>
            <w:vAlign w:val="bottom"/>
            <w:tcBorders>
              <w:top w:val="single" w:sz="8" w:color="auto"/>
            </w:tcBorders>
          </w:tcPr>
          <w:p>
            <w:pPr>
              <w:spacing w:after="0"/>
              <w:rPr>
                <w:sz w:val="12"/>
                <w:szCs w:val="12"/>
                <w:color w:val="auto"/>
              </w:rPr>
            </w:pPr>
          </w:p>
        </w:tc>
        <w:tc>
          <w:tcPr>
            <w:tcW w:w="220" w:type="dxa"/>
            <w:vAlign w:val="bottom"/>
            <w:tcBorders>
              <w:top w:val="single" w:sz="8" w:color="auto"/>
            </w:tcBorders>
          </w:tcPr>
          <w:p>
            <w:pPr>
              <w:spacing w:after="0"/>
              <w:rPr>
                <w:sz w:val="12"/>
                <w:szCs w:val="12"/>
                <w:color w:val="auto"/>
              </w:rPr>
            </w:pPr>
          </w:p>
        </w:tc>
        <w:tc>
          <w:tcPr>
            <w:tcW w:w="900" w:type="dxa"/>
            <w:vAlign w:val="bottom"/>
            <w:tcBorders>
              <w:top w:val="single" w:sz="8" w:color="auto"/>
            </w:tcBorders>
          </w:tcPr>
          <w:p>
            <w:pPr>
              <w:spacing w:after="0"/>
              <w:rPr>
                <w:sz w:val="12"/>
                <w:szCs w:val="12"/>
                <w:color w:val="auto"/>
              </w:rPr>
            </w:pPr>
          </w:p>
        </w:tc>
      </w:tr>
      <w:tr>
        <w:trPr>
          <w:trHeight w:val="162"/>
        </w:trPr>
        <w:tc>
          <w:tcPr>
            <w:tcW w:w="2460" w:type="dxa"/>
            <w:vAlign w:val="bottom"/>
          </w:tcPr>
          <w:p>
            <w:pPr>
              <w:spacing w:after="0"/>
              <w:rPr>
                <w:sz w:val="14"/>
                <w:szCs w:val="14"/>
                <w:color w:val="auto"/>
              </w:rPr>
            </w:pPr>
          </w:p>
        </w:tc>
        <w:tc>
          <w:tcPr>
            <w:tcW w:w="1860" w:type="dxa"/>
            <w:vAlign w:val="bottom"/>
          </w:tcPr>
          <w:p>
            <w:pPr>
              <w:spacing w:after="0"/>
              <w:rPr>
                <w:sz w:val="14"/>
                <w:szCs w:val="14"/>
                <w:color w:val="auto"/>
              </w:rPr>
            </w:pPr>
          </w:p>
        </w:tc>
        <w:tc>
          <w:tcPr>
            <w:tcW w:w="760" w:type="dxa"/>
            <w:vAlign w:val="bottom"/>
          </w:tcPr>
          <w:p>
            <w:pPr>
              <w:ind w:left="100"/>
              <w:spacing w:after="0"/>
              <w:rPr>
                <w:sz w:val="20"/>
                <w:szCs w:val="20"/>
                <w:color w:val="auto"/>
              </w:rPr>
            </w:pPr>
            <w:r>
              <w:rPr>
                <w:rFonts w:ascii="Arial" w:cs="Arial" w:eastAsia="Arial" w:hAnsi="Arial"/>
                <w:sz w:val="14"/>
                <w:szCs w:val="14"/>
                <w:b w:val="1"/>
                <w:bCs w:val="1"/>
                <w:color w:val="auto"/>
              </w:rPr>
              <w:t>Number</w:t>
            </w:r>
          </w:p>
        </w:tc>
        <w:tc>
          <w:tcPr>
            <w:tcW w:w="960" w:type="dxa"/>
            <w:vAlign w:val="bottom"/>
            <w:gridSpan w:val="2"/>
          </w:tcPr>
          <w:p>
            <w:pPr>
              <w:jc w:val="center"/>
              <w:spacing w:after="0"/>
              <w:rPr>
                <w:sz w:val="20"/>
                <w:szCs w:val="20"/>
                <w:color w:val="auto"/>
              </w:rPr>
            </w:pPr>
            <w:r>
              <w:rPr>
                <w:rFonts w:ascii="Arial" w:cs="Arial" w:eastAsia="Arial" w:hAnsi="Arial"/>
                <w:sz w:val="14"/>
                <w:szCs w:val="14"/>
                <w:b w:val="1"/>
                <w:bCs w:val="1"/>
                <w:color w:val="auto"/>
              </w:rPr>
              <w:t>Value of</w:t>
            </w:r>
          </w:p>
        </w:tc>
        <w:tc>
          <w:tcPr>
            <w:tcW w:w="1040" w:type="dxa"/>
            <w:vAlign w:val="bottom"/>
          </w:tcPr>
          <w:p>
            <w:pPr>
              <w:jc w:val="center"/>
              <w:ind w:right="21"/>
              <w:spacing w:after="0"/>
              <w:rPr>
                <w:sz w:val="20"/>
                <w:szCs w:val="20"/>
                <w:color w:val="auto"/>
              </w:rPr>
            </w:pPr>
            <w:r>
              <w:rPr>
                <w:rFonts w:ascii="Arial" w:cs="Arial" w:eastAsia="Arial" w:hAnsi="Arial"/>
                <w:sz w:val="14"/>
                <w:szCs w:val="14"/>
                <w:b w:val="1"/>
                <w:bCs w:val="1"/>
                <w:color w:val="auto"/>
              </w:rPr>
              <w:t>Restricted</w:t>
            </w:r>
          </w:p>
        </w:tc>
        <w:tc>
          <w:tcPr>
            <w:tcW w:w="1040" w:type="dxa"/>
            <w:vAlign w:val="bottom"/>
            <w:gridSpan w:val="2"/>
          </w:tcPr>
          <w:p>
            <w:pPr>
              <w:ind w:left="100"/>
              <w:spacing w:after="0"/>
              <w:rPr>
                <w:sz w:val="20"/>
                <w:szCs w:val="20"/>
                <w:color w:val="auto"/>
              </w:rPr>
            </w:pPr>
            <w:r>
              <w:rPr>
                <w:rFonts w:ascii="Arial" w:cs="Arial" w:eastAsia="Arial" w:hAnsi="Arial"/>
                <w:sz w:val="14"/>
                <w:szCs w:val="14"/>
                <w:b w:val="1"/>
                <w:bCs w:val="1"/>
                <w:color w:val="auto"/>
              </w:rPr>
              <w:t>Restricted</w:t>
            </w:r>
          </w:p>
        </w:tc>
        <w:tc>
          <w:tcPr>
            <w:tcW w:w="1080" w:type="dxa"/>
            <w:vAlign w:val="bottom"/>
          </w:tcPr>
          <w:p>
            <w:pPr>
              <w:jc w:val="center"/>
              <w:spacing w:after="0"/>
              <w:rPr>
                <w:sz w:val="20"/>
                <w:szCs w:val="20"/>
                <w:color w:val="auto"/>
              </w:rPr>
            </w:pPr>
            <w:r>
              <w:rPr>
                <w:rFonts w:ascii="Arial" w:cs="Arial" w:eastAsia="Arial" w:hAnsi="Arial"/>
                <w:sz w:val="14"/>
                <w:szCs w:val="14"/>
                <w:b w:val="1"/>
                <w:bCs w:val="1"/>
                <w:color w:val="auto"/>
              </w:rPr>
              <w:t>Number of</w:t>
            </w:r>
          </w:p>
        </w:tc>
        <w:tc>
          <w:tcPr>
            <w:tcW w:w="220" w:type="dxa"/>
            <w:vAlign w:val="bottom"/>
          </w:tcPr>
          <w:p>
            <w:pPr>
              <w:spacing w:after="0"/>
              <w:rPr>
                <w:sz w:val="14"/>
                <w:szCs w:val="14"/>
                <w:color w:val="auto"/>
              </w:rPr>
            </w:pPr>
          </w:p>
        </w:tc>
        <w:tc>
          <w:tcPr>
            <w:tcW w:w="880" w:type="dxa"/>
            <w:vAlign w:val="bottom"/>
          </w:tcPr>
          <w:p>
            <w:pPr>
              <w:jc w:val="right"/>
              <w:ind w:right="199"/>
              <w:spacing w:after="0"/>
              <w:rPr>
                <w:sz w:val="20"/>
                <w:szCs w:val="20"/>
                <w:color w:val="auto"/>
              </w:rPr>
            </w:pPr>
            <w:r>
              <w:rPr>
                <w:rFonts w:ascii="Arial" w:cs="Arial" w:eastAsia="Arial" w:hAnsi="Arial"/>
                <w:sz w:val="14"/>
                <w:szCs w:val="14"/>
                <w:b w:val="1"/>
                <w:bCs w:val="1"/>
                <w:color w:val="auto"/>
              </w:rPr>
              <w:t>Value of</w:t>
            </w:r>
          </w:p>
        </w:tc>
        <w:tc>
          <w:tcPr>
            <w:tcW w:w="1120" w:type="dxa"/>
            <w:vAlign w:val="bottom"/>
            <w:gridSpan w:val="2"/>
          </w:tcPr>
          <w:p>
            <w:pPr>
              <w:jc w:val="center"/>
              <w:spacing w:after="0"/>
              <w:rPr>
                <w:sz w:val="20"/>
                <w:szCs w:val="20"/>
                <w:color w:val="auto"/>
              </w:rPr>
            </w:pPr>
            <w:r>
              <w:rPr>
                <w:rFonts w:ascii="Arial" w:cs="Arial" w:eastAsia="Arial" w:hAnsi="Arial"/>
                <w:sz w:val="14"/>
                <w:szCs w:val="14"/>
                <w:b w:val="1"/>
                <w:bCs w:val="1"/>
                <w:color w:val="auto"/>
              </w:rPr>
              <w:t>Total Value</w:t>
            </w:r>
          </w:p>
        </w:tc>
      </w:tr>
      <w:tr>
        <w:trPr>
          <w:trHeight w:val="162"/>
        </w:trPr>
        <w:tc>
          <w:tcPr>
            <w:tcW w:w="2460" w:type="dxa"/>
            <w:vAlign w:val="bottom"/>
          </w:tcPr>
          <w:p>
            <w:pPr>
              <w:spacing w:after="0"/>
              <w:rPr>
                <w:sz w:val="14"/>
                <w:szCs w:val="14"/>
                <w:color w:val="auto"/>
              </w:rPr>
            </w:pPr>
          </w:p>
        </w:tc>
        <w:tc>
          <w:tcPr>
            <w:tcW w:w="1860" w:type="dxa"/>
            <w:vAlign w:val="bottom"/>
          </w:tcPr>
          <w:p>
            <w:pPr>
              <w:jc w:val="right"/>
              <w:ind w:right="179"/>
              <w:spacing w:after="0"/>
              <w:rPr>
                <w:sz w:val="20"/>
                <w:szCs w:val="20"/>
                <w:color w:val="auto"/>
              </w:rPr>
            </w:pPr>
            <w:r>
              <w:rPr>
                <w:rFonts w:ascii="Arial" w:cs="Arial" w:eastAsia="Arial" w:hAnsi="Arial"/>
                <w:sz w:val="14"/>
                <w:szCs w:val="14"/>
                <w:b w:val="1"/>
                <w:bCs w:val="1"/>
                <w:color w:val="auto"/>
              </w:rPr>
              <w:t>Target Grant</w:t>
            </w:r>
          </w:p>
        </w:tc>
        <w:tc>
          <w:tcPr>
            <w:tcW w:w="760" w:type="dxa"/>
            <w:vAlign w:val="bottom"/>
          </w:tcPr>
          <w:p>
            <w:pPr>
              <w:ind w:left="80"/>
              <w:spacing w:after="0"/>
              <w:rPr>
                <w:sz w:val="20"/>
                <w:szCs w:val="20"/>
                <w:color w:val="auto"/>
              </w:rPr>
            </w:pPr>
            <w:r>
              <w:rPr>
                <w:rFonts w:ascii="Arial" w:cs="Arial" w:eastAsia="Arial" w:hAnsi="Arial"/>
                <w:sz w:val="14"/>
                <w:szCs w:val="14"/>
                <w:b w:val="1"/>
                <w:bCs w:val="1"/>
                <w:color w:val="auto"/>
              </w:rPr>
              <w:t>of Stock</w:t>
            </w:r>
          </w:p>
        </w:tc>
        <w:tc>
          <w:tcPr>
            <w:tcW w:w="220" w:type="dxa"/>
            <w:vAlign w:val="bottom"/>
          </w:tcPr>
          <w:p>
            <w:pPr>
              <w:spacing w:after="0"/>
              <w:rPr>
                <w:sz w:val="14"/>
                <w:szCs w:val="14"/>
                <w:color w:val="auto"/>
              </w:rPr>
            </w:pPr>
          </w:p>
        </w:tc>
        <w:tc>
          <w:tcPr>
            <w:tcW w:w="740" w:type="dxa"/>
            <w:vAlign w:val="bottom"/>
          </w:tcPr>
          <w:p>
            <w:pPr>
              <w:jc w:val="center"/>
              <w:ind w:right="137"/>
              <w:spacing w:after="0"/>
              <w:rPr>
                <w:sz w:val="20"/>
                <w:szCs w:val="20"/>
                <w:color w:val="auto"/>
              </w:rPr>
            </w:pPr>
            <w:r>
              <w:rPr>
                <w:rFonts w:ascii="Arial" w:cs="Arial" w:eastAsia="Arial" w:hAnsi="Arial"/>
                <w:sz w:val="14"/>
                <w:szCs w:val="14"/>
                <w:b w:val="1"/>
                <w:bCs w:val="1"/>
                <w:color w:val="auto"/>
              </w:rPr>
              <w:t>Stock</w:t>
            </w:r>
          </w:p>
        </w:tc>
        <w:tc>
          <w:tcPr>
            <w:tcW w:w="1040" w:type="dxa"/>
            <w:vAlign w:val="bottom"/>
          </w:tcPr>
          <w:p>
            <w:pPr>
              <w:jc w:val="center"/>
              <w:ind w:right="41"/>
              <w:spacing w:after="0"/>
              <w:rPr>
                <w:sz w:val="20"/>
                <w:szCs w:val="20"/>
                <w:color w:val="auto"/>
              </w:rPr>
            </w:pPr>
            <w:r>
              <w:rPr>
                <w:rFonts w:ascii="Arial" w:cs="Arial" w:eastAsia="Arial" w:hAnsi="Arial"/>
                <w:sz w:val="14"/>
                <w:szCs w:val="14"/>
                <w:b w:val="1"/>
                <w:bCs w:val="1"/>
                <w:color w:val="auto"/>
              </w:rPr>
              <w:t>Stock Unit</w:t>
            </w:r>
          </w:p>
        </w:tc>
        <w:tc>
          <w:tcPr>
            <w:tcW w:w="1040" w:type="dxa"/>
            <w:vAlign w:val="bottom"/>
            <w:gridSpan w:val="2"/>
          </w:tcPr>
          <w:p>
            <w:pPr>
              <w:ind w:left="100"/>
              <w:spacing w:after="0"/>
              <w:rPr>
                <w:sz w:val="20"/>
                <w:szCs w:val="20"/>
                <w:color w:val="auto"/>
              </w:rPr>
            </w:pPr>
            <w:r>
              <w:rPr>
                <w:rFonts w:ascii="Arial" w:cs="Arial" w:eastAsia="Arial" w:hAnsi="Arial"/>
                <w:sz w:val="14"/>
                <w:szCs w:val="14"/>
                <w:b w:val="1"/>
                <w:bCs w:val="1"/>
                <w:color w:val="auto"/>
              </w:rPr>
              <w:t>Stock Unit</w:t>
            </w:r>
          </w:p>
        </w:tc>
        <w:tc>
          <w:tcPr>
            <w:tcW w:w="1080" w:type="dxa"/>
            <w:vAlign w:val="bottom"/>
          </w:tcPr>
          <w:p>
            <w:pPr>
              <w:jc w:val="center"/>
              <w:spacing w:after="0"/>
              <w:rPr>
                <w:sz w:val="20"/>
                <w:szCs w:val="20"/>
                <w:color w:val="auto"/>
              </w:rPr>
            </w:pPr>
            <w:r>
              <w:rPr>
                <w:rFonts w:ascii="Arial" w:cs="Arial" w:eastAsia="Arial" w:hAnsi="Arial"/>
                <w:sz w:val="14"/>
                <w:szCs w:val="14"/>
                <w:b w:val="1"/>
                <w:bCs w:val="1"/>
                <w:color w:val="auto"/>
              </w:rPr>
              <w:t>Performance</w:t>
            </w:r>
          </w:p>
        </w:tc>
        <w:tc>
          <w:tcPr>
            <w:tcW w:w="1100" w:type="dxa"/>
            <w:vAlign w:val="bottom"/>
            <w:gridSpan w:val="2"/>
          </w:tcPr>
          <w:p>
            <w:pPr>
              <w:ind w:left="100"/>
              <w:spacing w:after="0"/>
              <w:rPr>
                <w:sz w:val="20"/>
                <w:szCs w:val="20"/>
                <w:color w:val="auto"/>
              </w:rPr>
            </w:pPr>
            <w:r>
              <w:rPr>
                <w:rFonts w:ascii="Arial" w:cs="Arial" w:eastAsia="Arial" w:hAnsi="Arial"/>
                <w:sz w:val="14"/>
                <w:szCs w:val="14"/>
                <w:b w:val="1"/>
                <w:bCs w:val="1"/>
                <w:color w:val="auto"/>
              </w:rPr>
              <w:t>Performance</w:t>
            </w:r>
          </w:p>
        </w:tc>
        <w:tc>
          <w:tcPr>
            <w:tcW w:w="220" w:type="dxa"/>
            <w:vAlign w:val="bottom"/>
          </w:tcPr>
          <w:p>
            <w:pPr>
              <w:spacing w:after="0"/>
              <w:rPr>
                <w:sz w:val="14"/>
                <w:szCs w:val="14"/>
                <w:color w:val="auto"/>
              </w:rPr>
            </w:pPr>
          </w:p>
        </w:tc>
        <w:tc>
          <w:tcPr>
            <w:tcW w:w="900" w:type="dxa"/>
            <w:vAlign w:val="bottom"/>
          </w:tcPr>
          <w:p>
            <w:pPr>
              <w:jc w:val="center"/>
              <w:ind w:right="139"/>
              <w:spacing w:after="0"/>
              <w:rPr>
                <w:sz w:val="20"/>
                <w:szCs w:val="20"/>
                <w:color w:val="auto"/>
              </w:rPr>
            </w:pPr>
            <w:r>
              <w:rPr>
                <w:rFonts w:ascii="Arial" w:cs="Arial" w:eastAsia="Arial" w:hAnsi="Arial"/>
                <w:sz w:val="14"/>
                <w:szCs w:val="14"/>
                <w:b w:val="1"/>
                <w:bCs w:val="1"/>
                <w:color w:val="auto"/>
                <w:w w:val="90"/>
              </w:rPr>
              <w:t>of</w:t>
            </w:r>
          </w:p>
        </w:tc>
      </w:tr>
      <w:tr>
        <w:trPr>
          <w:trHeight w:val="175"/>
        </w:trPr>
        <w:tc>
          <w:tcPr>
            <w:tcW w:w="2460" w:type="dxa"/>
            <w:vAlign w:val="bottom"/>
            <w:tcBorders>
              <w:bottom w:val="single" w:sz="8" w:color="auto"/>
            </w:tcBorders>
          </w:tcPr>
          <w:p>
            <w:pPr>
              <w:spacing w:after="0"/>
              <w:rPr>
                <w:sz w:val="15"/>
                <w:szCs w:val="15"/>
                <w:color w:val="auto"/>
              </w:rPr>
            </w:pPr>
          </w:p>
        </w:tc>
        <w:tc>
          <w:tcPr>
            <w:tcW w:w="1860" w:type="dxa"/>
            <w:vAlign w:val="bottom"/>
            <w:tcBorders>
              <w:bottom w:val="single" w:sz="8" w:color="auto"/>
            </w:tcBorders>
          </w:tcPr>
          <w:p>
            <w:pPr>
              <w:jc w:val="right"/>
              <w:ind w:right="159"/>
              <w:spacing w:after="0"/>
              <w:rPr>
                <w:sz w:val="20"/>
                <w:szCs w:val="20"/>
                <w:color w:val="auto"/>
              </w:rPr>
            </w:pPr>
            <w:r>
              <w:rPr>
                <w:rFonts w:ascii="Arial" w:cs="Arial" w:eastAsia="Arial" w:hAnsi="Arial"/>
                <w:sz w:val="14"/>
                <w:szCs w:val="14"/>
                <w:b w:val="1"/>
                <w:bCs w:val="1"/>
                <w:color w:val="auto"/>
              </w:rPr>
              <w:t>Opportunity*</w:t>
            </w:r>
          </w:p>
        </w:tc>
        <w:tc>
          <w:tcPr>
            <w:tcW w:w="760" w:type="dxa"/>
            <w:vAlign w:val="bottom"/>
            <w:tcBorders>
              <w:bottom w:val="single" w:sz="8" w:color="auto"/>
            </w:tcBorders>
          </w:tcPr>
          <w:p>
            <w:pPr>
              <w:ind w:left="100"/>
              <w:spacing w:after="0"/>
              <w:rPr>
                <w:sz w:val="20"/>
                <w:szCs w:val="20"/>
                <w:color w:val="auto"/>
              </w:rPr>
            </w:pPr>
            <w:r>
              <w:rPr>
                <w:rFonts w:ascii="Arial" w:cs="Arial" w:eastAsia="Arial" w:hAnsi="Arial"/>
                <w:sz w:val="14"/>
                <w:szCs w:val="14"/>
                <w:b w:val="1"/>
                <w:bCs w:val="1"/>
                <w:color w:val="auto"/>
              </w:rPr>
              <w:t>Options</w:t>
            </w:r>
          </w:p>
        </w:tc>
        <w:tc>
          <w:tcPr>
            <w:tcW w:w="960" w:type="dxa"/>
            <w:vAlign w:val="bottom"/>
            <w:tcBorders>
              <w:bottom w:val="single" w:sz="8" w:color="auto"/>
            </w:tcBorders>
            <w:gridSpan w:val="2"/>
          </w:tcPr>
          <w:p>
            <w:pPr>
              <w:jc w:val="center"/>
              <w:spacing w:after="0"/>
              <w:rPr>
                <w:sz w:val="20"/>
                <w:szCs w:val="20"/>
                <w:color w:val="auto"/>
              </w:rPr>
            </w:pPr>
            <w:r>
              <w:rPr>
                <w:rFonts w:ascii="Arial" w:cs="Arial" w:eastAsia="Arial" w:hAnsi="Arial"/>
                <w:sz w:val="14"/>
                <w:szCs w:val="14"/>
                <w:b w:val="1"/>
                <w:bCs w:val="1"/>
                <w:color w:val="auto"/>
              </w:rPr>
              <w:t>Options</w:t>
            </w:r>
          </w:p>
        </w:tc>
        <w:tc>
          <w:tcPr>
            <w:tcW w:w="1040" w:type="dxa"/>
            <w:vAlign w:val="bottom"/>
            <w:tcBorders>
              <w:bottom w:val="single" w:sz="8" w:color="auto"/>
            </w:tcBorders>
          </w:tcPr>
          <w:p>
            <w:pPr>
              <w:jc w:val="center"/>
              <w:ind w:right="41"/>
              <w:spacing w:after="0"/>
              <w:rPr>
                <w:sz w:val="20"/>
                <w:szCs w:val="20"/>
                <w:color w:val="auto"/>
              </w:rPr>
            </w:pPr>
            <w:r>
              <w:rPr>
                <w:rFonts w:ascii="Arial" w:cs="Arial" w:eastAsia="Arial" w:hAnsi="Arial"/>
                <w:sz w:val="14"/>
                <w:szCs w:val="14"/>
                <w:b w:val="1"/>
                <w:bCs w:val="1"/>
                <w:color w:val="auto"/>
              </w:rPr>
              <w:t>Awards</w:t>
            </w:r>
          </w:p>
        </w:tc>
        <w:tc>
          <w:tcPr>
            <w:tcW w:w="180" w:type="dxa"/>
            <w:vAlign w:val="bottom"/>
            <w:tcBorders>
              <w:bottom w:val="single" w:sz="8" w:color="auto"/>
            </w:tcBorders>
          </w:tcPr>
          <w:p>
            <w:pPr>
              <w:spacing w:after="0"/>
              <w:rPr>
                <w:sz w:val="15"/>
                <w:szCs w:val="15"/>
                <w:color w:val="auto"/>
              </w:rPr>
            </w:pPr>
          </w:p>
        </w:tc>
        <w:tc>
          <w:tcPr>
            <w:tcW w:w="860" w:type="dxa"/>
            <w:vAlign w:val="bottom"/>
            <w:tcBorders>
              <w:bottom w:val="single" w:sz="8" w:color="auto"/>
            </w:tcBorders>
          </w:tcPr>
          <w:p>
            <w:pPr>
              <w:ind w:left="20"/>
              <w:spacing w:after="0"/>
              <w:rPr>
                <w:sz w:val="20"/>
                <w:szCs w:val="20"/>
                <w:color w:val="auto"/>
              </w:rPr>
            </w:pPr>
            <w:r>
              <w:rPr>
                <w:rFonts w:ascii="Arial" w:cs="Arial" w:eastAsia="Arial" w:hAnsi="Arial"/>
                <w:sz w:val="14"/>
                <w:szCs w:val="14"/>
                <w:b w:val="1"/>
                <w:bCs w:val="1"/>
                <w:color w:val="auto"/>
              </w:rPr>
              <w:t>Awards</w:t>
            </w:r>
          </w:p>
        </w:tc>
        <w:tc>
          <w:tcPr>
            <w:tcW w:w="108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rPr>
              <w:t>Shares</w:t>
            </w:r>
          </w:p>
        </w:tc>
        <w:tc>
          <w:tcPr>
            <w:tcW w:w="220" w:type="dxa"/>
            <w:vAlign w:val="bottom"/>
            <w:tcBorders>
              <w:bottom w:val="single" w:sz="8" w:color="auto"/>
            </w:tcBorders>
          </w:tcPr>
          <w:p>
            <w:pPr>
              <w:spacing w:after="0"/>
              <w:rPr>
                <w:sz w:val="15"/>
                <w:szCs w:val="15"/>
                <w:color w:val="auto"/>
              </w:rPr>
            </w:pPr>
          </w:p>
        </w:tc>
        <w:tc>
          <w:tcPr>
            <w:tcW w:w="880" w:type="dxa"/>
            <w:vAlign w:val="bottom"/>
            <w:tcBorders>
              <w:bottom w:val="single" w:sz="8" w:color="auto"/>
            </w:tcBorders>
          </w:tcPr>
          <w:p>
            <w:pPr>
              <w:jc w:val="right"/>
              <w:ind w:right="239"/>
              <w:spacing w:after="0"/>
              <w:rPr>
                <w:sz w:val="20"/>
                <w:szCs w:val="20"/>
                <w:color w:val="auto"/>
              </w:rPr>
            </w:pPr>
            <w:r>
              <w:rPr>
                <w:rFonts w:ascii="Arial" w:cs="Arial" w:eastAsia="Arial" w:hAnsi="Arial"/>
                <w:sz w:val="14"/>
                <w:szCs w:val="14"/>
                <w:b w:val="1"/>
                <w:bCs w:val="1"/>
                <w:color w:val="auto"/>
              </w:rPr>
              <w:t>Shares</w:t>
            </w:r>
          </w:p>
        </w:tc>
        <w:tc>
          <w:tcPr>
            <w:tcW w:w="220" w:type="dxa"/>
            <w:vAlign w:val="bottom"/>
            <w:tcBorders>
              <w:bottom w:val="single" w:sz="8" w:color="auto"/>
            </w:tcBorders>
          </w:tcPr>
          <w:p>
            <w:pPr>
              <w:spacing w:after="0"/>
              <w:rPr>
                <w:sz w:val="15"/>
                <w:szCs w:val="15"/>
                <w:color w:val="auto"/>
              </w:rPr>
            </w:pPr>
          </w:p>
        </w:tc>
        <w:tc>
          <w:tcPr>
            <w:tcW w:w="900" w:type="dxa"/>
            <w:vAlign w:val="bottom"/>
            <w:tcBorders>
              <w:bottom w:val="single" w:sz="8" w:color="auto"/>
            </w:tcBorders>
          </w:tcPr>
          <w:p>
            <w:pPr>
              <w:jc w:val="center"/>
              <w:ind w:right="139"/>
              <w:spacing w:after="0"/>
              <w:rPr>
                <w:sz w:val="20"/>
                <w:szCs w:val="20"/>
                <w:color w:val="auto"/>
              </w:rPr>
            </w:pPr>
            <w:r>
              <w:rPr>
                <w:rFonts w:ascii="Arial" w:cs="Arial" w:eastAsia="Arial" w:hAnsi="Arial"/>
                <w:sz w:val="14"/>
                <w:szCs w:val="14"/>
                <w:b w:val="1"/>
                <w:bCs w:val="1"/>
                <w:color w:val="auto"/>
              </w:rPr>
              <w:t>Award</w:t>
            </w:r>
          </w:p>
        </w:tc>
      </w:tr>
      <w:tr>
        <w:trPr>
          <w:trHeight w:val="183"/>
        </w:trPr>
        <w:tc>
          <w:tcPr>
            <w:tcW w:w="2460" w:type="dxa"/>
            <w:vAlign w:val="bottom"/>
            <w:shd w:val="clear" w:color="auto" w:fill="CCEEFF"/>
          </w:tcPr>
          <w:p>
            <w:pPr>
              <w:spacing w:after="0" w:line="183" w:lineRule="exact"/>
              <w:rPr>
                <w:sz w:val="20"/>
                <w:szCs w:val="20"/>
                <w:color w:val="auto"/>
              </w:rPr>
            </w:pPr>
            <w:r>
              <w:rPr>
                <w:rFonts w:ascii="Arial" w:cs="Arial" w:eastAsia="Arial" w:hAnsi="Arial"/>
                <w:sz w:val="17"/>
                <w:szCs w:val="17"/>
                <w:color w:val="auto"/>
              </w:rPr>
              <w:t>Ward J. Timken Jr.</w:t>
            </w:r>
          </w:p>
        </w:tc>
        <w:tc>
          <w:tcPr>
            <w:tcW w:w="1860" w:type="dxa"/>
            <w:vAlign w:val="bottom"/>
            <w:shd w:val="clear" w:color="auto" w:fill="CCEEFF"/>
          </w:tcPr>
          <w:p>
            <w:pPr>
              <w:jc w:val="right"/>
              <w:spacing w:after="0" w:line="183" w:lineRule="exact"/>
              <w:rPr>
                <w:sz w:val="20"/>
                <w:szCs w:val="20"/>
                <w:color w:val="auto"/>
              </w:rPr>
            </w:pPr>
            <w:r>
              <w:rPr>
                <w:rFonts w:ascii="Arial" w:cs="Arial" w:eastAsia="Arial" w:hAnsi="Arial"/>
                <w:sz w:val="17"/>
                <w:szCs w:val="17"/>
                <w:color w:val="auto"/>
              </w:rPr>
              <w:t>400%</w:t>
            </w:r>
          </w:p>
        </w:tc>
        <w:tc>
          <w:tcPr>
            <w:tcW w:w="760" w:type="dxa"/>
            <w:vAlign w:val="bottom"/>
            <w:shd w:val="clear" w:color="auto" w:fill="CCEEFF"/>
          </w:tcPr>
          <w:p>
            <w:pPr>
              <w:jc w:val="right"/>
              <w:ind w:right="20"/>
              <w:spacing w:after="0" w:line="183" w:lineRule="exact"/>
              <w:rPr>
                <w:sz w:val="20"/>
                <w:szCs w:val="20"/>
                <w:color w:val="auto"/>
              </w:rPr>
            </w:pPr>
            <w:r>
              <w:rPr>
                <w:rFonts w:ascii="Arial" w:cs="Arial" w:eastAsia="Arial" w:hAnsi="Arial"/>
                <w:sz w:val="17"/>
                <w:szCs w:val="17"/>
                <w:color w:val="auto"/>
              </w:rPr>
              <w:t>95,000</w:t>
            </w:r>
          </w:p>
        </w:tc>
        <w:tc>
          <w:tcPr>
            <w:tcW w:w="220" w:type="dxa"/>
            <w:vAlign w:val="bottom"/>
            <w:shd w:val="clear" w:color="auto" w:fill="CCEEFF"/>
          </w:tcPr>
          <w:p>
            <w:pPr>
              <w:jc w:val="right"/>
              <w:spacing w:after="0" w:line="183" w:lineRule="exact"/>
              <w:rPr>
                <w:sz w:val="20"/>
                <w:szCs w:val="20"/>
                <w:color w:val="auto"/>
              </w:rPr>
            </w:pPr>
            <w:r>
              <w:rPr>
                <w:rFonts w:ascii="Arial" w:cs="Arial" w:eastAsia="Arial" w:hAnsi="Arial"/>
                <w:sz w:val="17"/>
                <w:szCs w:val="17"/>
                <w:color w:val="auto"/>
              </w:rPr>
              <w:t>$</w:t>
            </w:r>
          </w:p>
        </w:tc>
        <w:tc>
          <w:tcPr>
            <w:tcW w:w="740" w:type="dxa"/>
            <w:vAlign w:val="bottom"/>
            <w:shd w:val="clear" w:color="auto" w:fill="CCEEFF"/>
          </w:tcPr>
          <w:p>
            <w:pPr>
              <w:jc w:val="right"/>
              <w:ind w:right="37"/>
              <w:spacing w:after="0" w:line="183" w:lineRule="exact"/>
              <w:rPr>
                <w:sz w:val="20"/>
                <w:szCs w:val="20"/>
                <w:color w:val="auto"/>
              </w:rPr>
            </w:pPr>
            <w:r>
              <w:rPr>
                <w:rFonts w:ascii="Arial" w:cs="Arial" w:eastAsia="Arial" w:hAnsi="Arial"/>
                <w:sz w:val="17"/>
                <w:szCs w:val="17"/>
                <w:color w:val="auto"/>
                <w:w w:val="97"/>
              </w:rPr>
              <w:t>960,450</w:t>
            </w:r>
          </w:p>
        </w:tc>
        <w:tc>
          <w:tcPr>
            <w:tcW w:w="1040" w:type="dxa"/>
            <w:vAlign w:val="bottom"/>
            <w:shd w:val="clear" w:color="auto" w:fill="CCEEFF"/>
          </w:tcPr>
          <w:p>
            <w:pPr>
              <w:jc w:val="right"/>
              <w:ind w:right="1"/>
              <w:spacing w:after="0" w:line="183" w:lineRule="exact"/>
              <w:rPr>
                <w:sz w:val="20"/>
                <w:szCs w:val="20"/>
                <w:color w:val="auto"/>
              </w:rPr>
            </w:pPr>
            <w:r>
              <w:rPr>
                <w:rFonts w:ascii="Arial" w:cs="Arial" w:eastAsia="Arial" w:hAnsi="Arial"/>
                <w:sz w:val="17"/>
                <w:szCs w:val="17"/>
                <w:color w:val="auto"/>
              </w:rPr>
              <w:t>0**</w:t>
            </w:r>
          </w:p>
        </w:tc>
        <w:tc>
          <w:tcPr>
            <w:tcW w:w="180" w:type="dxa"/>
            <w:vAlign w:val="bottom"/>
            <w:shd w:val="clear" w:color="auto" w:fill="CCEEFF"/>
          </w:tcPr>
          <w:p>
            <w:pPr>
              <w:ind w:left="80"/>
              <w:spacing w:after="0" w:line="183" w:lineRule="exact"/>
              <w:rPr>
                <w:sz w:val="20"/>
                <w:szCs w:val="20"/>
                <w:color w:val="auto"/>
              </w:rPr>
            </w:pPr>
            <w:r>
              <w:rPr>
                <w:rFonts w:ascii="Arial" w:cs="Arial" w:eastAsia="Arial" w:hAnsi="Arial"/>
                <w:sz w:val="17"/>
                <w:szCs w:val="17"/>
                <w:color w:val="auto"/>
                <w:w w:val="84"/>
              </w:rPr>
              <w:t>$</w:t>
            </w:r>
          </w:p>
        </w:tc>
        <w:tc>
          <w:tcPr>
            <w:tcW w:w="860" w:type="dxa"/>
            <w:vAlign w:val="bottom"/>
            <w:shd w:val="clear" w:color="auto" w:fill="CCEEFF"/>
          </w:tcPr>
          <w:p>
            <w:pPr>
              <w:jc w:val="right"/>
              <w:ind w:right="17"/>
              <w:spacing w:after="0" w:line="183" w:lineRule="exact"/>
              <w:rPr>
                <w:sz w:val="20"/>
                <w:szCs w:val="20"/>
                <w:color w:val="auto"/>
              </w:rPr>
            </w:pPr>
            <w:r>
              <w:rPr>
                <w:rFonts w:ascii="Arial" w:cs="Arial" w:eastAsia="Arial" w:hAnsi="Arial"/>
                <w:sz w:val="17"/>
                <w:szCs w:val="17"/>
                <w:color w:val="auto"/>
              </w:rPr>
              <w:t>0**</w:t>
            </w:r>
          </w:p>
        </w:tc>
        <w:tc>
          <w:tcPr>
            <w:tcW w:w="1080" w:type="dxa"/>
            <w:vAlign w:val="bottom"/>
            <w:shd w:val="clear" w:color="auto" w:fill="CCEEFF"/>
          </w:tcPr>
          <w:p>
            <w:pPr>
              <w:jc w:val="right"/>
              <w:ind w:right="40"/>
              <w:spacing w:after="0" w:line="183" w:lineRule="exact"/>
              <w:rPr>
                <w:sz w:val="20"/>
                <w:szCs w:val="20"/>
                <w:color w:val="auto"/>
              </w:rPr>
            </w:pPr>
            <w:r>
              <w:rPr>
                <w:rFonts w:ascii="Arial" w:cs="Arial" w:eastAsia="Arial" w:hAnsi="Arial"/>
                <w:sz w:val="17"/>
                <w:szCs w:val="17"/>
                <w:color w:val="auto"/>
              </w:rPr>
              <w:t>74,800</w:t>
            </w:r>
          </w:p>
        </w:tc>
        <w:tc>
          <w:tcPr>
            <w:tcW w:w="220" w:type="dxa"/>
            <w:vAlign w:val="bottom"/>
            <w:shd w:val="clear" w:color="auto" w:fill="CCEEFF"/>
          </w:tcPr>
          <w:p>
            <w:pPr>
              <w:ind w:left="100"/>
              <w:spacing w:after="0" w:line="183" w:lineRule="exact"/>
              <w:rPr>
                <w:sz w:val="20"/>
                <w:szCs w:val="20"/>
                <w:color w:val="auto"/>
              </w:rPr>
            </w:pPr>
            <w:r>
              <w:rPr>
                <w:rFonts w:ascii="Arial" w:cs="Arial" w:eastAsia="Arial" w:hAnsi="Arial"/>
                <w:sz w:val="17"/>
                <w:szCs w:val="17"/>
                <w:color w:val="auto"/>
              </w:rPr>
              <w:t>$</w:t>
            </w:r>
          </w:p>
        </w:tc>
        <w:tc>
          <w:tcPr>
            <w:tcW w:w="880" w:type="dxa"/>
            <w:vAlign w:val="bottom"/>
            <w:shd w:val="clear" w:color="auto" w:fill="CCEEFF"/>
          </w:tcPr>
          <w:p>
            <w:pPr>
              <w:jc w:val="right"/>
              <w:ind w:right="19"/>
              <w:spacing w:after="0" w:line="183" w:lineRule="exact"/>
              <w:rPr>
                <w:sz w:val="20"/>
                <w:szCs w:val="20"/>
                <w:color w:val="auto"/>
              </w:rPr>
            </w:pPr>
            <w:r>
              <w:rPr>
                <w:rFonts w:ascii="Arial" w:cs="Arial" w:eastAsia="Arial" w:hAnsi="Arial"/>
                <w:sz w:val="17"/>
                <w:szCs w:val="17"/>
                <w:color w:val="auto"/>
              </w:rPr>
              <w:t>2,169,200</w:t>
            </w:r>
          </w:p>
        </w:tc>
        <w:tc>
          <w:tcPr>
            <w:tcW w:w="220" w:type="dxa"/>
            <w:vAlign w:val="bottom"/>
            <w:shd w:val="clear" w:color="auto" w:fill="CCEEFF"/>
          </w:tcPr>
          <w:p>
            <w:pPr>
              <w:jc w:val="right"/>
              <w:spacing w:after="0" w:line="183" w:lineRule="exact"/>
              <w:rPr>
                <w:sz w:val="20"/>
                <w:szCs w:val="20"/>
                <w:color w:val="auto"/>
              </w:rPr>
            </w:pPr>
            <w:r>
              <w:rPr>
                <w:rFonts w:ascii="Arial" w:cs="Arial" w:eastAsia="Arial" w:hAnsi="Arial"/>
                <w:sz w:val="17"/>
                <w:szCs w:val="17"/>
                <w:color w:val="auto"/>
              </w:rPr>
              <w:t>$</w:t>
            </w:r>
          </w:p>
        </w:tc>
        <w:tc>
          <w:tcPr>
            <w:tcW w:w="900" w:type="dxa"/>
            <w:vAlign w:val="bottom"/>
            <w:shd w:val="clear" w:color="auto" w:fill="CCEEFF"/>
          </w:tcPr>
          <w:p>
            <w:pPr>
              <w:jc w:val="right"/>
              <w:ind w:right="19"/>
              <w:spacing w:after="0" w:line="183" w:lineRule="exact"/>
              <w:rPr>
                <w:sz w:val="20"/>
                <w:szCs w:val="20"/>
                <w:color w:val="auto"/>
              </w:rPr>
            </w:pPr>
            <w:r>
              <w:rPr>
                <w:rFonts w:ascii="Arial" w:cs="Arial" w:eastAsia="Arial" w:hAnsi="Arial"/>
                <w:sz w:val="17"/>
                <w:szCs w:val="17"/>
                <w:color w:val="auto"/>
              </w:rPr>
              <w:t>3,129,650</w:t>
            </w:r>
          </w:p>
        </w:tc>
      </w:tr>
      <w:tr>
        <w:trPr>
          <w:trHeight w:val="189"/>
        </w:trPr>
        <w:tc>
          <w:tcPr>
            <w:tcW w:w="2460" w:type="dxa"/>
            <w:vAlign w:val="bottom"/>
          </w:tcPr>
          <w:p>
            <w:pPr>
              <w:spacing w:after="0" w:line="189" w:lineRule="exact"/>
              <w:rPr>
                <w:sz w:val="20"/>
                <w:szCs w:val="20"/>
                <w:color w:val="auto"/>
              </w:rPr>
            </w:pPr>
            <w:r>
              <w:rPr>
                <w:rFonts w:ascii="Arial" w:cs="Arial" w:eastAsia="Arial" w:hAnsi="Arial"/>
                <w:sz w:val="17"/>
                <w:szCs w:val="17"/>
                <w:color w:val="auto"/>
              </w:rPr>
              <w:t>Christopher J. Holding</w:t>
            </w:r>
          </w:p>
        </w:tc>
        <w:tc>
          <w:tcPr>
            <w:tcW w:w="1860" w:type="dxa"/>
            <w:vAlign w:val="bottom"/>
          </w:tcPr>
          <w:p>
            <w:pPr>
              <w:jc w:val="right"/>
              <w:spacing w:after="0" w:line="189" w:lineRule="exact"/>
              <w:rPr>
                <w:sz w:val="20"/>
                <w:szCs w:val="20"/>
                <w:color w:val="auto"/>
              </w:rPr>
            </w:pPr>
            <w:r>
              <w:rPr>
                <w:rFonts w:ascii="Arial" w:cs="Arial" w:eastAsia="Arial" w:hAnsi="Arial"/>
                <w:sz w:val="17"/>
                <w:szCs w:val="17"/>
                <w:color w:val="auto"/>
              </w:rPr>
              <w:t>120%</w:t>
            </w:r>
          </w:p>
        </w:tc>
        <w:tc>
          <w:tcPr>
            <w:tcW w:w="760" w:type="dxa"/>
            <w:vAlign w:val="bottom"/>
          </w:tcPr>
          <w:p>
            <w:pPr>
              <w:jc w:val="right"/>
              <w:ind w:right="20"/>
              <w:spacing w:after="0" w:line="189" w:lineRule="exact"/>
              <w:rPr>
                <w:sz w:val="20"/>
                <w:szCs w:val="20"/>
                <w:color w:val="auto"/>
              </w:rPr>
            </w:pPr>
            <w:r>
              <w:rPr>
                <w:rFonts w:ascii="Arial" w:cs="Arial" w:eastAsia="Arial" w:hAnsi="Arial"/>
                <w:sz w:val="17"/>
                <w:szCs w:val="17"/>
                <w:color w:val="auto"/>
              </w:rPr>
              <w:t>14,600</w:t>
            </w:r>
          </w:p>
        </w:tc>
        <w:tc>
          <w:tcPr>
            <w:tcW w:w="220" w:type="dxa"/>
            <w:vAlign w:val="bottom"/>
          </w:tcPr>
          <w:p>
            <w:pPr>
              <w:jc w:val="right"/>
              <w:spacing w:after="0" w:line="189" w:lineRule="exact"/>
              <w:rPr>
                <w:sz w:val="20"/>
                <w:szCs w:val="20"/>
                <w:color w:val="auto"/>
              </w:rPr>
            </w:pPr>
            <w:r>
              <w:rPr>
                <w:rFonts w:ascii="Arial" w:cs="Arial" w:eastAsia="Arial" w:hAnsi="Arial"/>
                <w:sz w:val="17"/>
                <w:szCs w:val="17"/>
                <w:color w:val="auto"/>
              </w:rPr>
              <w:t>$</w:t>
            </w:r>
          </w:p>
        </w:tc>
        <w:tc>
          <w:tcPr>
            <w:tcW w:w="740" w:type="dxa"/>
            <w:vAlign w:val="bottom"/>
          </w:tcPr>
          <w:p>
            <w:pPr>
              <w:jc w:val="right"/>
              <w:ind w:right="37"/>
              <w:spacing w:after="0" w:line="189" w:lineRule="exact"/>
              <w:rPr>
                <w:sz w:val="20"/>
                <w:szCs w:val="20"/>
                <w:color w:val="auto"/>
              </w:rPr>
            </w:pPr>
            <w:r>
              <w:rPr>
                <w:rFonts w:ascii="Arial" w:cs="Arial" w:eastAsia="Arial" w:hAnsi="Arial"/>
                <w:sz w:val="17"/>
                <w:szCs w:val="17"/>
                <w:color w:val="auto"/>
                <w:w w:val="97"/>
              </w:rPr>
              <w:t>147,606</w:t>
            </w:r>
          </w:p>
        </w:tc>
        <w:tc>
          <w:tcPr>
            <w:tcW w:w="1040" w:type="dxa"/>
            <w:vAlign w:val="bottom"/>
          </w:tcPr>
          <w:p>
            <w:pPr>
              <w:jc w:val="right"/>
              <w:ind w:right="141"/>
              <w:spacing w:after="0" w:line="189" w:lineRule="exact"/>
              <w:rPr>
                <w:sz w:val="20"/>
                <w:szCs w:val="20"/>
                <w:color w:val="auto"/>
              </w:rPr>
            </w:pPr>
            <w:r>
              <w:rPr>
                <w:rFonts w:ascii="Arial" w:cs="Arial" w:eastAsia="Arial" w:hAnsi="Arial"/>
                <w:sz w:val="17"/>
                <w:szCs w:val="17"/>
                <w:color w:val="auto"/>
              </w:rPr>
              <w:t>4,100</w:t>
            </w:r>
          </w:p>
        </w:tc>
        <w:tc>
          <w:tcPr>
            <w:tcW w:w="180" w:type="dxa"/>
            <w:vAlign w:val="bottom"/>
          </w:tcPr>
          <w:p>
            <w:pPr>
              <w:ind w:left="80"/>
              <w:spacing w:after="0" w:line="189" w:lineRule="exact"/>
              <w:rPr>
                <w:sz w:val="20"/>
                <w:szCs w:val="20"/>
                <w:color w:val="auto"/>
              </w:rPr>
            </w:pPr>
            <w:r>
              <w:rPr>
                <w:rFonts w:ascii="Arial" w:cs="Arial" w:eastAsia="Arial" w:hAnsi="Arial"/>
                <w:sz w:val="17"/>
                <w:szCs w:val="17"/>
                <w:color w:val="auto"/>
                <w:w w:val="84"/>
              </w:rPr>
              <w:t>$</w:t>
            </w:r>
          </w:p>
        </w:tc>
        <w:tc>
          <w:tcPr>
            <w:tcW w:w="860" w:type="dxa"/>
            <w:vAlign w:val="bottom"/>
          </w:tcPr>
          <w:p>
            <w:pPr>
              <w:jc w:val="right"/>
              <w:ind w:right="137"/>
              <w:spacing w:after="0" w:line="189" w:lineRule="exact"/>
              <w:rPr>
                <w:sz w:val="20"/>
                <w:szCs w:val="20"/>
                <w:color w:val="auto"/>
              </w:rPr>
            </w:pPr>
            <w:r>
              <w:rPr>
                <w:rFonts w:ascii="Arial" w:cs="Arial" w:eastAsia="Arial" w:hAnsi="Arial"/>
                <w:sz w:val="17"/>
                <w:szCs w:val="17"/>
                <w:color w:val="auto"/>
              </w:rPr>
              <w:t>118,900</w:t>
            </w:r>
          </w:p>
        </w:tc>
        <w:tc>
          <w:tcPr>
            <w:tcW w:w="1080" w:type="dxa"/>
            <w:vAlign w:val="bottom"/>
          </w:tcPr>
          <w:p>
            <w:pPr>
              <w:jc w:val="right"/>
              <w:ind w:right="40"/>
              <w:spacing w:after="0" w:line="189" w:lineRule="exact"/>
              <w:rPr>
                <w:sz w:val="20"/>
                <w:szCs w:val="20"/>
                <w:color w:val="auto"/>
              </w:rPr>
            </w:pPr>
            <w:r>
              <w:rPr>
                <w:rFonts w:ascii="Arial" w:cs="Arial" w:eastAsia="Arial" w:hAnsi="Arial"/>
                <w:sz w:val="17"/>
                <w:szCs w:val="17"/>
                <w:color w:val="auto"/>
              </w:rPr>
              <w:t>7,400</w:t>
            </w:r>
          </w:p>
        </w:tc>
        <w:tc>
          <w:tcPr>
            <w:tcW w:w="220" w:type="dxa"/>
            <w:vAlign w:val="bottom"/>
          </w:tcPr>
          <w:p>
            <w:pPr>
              <w:ind w:left="100"/>
              <w:spacing w:after="0" w:line="189" w:lineRule="exact"/>
              <w:rPr>
                <w:sz w:val="20"/>
                <w:szCs w:val="20"/>
                <w:color w:val="auto"/>
              </w:rPr>
            </w:pPr>
            <w:r>
              <w:rPr>
                <w:rFonts w:ascii="Arial" w:cs="Arial" w:eastAsia="Arial" w:hAnsi="Arial"/>
                <w:sz w:val="17"/>
                <w:szCs w:val="17"/>
                <w:color w:val="auto"/>
              </w:rPr>
              <w:t>$</w:t>
            </w:r>
          </w:p>
        </w:tc>
        <w:tc>
          <w:tcPr>
            <w:tcW w:w="880" w:type="dxa"/>
            <w:vAlign w:val="bottom"/>
          </w:tcPr>
          <w:p>
            <w:pPr>
              <w:jc w:val="right"/>
              <w:ind w:right="19"/>
              <w:spacing w:after="0" w:line="189" w:lineRule="exact"/>
              <w:rPr>
                <w:sz w:val="20"/>
                <w:szCs w:val="20"/>
                <w:color w:val="auto"/>
              </w:rPr>
            </w:pPr>
            <w:r>
              <w:rPr>
                <w:rFonts w:ascii="Arial" w:cs="Arial" w:eastAsia="Arial" w:hAnsi="Arial"/>
                <w:sz w:val="17"/>
                <w:szCs w:val="17"/>
                <w:color w:val="auto"/>
              </w:rPr>
              <w:t>214,600</w:t>
            </w:r>
          </w:p>
        </w:tc>
        <w:tc>
          <w:tcPr>
            <w:tcW w:w="220" w:type="dxa"/>
            <w:vAlign w:val="bottom"/>
          </w:tcPr>
          <w:p>
            <w:pPr>
              <w:jc w:val="right"/>
              <w:spacing w:after="0" w:line="189" w:lineRule="exact"/>
              <w:rPr>
                <w:sz w:val="20"/>
                <w:szCs w:val="20"/>
                <w:color w:val="auto"/>
              </w:rPr>
            </w:pPr>
            <w:r>
              <w:rPr>
                <w:rFonts w:ascii="Arial" w:cs="Arial" w:eastAsia="Arial" w:hAnsi="Arial"/>
                <w:sz w:val="17"/>
                <w:szCs w:val="17"/>
                <w:color w:val="auto"/>
              </w:rPr>
              <w:t>$</w:t>
            </w:r>
          </w:p>
        </w:tc>
        <w:tc>
          <w:tcPr>
            <w:tcW w:w="900" w:type="dxa"/>
            <w:vAlign w:val="bottom"/>
          </w:tcPr>
          <w:p>
            <w:pPr>
              <w:jc w:val="right"/>
              <w:ind w:right="19"/>
              <w:spacing w:after="0" w:line="189" w:lineRule="exact"/>
              <w:rPr>
                <w:sz w:val="20"/>
                <w:szCs w:val="20"/>
                <w:color w:val="auto"/>
              </w:rPr>
            </w:pPr>
            <w:r>
              <w:rPr>
                <w:rFonts w:ascii="Arial" w:cs="Arial" w:eastAsia="Arial" w:hAnsi="Arial"/>
                <w:sz w:val="17"/>
                <w:szCs w:val="17"/>
                <w:color w:val="auto"/>
              </w:rPr>
              <w:t>481,106</w:t>
            </w:r>
          </w:p>
        </w:tc>
      </w:tr>
      <w:tr>
        <w:trPr>
          <w:trHeight w:val="189"/>
        </w:trPr>
        <w:tc>
          <w:tcPr>
            <w:tcW w:w="2460" w:type="dxa"/>
            <w:vAlign w:val="bottom"/>
            <w:shd w:val="clear" w:color="auto" w:fill="CCEEFF"/>
          </w:tcPr>
          <w:p>
            <w:pPr>
              <w:spacing w:after="0" w:line="189" w:lineRule="exact"/>
              <w:rPr>
                <w:sz w:val="20"/>
                <w:szCs w:val="20"/>
                <w:color w:val="auto"/>
              </w:rPr>
            </w:pPr>
            <w:r>
              <w:rPr>
                <w:rFonts w:ascii="Arial" w:cs="Arial" w:eastAsia="Arial" w:hAnsi="Arial"/>
                <w:sz w:val="17"/>
                <w:szCs w:val="17"/>
                <w:color w:val="auto"/>
              </w:rPr>
              <w:t>Donald L. Walker</w:t>
            </w:r>
          </w:p>
        </w:tc>
        <w:tc>
          <w:tcPr>
            <w:tcW w:w="1860" w:type="dxa"/>
            <w:vAlign w:val="bottom"/>
            <w:shd w:val="clear" w:color="auto" w:fill="CCEEFF"/>
          </w:tcPr>
          <w:p>
            <w:pPr>
              <w:jc w:val="right"/>
              <w:spacing w:after="0" w:line="189" w:lineRule="exact"/>
              <w:rPr>
                <w:sz w:val="20"/>
                <w:szCs w:val="20"/>
                <w:color w:val="auto"/>
              </w:rPr>
            </w:pPr>
            <w:r>
              <w:rPr>
                <w:rFonts w:ascii="Arial" w:cs="Arial" w:eastAsia="Arial" w:hAnsi="Arial"/>
                <w:sz w:val="17"/>
                <w:szCs w:val="17"/>
                <w:color w:val="auto"/>
              </w:rPr>
              <w:t>100%</w:t>
            </w:r>
          </w:p>
        </w:tc>
        <w:tc>
          <w:tcPr>
            <w:tcW w:w="760" w:type="dxa"/>
            <w:vAlign w:val="bottom"/>
            <w:shd w:val="clear" w:color="auto" w:fill="CCEEFF"/>
          </w:tcPr>
          <w:p>
            <w:pPr>
              <w:jc w:val="right"/>
              <w:ind w:right="20"/>
              <w:spacing w:after="0" w:line="189" w:lineRule="exact"/>
              <w:rPr>
                <w:sz w:val="20"/>
                <w:szCs w:val="20"/>
                <w:color w:val="auto"/>
              </w:rPr>
            </w:pPr>
            <w:r>
              <w:rPr>
                <w:rFonts w:ascii="Arial" w:cs="Arial" w:eastAsia="Arial" w:hAnsi="Arial"/>
                <w:sz w:val="17"/>
                <w:szCs w:val="17"/>
                <w:color w:val="auto"/>
              </w:rPr>
              <w:t>10,700</w:t>
            </w:r>
          </w:p>
        </w:tc>
        <w:tc>
          <w:tcPr>
            <w:tcW w:w="220" w:type="dxa"/>
            <w:vAlign w:val="bottom"/>
            <w:shd w:val="clear" w:color="auto" w:fill="CCEEFF"/>
          </w:tcPr>
          <w:p>
            <w:pPr>
              <w:jc w:val="right"/>
              <w:spacing w:after="0" w:line="189" w:lineRule="exact"/>
              <w:rPr>
                <w:sz w:val="20"/>
                <w:szCs w:val="20"/>
                <w:color w:val="auto"/>
              </w:rPr>
            </w:pPr>
            <w:r>
              <w:rPr>
                <w:rFonts w:ascii="Arial" w:cs="Arial" w:eastAsia="Arial" w:hAnsi="Arial"/>
                <w:sz w:val="17"/>
                <w:szCs w:val="17"/>
                <w:color w:val="auto"/>
              </w:rPr>
              <w:t>$</w:t>
            </w:r>
          </w:p>
        </w:tc>
        <w:tc>
          <w:tcPr>
            <w:tcW w:w="740" w:type="dxa"/>
            <w:vAlign w:val="bottom"/>
            <w:shd w:val="clear" w:color="auto" w:fill="CCEEFF"/>
          </w:tcPr>
          <w:p>
            <w:pPr>
              <w:jc w:val="right"/>
              <w:ind w:right="37"/>
              <w:spacing w:after="0" w:line="189" w:lineRule="exact"/>
              <w:rPr>
                <w:sz w:val="20"/>
                <w:szCs w:val="20"/>
                <w:color w:val="auto"/>
              </w:rPr>
            </w:pPr>
            <w:r>
              <w:rPr>
                <w:rFonts w:ascii="Arial" w:cs="Arial" w:eastAsia="Arial" w:hAnsi="Arial"/>
                <w:sz w:val="17"/>
                <w:szCs w:val="17"/>
                <w:color w:val="auto"/>
                <w:w w:val="97"/>
              </w:rPr>
              <w:t>108,177</w:t>
            </w:r>
          </w:p>
        </w:tc>
        <w:tc>
          <w:tcPr>
            <w:tcW w:w="1040" w:type="dxa"/>
            <w:vAlign w:val="bottom"/>
            <w:shd w:val="clear" w:color="auto" w:fill="CCEEFF"/>
          </w:tcPr>
          <w:p>
            <w:pPr>
              <w:jc w:val="right"/>
              <w:ind w:right="141"/>
              <w:spacing w:after="0" w:line="189" w:lineRule="exact"/>
              <w:rPr>
                <w:sz w:val="20"/>
                <w:szCs w:val="20"/>
                <w:color w:val="auto"/>
              </w:rPr>
            </w:pPr>
            <w:r>
              <w:rPr>
                <w:rFonts w:ascii="Arial" w:cs="Arial" w:eastAsia="Arial" w:hAnsi="Arial"/>
                <w:sz w:val="17"/>
                <w:szCs w:val="17"/>
                <w:color w:val="auto"/>
              </w:rPr>
              <w:t>3,000</w:t>
            </w:r>
          </w:p>
        </w:tc>
        <w:tc>
          <w:tcPr>
            <w:tcW w:w="180" w:type="dxa"/>
            <w:vAlign w:val="bottom"/>
            <w:shd w:val="clear" w:color="auto" w:fill="CCEEFF"/>
          </w:tcPr>
          <w:p>
            <w:pPr>
              <w:ind w:left="80"/>
              <w:spacing w:after="0" w:line="189" w:lineRule="exact"/>
              <w:rPr>
                <w:sz w:val="20"/>
                <w:szCs w:val="20"/>
                <w:color w:val="auto"/>
              </w:rPr>
            </w:pPr>
            <w:r>
              <w:rPr>
                <w:rFonts w:ascii="Arial" w:cs="Arial" w:eastAsia="Arial" w:hAnsi="Arial"/>
                <w:sz w:val="17"/>
                <w:szCs w:val="17"/>
                <w:color w:val="auto"/>
                <w:w w:val="84"/>
              </w:rPr>
              <w:t>$</w:t>
            </w:r>
          </w:p>
        </w:tc>
        <w:tc>
          <w:tcPr>
            <w:tcW w:w="860" w:type="dxa"/>
            <w:vAlign w:val="bottom"/>
            <w:shd w:val="clear" w:color="auto" w:fill="CCEEFF"/>
          </w:tcPr>
          <w:p>
            <w:pPr>
              <w:jc w:val="right"/>
              <w:ind w:right="137"/>
              <w:spacing w:after="0" w:line="189" w:lineRule="exact"/>
              <w:rPr>
                <w:sz w:val="20"/>
                <w:szCs w:val="20"/>
                <w:color w:val="auto"/>
              </w:rPr>
            </w:pPr>
            <w:r>
              <w:rPr>
                <w:rFonts w:ascii="Arial" w:cs="Arial" w:eastAsia="Arial" w:hAnsi="Arial"/>
                <w:sz w:val="17"/>
                <w:szCs w:val="17"/>
                <w:color w:val="auto"/>
              </w:rPr>
              <w:t>87,000</w:t>
            </w:r>
          </w:p>
        </w:tc>
        <w:tc>
          <w:tcPr>
            <w:tcW w:w="1080" w:type="dxa"/>
            <w:vAlign w:val="bottom"/>
            <w:shd w:val="clear" w:color="auto" w:fill="CCEEFF"/>
          </w:tcPr>
          <w:p>
            <w:pPr>
              <w:jc w:val="right"/>
              <w:ind w:right="40"/>
              <w:spacing w:after="0" w:line="189" w:lineRule="exact"/>
              <w:rPr>
                <w:sz w:val="20"/>
                <w:szCs w:val="20"/>
                <w:color w:val="auto"/>
              </w:rPr>
            </w:pPr>
            <w:r>
              <w:rPr>
                <w:rFonts w:ascii="Arial" w:cs="Arial" w:eastAsia="Arial" w:hAnsi="Arial"/>
                <w:sz w:val="17"/>
                <w:szCs w:val="17"/>
                <w:color w:val="auto"/>
              </w:rPr>
              <w:t>5,400</w:t>
            </w:r>
          </w:p>
        </w:tc>
        <w:tc>
          <w:tcPr>
            <w:tcW w:w="220" w:type="dxa"/>
            <w:vAlign w:val="bottom"/>
            <w:shd w:val="clear" w:color="auto" w:fill="CCEEFF"/>
          </w:tcPr>
          <w:p>
            <w:pPr>
              <w:ind w:left="100"/>
              <w:spacing w:after="0" w:line="189" w:lineRule="exact"/>
              <w:rPr>
                <w:sz w:val="20"/>
                <w:szCs w:val="20"/>
                <w:color w:val="auto"/>
              </w:rPr>
            </w:pPr>
            <w:r>
              <w:rPr>
                <w:rFonts w:ascii="Arial" w:cs="Arial" w:eastAsia="Arial" w:hAnsi="Arial"/>
                <w:sz w:val="17"/>
                <w:szCs w:val="17"/>
                <w:color w:val="auto"/>
              </w:rPr>
              <w:t>$</w:t>
            </w:r>
          </w:p>
        </w:tc>
        <w:tc>
          <w:tcPr>
            <w:tcW w:w="880" w:type="dxa"/>
            <w:vAlign w:val="bottom"/>
            <w:shd w:val="clear" w:color="auto" w:fill="CCEEFF"/>
          </w:tcPr>
          <w:p>
            <w:pPr>
              <w:jc w:val="right"/>
              <w:ind w:right="19"/>
              <w:spacing w:after="0" w:line="189" w:lineRule="exact"/>
              <w:rPr>
                <w:sz w:val="20"/>
                <w:szCs w:val="20"/>
                <w:color w:val="auto"/>
              </w:rPr>
            </w:pPr>
            <w:r>
              <w:rPr>
                <w:rFonts w:ascii="Arial" w:cs="Arial" w:eastAsia="Arial" w:hAnsi="Arial"/>
                <w:sz w:val="17"/>
                <w:szCs w:val="17"/>
                <w:color w:val="auto"/>
              </w:rPr>
              <w:t>156,600</w:t>
            </w:r>
          </w:p>
        </w:tc>
        <w:tc>
          <w:tcPr>
            <w:tcW w:w="220" w:type="dxa"/>
            <w:vAlign w:val="bottom"/>
            <w:shd w:val="clear" w:color="auto" w:fill="CCEEFF"/>
          </w:tcPr>
          <w:p>
            <w:pPr>
              <w:jc w:val="right"/>
              <w:spacing w:after="0" w:line="189" w:lineRule="exact"/>
              <w:rPr>
                <w:sz w:val="20"/>
                <w:szCs w:val="20"/>
                <w:color w:val="auto"/>
              </w:rPr>
            </w:pPr>
            <w:r>
              <w:rPr>
                <w:rFonts w:ascii="Arial" w:cs="Arial" w:eastAsia="Arial" w:hAnsi="Arial"/>
                <w:sz w:val="17"/>
                <w:szCs w:val="17"/>
                <w:color w:val="auto"/>
              </w:rPr>
              <w:t>$</w:t>
            </w:r>
          </w:p>
        </w:tc>
        <w:tc>
          <w:tcPr>
            <w:tcW w:w="900" w:type="dxa"/>
            <w:vAlign w:val="bottom"/>
            <w:shd w:val="clear" w:color="auto" w:fill="CCEEFF"/>
          </w:tcPr>
          <w:p>
            <w:pPr>
              <w:jc w:val="right"/>
              <w:ind w:right="19"/>
              <w:spacing w:after="0" w:line="189" w:lineRule="exact"/>
              <w:rPr>
                <w:sz w:val="20"/>
                <w:szCs w:val="20"/>
                <w:color w:val="auto"/>
              </w:rPr>
            </w:pPr>
            <w:r>
              <w:rPr>
                <w:rFonts w:ascii="Arial" w:cs="Arial" w:eastAsia="Arial" w:hAnsi="Arial"/>
                <w:sz w:val="17"/>
                <w:szCs w:val="17"/>
                <w:color w:val="auto"/>
              </w:rPr>
              <w:t>351,777</w:t>
            </w:r>
          </w:p>
        </w:tc>
      </w:tr>
      <w:tr>
        <w:trPr>
          <w:trHeight w:val="189"/>
        </w:trPr>
        <w:tc>
          <w:tcPr>
            <w:tcW w:w="2460" w:type="dxa"/>
            <w:vAlign w:val="bottom"/>
            <w:tcBorders>
              <w:bottom w:val="single" w:sz="8" w:color="auto"/>
            </w:tcBorders>
          </w:tcPr>
          <w:p>
            <w:pPr>
              <w:spacing w:after="0" w:line="189" w:lineRule="exact"/>
              <w:rPr>
                <w:sz w:val="20"/>
                <w:szCs w:val="20"/>
                <w:color w:val="auto"/>
              </w:rPr>
            </w:pPr>
            <w:r>
              <w:rPr>
                <w:rFonts w:ascii="Arial" w:cs="Arial" w:eastAsia="Arial" w:hAnsi="Arial"/>
                <w:sz w:val="17"/>
                <w:szCs w:val="17"/>
                <w:color w:val="auto"/>
              </w:rPr>
              <w:t>Frank A. DiPiero</w:t>
            </w:r>
          </w:p>
        </w:tc>
        <w:tc>
          <w:tcPr>
            <w:tcW w:w="1860" w:type="dxa"/>
            <w:vAlign w:val="bottom"/>
            <w:tcBorders>
              <w:bottom w:val="single" w:sz="8" w:color="auto"/>
            </w:tcBorders>
          </w:tcPr>
          <w:p>
            <w:pPr>
              <w:jc w:val="right"/>
              <w:spacing w:after="0" w:line="189" w:lineRule="exact"/>
              <w:rPr>
                <w:sz w:val="20"/>
                <w:szCs w:val="20"/>
                <w:color w:val="auto"/>
              </w:rPr>
            </w:pPr>
            <w:r>
              <w:rPr>
                <w:rFonts w:ascii="Arial" w:cs="Arial" w:eastAsia="Arial" w:hAnsi="Arial"/>
                <w:sz w:val="17"/>
                <w:szCs w:val="17"/>
                <w:color w:val="auto"/>
              </w:rPr>
              <w:t>85%</w:t>
            </w:r>
          </w:p>
        </w:tc>
        <w:tc>
          <w:tcPr>
            <w:tcW w:w="760" w:type="dxa"/>
            <w:vAlign w:val="bottom"/>
            <w:tcBorders>
              <w:bottom w:val="single" w:sz="8" w:color="auto"/>
            </w:tcBorders>
          </w:tcPr>
          <w:p>
            <w:pPr>
              <w:jc w:val="right"/>
              <w:ind w:right="20"/>
              <w:spacing w:after="0" w:line="189" w:lineRule="exact"/>
              <w:rPr>
                <w:sz w:val="20"/>
                <w:szCs w:val="20"/>
                <w:color w:val="auto"/>
              </w:rPr>
            </w:pPr>
            <w:r>
              <w:rPr>
                <w:rFonts w:ascii="Arial" w:cs="Arial" w:eastAsia="Arial" w:hAnsi="Arial"/>
                <w:sz w:val="17"/>
                <w:szCs w:val="17"/>
                <w:color w:val="auto"/>
              </w:rPr>
              <w:t>9,000</w:t>
            </w:r>
          </w:p>
        </w:tc>
        <w:tc>
          <w:tcPr>
            <w:tcW w:w="220" w:type="dxa"/>
            <w:vAlign w:val="bottom"/>
            <w:tcBorders>
              <w:bottom w:val="single" w:sz="8" w:color="auto"/>
            </w:tcBorders>
          </w:tcPr>
          <w:p>
            <w:pPr>
              <w:jc w:val="right"/>
              <w:spacing w:after="0" w:line="189" w:lineRule="exact"/>
              <w:rPr>
                <w:sz w:val="20"/>
                <w:szCs w:val="20"/>
                <w:color w:val="auto"/>
              </w:rPr>
            </w:pPr>
            <w:r>
              <w:rPr>
                <w:rFonts w:ascii="Arial" w:cs="Arial" w:eastAsia="Arial" w:hAnsi="Arial"/>
                <w:sz w:val="17"/>
                <w:szCs w:val="17"/>
                <w:color w:val="auto"/>
              </w:rPr>
              <w:t>$</w:t>
            </w:r>
          </w:p>
        </w:tc>
        <w:tc>
          <w:tcPr>
            <w:tcW w:w="740" w:type="dxa"/>
            <w:vAlign w:val="bottom"/>
            <w:tcBorders>
              <w:bottom w:val="single" w:sz="8" w:color="auto"/>
            </w:tcBorders>
          </w:tcPr>
          <w:p>
            <w:pPr>
              <w:jc w:val="right"/>
              <w:ind w:right="37"/>
              <w:spacing w:after="0" w:line="189" w:lineRule="exact"/>
              <w:rPr>
                <w:sz w:val="20"/>
                <w:szCs w:val="20"/>
                <w:color w:val="auto"/>
              </w:rPr>
            </w:pPr>
            <w:r>
              <w:rPr>
                <w:rFonts w:ascii="Arial" w:cs="Arial" w:eastAsia="Arial" w:hAnsi="Arial"/>
                <w:sz w:val="17"/>
                <w:szCs w:val="17"/>
                <w:color w:val="auto"/>
              </w:rPr>
              <w:t>90,990</w:t>
            </w:r>
          </w:p>
        </w:tc>
        <w:tc>
          <w:tcPr>
            <w:tcW w:w="1040" w:type="dxa"/>
            <w:vAlign w:val="bottom"/>
            <w:tcBorders>
              <w:bottom w:val="single" w:sz="8" w:color="auto"/>
            </w:tcBorders>
          </w:tcPr>
          <w:p>
            <w:pPr>
              <w:jc w:val="right"/>
              <w:ind w:right="141"/>
              <w:spacing w:after="0" w:line="189" w:lineRule="exact"/>
              <w:rPr>
                <w:sz w:val="20"/>
                <w:szCs w:val="20"/>
                <w:color w:val="auto"/>
              </w:rPr>
            </w:pPr>
            <w:r>
              <w:rPr>
                <w:rFonts w:ascii="Arial" w:cs="Arial" w:eastAsia="Arial" w:hAnsi="Arial"/>
                <w:sz w:val="17"/>
                <w:szCs w:val="17"/>
                <w:color w:val="auto"/>
              </w:rPr>
              <w:t>2,500</w:t>
            </w:r>
          </w:p>
        </w:tc>
        <w:tc>
          <w:tcPr>
            <w:tcW w:w="180" w:type="dxa"/>
            <w:vAlign w:val="bottom"/>
            <w:tcBorders>
              <w:bottom w:val="single" w:sz="8" w:color="auto"/>
            </w:tcBorders>
          </w:tcPr>
          <w:p>
            <w:pPr>
              <w:ind w:left="80"/>
              <w:spacing w:after="0" w:line="189" w:lineRule="exact"/>
              <w:rPr>
                <w:sz w:val="20"/>
                <w:szCs w:val="20"/>
                <w:color w:val="auto"/>
              </w:rPr>
            </w:pPr>
            <w:r>
              <w:rPr>
                <w:rFonts w:ascii="Arial" w:cs="Arial" w:eastAsia="Arial" w:hAnsi="Arial"/>
                <w:sz w:val="17"/>
                <w:szCs w:val="17"/>
                <w:color w:val="auto"/>
                <w:w w:val="84"/>
              </w:rPr>
              <w:t>$</w:t>
            </w:r>
          </w:p>
        </w:tc>
        <w:tc>
          <w:tcPr>
            <w:tcW w:w="860" w:type="dxa"/>
            <w:vAlign w:val="bottom"/>
            <w:tcBorders>
              <w:bottom w:val="single" w:sz="8" w:color="auto"/>
            </w:tcBorders>
          </w:tcPr>
          <w:p>
            <w:pPr>
              <w:jc w:val="right"/>
              <w:ind w:right="137"/>
              <w:spacing w:after="0" w:line="189" w:lineRule="exact"/>
              <w:rPr>
                <w:sz w:val="20"/>
                <w:szCs w:val="20"/>
                <w:color w:val="auto"/>
              </w:rPr>
            </w:pPr>
            <w:r>
              <w:rPr>
                <w:rFonts w:ascii="Arial" w:cs="Arial" w:eastAsia="Arial" w:hAnsi="Arial"/>
                <w:sz w:val="17"/>
                <w:szCs w:val="17"/>
                <w:color w:val="auto"/>
              </w:rPr>
              <w:t>72,500</w:t>
            </w:r>
          </w:p>
        </w:tc>
        <w:tc>
          <w:tcPr>
            <w:tcW w:w="1080" w:type="dxa"/>
            <w:vAlign w:val="bottom"/>
            <w:tcBorders>
              <w:bottom w:val="single" w:sz="8" w:color="auto"/>
            </w:tcBorders>
          </w:tcPr>
          <w:p>
            <w:pPr>
              <w:jc w:val="right"/>
              <w:ind w:right="40"/>
              <w:spacing w:after="0" w:line="189" w:lineRule="exact"/>
              <w:rPr>
                <w:sz w:val="20"/>
                <w:szCs w:val="20"/>
                <w:color w:val="auto"/>
              </w:rPr>
            </w:pPr>
            <w:r>
              <w:rPr>
                <w:rFonts w:ascii="Arial" w:cs="Arial" w:eastAsia="Arial" w:hAnsi="Arial"/>
                <w:sz w:val="17"/>
                <w:szCs w:val="17"/>
                <w:color w:val="auto"/>
              </w:rPr>
              <w:t>4,500</w:t>
            </w:r>
          </w:p>
        </w:tc>
        <w:tc>
          <w:tcPr>
            <w:tcW w:w="220" w:type="dxa"/>
            <w:vAlign w:val="bottom"/>
            <w:tcBorders>
              <w:bottom w:val="single" w:sz="8" w:color="auto"/>
            </w:tcBorders>
          </w:tcPr>
          <w:p>
            <w:pPr>
              <w:ind w:left="100"/>
              <w:spacing w:after="0" w:line="189" w:lineRule="exact"/>
              <w:rPr>
                <w:sz w:val="20"/>
                <w:szCs w:val="20"/>
                <w:color w:val="auto"/>
              </w:rPr>
            </w:pPr>
            <w:r>
              <w:rPr>
                <w:rFonts w:ascii="Arial" w:cs="Arial" w:eastAsia="Arial" w:hAnsi="Arial"/>
                <w:sz w:val="17"/>
                <w:szCs w:val="17"/>
                <w:color w:val="auto"/>
              </w:rPr>
              <w:t>$</w:t>
            </w:r>
          </w:p>
        </w:tc>
        <w:tc>
          <w:tcPr>
            <w:tcW w:w="880" w:type="dxa"/>
            <w:vAlign w:val="bottom"/>
            <w:tcBorders>
              <w:bottom w:val="single" w:sz="8" w:color="auto"/>
            </w:tcBorders>
          </w:tcPr>
          <w:p>
            <w:pPr>
              <w:jc w:val="right"/>
              <w:ind w:right="19"/>
              <w:spacing w:after="0" w:line="189" w:lineRule="exact"/>
              <w:rPr>
                <w:sz w:val="20"/>
                <w:szCs w:val="20"/>
                <w:color w:val="auto"/>
              </w:rPr>
            </w:pPr>
            <w:r>
              <w:rPr>
                <w:rFonts w:ascii="Arial" w:cs="Arial" w:eastAsia="Arial" w:hAnsi="Arial"/>
                <w:sz w:val="17"/>
                <w:szCs w:val="17"/>
                <w:color w:val="auto"/>
              </w:rPr>
              <w:t>130,500</w:t>
            </w:r>
          </w:p>
        </w:tc>
        <w:tc>
          <w:tcPr>
            <w:tcW w:w="220" w:type="dxa"/>
            <w:vAlign w:val="bottom"/>
            <w:tcBorders>
              <w:bottom w:val="single" w:sz="8" w:color="auto"/>
            </w:tcBorders>
          </w:tcPr>
          <w:p>
            <w:pPr>
              <w:jc w:val="right"/>
              <w:spacing w:after="0" w:line="189" w:lineRule="exact"/>
              <w:rPr>
                <w:sz w:val="20"/>
                <w:szCs w:val="20"/>
                <w:color w:val="auto"/>
              </w:rPr>
            </w:pPr>
            <w:r>
              <w:rPr>
                <w:rFonts w:ascii="Arial" w:cs="Arial" w:eastAsia="Arial" w:hAnsi="Arial"/>
                <w:sz w:val="17"/>
                <w:szCs w:val="17"/>
                <w:color w:val="auto"/>
              </w:rPr>
              <w:t>$</w:t>
            </w:r>
          </w:p>
        </w:tc>
        <w:tc>
          <w:tcPr>
            <w:tcW w:w="900" w:type="dxa"/>
            <w:vAlign w:val="bottom"/>
            <w:tcBorders>
              <w:bottom w:val="single" w:sz="8" w:color="auto"/>
            </w:tcBorders>
          </w:tcPr>
          <w:p>
            <w:pPr>
              <w:jc w:val="right"/>
              <w:ind w:right="19"/>
              <w:spacing w:after="0" w:line="189" w:lineRule="exact"/>
              <w:rPr>
                <w:sz w:val="20"/>
                <w:szCs w:val="20"/>
                <w:color w:val="auto"/>
              </w:rPr>
            </w:pPr>
            <w:r>
              <w:rPr>
                <w:rFonts w:ascii="Arial" w:cs="Arial" w:eastAsia="Arial" w:hAnsi="Arial"/>
                <w:sz w:val="17"/>
                <w:szCs w:val="17"/>
                <w:color w:val="auto"/>
              </w:rPr>
              <w:t>293,990</w:t>
            </w:r>
          </w:p>
        </w:tc>
      </w:tr>
    </w:tbl>
    <w:p>
      <w:pPr>
        <w:spacing w:after="0" w:line="210" w:lineRule="exact"/>
        <w:rPr>
          <w:sz w:val="20"/>
          <w:szCs w:val="20"/>
          <w:color w:val="auto"/>
        </w:rPr>
      </w:pPr>
    </w:p>
    <w:p>
      <w:pPr>
        <w:ind w:left="460" w:hanging="452"/>
        <w:spacing w:after="0"/>
        <w:tabs>
          <w:tab w:leader="none" w:pos="460" w:val="left"/>
        </w:tabs>
        <w:numPr>
          <w:ilvl w:val="0"/>
          <w:numId w:val="17"/>
        </w:numPr>
        <w:rPr>
          <w:rFonts w:ascii="Arial" w:cs="Arial" w:eastAsia="Arial" w:hAnsi="Arial"/>
          <w:sz w:val="17"/>
          <w:szCs w:val="17"/>
          <w:color w:val="auto"/>
        </w:rPr>
      </w:pPr>
      <w:r>
        <w:rPr>
          <w:rFonts w:ascii="Arial" w:cs="Arial" w:eastAsia="Arial" w:hAnsi="Arial"/>
          <w:sz w:val="17"/>
          <w:szCs w:val="17"/>
          <w:color w:val="auto"/>
        </w:rPr>
        <w:t>As a percentage of base salary midpoint.</w:t>
      </w:r>
    </w:p>
    <w:p>
      <w:pPr>
        <w:spacing w:after="0" w:line="210" w:lineRule="exact"/>
        <w:rPr>
          <w:sz w:val="20"/>
          <w:szCs w:val="20"/>
          <w:color w:val="auto"/>
        </w:rPr>
      </w:pPr>
    </w:p>
    <w:p>
      <w:pPr>
        <w:ind w:left="460" w:right="340" w:hanging="452"/>
        <w:spacing w:after="0" w:line="243" w:lineRule="auto"/>
        <w:tabs>
          <w:tab w:leader="none" w:pos="460" w:val="left"/>
        </w:tabs>
        <w:numPr>
          <w:ilvl w:val="0"/>
          <w:numId w:val="18"/>
        </w:numPr>
        <w:rPr>
          <w:rFonts w:ascii="Arial" w:cs="Arial" w:eastAsia="Arial" w:hAnsi="Arial"/>
          <w:sz w:val="17"/>
          <w:szCs w:val="17"/>
          <w:color w:val="auto"/>
        </w:rPr>
      </w:pPr>
      <w:r>
        <w:rPr>
          <w:rFonts w:ascii="Arial" w:cs="Arial" w:eastAsia="Arial" w:hAnsi="Arial"/>
          <w:sz w:val="17"/>
          <w:szCs w:val="17"/>
          <w:color w:val="auto"/>
        </w:rPr>
        <w:t>As mentioned previously, Mr. Timken’s long-term incentive awards were 100% performance based, which is why he did not receive a grant of time-vested restricted stock units.</w:t>
      </w:r>
    </w:p>
    <w:p>
      <w:pPr>
        <w:spacing w:after="0" w:line="142" w:lineRule="exact"/>
        <w:rPr>
          <w:sz w:val="20"/>
          <w:szCs w:val="20"/>
          <w:color w:val="auto"/>
        </w:rPr>
      </w:pPr>
    </w:p>
    <w:p>
      <w:pPr>
        <w:ind w:left="11180"/>
        <w:spacing w:after="0"/>
        <w:rPr>
          <w:sz w:val="20"/>
          <w:szCs w:val="20"/>
          <w:color w:val="auto"/>
        </w:rPr>
      </w:pPr>
      <w:r>
        <w:rPr>
          <w:rFonts w:ascii="Arial" w:cs="Arial" w:eastAsia="Arial" w:hAnsi="Arial"/>
          <w:sz w:val="14"/>
          <w:szCs w:val="14"/>
          <w:color w:val="auto"/>
        </w:rPr>
        <w:t>37</w:t>
      </w:r>
    </w:p>
    <w:p>
      <w:pPr>
        <w:sectPr>
          <w:pgSz w:w="11900" w:h="16838" w:orient="portrait"/>
          <w:cols w:equalWidth="0" w:num="1">
            <w:col w:w="11420"/>
          </w:cols>
          <w:pgMar w:left="240" w:top="459" w:right="239" w:bottom="1440" w:gutter="0" w:footer="0" w:header="0"/>
        </w:sectPr>
      </w:pPr>
    </w:p>
    <w:bookmarkStart w:id="43" w:name="page44"/>
    <w:bookmarkEnd w:id="4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35">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3109595</wp:posOffset>
            </wp:positionH>
            <wp:positionV relativeFrom="paragraph">
              <wp:posOffset>205740</wp:posOffset>
            </wp:positionV>
            <wp:extent cx="1046480" cy="205740"/>
            <wp:wrapNone/>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36">
                      <a:extLst>
                        <a:ext uri="{28A0092B-C50C-407E-A947-70E740481C1C}"/>
                      </a:extLst>
                    </a:blip>
                    <a:srcRect/>
                    <a:stretch>
                      <a:fillRect/>
                    </a:stretch>
                  </pic:blipFill>
                  <pic:spPr bwMode="auto">
                    <a:xfrm>
                      <a:off x="0" y="0"/>
                      <a:ext cx="1046480" cy="20574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70" w:lineRule="exact"/>
        <w:rPr>
          <w:sz w:val="20"/>
          <w:szCs w:val="20"/>
          <w:color w:val="auto"/>
        </w:rPr>
      </w:pPr>
    </w:p>
    <w:p>
      <w:pPr>
        <w:ind w:right="100"/>
        <w:spacing w:after="0" w:line="235" w:lineRule="auto"/>
        <w:rPr>
          <w:sz w:val="20"/>
          <w:szCs w:val="20"/>
          <w:color w:val="auto"/>
        </w:rPr>
      </w:pPr>
      <w:r>
        <w:rPr>
          <w:rFonts w:ascii="Arial" w:cs="Arial" w:eastAsia="Arial" w:hAnsi="Arial"/>
          <w:sz w:val="17"/>
          <w:szCs w:val="17"/>
          <w:color w:val="auto"/>
        </w:rPr>
        <w:t>For the grants made in 2015, the target value to be delivered in stock options, restricted stock units and performance shares was 400% of base salary midpoint for Mr. Timken and between 85% and 120% of base salary midpoint for the other NEOs. Mr. Timken was allocated 30% stock options and 70% performance shares. The allocation percentage for the other NEOs was 30% stock options, 25% restricted stock units and 45% performance shares. As stated previously, Mr. Timken’s grant was 100% performance based, reflecting the Compensation Committee’s belief that his role, more than other officers, is directly accountable for long-term shareholder value creation.</w:t>
      </w:r>
    </w:p>
    <w:p>
      <w:pPr>
        <w:spacing w:after="0" w:line="177" w:lineRule="exact"/>
        <w:rPr>
          <w:sz w:val="20"/>
          <w:szCs w:val="20"/>
          <w:color w:val="auto"/>
        </w:rPr>
      </w:pPr>
    </w:p>
    <w:p>
      <w:pPr>
        <w:ind w:right="120"/>
        <w:spacing w:after="0" w:line="238" w:lineRule="auto"/>
        <w:rPr>
          <w:sz w:val="20"/>
          <w:szCs w:val="20"/>
          <w:color w:val="auto"/>
        </w:rPr>
      </w:pPr>
      <w:r>
        <w:rPr>
          <w:rFonts w:ascii="Arial" w:cs="Arial" w:eastAsia="Arial" w:hAnsi="Arial"/>
          <w:sz w:val="17"/>
          <w:szCs w:val="17"/>
          <w:color w:val="auto"/>
        </w:rPr>
        <w:t>The target value for each grant is converted to a number of options or shares based on a calculated average stock price over a defined period prior to the grant. The Compensation Committee used the average price over the five trading days immediately preceding the grant date in determining the number of shares granted in 2015.</w:t>
      </w:r>
    </w:p>
    <w:p>
      <w:pPr>
        <w:spacing w:after="0" w:line="161" w:lineRule="exact"/>
        <w:rPr>
          <w:sz w:val="20"/>
          <w:szCs w:val="20"/>
          <w:color w:val="auto"/>
        </w:rPr>
      </w:pPr>
    </w:p>
    <w:p>
      <w:pPr>
        <w:ind w:right="180"/>
        <w:spacing w:after="0" w:line="243" w:lineRule="auto"/>
        <w:rPr>
          <w:sz w:val="20"/>
          <w:szCs w:val="20"/>
          <w:color w:val="auto"/>
        </w:rPr>
      </w:pPr>
      <w:r>
        <w:rPr>
          <w:rFonts w:ascii="Arial" w:cs="Arial" w:eastAsia="Arial" w:hAnsi="Arial"/>
          <w:sz w:val="17"/>
          <w:szCs w:val="17"/>
          <w:color w:val="auto"/>
        </w:rPr>
        <w:t>The Compensation Committee typically makes long-term incentive grants at the first regularly scheduled meeting of each year, when the Committee determines all elements of the NEOs’ compensation for the year. Board and Committee meetings are generally scheduled at least a year in advance.</w:t>
      </w:r>
    </w:p>
    <w:p>
      <w:pPr>
        <w:spacing w:after="0" w:line="138"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Stock Options</w:t>
      </w:r>
    </w:p>
    <w:p>
      <w:pPr>
        <w:spacing w:after="0" w:line="14" w:lineRule="exact"/>
        <w:rPr>
          <w:sz w:val="20"/>
          <w:szCs w:val="20"/>
          <w:color w:val="auto"/>
        </w:rPr>
      </w:pPr>
    </w:p>
    <w:p>
      <w:pPr>
        <w:spacing w:after="0"/>
        <w:rPr>
          <w:sz w:val="20"/>
          <w:szCs w:val="20"/>
          <w:color w:val="auto"/>
        </w:rPr>
      </w:pPr>
      <w:r>
        <w:rPr>
          <w:rFonts w:ascii="Arial" w:cs="Arial" w:eastAsia="Arial" w:hAnsi="Arial"/>
          <w:sz w:val="17"/>
          <w:szCs w:val="17"/>
          <w:color w:val="auto"/>
        </w:rPr>
        <w:t>In 2015, our key employees (including the NEOs) received nonqualified stock options that:</w:t>
      </w:r>
    </w:p>
    <w:p>
      <w:pPr>
        <w:spacing w:after="0" w:line="210" w:lineRule="exact"/>
        <w:rPr>
          <w:sz w:val="20"/>
          <w:szCs w:val="20"/>
          <w:color w:val="auto"/>
        </w:rPr>
      </w:pPr>
    </w:p>
    <w:p>
      <w:pPr>
        <w:ind w:left="220" w:hanging="212"/>
        <w:spacing w:after="0"/>
        <w:tabs>
          <w:tab w:leader="none" w:pos="220" w:val="left"/>
        </w:tabs>
        <w:numPr>
          <w:ilvl w:val="0"/>
          <w:numId w:val="19"/>
        </w:numPr>
        <w:rPr>
          <w:rFonts w:ascii="Arial" w:cs="Arial" w:eastAsia="Arial" w:hAnsi="Arial"/>
          <w:sz w:val="17"/>
          <w:szCs w:val="17"/>
          <w:color w:val="auto"/>
        </w:rPr>
      </w:pPr>
      <w:r>
        <w:rPr>
          <w:rFonts w:ascii="Arial" w:cs="Arial" w:eastAsia="Arial" w:hAnsi="Arial"/>
          <w:sz w:val="17"/>
          <w:szCs w:val="17"/>
          <w:color w:val="auto"/>
        </w:rPr>
        <w:t>Have an exercise price equal to the opening price of the stock on the date of grant;</w:t>
      </w:r>
    </w:p>
    <w:p>
      <w:pPr>
        <w:spacing w:after="0" w:line="209" w:lineRule="exact"/>
        <w:rPr>
          <w:rFonts w:ascii="Arial" w:cs="Arial" w:eastAsia="Arial" w:hAnsi="Arial"/>
          <w:sz w:val="17"/>
          <w:szCs w:val="17"/>
          <w:color w:val="auto"/>
        </w:rPr>
      </w:pPr>
    </w:p>
    <w:p>
      <w:pPr>
        <w:ind w:left="220" w:hanging="212"/>
        <w:spacing w:after="0"/>
        <w:tabs>
          <w:tab w:leader="none" w:pos="220" w:val="left"/>
        </w:tabs>
        <w:numPr>
          <w:ilvl w:val="0"/>
          <w:numId w:val="19"/>
        </w:numPr>
        <w:rPr>
          <w:rFonts w:ascii="Arial" w:cs="Arial" w:eastAsia="Arial" w:hAnsi="Arial"/>
          <w:sz w:val="17"/>
          <w:szCs w:val="17"/>
          <w:color w:val="auto"/>
        </w:rPr>
      </w:pPr>
      <w:r>
        <w:rPr>
          <w:rFonts w:ascii="Arial" w:cs="Arial" w:eastAsia="Arial" w:hAnsi="Arial"/>
          <w:sz w:val="17"/>
          <w:szCs w:val="17"/>
          <w:color w:val="auto"/>
        </w:rPr>
        <w:t>Generally will vest over a four-year period in equal amounts each year; and</w:t>
      </w:r>
    </w:p>
    <w:p>
      <w:pPr>
        <w:spacing w:after="0" w:line="209" w:lineRule="exact"/>
        <w:rPr>
          <w:rFonts w:ascii="Arial" w:cs="Arial" w:eastAsia="Arial" w:hAnsi="Arial"/>
          <w:sz w:val="17"/>
          <w:szCs w:val="17"/>
          <w:color w:val="auto"/>
        </w:rPr>
      </w:pPr>
    </w:p>
    <w:p>
      <w:pPr>
        <w:ind w:left="220" w:hanging="212"/>
        <w:spacing w:after="0"/>
        <w:tabs>
          <w:tab w:leader="none" w:pos="220" w:val="left"/>
        </w:tabs>
        <w:numPr>
          <w:ilvl w:val="0"/>
          <w:numId w:val="19"/>
        </w:numPr>
        <w:rPr>
          <w:rFonts w:ascii="Arial" w:cs="Arial" w:eastAsia="Arial" w:hAnsi="Arial"/>
          <w:sz w:val="17"/>
          <w:szCs w:val="17"/>
          <w:color w:val="auto"/>
        </w:rPr>
      </w:pPr>
      <w:r>
        <w:rPr>
          <w:rFonts w:ascii="Arial" w:cs="Arial" w:eastAsia="Arial" w:hAnsi="Arial"/>
          <w:sz w:val="17"/>
          <w:szCs w:val="17"/>
          <w:color w:val="auto"/>
        </w:rPr>
        <w:t>Generally will expire ten years after the date of grant.</w:t>
      </w:r>
    </w:p>
    <w:p>
      <w:pPr>
        <w:spacing w:after="0" w:line="183" w:lineRule="exact"/>
        <w:rPr>
          <w:sz w:val="20"/>
          <w:szCs w:val="20"/>
          <w:color w:val="auto"/>
        </w:rPr>
      </w:pPr>
    </w:p>
    <w:p>
      <w:pPr>
        <w:ind w:right="80"/>
        <w:spacing w:after="0" w:line="235" w:lineRule="auto"/>
        <w:rPr>
          <w:sz w:val="20"/>
          <w:szCs w:val="20"/>
          <w:color w:val="auto"/>
        </w:rPr>
      </w:pPr>
      <w:r>
        <w:rPr>
          <w:rFonts w:ascii="Arial" w:cs="Arial" w:eastAsia="Arial" w:hAnsi="Arial"/>
          <w:sz w:val="17"/>
          <w:szCs w:val="17"/>
          <w:color w:val="auto"/>
        </w:rPr>
        <w:t>The Compensation Committee believes that these awards help the Company retain executives and focus attention on longer-term performance. Stock options are an effective motivational tool because they have value only to the extent the stock price on the date of exercise exceeds the exercise price on the grant date. They are an effective element of compensation and retention, however, only if the stock price grows over the term of the award. For information about the specific number of stock options awarded in 2015 to each of the NEOs, see the 2015 Grants of Plan-Based Awards Table on page 47.</w:t>
      </w:r>
    </w:p>
    <w:p>
      <w:pPr>
        <w:spacing w:after="0" w:line="144"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Restricted Stock Units</w:t>
      </w:r>
    </w:p>
    <w:p>
      <w:pPr>
        <w:spacing w:after="0" w:line="14" w:lineRule="exact"/>
        <w:rPr>
          <w:sz w:val="20"/>
          <w:szCs w:val="20"/>
          <w:color w:val="auto"/>
        </w:rPr>
      </w:pPr>
    </w:p>
    <w:p>
      <w:pPr>
        <w:ind w:right="180"/>
        <w:spacing w:after="0" w:line="236" w:lineRule="auto"/>
        <w:rPr>
          <w:sz w:val="20"/>
          <w:szCs w:val="20"/>
          <w:color w:val="auto"/>
        </w:rPr>
      </w:pPr>
      <w:r>
        <w:rPr>
          <w:rFonts w:ascii="Arial" w:cs="Arial" w:eastAsia="Arial" w:hAnsi="Arial"/>
          <w:sz w:val="17"/>
          <w:szCs w:val="17"/>
          <w:color w:val="auto"/>
        </w:rPr>
        <w:t>Restricted stock units represent the NEOs’ interest in TimkenSteel stock and are issued as shares upon completion of a three-year vesting schedule. Restricted stock units serve to both reward and retain executives, as the value of the shares is linked to the stock price when the shares vest. These awards generally will vest on the third anniversary of the grant. For information about the specific number of service-based restricted stock units awarded in 2015 to each of the NEOs, see the 2015 Grants of Plan-Based Awards Table on page 47.</w:t>
      </w:r>
    </w:p>
    <w:p>
      <w:pPr>
        <w:spacing w:after="0" w:line="143"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Performance Shares</w:t>
      </w:r>
    </w:p>
    <w:p>
      <w:pPr>
        <w:spacing w:after="0" w:line="14" w:lineRule="exact"/>
        <w:rPr>
          <w:sz w:val="20"/>
          <w:szCs w:val="20"/>
          <w:color w:val="auto"/>
        </w:rPr>
      </w:pPr>
    </w:p>
    <w:p>
      <w:pPr>
        <w:spacing w:after="0" w:line="236" w:lineRule="auto"/>
        <w:rPr>
          <w:sz w:val="20"/>
          <w:szCs w:val="20"/>
          <w:color w:val="auto"/>
        </w:rPr>
      </w:pPr>
      <w:r>
        <w:rPr>
          <w:rFonts w:ascii="Arial" w:cs="Arial" w:eastAsia="Arial" w:hAnsi="Arial"/>
          <w:sz w:val="17"/>
          <w:szCs w:val="17"/>
          <w:color w:val="auto"/>
        </w:rPr>
        <w:t>Performance shares are performance-based restricted stock units, with vesting and the number of shares received contingent upon the achievement of specified performance objectives over a three-year period. The performance objectives are closely tied to the Company’s strategic plan, which is based on achieving top quartile shareholder return. Performance shares also serve to both reward and retain executives, as the receipt of a payout is linked to performance and the value of the payout is linked to the share price when the shares vest.</w:t>
      </w:r>
    </w:p>
    <w:p>
      <w:pPr>
        <w:spacing w:after="0" w:line="177" w:lineRule="exact"/>
        <w:rPr>
          <w:sz w:val="20"/>
          <w:szCs w:val="20"/>
          <w:color w:val="auto"/>
        </w:rPr>
      </w:pPr>
    </w:p>
    <w:p>
      <w:pPr>
        <w:ind w:right="40"/>
        <w:spacing w:after="0" w:line="238" w:lineRule="auto"/>
        <w:rPr>
          <w:sz w:val="20"/>
          <w:szCs w:val="20"/>
          <w:color w:val="auto"/>
        </w:rPr>
      </w:pPr>
      <w:r>
        <w:rPr>
          <w:rFonts w:ascii="Arial" w:cs="Arial" w:eastAsia="Arial" w:hAnsi="Arial"/>
          <w:sz w:val="17"/>
          <w:szCs w:val="17"/>
          <w:color w:val="auto"/>
        </w:rPr>
        <w:t>The performance objectives for strategic performance shares granted in 2015 were average ROIC and cumulative EPS for the three-year performance period. The Compensation Committee selected these metrics because it believes they are key components of shareholder value creation and highly correlate to achievement of the Company’s</w:t>
      </w:r>
    </w:p>
    <w:p>
      <w:pPr>
        <w:spacing w:after="0" w:line="145" w:lineRule="exact"/>
        <w:rPr>
          <w:sz w:val="20"/>
          <w:szCs w:val="20"/>
          <w:color w:val="auto"/>
        </w:rPr>
      </w:pPr>
    </w:p>
    <w:p>
      <w:pPr>
        <w:spacing w:after="0"/>
        <w:rPr>
          <w:sz w:val="20"/>
          <w:szCs w:val="20"/>
          <w:color w:val="auto"/>
        </w:rPr>
      </w:pPr>
      <w:r>
        <w:rPr>
          <w:rFonts w:ascii="Arial" w:cs="Arial" w:eastAsia="Arial" w:hAnsi="Arial"/>
          <w:sz w:val="14"/>
          <w:szCs w:val="14"/>
          <w:color w:val="auto"/>
        </w:rPr>
        <w:t>38</w:t>
      </w:r>
    </w:p>
    <w:p>
      <w:pPr>
        <w:sectPr>
          <w:pgSz w:w="11900" w:h="16838" w:orient="portrait"/>
          <w:cols w:equalWidth="0" w:num="1">
            <w:col w:w="11420"/>
          </w:cols>
          <w:pgMar w:left="240" w:top="459" w:right="239" w:bottom="1440" w:gutter="0" w:footer="0" w:header="0"/>
        </w:sectPr>
      </w:pPr>
    </w:p>
    <w:bookmarkStart w:id="44" w:name="page45"/>
    <w:bookmarkEnd w:id="4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37">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2715260</wp:posOffset>
            </wp:positionH>
            <wp:positionV relativeFrom="paragraph">
              <wp:posOffset>205740</wp:posOffset>
            </wp:positionV>
            <wp:extent cx="1826895" cy="205740"/>
            <wp:wrapNone/>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38">
                      <a:extLst>
                        <a:ext uri="{28A0092B-C50C-407E-A947-70E740481C1C}"/>
                      </a:extLst>
                    </a:blip>
                    <a:srcRect/>
                    <a:stretch>
                      <a:fillRect/>
                    </a:stretch>
                  </pic:blipFill>
                  <pic:spPr bwMode="auto">
                    <a:xfrm>
                      <a:off x="0" y="0"/>
                      <a:ext cx="1826895" cy="20574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70" w:lineRule="exact"/>
        <w:rPr>
          <w:sz w:val="20"/>
          <w:szCs w:val="20"/>
          <w:color w:val="auto"/>
        </w:rPr>
      </w:pPr>
    </w:p>
    <w:p>
      <w:pPr>
        <w:ind w:right="420"/>
        <w:spacing w:after="0" w:line="236" w:lineRule="auto"/>
        <w:rPr>
          <w:sz w:val="20"/>
          <w:szCs w:val="20"/>
          <w:color w:val="auto"/>
        </w:rPr>
      </w:pPr>
      <w:r>
        <w:rPr>
          <w:rFonts w:ascii="Arial" w:cs="Arial" w:eastAsia="Arial" w:hAnsi="Arial"/>
          <w:sz w:val="17"/>
          <w:szCs w:val="17"/>
          <w:color w:val="auto"/>
        </w:rPr>
        <w:t>business strategy. Actual performance is calculated to exclude the effects of changes in tax laws or accounting principles, non-cash impairments, changes in other comprehensive income and any amounts received under the U.S. Continued Dumping and Subsidy Offset Act. At the time the specific performance targets for each metric were established, the Compensation Committee believed that the targets for the performance shares granted in 2015 were very challenging, but achievable.</w:t>
      </w:r>
    </w:p>
    <w:p>
      <w:pPr>
        <w:spacing w:after="0" w:line="177" w:lineRule="exact"/>
        <w:rPr>
          <w:sz w:val="20"/>
          <w:szCs w:val="20"/>
          <w:color w:val="auto"/>
        </w:rPr>
      </w:pPr>
    </w:p>
    <w:p>
      <w:pPr>
        <w:spacing w:after="0"/>
        <w:rPr>
          <w:sz w:val="20"/>
          <w:szCs w:val="20"/>
          <w:color w:val="auto"/>
        </w:rPr>
      </w:pPr>
      <w:r>
        <w:rPr>
          <w:rFonts w:ascii="Arial" w:cs="Arial" w:eastAsia="Arial" w:hAnsi="Arial"/>
          <w:sz w:val="17"/>
          <w:szCs w:val="17"/>
          <w:color w:val="auto"/>
        </w:rPr>
        <w:t>The Company’s performance targets for the strategic performance shares granted in 2015 are summarized in the following table:</w:t>
      </w:r>
    </w:p>
    <w:p>
      <w:pPr>
        <w:spacing w:after="0" w:line="149"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2015 to 2017 Performance Share Targets</w:t>
      </w:r>
    </w:p>
    <w:p>
      <w:pPr>
        <w:spacing w:after="0" w:line="81" w:lineRule="exact"/>
        <w:rPr>
          <w:sz w:val="20"/>
          <w:szCs w:val="20"/>
          <w:color w:val="auto"/>
        </w:rPr>
      </w:pPr>
    </w:p>
    <w:tbl>
      <w:tblPr>
        <w:tblLayout w:type="fixed"/>
        <w:tblInd w:w="0" w:type="dxa"/>
        <w:tblCellMar>
          <w:top w:w="0" w:type="dxa"/>
          <w:left w:w="0" w:type="dxa"/>
          <w:bottom w:w="0" w:type="dxa"/>
          <w:right w:w="0" w:type="dxa"/>
        </w:tblCellMar>
      </w:tblPr>
      <w:tr>
        <w:trPr>
          <w:trHeight w:val="203"/>
        </w:trPr>
        <w:tc>
          <w:tcPr>
            <w:tcW w:w="4720" w:type="dxa"/>
            <w:vAlign w:val="bottom"/>
            <w:tcBorders>
              <w:top w:val="single" w:sz="8" w:color="auto"/>
              <w:bottom w:val="single" w:sz="8" w:color="auto"/>
            </w:tcBorders>
          </w:tcPr>
          <w:p>
            <w:pPr>
              <w:spacing w:after="0"/>
              <w:rPr>
                <w:sz w:val="17"/>
                <w:szCs w:val="17"/>
                <w:color w:val="auto"/>
              </w:rPr>
            </w:pPr>
          </w:p>
        </w:tc>
        <w:tc>
          <w:tcPr>
            <w:tcW w:w="4560" w:type="dxa"/>
            <w:vAlign w:val="bottom"/>
            <w:tcBorders>
              <w:top w:val="single" w:sz="8" w:color="auto"/>
              <w:bottom w:val="single" w:sz="8" w:color="auto"/>
            </w:tcBorders>
          </w:tcPr>
          <w:p>
            <w:pPr>
              <w:ind w:left="3480"/>
              <w:spacing w:after="0"/>
              <w:rPr>
                <w:sz w:val="20"/>
                <w:szCs w:val="20"/>
                <w:color w:val="auto"/>
              </w:rPr>
            </w:pPr>
            <w:r>
              <w:rPr>
                <w:rFonts w:ascii="Arial" w:cs="Arial" w:eastAsia="Arial" w:hAnsi="Arial"/>
                <w:sz w:val="17"/>
                <w:szCs w:val="17"/>
                <w:b w:val="1"/>
                <w:bCs w:val="1"/>
                <w:color w:val="auto"/>
              </w:rPr>
              <w:t>Threshold</w:t>
            </w:r>
          </w:p>
        </w:tc>
        <w:tc>
          <w:tcPr>
            <w:tcW w:w="1000" w:type="dxa"/>
            <w:vAlign w:val="bottom"/>
            <w:tcBorders>
              <w:top w:val="single" w:sz="8" w:color="auto"/>
              <w:bottom w:val="single" w:sz="8" w:color="auto"/>
            </w:tcBorders>
          </w:tcPr>
          <w:p>
            <w:pPr>
              <w:ind w:left="240"/>
              <w:spacing w:after="0"/>
              <w:rPr>
                <w:sz w:val="20"/>
                <w:szCs w:val="20"/>
                <w:color w:val="auto"/>
              </w:rPr>
            </w:pPr>
            <w:r>
              <w:rPr>
                <w:rFonts w:ascii="Arial" w:cs="Arial" w:eastAsia="Arial" w:hAnsi="Arial"/>
                <w:sz w:val="17"/>
                <w:szCs w:val="17"/>
                <w:b w:val="1"/>
                <w:bCs w:val="1"/>
                <w:color w:val="auto"/>
              </w:rPr>
              <w:t>Target</w:t>
            </w:r>
          </w:p>
        </w:tc>
        <w:tc>
          <w:tcPr>
            <w:tcW w:w="1140" w:type="dxa"/>
            <w:vAlign w:val="bottom"/>
            <w:tcBorders>
              <w:top w:val="single" w:sz="8" w:color="auto"/>
              <w:bottom w:val="single" w:sz="8" w:color="auto"/>
            </w:tcBorders>
          </w:tcPr>
          <w:p>
            <w:pPr>
              <w:ind w:left="260"/>
              <w:spacing w:after="0"/>
              <w:rPr>
                <w:sz w:val="20"/>
                <w:szCs w:val="20"/>
                <w:color w:val="auto"/>
              </w:rPr>
            </w:pPr>
            <w:r>
              <w:rPr>
                <w:rFonts w:ascii="Arial" w:cs="Arial" w:eastAsia="Arial" w:hAnsi="Arial"/>
                <w:sz w:val="17"/>
                <w:szCs w:val="17"/>
                <w:b w:val="1"/>
                <w:bCs w:val="1"/>
                <w:color w:val="auto"/>
              </w:rPr>
              <w:t>Maximum</w:t>
            </w:r>
          </w:p>
        </w:tc>
      </w:tr>
      <w:tr>
        <w:trPr>
          <w:trHeight w:val="183"/>
        </w:trPr>
        <w:tc>
          <w:tcPr>
            <w:tcW w:w="4720" w:type="dxa"/>
            <w:vAlign w:val="bottom"/>
            <w:shd w:val="clear" w:color="auto" w:fill="CCEEFF"/>
          </w:tcPr>
          <w:p>
            <w:pPr>
              <w:spacing w:after="0" w:line="183" w:lineRule="exact"/>
              <w:rPr>
                <w:sz w:val="20"/>
                <w:szCs w:val="20"/>
                <w:color w:val="auto"/>
              </w:rPr>
            </w:pPr>
            <w:r>
              <w:rPr>
                <w:rFonts w:ascii="Arial" w:cs="Arial" w:eastAsia="Arial" w:hAnsi="Arial"/>
                <w:sz w:val="17"/>
                <w:szCs w:val="17"/>
                <w:color w:val="auto"/>
              </w:rPr>
              <w:t>Average ROIC</w:t>
            </w:r>
          </w:p>
        </w:tc>
        <w:tc>
          <w:tcPr>
            <w:tcW w:w="4560" w:type="dxa"/>
            <w:vAlign w:val="bottom"/>
            <w:shd w:val="clear" w:color="auto" w:fill="CCEEFF"/>
          </w:tcPr>
          <w:p>
            <w:pPr>
              <w:jc w:val="center"/>
              <w:ind w:left="3135"/>
              <w:spacing w:after="0" w:line="183" w:lineRule="exact"/>
              <w:rPr>
                <w:sz w:val="20"/>
                <w:szCs w:val="20"/>
                <w:color w:val="auto"/>
              </w:rPr>
            </w:pPr>
            <w:r>
              <w:rPr>
                <w:rFonts w:ascii="Arial" w:cs="Arial" w:eastAsia="Arial" w:hAnsi="Arial"/>
                <w:sz w:val="17"/>
                <w:szCs w:val="17"/>
                <w:color w:val="auto"/>
                <w:w w:val="97"/>
              </w:rPr>
              <w:t>4.0%</w:t>
            </w:r>
          </w:p>
        </w:tc>
        <w:tc>
          <w:tcPr>
            <w:tcW w:w="1000" w:type="dxa"/>
            <w:vAlign w:val="bottom"/>
            <w:shd w:val="clear" w:color="auto" w:fill="CCEEFF"/>
          </w:tcPr>
          <w:p>
            <w:pPr>
              <w:jc w:val="center"/>
              <w:spacing w:after="0" w:line="183" w:lineRule="exact"/>
              <w:rPr>
                <w:sz w:val="20"/>
                <w:szCs w:val="20"/>
                <w:color w:val="auto"/>
              </w:rPr>
            </w:pPr>
            <w:r>
              <w:rPr>
                <w:rFonts w:ascii="Arial" w:cs="Arial" w:eastAsia="Arial" w:hAnsi="Arial"/>
                <w:sz w:val="17"/>
                <w:szCs w:val="17"/>
                <w:color w:val="auto"/>
              </w:rPr>
              <w:t>8.0%</w:t>
            </w:r>
          </w:p>
        </w:tc>
        <w:tc>
          <w:tcPr>
            <w:tcW w:w="1140" w:type="dxa"/>
            <w:vAlign w:val="bottom"/>
            <w:shd w:val="clear" w:color="auto" w:fill="CCEEFF"/>
          </w:tcPr>
          <w:p>
            <w:pPr>
              <w:jc w:val="center"/>
              <w:ind w:left="55"/>
              <w:spacing w:after="0" w:line="183" w:lineRule="exact"/>
              <w:rPr>
                <w:sz w:val="20"/>
                <w:szCs w:val="20"/>
                <w:color w:val="auto"/>
              </w:rPr>
            </w:pPr>
            <w:r>
              <w:rPr>
                <w:rFonts w:ascii="Arial" w:cs="Arial" w:eastAsia="Arial" w:hAnsi="Arial"/>
                <w:sz w:val="17"/>
                <w:szCs w:val="17"/>
                <w:color w:val="auto"/>
                <w:w w:val="99"/>
              </w:rPr>
              <w:t>12.0%</w:t>
            </w:r>
          </w:p>
        </w:tc>
      </w:tr>
      <w:tr>
        <w:trPr>
          <w:trHeight w:val="189"/>
        </w:trPr>
        <w:tc>
          <w:tcPr>
            <w:tcW w:w="4720" w:type="dxa"/>
            <w:vAlign w:val="bottom"/>
            <w:tcBorders>
              <w:bottom w:val="single" w:sz="8" w:color="auto"/>
            </w:tcBorders>
          </w:tcPr>
          <w:p>
            <w:pPr>
              <w:spacing w:after="0" w:line="189" w:lineRule="exact"/>
              <w:rPr>
                <w:sz w:val="20"/>
                <w:szCs w:val="20"/>
                <w:color w:val="auto"/>
              </w:rPr>
            </w:pPr>
            <w:r>
              <w:rPr>
                <w:rFonts w:ascii="Arial" w:cs="Arial" w:eastAsia="Arial" w:hAnsi="Arial"/>
                <w:sz w:val="17"/>
                <w:szCs w:val="17"/>
                <w:color w:val="auto"/>
              </w:rPr>
              <w:t>Cumulative EPS</w:t>
            </w:r>
          </w:p>
        </w:tc>
        <w:tc>
          <w:tcPr>
            <w:tcW w:w="4560" w:type="dxa"/>
            <w:vAlign w:val="bottom"/>
            <w:tcBorders>
              <w:bottom w:val="single" w:sz="8" w:color="auto"/>
            </w:tcBorders>
          </w:tcPr>
          <w:p>
            <w:pPr>
              <w:jc w:val="center"/>
              <w:ind w:left="3135"/>
              <w:spacing w:after="0" w:line="189" w:lineRule="exact"/>
              <w:rPr>
                <w:sz w:val="20"/>
                <w:szCs w:val="20"/>
                <w:color w:val="auto"/>
              </w:rPr>
            </w:pPr>
            <w:r>
              <w:rPr>
                <w:rFonts w:ascii="Arial" w:cs="Arial" w:eastAsia="Arial" w:hAnsi="Arial"/>
                <w:sz w:val="17"/>
                <w:szCs w:val="17"/>
                <w:color w:val="auto"/>
                <w:w w:val="98"/>
              </w:rPr>
              <w:t>$2.86</w:t>
            </w:r>
          </w:p>
        </w:tc>
        <w:tc>
          <w:tcPr>
            <w:tcW w:w="1000" w:type="dxa"/>
            <w:vAlign w:val="bottom"/>
            <w:tcBorders>
              <w:bottom w:val="single" w:sz="8" w:color="auto"/>
            </w:tcBorders>
          </w:tcPr>
          <w:p>
            <w:pPr>
              <w:jc w:val="center"/>
              <w:spacing w:after="0" w:line="189" w:lineRule="exact"/>
              <w:rPr>
                <w:sz w:val="20"/>
                <w:szCs w:val="20"/>
                <w:color w:val="auto"/>
              </w:rPr>
            </w:pPr>
            <w:r>
              <w:rPr>
                <w:rFonts w:ascii="Arial" w:cs="Arial" w:eastAsia="Arial" w:hAnsi="Arial"/>
                <w:sz w:val="17"/>
                <w:szCs w:val="17"/>
                <w:color w:val="auto"/>
              </w:rPr>
              <w:t>$5.78</w:t>
            </w:r>
          </w:p>
        </w:tc>
        <w:tc>
          <w:tcPr>
            <w:tcW w:w="1140" w:type="dxa"/>
            <w:vAlign w:val="bottom"/>
            <w:tcBorders>
              <w:bottom w:val="single" w:sz="8" w:color="auto"/>
            </w:tcBorders>
          </w:tcPr>
          <w:p>
            <w:pPr>
              <w:jc w:val="center"/>
              <w:ind w:left="75"/>
              <w:spacing w:after="0" w:line="189" w:lineRule="exact"/>
              <w:rPr>
                <w:sz w:val="20"/>
                <w:szCs w:val="20"/>
                <w:color w:val="auto"/>
              </w:rPr>
            </w:pPr>
            <w:r>
              <w:rPr>
                <w:rFonts w:ascii="Arial" w:cs="Arial" w:eastAsia="Arial" w:hAnsi="Arial"/>
                <w:sz w:val="17"/>
                <w:szCs w:val="17"/>
                <w:color w:val="auto"/>
                <w:w w:val="98"/>
              </w:rPr>
              <w:t>$8.70</w:t>
            </w:r>
          </w:p>
        </w:tc>
      </w:tr>
      <w:tr>
        <w:trPr>
          <w:trHeight w:val="183"/>
        </w:trPr>
        <w:tc>
          <w:tcPr>
            <w:tcW w:w="4720" w:type="dxa"/>
            <w:vAlign w:val="bottom"/>
            <w:tcBorders>
              <w:bottom w:val="single" w:sz="8" w:color="auto"/>
            </w:tcBorders>
            <w:shd w:val="clear" w:color="auto" w:fill="CCEEFF"/>
          </w:tcPr>
          <w:p>
            <w:pPr>
              <w:spacing w:after="0" w:line="183" w:lineRule="exact"/>
              <w:rPr>
                <w:sz w:val="20"/>
                <w:szCs w:val="20"/>
                <w:color w:val="auto"/>
              </w:rPr>
            </w:pPr>
            <w:r>
              <w:rPr>
                <w:rFonts w:ascii="Arial" w:cs="Arial" w:eastAsia="Arial" w:hAnsi="Arial"/>
                <w:sz w:val="17"/>
                <w:szCs w:val="17"/>
                <w:b w:val="1"/>
                <w:bCs w:val="1"/>
                <w:color w:val="auto"/>
              </w:rPr>
              <w:t>Plan Funding</w:t>
            </w:r>
          </w:p>
        </w:tc>
        <w:tc>
          <w:tcPr>
            <w:tcW w:w="4560" w:type="dxa"/>
            <w:vAlign w:val="bottom"/>
            <w:tcBorders>
              <w:bottom w:val="single" w:sz="8" w:color="auto"/>
            </w:tcBorders>
            <w:shd w:val="clear" w:color="auto" w:fill="CCEEFF"/>
          </w:tcPr>
          <w:p>
            <w:pPr>
              <w:jc w:val="center"/>
              <w:ind w:left="3135"/>
              <w:spacing w:after="0" w:line="183" w:lineRule="exact"/>
              <w:rPr>
                <w:sz w:val="20"/>
                <w:szCs w:val="20"/>
                <w:color w:val="auto"/>
              </w:rPr>
            </w:pPr>
            <w:r>
              <w:rPr>
                <w:rFonts w:ascii="Arial" w:cs="Arial" w:eastAsia="Arial" w:hAnsi="Arial"/>
                <w:sz w:val="17"/>
                <w:szCs w:val="17"/>
                <w:b w:val="1"/>
                <w:bCs w:val="1"/>
                <w:color w:val="auto"/>
                <w:w w:val="99"/>
              </w:rPr>
              <w:t>50%</w:t>
            </w:r>
          </w:p>
        </w:tc>
        <w:tc>
          <w:tcPr>
            <w:tcW w:w="1000" w:type="dxa"/>
            <w:vAlign w:val="bottom"/>
            <w:tcBorders>
              <w:bottom w:val="single" w:sz="8" w:color="auto"/>
            </w:tcBorders>
            <w:shd w:val="clear" w:color="auto" w:fill="CCEEFF"/>
          </w:tcPr>
          <w:p>
            <w:pPr>
              <w:jc w:val="center"/>
              <w:spacing w:after="0" w:line="183" w:lineRule="exact"/>
              <w:rPr>
                <w:sz w:val="20"/>
                <w:szCs w:val="20"/>
                <w:color w:val="auto"/>
              </w:rPr>
            </w:pPr>
            <w:r>
              <w:rPr>
                <w:rFonts w:ascii="Arial" w:cs="Arial" w:eastAsia="Arial" w:hAnsi="Arial"/>
                <w:sz w:val="17"/>
                <w:szCs w:val="17"/>
                <w:b w:val="1"/>
                <w:bCs w:val="1"/>
                <w:color w:val="auto"/>
              </w:rPr>
              <w:t>100%</w:t>
            </w:r>
          </w:p>
        </w:tc>
        <w:tc>
          <w:tcPr>
            <w:tcW w:w="1140" w:type="dxa"/>
            <w:vAlign w:val="bottom"/>
            <w:tcBorders>
              <w:bottom w:val="single" w:sz="8" w:color="auto"/>
            </w:tcBorders>
            <w:shd w:val="clear" w:color="auto" w:fill="CCEEFF"/>
          </w:tcPr>
          <w:p>
            <w:pPr>
              <w:jc w:val="center"/>
              <w:ind w:left="55"/>
              <w:spacing w:after="0" w:line="183" w:lineRule="exact"/>
              <w:rPr>
                <w:sz w:val="20"/>
                <w:szCs w:val="20"/>
                <w:color w:val="auto"/>
              </w:rPr>
            </w:pPr>
            <w:r>
              <w:rPr>
                <w:rFonts w:ascii="Arial" w:cs="Arial" w:eastAsia="Arial" w:hAnsi="Arial"/>
                <w:sz w:val="17"/>
                <w:szCs w:val="17"/>
                <w:b w:val="1"/>
                <w:bCs w:val="1"/>
                <w:color w:val="auto"/>
              </w:rPr>
              <w:t>150%</w:t>
            </w:r>
          </w:p>
        </w:tc>
      </w:tr>
    </w:tbl>
    <w:p>
      <w:pPr>
        <w:spacing w:after="0" w:line="169" w:lineRule="exact"/>
        <w:rPr>
          <w:sz w:val="20"/>
          <w:szCs w:val="20"/>
          <w:color w:val="auto"/>
        </w:rPr>
      </w:pPr>
    </w:p>
    <w:p>
      <w:pPr>
        <w:ind w:right="40"/>
        <w:spacing w:after="0" w:line="236" w:lineRule="auto"/>
        <w:rPr>
          <w:sz w:val="20"/>
          <w:szCs w:val="20"/>
          <w:color w:val="auto"/>
        </w:rPr>
      </w:pPr>
      <w:r>
        <w:rPr>
          <w:rFonts w:ascii="Arial" w:cs="Arial" w:eastAsia="Arial" w:hAnsi="Arial"/>
          <w:sz w:val="17"/>
          <w:szCs w:val="17"/>
          <w:color w:val="auto"/>
        </w:rPr>
        <w:t>The award was designed so that, for any award to be earned, actual performance must achieve at least the threshold performance levels for both ROIC and EPS. If the threshold performance level for either measure is not attained, then no payout will be earned. If an award is payable, the number of shares earned could range from 50% to 150% of target based upon the actual performance over the three-year performance period. The value of a share is equal to the share price when the shares vest. Final awards are settled in cash or in shares of the Company, as follows:</w:t>
      </w:r>
    </w:p>
    <w:p>
      <w:pPr>
        <w:spacing w:after="0" w:line="204" w:lineRule="exact"/>
        <w:rPr>
          <w:sz w:val="20"/>
          <w:szCs w:val="20"/>
          <w:color w:val="auto"/>
        </w:rPr>
      </w:pPr>
    </w:p>
    <w:p>
      <w:pPr>
        <w:ind w:left="220" w:hanging="212"/>
        <w:spacing w:after="0"/>
        <w:tabs>
          <w:tab w:leader="none" w:pos="220" w:val="left"/>
        </w:tabs>
        <w:numPr>
          <w:ilvl w:val="0"/>
          <w:numId w:val="20"/>
        </w:numPr>
        <w:rPr>
          <w:rFonts w:ascii="Arial" w:cs="Arial" w:eastAsia="Arial" w:hAnsi="Arial"/>
          <w:sz w:val="17"/>
          <w:szCs w:val="17"/>
          <w:color w:val="auto"/>
        </w:rPr>
      </w:pPr>
      <w:r>
        <w:rPr>
          <w:rFonts w:ascii="Arial" w:cs="Arial" w:eastAsia="Arial" w:hAnsi="Arial"/>
          <w:sz w:val="17"/>
          <w:szCs w:val="17"/>
          <w:color w:val="auto"/>
        </w:rPr>
        <w:t>Officers who have met their share ownership requirement at the time of grant receive the value of any final award in cash; and</w:t>
      </w:r>
    </w:p>
    <w:p>
      <w:pPr>
        <w:spacing w:after="0" w:line="209" w:lineRule="exact"/>
        <w:rPr>
          <w:rFonts w:ascii="Arial" w:cs="Arial" w:eastAsia="Arial" w:hAnsi="Arial"/>
          <w:sz w:val="17"/>
          <w:szCs w:val="17"/>
          <w:color w:val="auto"/>
        </w:rPr>
      </w:pPr>
    </w:p>
    <w:p>
      <w:pPr>
        <w:ind w:left="220" w:hanging="212"/>
        <w:spacing w:after="0"/>
        <w:tabs>
          <w:tab w:leader="none" w:pos="220" w:val="left"/>
        </w:tabs>
        <w:numPr>
          <w:ilvl w:val="0"/>
          <w:numId w:val="20"/>
        </w:numPr>
        <w:rPr>
          <w:rFonts w:ascii="Arial" w:cs="Arial" w:eastAsia="Arial" w:hAnsi="Arial"/>
          <w:sz w:val="17"/>
          <w:szCs w:val="17"/>
          <w:color w:val="auto"/>
        </w:rPr>
      </w:pPr>
      <w:r>
        <w:rPr>
          <w:rFonts w:ascii="Arial" w:cs="Arial" w:eastAsia="Arial" w:hAnsi="Arial"/>
          <w:sz w:val="17"/>
          <w:szCs w:val="17"/>
          <w:color w:val="auto"/>
        </w:rPr>
        <w:t>Officers who have not met their share ownership requirement at the time of grant receive the value of any final award in shares.</w:t>
      </w:r>
    </w:p>
    <w:p>
      <w:pPr>
        <w:spacing w:after="0" w:line="183" w:lineRule="exact"/>
        <w:rPr>
          <w:sz w:val="20"/>
          <w:szCs w:val="20"/>
          <w:color w:val="auto"/>
        </w:rPr>
      </w:pPr>
    </w:p>
    <w:p>
      <w:pPr>
        <w:ind w:right="220"/>
        <w:spacing w:after="0" w:line="243" w:lineRule="auto"/>
        <w:rPr>
          <w:sz w:val="20"/>
          <w:szCs w:val="20"/>
          <w:color w:val="auto"/>
        </w:rPr>
      </w:pPr>
      <w:r>
        <w:rPr>
          <w:rFonts w:ascii="Arial" w:cs="Arial" w:eastAsia="Arial" w:hAnsi="Arial"/>
          <w:sz w:val="17"/>
          <w:szCs w:val="17"/>
          <w:color w:val="auto"/>
        </w:rPr>
        <w:t>For information about the specific number of performance shares awarded in 2015 to each of the NEOs, see the 2015 Grants of Plan-Based Awards Table on page 47.</w:t>
      </w:r>
    </w:p>
    <w:p>
      <w:pPr>
        <w:spacing w:after="0" w:line="138"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2013 to 2015 Strategic Performance Share Awards</w:t>
      </w:r>
    </w:p>
    <w:p>
      <w:pPr>
        <w:spacing w:after="0" w:line="14" w:lineRule="exact"/>
        <w:rPr>
          <w:sz w:val="20"/>
          <w:szCs w:val="20"/>
          <w:color w:val="auto"/>
        </w:rPr>
      </w:pPr>
    </w:p>
    <w:p>
      <w:pPr>
        <w:ind w:right="480"/>
        <w:spacing w:after="0" w:line="243" w:lineRule="auto"/>
        <w:rPr>
          <w:sz w:val="20"/>
          <w:szCs w:val="20"/>
          <w:color w:val="auto"/>
        </w:rPr>
      </w:pPr>
      <w:r>
        <w:rPr>
          <w:rFonts w:ascii="Arial" w:cs="Arial" w:eastAsia="Arial" w:hAnsi="Arial"/>
          <w:sz w:val="17"/>
          <w:szCs w:val="17"/>
          <w:color w:val="auto"/>
        </w:rPr>
        <w:t>In 2013, as part of The Timken Company, the NEOs (with the exception of Frank DiPiero who was not employed by Timken at that time) received awards of strategic performance shares for the 2013-2015 performance period.</w:t>
      </w:r>
    </w:p>
    <w:p>
      <w:pPr>
        <w:spacing w:after="0" w:line="158" w:lineRule="exact"/>
        <w:rPr>
          <w:sz w:val="20"/>
          <w:szCs w:val="20"/>
          <w:color w:val="auto"/>
        </w:rPr>
      </w:pPr>
    </w:p>
    <w:p>
      <w:pPr>
        <w:ind w:right="40"/>
        <w:spacing w:after="0" w:line="235" w:lineRule="auto"/>
        <w:rPr>
          <w:sz w:val="20"/>
          <w:szCs w:val="20"/>
          <w:color w:val="auto"/>
        </w:rPr>
      </w:pPr>
      <w:r>
        <w:rPr>
          <w:rFonts w:ascii="Arial" w:cs="Arial" w:eastAsia="Arial" w:hAnsi="Arial"/>
          <w:sz w:val="17"/>
          <w:szCs w:val="17"/>
          <w:color w:val="auto"/>
        </w:rPr>
        <w:t>Much like performance shares, strategic performance shares are performance-based restricted stock units that vest depending upon achievement of specified performance objectives, typically over a three-year performance period. These performance objectives are closely tied to the Company’s strategic plan, which is based on driving top quartile shareholder return. Strategic performance shares also serve to both reward and retain executives, as the number of shares awarded and the receipt of a payout are linked to performance and continued employment, and the value of the payout is linked to the stock price when the shares vest.</w:t>
      </w:r>
    </w:p>
    <w:p>
      <w:pPr>
        <w:spacing w:after="0" w:line="177" w:lineRule="exact"/>
        <w:rPr>
          <w:sz w:val="20"/>
          <w:szCs w:val="20"/>
          <w:color w:val="auto"/>
        </w:rPr>
      </w:pPr>
    </w:p>
    <w:p>
      <w:pPr>
        <w:ind w:right="20"/>
        <w:spacing w:after="0" w:line="236" w:lineRule="auto"/>
        <w:rPr>
          <w:sz w:val="20"/>
          <w:szCs w:val="20"/>
          <w:color w:val="auto"/>
        </w:rPr>
      </w:pPr>
      <w:r>
        <w:rPr>
          <w:rFonts w:ascii="Arial" w:cs="Arial" w:eastAsia="Arial" w:hAnsi="Arial"/>
          <w:sz w:val="17"/>
          <w:szCs w:val="17"/>
          <w:color w:val="auto"/>
        </w:rPr>
        <w:t>As a result of the spinoff of TimkenSteel on June 30, 2014, the 2013-2015 strategic performance share measurement cycle ended half-way through the originally intended performance cycle. Performance for the first 18 months of the 2013-2015 performance cycle was scored by The Timken Company Compensation Committee as of June 30, 2014 (with earned awards determined to be settled in cash at the time the award would have otherwise been settled in early 2016). Performance targets were adjusted for this cycle to reflect the impact of the</w:t>
      </w:r>
    </w:p>
    <w:p>
      <w:pPr>
        <w:spacing w:after="0" w:line="147" w:lineRule="exact"/>
        <w:rPr>
          <w:sz w:val="20"/>
          <w:szCs w:val="20"/>
          <w:color w:val="auto"/>
        </w:rPr>
      </w:pPr>
    </w:p>
    <w:p>
      <w:pPr>
        <w:ind w:left="11180"/>
        <w:spacing w:after="0"/>
        <w:rPr>
          <w:sz w:val="20"/>
          <w:szCs w:val="20"/>
          <w:color w:val="auto"/>
        </w:rPr>
      </w:pPr>
      <w:r>
        <w:rPr>
          <w:rFonts w:ascii="Arial" w:cs="Arial" w:eastAsia="Arial" w:hAnsi="Arial"/>
          <w:sz w:val="14"/>
          <w:szCs w:val="14"/>
          <w:color w:val="auto"/>
        </w:rPr>
        <w:t>39</w:t>
      </w:r>
    </w:p>
    <w:p>
      <w:pPr>
        <w:sectPr>
          <w:pgSz w:w="11900" w:h="16838" w:orient="portrait"/>
          <w:cols w:equalWidth="0" w:num="1">
            <w:col w:w="11420"/>
          </w:cols>
          <w:pgMar w:left="240" w:top="459" w:right="239" w:bottom="1440" w:gutter="0" w:footer="0" w:header="0"/>
        </w:sectPr>
      </w:pPr>
    </w:p>
    <w:bookmarkStart w:id="45" w:name="page46"/>
    <w:bookmarkEnd w:id="4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39">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3109595</wp:posOffset>
            </wp:positionH>
            <wp:positionV relativeFrom="paragraph">
              <wp:posOffset>205740</wp:posOffset>
            </wp:positionV>
            <wp:extent cx="1046480" cy="205740"/>
            <wp:wrapNone/>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40">
                      <a:extLst>
                        <a:ext uri="{28A0092B-C50C-407E-A947-70E740481C1C}"/>
                      </a:extLst>
                    </a:blip>
                    <a:srcRect/>
                    <a:stretch>
                      <a:fillRect/>
                    </a:stretch>
                  </pic:blipFill>
                  <pic:spPr bwMode="auto">
                    <a:xfrm>
                      <a:off x="0" y="0"/>
                      <a:ext cx="1046480" cy="20574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70" w:lineRule="exact"/>
        <w:rPr>
          <w:sz w:val="20"/>
          <w:szCs w:val="20"/>
          <w:color w:val="auto"/>
        </w:rPr>
      </w:pPr>
    </w:p>
    <w:p>
      <w:pPr>
        <w:ind w:right="20"/>
        <w:spacing w:after="0" w:line="235" w:lineRule="auto"/>
        <w:rPr>
          <w:sz w:val="20"/>
          <w:szCs w:val="20"/>
          <w:color w:val="auto"/>
        </w:rPr>
      </w:pPr>
      <w:r>
        <w:rPr>
          <w:rFonts w:ascii="Arial" w:cs="Arial" w:eastAsia="Arial" w:hAnsi="Arial"/>
          <w:sz w:val="17"/>
          <w:szCs w:val="17"/>
          <w:color w:val="auto"/>
        </w:rPr>
        <w:t>spinoff on Timken’s financial results, as explained in the box below. Adjusted targets and actual results for the first half of the cycle are summarized in the following table. The original target number of strategic performance shares granted under the 2013-2015 cycle was cut in half to reflect the fact that the award was scored halfway through the performance period. Based on performance for the first half of the cycle, 78% of the target number of strategic performance shares was earned. To provide market context, the value of the stock price of these shares appreciated 20% between the start of the performance cycle and June 30, 2014, resulting in final award values equal to 94% of target (78% multiplied by 120%).</w:t>
      </w:r>
    </w:p>
    <w:p>
      <w:pPr>
        <w:spacing w:after="0" w:line="191" w:lineRule="exact"/>
        <w:rPr>
          <w:sz w:val="20"/>
          <w:szCs w:val="20"/>
          <w:color w:val="auto"/>
        </w:rPr>
      </w:pPr>
    </w:p>
    <w:tbl>
      <w:tblPr>
        <w:tblLayout w:type="fixed"/>
        <w:tblInd w:w="0" w:type="dxa"/>
        <w:tblCellMar>
          <w:top w:w="0" w:type="dxa"/>
          <w:left w:w="0" w:type="dxa"/>
          <w:bottom w:w="0" w:type="dxa"/>
          <w:right w:w="0" w:type="dxa"/>
        </w:tblCellMar>
      </w:tblPr>
      <w:tr>
        <w:trPr>
          <w:trHeight w:val="203"/>
        </w:trPr>
        <w:tc>
          <w:tcPr>
            <w:tcW w:w="4120" w:type="dxa"/>
            <w:vAlign w:val="bottom"/>
            <w:tcBorders>
              <w:top w:val="single" w:sz="8" w:color="auto"/>
              <w:bottom w:val="single" w:sz="8" w:color="auto"/>
            </w:tcBorders>
          </w:tcPr>
          <w:p>
            <w:pPr>
              <w:spacing w:after="0"/>
              <w:rPr>
                <w:sz w:val="17"/>
                <w:szCs w:val="17"/>
                <w:color w:val="auto"/>
              </w:rPr>
            </w:pPr>
          </w:p>
        </w:tc>
        <w:tc>
          <w:tcPr>
            <w:tcW w:w="3960" w:type="dxa"/>
            <w:vAlign w:val="bottom"/>
            <w:tcBorders>
              <w:top w:val="single" w:sz="8" w:color="auto"/>
              <w:bottom w:val="single" w:sz="8" w:color="auto"/>
            </w:tcBorders>
          </w:tcPr>
          <w:p>
            <w:pPr>
              <w:ind w:left="2860"/>
              <w:spacing w:after="0"/>
              <w:rPr>
                <w:sz w:val="20"/>
                <w:szCs w:val="20"/>
                <w:color w:val="auto"/>
              </w:rPr>
            </w:pPr>
            <w:r>
              <w:rPr>
                <w:rFonts w:ascii="Arial" w:cs="Arial" w:eastAsia="Arial" w:hAnsi="Arial"/>
                <w:sz w:val="17"/>
                <w:szCs w:val="17"/>
                <w:b w:val="1"/>
                <w:bCs w:val="1"/>
                <w:color w:val="auto"/>
              </w:rPr>
              <w:t>Threshold</w:t>
            </w:r>
          </w:p>
        </w:tc>
        <w:tc>
          <w:tcPr>
            <w:tcW w:w="1080" w:type="dxa"/>
            <w:vAlign w:val="bottom"/>
            <w:tcBorders>
              <w:top w:val="single" w:sz="8" w:color="auto"/>
              <w:bottom w:val="single" w:sz="8" w:color="auto"/>
            </w:tcBorders>
          </w:tcPr>
          <w:p>
            <w:pPr>
              <w:ind w:left="280"/>
              <w:spacing w:after="0"/>
              <w:rPr>
                <w:sz w:val="20"/>
                <w:szCs w:val="20"/>
                <w:color w:val="auto"/>
              </w:rPr>
            </w:pPr>
            <w:r>
              <w:rPr>
                <w:rFonts w:ascii="Arial" w:cs="Arial" w:eastAsia="Arial" w:hAnsi="Arial"/>
                <w:sz w:val="17"/>
                <w:szCs w:val="17"/>
                <w:b w:val="1"/>
                <w:bCs w:val="1"/>
                <w:color w:val="auto"/>
              </w:rPr>
              <w:t>Target</w:t>
            </w:r>
          </w:p>
        </w:tc>
        <w:tc>
          <w:tcPr>
            <w:tcW w:w="1360" w:type="dxa"/>
            <w:vAlign w:val="bottom"/>
            <w:tcBorders>
              <w:top w:val="single" w:sz="8" w:color="auto"/>
              <w:bottom w:val="single" w:sz="8" w:color="auto"/>
            </w:tcBorders>
          </w:tcPr>
          <w:p>
            <w:pPr>
              <w:ind w:left="280"/>
              <w:spacing w:after="0"/>
              <w:rPr>
                <w:sz w:val="20"/>
                <w:szCs w:val="20"/>
                <w:color w:val="auto"/>
              </w:rPr>
            </w:pPr>
            <w:r>
              <w:rPr>
                <w:rFonts w:ascii="Arial" w:cs="Arial" w:eastAsia="Arial" w:hAnsi="Arial"/>
                <w:sz w:val="17"/>
                <w:szCs w:val="17"/>
                <w:b w:val="1"/>
                <w:bCs w:val="1"/>
                <w:color w:val="auto"/>
              </w:rPr>
              <w:t>Maximum</w:t>
            </w:r>
          </w:p>
        </w:tc>
        <w:tc>
          <w:tcPr>
            <w:tcW w:w="900" w:type="dxa"/>
            <w:vAlign w:val="bottom"/>
            <w:tcBorders>
              <w:top w:val="single" w:sz="8" w:color="auto"/>
              <w:bottom w:val="single" w:sz="8" w:color="auto"/>
            </w:tcBorders>
          </w:tcPr>
          <w:p>
            <w:pPr>
              <w:ind w:left="280"/>
              <w:spacing w:after="0"/>
              <w:rPr>
                <w:sz w:val="20"/>
                <w:szCs w:val="20"/>
                <w:color w:val="auto"/>
              </w:rPr>
            </w:pPr>
            <w:r>
              <w:rPr>
                <w:rFonts w:ascii="Arial" w:cs="Arial" w:eastAsia="Arial" w:hAnsi="Arial"/>
                <w:sz w:val="17"/>
                <w:szCs w:val="17"/>
                <w:b w:val="1"/>
                <w:bCs w:val="1"/>
                <w:color w:val="auto"/>
              </w:rPr>
              <w:t>Actual</w:t>
            </w:r>
          </w:p>
        </w:tc>
      </w:tr>
      <w:tr>
        <w:trPr>
          <w:trHeight w:val="183"/>
        </w:trPr>
        <w:tc>
          <w:tcPr>
            <w:tcW w:w="4120" w:type="dxa"/>
            <w:vAlign w:val="bottom"/>
            <w:shd w:val="clear" w:color="auto" w:fill="CCEEFF"/>
          </w:tcPr>
          <w:p>
            <w:pPr>
              <w:spacing w:after="0" w:line="183" w:lineRule="exact"/>
              <w:rPr>
                <w:sz w:val="20"/>
                <w:szCs w:val="20"/>
                <w:color w:val="auto"/>
              </w:rPr>
            </w:pPr>
            <w:r>
              <w:rPr>
                <w:rFonts w:ascii="Arial" w:cs="Arial" w:eastAsia="Arial" w:hAnsi="Arial"/>
                <w:sz w:val="17"/>
                <w:szCs w:val="17"/>
                <w:color w:val="auto"/>
              </w:rPr>
              <w:t>Average ROIC</w:t>
            </w:r>
          </w:p>
        </w:tc>
        <w:tc>
          <w:tcPr>
            <w:tcW w:w="3960" w:type="dxa"/>
            <w:vAlign w:val="bottom"/>
            <w:shd w:val="clear" w:color="auto" w:fill="CCEEFF"/>
          </w:tcPr>
          <w:p>
            <w:pPr>
              <w:jc w:val="center"/>
              <w:ind w:left="2515"/>
              <w:spacing w:after="0" w:line="183" w:lineRule="exact"/>
              <w:rPr>
                <w:sz w:val="20"/>
                <w:szCs w:val="20"/>
                <w:color w:val="auto"/>
              </w:rPr>
            </w:pPr>
            <w:r>
              <w:rPr>
                <w:rFonts w:ascii="Arial" w:cs="Arial" w:eastAsia="Arial" w:hAnsi="Arial"/>
                <w:sz w:val="17"/>
                <w:szCs w:val="17"/>
                <w:color w:val="auto"/>
              </w:rPr>
              <w:t>9.6%</w:t>
            </w:r>
          </w:p>
        </w:tc>
        <w:tc>
          <w:tcPr>
            <w:tcW w:w="1080" w:type="dxa"/>
            <w:vAlign w:val="bottom"/>
            <w:shd w:val="clear" w:color="auto" w:fill="CCEEFF"/>
          </w:tcPr>
          <w:p>
            <w:pPr>
              <w:jc w:val="center"/>
              <w:spacing w:after="0" w:line="183" w:lineRule="exact"/>
              <w:rPr>
                <w:sz w:val="20"/>
                <w:szCs w:val="20"/>
                <w:color w:val="auto"/>
              </w:rPr>
            </w:pPr>
            <w:r>
              <w:rPr>
                <w:rFonts w:ascii="Arial" w:cs="Arial" w:eastAsia="Arial" w:hAnsi="Arial"/>
                <w:sz w:val="17"/>
                <w:szCs w:val="17"/>
                <w:color w:val="auto"/>
                <w:w w:val="99"/>
              </w:rPr>
              <w:t>14.4%</w:t>
            </w:r>
          </w:p>
        </w:tc>
        <w:tc>
          <w:tcPr>
            <w:tcW w:w="1360" w:type="dxa"/>
            <w:vAlign w:val="bottom"/>
            <w:shd w:val="clear" w:color="auto" w:fill="CCEEFF"/>
          </w:tcPr>
          <w:p>
            <w:pPr>
              <w:jc w:val="center"/>
              <w:spacing w:after="0" w:line="183" w:lineRule="exact"/>
              <w:rPr>
                <w:sz w:val="20"/>
                <w:szCs w:val="20"/>
                <w:color w:val="auto"/>
              </w:rPr>
            </w:pPr>
            <w:r>
              <w:rPr>
                <w:rFonts w:ascii="Arial" w:cs="Arial" w:eastAsia="Arial" w:hAnsi="Arial"/>
                <w:sz w:val="17"/>
                <w:szCs w:val="17"/>
                <w:color w:val="auto"/>
                <w:w w:val="99"/>
              </w:rPr>
              <w:t>15.4%</w:t>
            </w:r>
          </w:p>
        </w:tc>
        <w:tc>
          <w:tcPr>
            <w:tcW w:w="900" w:type="dxa"/>
            <w:vAlign w:val="bottom"/>
            <w:shd w:val="clear" w:color="auto" w:fill="CCEEFF"/>
          </w:tcPr>
          <w:p>
            <w:pPr>
              <w:jc w:val="center"/>
              <w:ind w:left="95"/>
              <w:spacing w:after="0" w:line="183" w:lineRule="exact"/>
              <w:rPr>
                <w:sz w:val="20"/>
                <w:szCs w:val="20"/>
                <w:color w:val="auto"/>
              </w:rPr>
            </w:pPr>
            <w:r>
              <w:rPr>
                <w:rFonts w:ascii="Arial" w:cs="Arial" w:eastAsia="Arial" w:hAnsi="Arial"/>
                <w:sz w:val="17"/>
                <w:szCs w:val="17"/>
                <w:color w:val="auto"/>
                <w:w w:val="99"/>
              </w:rPr>
              <w:t>12.3%</w:t>
            </w:r>
          </w:p>
        </w:tc>
      </w:tr>
      <w:tr>
        <w:trPr>
          <w:trHeight w:val="189"/>
        </w:trPr>
        <w:tc>
          <w:tcPr>
            <w:tcW w:w="4120" w:type="dxa"/>
            <w:vAlign w:val="bottom"/>
            <w:tcBorders>
              <w:bottom w:val="single" w:sz="8" w:color="auto"/>
            </w:tcBorders>
          </w:tcPr>
          <w:p>
            <w:pPr>
              <w:spacing w:after="0" w:line="189" w:lineRule="exact"/>
              <w:rPr>
                <w:sz w:val="20"/>
                <w:szCs w:val="20"/>
                <w:color w:val="auto"/>
              </w:rPr>
            </w:pPr>
            <w:r>
              <w:rPr>
                <w:rFonts w:ascii="Arial" w:cs="Arial" w:eastAsia="Arial" w:hAnsi="Arial"/>
                <w:sz w:val="17"/>
                <w:szCs w:val="17"/>
                <w:color w:val="auto"/>
              </w:rPr>
              <w:t>Cumulative EPS</w:t>
            </w:r>
          </w:p>
        </w:tc>
        <w:tc>
          <w:tcPr>
            <w:tcW w:w="3960" w:type="dxa"/>
            <w:vAlign w:val="bottom"/>
            <w:tcBorders>
              <w:bottom w:val="single" w:sz="8" w:color="auto"/>
            </w:tcBorders>
          </w:tcPr>
          <w:p>
            <w:pPr>
              <w:jc w:val="center"/>
              <w:ind w:left="2495"/>
              <w:spacing w:after="0" w:line="189" w:lineRule="exact"/>
              <w:rPr>
                <w:sz w:val="20"/>
                <w:szCs w:val="20"/>
                <w:color w:val="auto"/>
              </w:rPr>
            </w:pPr>
            <w:r>
              <w:rPr>
                <w:rFonts w:ascii="Arial" w:cs="Arial" w:eastAsia="Arial" w:hAnsi="Arial"/>
                <w:sz w:val="17"/>
                <w:szCs w:val="17"/>
                <w:color w:val="auto"/>
                <w:w w:val="98"/>
              </w:rPr>
              <w:t>$3.76</w:t>
            </w:r>
          </w:p>
        </w:tc>
        <w:tc>
          <w:tcPr>
            <w:tcW w:w="1080" w:type="dxa"/>
            <w:vAlign w:val="bottom"/>
            <w:tcBorders>
              <w:bottom w:val="single" w:sz="8" w:color="auto"/>
            </w:tcBorders>
          </w:tcPr>
          <w:p>
            <w:pPr>
              <w:jc w:val="center"/>
              <w:spacing w:after="0" w:line="189" w:lineRule="exact"/>
              <w:rPr>
                <w:sz w:val="20"/>
                <w:szCs w:val="20"/>
                <w:color w:val="auto"/>
              </w:rPr>
            </w:pPr>
            <w:r>
              <w:rPr>
                <w:rFonts w:ascii="Arial" w:cs="Arial" w:eastAsia="Arial" w:hAnsi="Arial"/>
                <w:sz w:val="17"/>
                <w:szCs w:val="17"/>
                <w:color w:val="auto"/>
                <w:w w:val="98"/>
              </w:rPr>
              <w:t>$6.17</w:t>
            </w:r>
          </w:p>
        </w:tc>
        <w:tc>
          <w:tcPr>
            <w:tcW w:w="1360" w:type="dxa"/>
            <w:vAlign w:val="bottom"/>
            <w:tcBorders>
              <w:bottom w:val="single" w:sz="8" w:color="auto"/>
            </w:tcBorders>
          </w:tcPr>
          <w:p>
            <w:pPr>
              <w:jc w:val="center"/>
              <w:spacing w:after="0" w:line="189" w:lineRule="exact"/>
              <w:rPr>
                <w:sz w:val="20"/>
                <w:szCs w:val="20"/>
                <w:color w:val="auto"/>
              </w:rPr>
            </w:pPr>
            <w:r>
              <w:rPr>
                <w:rFonts w:ascii="Arial" w:cs="Arial" w:eastAsia="Arial" w:hAnsi="Arial"/>
                <w:sz w:val="17"/>
                <w:szCs w:val="17"/>
                <w:color w:val="auto"/>
                <w:w w:val="98"/>
              </w:rPr>
              <w:t>$6.90</w:t>
            </w:r>
          </w:p>
        </w:tc>
        <w:tc>
          <w:tcPr>
            <w:tcW w:w="900" w:type="dxa"/>
            <w:vAlign w:val="bottom"/>
            <w:tcBorders>
              <w:bottom w:val="single" w:sz="8" w:color="auto"/>
            </w:tcBorders>
          </w:tcPr>
          <w:p>
            <w:pPr>
              <w:jc w:val="center"/>
              <w:ind w:left="95"/>
              <w:spacing w:after="0" w:line="189" w:lineRule="exact"/>
              <w:rPr>
                <w:sz w:val="20"/>
                <w:szCs w:val="20"/>
                <w:color w:val="auto"/>
              </w:rPr>
            </w:pPr>
            <w:r>
              <w:rPr>
                <w:rFonts w:ascii="Arial" w:cs="Arial" w:eastAsia="Arial" w:hAnsi="Arial"/>
                <w:sz w:val="17"/>
                <w:szCs w:val="17"/>
                <w:color w:val="auto"/>
              </w:rPr>
              <w:t>$5.15</w:t>
            </w:r>
          </w:p>
        </w:tc>
      </w:tr>
      <w:tr>
        <w:trPr>
          <w:trHeight w:val="183"/>
        </w:trPr>
        <w:tc>
          <w:tcPr>
            <w:tcW w:w="4120" w:type="dxa"/>
            <w:vAlign w:val="bottom"/>
            <w:tcBorders>
              <w:bottom w:val="single" w:sz="8" w:color="auto"/>
            </w:tcBorders>
            <w:shd w:val="clear" w:color="auto" w:fill="CCEEFF"/>
          </w:tcPr>
          <w:p>
            <w:pPr>
              <w:spacing w:after="0" w:line="183" w:lineRule="exact"/>
              <w:rPr>
                <w:sz w:val="20"/>
                <w:szCs w:val="20"/>
                <w:color w:val="auto"/>
              </w:rPr>
            </w:pPr>
            <w:r>
              <w:rPr>
                <w:rFonts w:ascii="Arial" w:cs="Arial" w:eastAsia="Arial" w:hAnsi="Arial"/>
                <w:sz w:val="17"/>
                <w:szCs w:val="17"/>
                <w:b w:val="1"/>
                <w:bCs w:val="1"/>
                <w:color w:val="auto"/>
              </w:rPr>
              <w:t>Plan Funding</w:t>
            </w:r>
          </w:p>
        </w:tc>
        <w:tc>
          <w:tcPr>
            <w:tcW w:w="3960" w:type="dxa"/>
            <w:vAlign w:val="bottom"/>
            <w:tcBorders>
              <w:bottom w:val="single" w:sz="8" w:color="auto"/>
            </w:tcBorders>
            <w:shd w:val="clear" w:color="auto" w:fill="CCEEFF"/>
          </w:tcPr>
          <w:p>
            <w:pPr>
              <w:jc w:val="center"/>
              <w:ind w:left="2495"/>
              <w:spacing w:after="0" w:line="183" w:lineRule="exact"/>
              <w:rPr>
                <w:sz w:val="20"/>
                <w:szCs w:val="20"/>
                <w:color w:val="auto"/>
              </w:rPr>
            </w:pPr>
            <w:r>
              <w:rPr>
                <w:rFonts w:ascii="Arial" w:cs="Arial" w:eastAsia="Arial" w:hAnsi="Arial"/>
                <w:sz w:val="17"/>
                <w:szCs w:val="17"/>
                <w:b w:val="1"/>
                <w:bCs w:val="1"/>
                <w:color w:val="auto"/>
                <w:w w:val="99"/>
              </w:rPr>
              <w:t>50%</w:t>
            </w:r>
          </w:p>
        </w:tc>
        <w:tc>
          <w:tcPr>
            <w:tcW w:w="1080" w:type="dxa"/>
            <w:vAlign w:val="bottom"/>
            <w:tcBorders>
              <w:bottom w:val="single" w:sz="8" w:color="auto"/>
            </w:tcBorders>
            <w:shd w:val="clear" w:color="auto" w:fill="CCEEFF"/>
          </w:tcPr>
          <w:p>
            <w:pPr>
              <w:jc w:val="center"/>
              <w:spacing w:after="0" w:line="183" w:lineRule="exact"/>
              <w:rPr>
                <w:sz w:val="20"/>
                <w:szCs w:val="20"/>
                <w:color w:val="auto"/>
              </w:rPr>
            </w:pPr>
            <w:r>
              <w:rPr>
                <w:rFonts w:ascii="Arial" w:cs="Arial" w:eastAsia="Arial" w:hAnsi="Arial"/>
                <w:sz w:val="17"/>
                <w:szCs w:val="17"/>
                <w:b w:val="1"/>
                <w:bCs w:val="1"/>
                <w:color w:val="auto"/>
              </w:rPr>
              <w:t>100%</w:t>
            </w:r>
          </w:p>
        </w:tc>
        <w:tc>
          <w:tcPr>
            <w:tcW w:w="1360" w:type="dxa"/>
            <w:vAlign w:val="bottom"/>
            <w:tcBorders>
              <w:bottom w:val="single" w:sz="8" w:color="auto"/>
            </w:tcBorders>
            <w:shd w:val="clear" w:color="auto" w:fill="CCEEFF"/>
          </w:tcPr>
          <w:p>
            <w:pPr>
              <w:jc w:val="center"/>
              <w:spacing w:after="0" w:line="183" w:lineRule="exact"/>
              <w:rPr>
                <w:sz w:val="20"/>
                <w:szCs w:val="20"/>
                <w:color w:val="auto"/>
              </w:rPr>
            </w:pPr>
            <w:r>
              <w:rPr>
                <w:rFonts w:ascii="Arial" w:cs="Arial" w:eastAsia="Arial" w:hAnsi="Arial"/>
                <w:sz w:val="17"/>
                <w:szCs w:val="17"/>
                <w:b w:val="1"/>
                <w:bCs w:val="1"/>
                <w:color w:val="auto"/>
              </w:rPr>
              <w:t>150%</w:t>
            </w:r>
          </w:p>
        </w:tc>
        <w:tc>
          <w:tcPr>
            <w:tcW w:w="900" w:type="dxa"/>
            <w:vAlign w:val="bottom"/>
            <w:tcBorders>
              <w:bottom w:val="single" w:sz="8" w:color="auto"/>
            </w:tcBorders>
            <w:shd w:val="clear" w:color="auto" w:fill="CCEEFF"/>
          </w:tcPr>
          <w:p>
            <w:pPr>
              <w:jc w:val="center"/>
              <w:ind w:left="115"/>
              <w:spacing w:after="0" w:line="183" w:lineRule="exact"/>
              <w:rPr>
                <w:sz w:val="20"/>
                <w:szCs w:val="20"/>
                <w:color w:val="auto"/>
              </w:rPr>
            </w:pPr>
            <w:r>
              <w:rPr>
                <w:rFonts w:ascii="Arial" w:cs="Arial" w:eastAsia="Arial" w:hAnsi="Arial"/>
                <w:sz w:val="17"/>
                <w:szCs w:val="17"/>
                <w:b w:val="1"/>
                <w:bCs w:val="1"/>
                <w:color w:val="auto"/>
                <w:w w:val="99"/>
              </w:rPr>
              <w:t>78%</w:t>
            </w:r>
          </w:p>
        </w:tc>
      </w:tr>
    </w:tbl>
    <w:p>
      <w:pPr>
        <w:spacing w:after="0" w:line="190"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Calculating Adjusted Strategic Performance Share Performance Targets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-106680</wp:posOffset>
            </wp:positionV>
            <wp:extent cx="7246620" cy="728980"/>
            <wp:wrapNone/>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41">
                      <a:extLst>
                        <a:ext uri="{28A0092B-C50C-407E-A947-70E740481C1C}"/>
                      </a:extLst>
                    </a:blip>
                    <a:srcRect/>
                    <a:stretch>
                      <a:fillRect/>
                    </a:stretch>
                  </pic:blipFill>
                  <pic:spPr bwMode="auto">
                    <a:xfrm>
                      <a:off x="0" y="0"/>
                      <a:ext cx="7246620" cy="728980"/>
                    </a:xfrm>
                    <a:prstGeom prst="rect">
                      <a:avLst/>
                    </a:prstGeom>
                    <a:noFill/>
                  </pic:spPr>
                </pic:pic>
              </a:graphicData>
            </a:graphic>
          </wp:anchor>
        </w:drawing>
      </w:r>
    </w:p>
    <w:p>
      <w:pPr>
        <w:ind w:right="300"/>
        <w:spacing w:after="0" w:line="235" w:lineRule="auto"/>
        <w:rPr>
          <w:sz w:val="20"/>
          <w:szCs w:val="20"/>
          <w:color w:val="auto"/>
        </w:rPr>
      </w:pPr>
      <w:r>
        <w:rPr>
          <w:rFonts w:ascii="Arial" w:cs="Arial" w:eastAsia="Arial" w:hAnsi="Arial"/>
          <w:sz w:val="17"/>
          <w:szCs w:val="17"/>
          <w:color w:val="auto"/>
        </w:rPr>
        <w:t>Target EPS was reduced to exclude half of the 2014 earnings included in the original calculation in recognition of the truncated performance period, and target ROIC was recalculated to reflect the average of the original year 2013 and an adjusted year 2014 ROIC. This adjusted 2014 ROIC was based on a half-year of earnings for the numerator and the impact of a half-year of earnings in the average capital value for the denominator. 2015 earnings were excluded entirely for both EPS and ROIC. The adjusted EPS and ROIC metrics were set as the target payout and the threshold and maximum values were recalculated by maintaining the ratios to target from the original plan.</w:t>
      </w:r>
    </w:p>
    <w:p>
      <w:pPr>
        <w:spacing w:after="0" w:line="191" w:lineRule="exact"/>
        <w:rPr>
          <w:sz w:val="20"/>
          <w:szCs w:val="20"/>
          <w:color w:val="auto"/>
        </w:rPr>
      </w:pPr>
    </w:p>
    <w:p>
      <w:pPr>
        <w:ind w:right="260"/>
        <w:spacing w:after="0" w:line="238" w:lineRule="auto"/>
        <w:rPr>
          <w:sz w:val="20"/>
          <w:szCs w:val="20"/>
          <w:color w:val="auto"/>
        </w:rPr>
      </w:pPr>
      <w:r>
        <w:rPr>
          <w:rFonts w:ascii="Arial" w:cs="Arial" w:eastAsia="Arial" w:hAnsi="Arial"/>
          <w:sz w:val="17"/>
          <w:szCs w:val="17"/>
          <w:color w:val="auto"/>
        </w:rPr>
        <w:t>For NEOs who received a strategic performance share grant in February 2013 as part of the original full three-year 2013-2015 performance cycle, a new strategic performance share grant was made in August 2014 to account for the lost value associated with the truncated 2013-2015 award as illustrated below. Both halves of the cycle were settled in February 2016.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1291590</wp:posOffset>
            </wp:positionH>
            <wp:positionV relativeFrom="paragraph">
              <wp:posOffset>132080</wp:posOffset>
            </wp:positionV>
            <wp:extent cx="4673600" cy="1080770"/>
            <wp:wrapNone/>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42">
                      <a:extLst>
                        <a:ext uri="{28A0092B-C50C-407E-A947-70E740481C1C}"/>
                      </a:extLst>
                    </a:blip>
                    <a:srcRect/>
                    <a:stretch>
                      <a:fillRect/>
                    </a:stretch>
                  </pic:blipFill>
                  <pic:spPr bwMode="auto">
                    <a:xfrm>
                      <a:off x="0" y="0"/>
                      <a:ext cx="4673600" cy="108077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9" w:lineRule="exact"/>
        <w:rPr>
          <w:sz w:val="20"/>
          <w:szCs w:val="20"/>
          <w:color w:val="auto"/>
        </w:rPr>
      </w:pPr>
    </w:p>
    <w:p>
      <w:pPr>
        <w:ind w:right="40"/>
        <w:spacing w:after="0" w:line="238" w:lineRule="auto"/>
        <w:rPr>
          <w:sz w:val="20"/>
          <w:szCs w:val="20"/>
          <w:color w:val="auto"/>
        </w:rPr>
      </w:pPr>
      <w:r>
        <w:rPr>
          <w:rFonts w:ascii="Arial" w:cs="Arial" w:eastAsia="Arial" w:hAnsi="Arial"/>
          <w:sz w:val="17"/>
          <w:szCs w:val="17"/>
          <w:color w:val="auto"/>
        </w:rPr>
        <w:t>The table below shows the target levels of performance for the strategic performance share grant that was made in August 2014 to account for the lost value associated with the truncated 2013-2015 award and the actual performance achieved. Based on performance falling below both metrics for the second half of the 2013-2015 performance cycle, the original number of target strategic performance shares granted in August 2014 was cancelled.</w:t>
      </w:r>
    </w:p>
    <w:p>
      <w:pPr>
        <w:spacing w:after="0" w:line="215" w:lineRule="exact"/>
        <w:rPr>
          <w:sz w:val="20"/>
          <w:szCs w:val="20"/>
          <w:color w:val="auto"/>
        </w:rPr>
      </w:pPr>
    </w:p>
    <w:tbl>
      <w:tblPr>
        <w:tblLayout w:type="fixed"/>
        <w:tblInd w:w="0" w:type="dxa"/>
        <w:tblCellMar>
          <w:top w:w="0" w:type="dxa"/>
          <w:left w:w="0" w:type="dxa"/>
          <w:bottom w:w="0" w:type="dxa"/>
          <w:right w:w="0" w:type="dxa"/>
        </w:tblCellMar>
      </w:tblPr>
      <w:tr>
        <w:trPr>
          <w:trHeight w:val="203"/>
        </w:trPr>
        <w:tc>
          <w:tcPr>
            <w:tcW w:w="4060" w:type="dxa"/>
            <w:vAlign w:val="bottom"/>
            <w:tcBorders>
              <w:top w:val="single" w:sz="8" w:color="auto"/>
              <w:bottom w:val="single" w:sz="8" w:color="auto"/>
            </w:tcBorders>
          </w:tcPr>
          <w:p>
            <w:pPr>
              <w:spacing w:after="0"/>
              <w:rPr>
                <w:sz w:val="17"/>
                <w:szCs w:val="17"/>
                <w:color w:val="auto"/>
              </w:rPr>
            </w:pPr>
          </w:p>
        </w:tc>
        <w:tc>
          <w:tcPr>
            <w:tcW w:w="3940" w:type="dxa"/>
            <w:vAlign w:val="bottom"/>
            <w:tcBorders>
              <w:top w:val="single" w:sz="8" w:color="auto"/>
              <w:bottom w:val="single" w:sz="8" w:color="auto"/>
            </w:tcBorders>
          </w:tcPr>
          <w:p>
            <w:pPr>
              <w:ind w:left="2820"/>
              <w:spacing w:after="0"/>
              <w:rPr>
                <w:sz w:val="20"/>
                <w:szCs w:val="20"/>
                <w:color w:val="auto"/>
              </w:rPr>
            </w:pPr>
            <w:r>
              <w:rPr>
                <w:rFonts w:ascii="Arial" w:cs="Arial" w:eastAsia="Arial" w:hAnsi="Arial"/>
                <w:sz w:val="17"/>
                <w:szCs w:val="17"/>
                <w:b w:val="1"/>
                <w:bCs w:val="1"/>
                <w:color w:val="auto"/>
              </w:rPr>
              <w:t>Threshold</w:t>
            </w:r>
          </w:p>
        </w:tc>
        <w:tc>
          <w:tcPr>
            <w:tcW w:w="1080" w:type="dxa"/>
            <w:vAlign w:val="bottom"/>
            <w:tcBorders>
              <w:top w:val="single" w:sz="8" w:color="auto"/>
              <w:bottom w:val="single" w:sz="8" w:color="auto"/>
            </w:tcBorders>
          </w:tcPr>
          <w:p>
            <w:pPr>
              <w:ind w:left="280"/>
              <w:spacing w:after="0"/>
              <w:rPr>
                <w:sz w:val="20"/>
                <w:szCs w:val="20"/>
                <w:color w:val="auto"/>
              </w:rPr>
            </w:pPr>
            <w:r>
              <w:rPr>
                <w:rFonts w:ascii="Arial" w:cs="Arial" w:eastAsia="Arial" w:hAnsi="Arial"/>
                <w:sz w:val="17"/>
                <w:szCs w:val="17"/>
                <w:b w:val="1"/>
                <w:bCs w:val="1"/>
                <w:color w:val="auto"/>
              </w:rPr>
              <w:t>Target</w:t>
            </w:r>
          </w:p>
        </w:tc>
        <w:tc>
          <w:tcPr>
            <w:tcW w:w="1380" w:type="dxa"/>
            <w:vAlign w:val="bottom"/>
            <w:tcBorders>
              <w:top w:val="single" w:sz="8" w:color="auto"/>
              <w:bottom w:val="single" w:sz="8" w:color="auto"/>
            </w:tcBorders>
          </w:tcPr>
          <w:p>
            <w:pPr>
              <w:ind w:left="300"/>
              <w:spacing w:after="0"/>
              <w:rPr>
                <w:sz w:val="20"/>
                <w:szCs w:val="20"/>
                <w:color w:val="auto"/>
              </w:rPr>
            </w:pPr>
            <w:r>
              <w:rPr>
                <w:rFonts w:ascii="Arial" w:cs="Arial" w:eastAsia="Arial" w:hAnsi="Arial"/>
                <w:sz w:val="17"/>
                <w:szCs w:val="17"/>
                <w:b w:val="1"/>
                <w:bCs w:val="1"/>
                <w:color w:val="auto"/>
              </w:rPr>
              <w:t>Maximum</w:t>
            </w:r>
          </w:p>
        </w:tc>
        <w:tc>
          <w:tcPr>
            <w:tcW w:w="960" w:type="dxa"/>
            <w:vAlign w:val="bottom"/>
            <w:tcBorders>
              <w:top w:val="single" w:sz="8" w:color="auto"/>
              <w:bottom w:val="single" w:sz="8" w:color="auto"/>
            </w:tcBorders>
          </w:tcPr>
          <w:p>
            <w:pPr>
              <w:ind w:left="320"/>
              <w:spacing w:after="0"/>
              <w:rPr>
                <w:sz w:val="20"/>
                <w:szCs w:val="20"/>
                <w:color w:val="auto"/>
              </w:rPr>
            </w:pPr>
            <w:r>
              <w:rPr>
                <w:rFonts w:ascii="Arial" w:cs="Arial" w:eastAsia="Arial" w:hAnsi="Arial"/>
                <w:sz w:val="17"/>
                <w:szCs w:val="17"/>
                <w:b w:val="1"/>
                <w:bCs w:val="1"/>
                <w:color w:val="auto"/>
              </w:rPr>
              <w:t>Actual</w:t>
            </w:r>
          </w:p>
        </w:tc>
      </w:tr>
      <w:tr>
        <w:trPr>
          <w:trHeight w:val="183"/>
        </w:trPr>
        <w:tc>
          <w:tcPr>
            <w:tcW w:w="4060" w:type="dxa"/>
            <w:vAlign w:val="bottom"/>
            <w:shd w:val="clear" w:color="auto" w:fill="CCEEFF"/>
          </w:tcPr>
          <w:p>
            <w:pPr>
              <w:spacing w:after="0" w:line="183" w:lineRule="exact"/>
              <w:rPr>
                <w:sz w:val="20"/>
                <w:szCs w:val="20"/>
                <w:color w:val="auto"/>
              </w:rPr>
            </w:pPr>
            <w:r>
              <w:rPr>
                <w:rFonts w:ascii="Arial" w:cs="Arial" w:eastAsia="Arial" w:hAnsi="Arial"/>
                <w:sz w:val="17"/>
                <w:szCs w:val="17"/>
                <w:color w:val="auto"/>
              </w:rPr>
              <w:t>Average ROIC</w:t>
            </w:r>
          </w:p>
        </w:tc>
        <w:tc>
          <w:tcPr>
            <w:tcW w:w="3940" w:type="dxa"/>
            <w:vAlign w:val="bottom"/>
            <w:shd w:val="clear" w:color="auto" w:fill="CCEEFF"/>
          </w:tcPr>
          <w:p>
            <w:pPr>
              <w:jc w:val="center"/>
              <w:ind w:left="2435"/>
              <w:spacing w:after="0" w:line="183" w:lineRule="exact"/>
              <w:rPr>
                <w:sz w:val="20"/>
                <w:szCs w:val="20"/>
                <w:color w:val="auto"/>
              </w:rPr>
            </w:pPr>
            <w:r>
              <w:rPr>
                <w:rFonts w:ascii="Arial" w:cs="Arial" w:eastAsia="Arial" w:hAnsi="Arial"/>
                <w:sz w:val="17"/>
                <w:szCs w:val="17"/>
                <w:color w:val="auto"/>
                <w:w w:val="97"/>
              </w:rPr>
              <w:t>6.0%</w:t>
            </w:r>
          </w:p>
        </w:tc>
        <w:tc>
          <w:tcPr>
            <w:tcW w:w="1080" w:type="dxa"/>
            <w:vAlign w:val="bottom"/>
            <w:shd w:val="clear" w:color="auto" w:fill="CCEEFF"/>
          </w:tcPr>
          <w:p>
            <w:pPr>
              <w:jc w:val="center"/>
              <w:spacing w:after="0" w:line="183" w:lineRule="exact"/>
              <w:rPr>
                <w:sz w:val="20"/>
                <w:szCs w:val="20"/>
                <w:color w:val="auto"/>
              </w:rPr>
            </w:pPr>
            <w:r>
              <w:rPr>
                <w:rFonts w:ascii="Arial" w:cs="Arial" w:eastAsia="Arial" w:hAnsi="Arial"/>
                <w:sz w:val="17"/>
                <w:szCs w:val="17"/>
                <w:color w:val="auto"/>
                <w:w w:val="99"/>
              </w:rPr>
              <w:t>12.0%</w:t>
            </w:r>
          </w:p>
        </w:tc>
        <w:tc>
          <w:tcPr>
            <w:tcW w:w="1380" w:type="dxa"/>
            <w:vAlign w:val="bottom"/>
            <w:shd w:val="clear" w:color="auto" w:fill="CCEEFF"/>
          </w:tcPr>
          <w:p>
            <w:pPr>
              <w:jc w:val="center"/>
              <w:spacing w:after="0" w:line="183" w:lineRule="exact"/>
              <w:rPr>
                <w:sz w:val="20"/>
                <w:szCs w:val="20"/>
                <w:color w:val="auto"/>
              </w:rPr>
            </w:pPr>
            <w:r>
              <w:rPr>
                <w:rFonts w:ascii="Arial" w:cs="Arial" w:eastAsia="Arial" w:hAnsi="Arial"/>
                <w:sz w:val="17"/>
                <w:szCs w:val="17"/>
                <w:color w:val="auto"/>
                <w:w w:val="99"/>
              </w:rPr>
              <w:t>17.0%</w:t>
            </w:r>
          </w:p>
        </w:tc>
        <w:tc>
          <w:tcPr>
            <w:tcW w:w="960" w:type="dxa"/>
            <w:vAlign w:val="bottom"/>
            <w:shd w:val="clear" w:color="auto" w:fill="CCEEFF"/>
          </w:tcPr>
          <w:p>
            <w:pPr>
              <w:jc w:val="center"/>
              <w:ind w:left="115"/>
              <w:spacing w:after="0" w:line="183" w:lineRule="exact"/>
              <w:rPr>
                <w:sz w:val="20"/>
                <w:szCs w:val="20"/>
                <w:color w:val="auto"/>
              </w:rPr>
            </w:pPr>
            <w:r>
              <w:rPr>
                <w:rFonts w:ascii="Arial" w:cs="Arial" w:eastAsia="Arial" w:hAnsi="Arial"/>
                <w:sz w:val="17"/>
                <w:szCs w:val="17"/>
                <w:color w:val="auto"/>
                <w:w w:val="98"/>
              </w:rPr>
              <w:t>-3.0%</w:t>
            </w:r>
          </w:p>
        </w:tc>
      </w:tr>
      <w:tr>
        <w:trPr>
          <w:trHeight w:val="189"/>
        </w:trPr>
        <w:tc>
          <w:tcPr>
            <w:tcW w:w="4060" w:type="dxa"/>
            <w:vAlign w:val="bottom"/>
            <w:tcBorders>
              <w:bottom w:val="single" w:sz="8" w:color="auto"/>
            </w:tcBorders>
          </w:tcPr>
          <w:p>
            <w:pPr>
              <w:spacing w:after="0" w:line="189" w:lineRule="exact"/>
              <w:rPr>
                <w:sz w:val="20"/>
                <w:szCs w:val="20"/>
                <w:color w:val="auto"/>
              </w:rPr>
            </w:pPr>
            <w:r>
              <w:rPr>
                <w:rFonts w:ascii="Arial" w:cs="Arial" w:eastAsia="Arial" w:hAnsi="Arial"/>
                <w:sz w:val="17"/>
                <w:szCs w:val="17"/>
                <w:color w:val="auto"/>
              </w:rPr>
              <w:t>Cumulative EPS</w:t>
            </w:r>
          </w:p>
        </w:tc>
        <w:tc>
          <w:tcPr>
            <w:tcW w:w="3940" w:type="dxa"/>
            <w:vAlign w:val="bottom"/>
            <w:tcBorders>
              <w:bottom w:val="single" w:sz="8" w:color="auto"/>
            </w:tcBorders>
          </w:tcPr>
          <w:p>
            <w:pPr>
              <w:jc w:val="center"/>
              <w:ind w:left="2435"/>
              <w:spacing w:after="0" w:line="189" w:lineRule="exact"/>
              <w:rPr>
                <w:sz w:val="20"/>
                <w:szCs w:val="20"/>
                <w:color w:val="auto"/>
              </w:rPr>
            </w:pPr>
            <w:r>
              <w:rPr>
                <w:rFonts w:ascii="Arial" w:cs="Arial" w:eastAsia="Arial" w:hAnsi="Arial"/>
                <w:sz w:val="17"/>
                <w:szCs w:val="17"/>
                <w:color w:val="auto"/>
                <w:w w:val="98"/>
              </w:rPr>
              <w:t>$2.09</w:t>
            </w:r>
          </w:p>
        </w:tc>
        <w:tc>
          <w:tcPr>
            <w:tcW w:w="1080" w:type="dxa"/>
            <w:vAlign w:val="bottom"/>
            <w:tcBorders>
              <w:bottom w:val="single" w:sz="8" w:color="auto"/>
            </w:tcBorders>
          </w:tcPr>
          <w:p>
            <w:pPr>
              <w:jc w:val="center"/>
              <w:spacing w:after="0" w:line="189" w:lineRule="exact"/>
              <w:rPr>
                <w:sz w:val="20"/>
                <w:szCs w:val="20"/>
                <w:color w:val="auto"/>
              </w:rPr>
            </w:pPr>
            <w:r>
              <w:rPr>
                <w:rFonts w:ascii="Arial" w:cs="Arial" w:eastAsia="Arial" w:hAnsi="Arial"/>
                <w:sz w:val="17"/>
                <w:szCs w:val="17"/>
                <w:color w:val="auto"/>
              </w:rPr>
              <w:t>$4.18</w:t>
            </w:r>
          </w:p>
        </w:tc>
        <w:tc>
          <w:tcPr>
            <w:tcW w:w="1380" w:type="dxa"/>
            <w:vAlign w:val="bottom"/>
            <w:tcBorders>
              <w:bottom w:val="single" w:sz="8" w:color="auto"/>
            </w:tcBorders>
          </w:tcPr>
          <w:p>
            <w:pPr>
              <w:jc w:val="center"/>
              <w:spacing w:after="0" w:line="189" w:lineRule="exact"/>
              <w:rPr>
                <w:sz w:val="20"/>
                <w:szCs w:val="20"/>
                <w:color w:val="auto"/>
              </w:rPr>
            </w:pPr>
            <w:r>
              <w:rPr>
                <w:rFonts w:ascii="Arial" w:cs="Arial" w:eastAsia="Arial" w:hAnsi="Arial"/>
                <w:sz w:val="17"/>
                <w:szCs w:val="17"/>
                <w:color w:val="auto"/>
                <w:w w:val="98"/>
              </w:rPr>
              <w:t>$5.91</w:t>
            </w:r>
          </w:p>
        </w:tc>
        <w:tc>
          <w:tcPr>
            <w:tcW w:w="960" w:type="dxa"/>
            <w:vAlign w:val="bottom"/>
            <w:tcBorders>
              <w:bottom w:val="single" w:sz="8" w:color="auto"/>
            </w:tcBorders>
          </w:tcPr>
          <w:p>
            <w:pPr>
              <w:jc w:val="center"/>
              <w:ind w:left="95"/>
              <w:spacing w:after="0" w:line="189" w:lineRule="exact"/>
              <w:rPr>
                <w:sz w:val="20"/>
                <w:szCs w:val="20"/>
                <w:color w:val="auto"/>
              </w:rPr>
            </w:pPr>
            <w:r>
              <w:rPr>
                <w:rFonts w:ascii="Arial" w:cs="Arial" w:eastAsia="Arial" w:hAnsi="Arial"/>
                <w:sz w:val="17"/>
                <w:szCs w:val="17"/>
                <w:color w:val="auto"/>
              </w:rPr>
              <w:t>($0.85)</w:t>
            </w:r>
          </w:p>
        </w:tc>
      </w:tr>
      <w:tr>
        <w:trPr>
          <w:trHeight w:val="183"/>
        </w:trPr>
        <w:tc>
          <w:tcPr>
            <w:tcW w:w="4060" w:type="dxa"/>
            <w:vAlign w:val="bottom"/>
            <w:tcBorders>
              <w:bottom w:val="single" w:sz="8" w:color="auto"/>
            </w:tcBorders>
            <w:shd w:val="clear" w:color="auto" w:fill="CCEEFF"/>
          </w:tcPr>
          <w:p>
            <w:pPr>
              <w:spacing w:after="0" w:line="183" w:lineRule="exact"/>
              <w:rPr>
                <w:sz w:val="20"/>
                <w:szCs w:val="20"/>
                <w:color w:val="auto"/>
              </w:rPr>
            </w:pPr>
            <w:r>
              <w:rPr>
                <w:rFonts w:ascii="Arial" w:cs="Arial" w:eastAsia="Arial" w:hAnsi="Arial"/>
                <w:sz w:val="17"/>
                <w:szCs w:val="17"/>
                <w:b w:val="1"/>
                <w:bCs w:val="1"/>
                <w:color w:val="auto"/>
              </w:rPr>
              <w:t>Plan Funding</w:t>
            </w:r>
          </w:p>
        </w:tc>
        <w:tc>
          <w:tcPr>
            <w:tcW w:w="3940" w:type="dxa"/>
            <w:vAlign w:val="bottom"/>
            <w:tcBorders>
              <w:bottom w:val="single" w:sz="8" w:color="auto"/>
            </w:tcBorders>
            <w:shd w:val="clear" w:color="auto" w:fill="CCEEFF"/>
          </w:tcPr>
          <w:p>
            <w:pPr>
              <w:jc w:val="center"/>
              <w:ind w:left="2435"/>
              <w:spacing w:after="0" w:line="183" w:lineRule="exact"/>
              <w:rPr>
                <w:sz w:val="20"/>
                <w:szCs w:val="20"/>
                <w:color w:val="auto"/>
              </w:rPr>
            </w:pPr>
            <w:r>
              <w:rPr>
                <w:rFonts w:ascii="Arial" w:cs="Arial" w:eastAsia="Arial" w:hAnsi="Arial"/>
                <w:sz w:val="17"/>
                <w:szCs w:val="17"/>
                <w:b w:val="1"/>
                <w:bCs w:val="1"/>
                <w:color w:val="auto"/>
                <w:w w:val="99"/>
              </w:rPr>
              <w:t>50%</w:t>
            </w:r>
          </w:p>
        </w:tc>
        <w:tc>
          <w:tcPr>
            <w:tcW w:w="1080" w:type="dxa"/>
            <w:vAlign w:val="bottom"/>
            <w:tcBorders>
              <w:bottom w:val="single" w:sz="8" w:color="auto"/>
            </w:tcBorders>
            <w:shd w:val="clear" w:color="auto" w:fill="CCEEFF"/>
          </w:tcPr>
          <w:p>
            <w:pPr>
              <w:jc w:val="center"/>
              <w:spacing w:after="0" w:line="183" w:lineRule="exact"/>
              <w:rPr>
                <w:sz w:val="20"/>
                <w:szCs w:val="20"/>
                <w:color w:val="auto"/>
              </w:rPr>
            </w:pPr>
            <w:r>
              <w:rPr>
                <w:rFonts w:ascii="Arial" w:cs="Arial" w:eastAsia="Arial" w:hAnsi="Arial"/>
                <w:sz w:val="17"/>
                <w:szCs w:val="17"/>
                <w:b w:val="1"/>
                <w:bCs w:val="1"/>
                <w:color w:val="auto"/>
              </w:rPr>
              <w:t>100%</w:t>
            </w:r>
          </w:p>
        </w:tc>
        <w:tc>
          <w:tcPr>
            <w:tcW w:w="1380" w:type="dxa"/>
            <w:vAlign w:val="bottom"/>
            <w:tcBorders>
              <w:bottom w:val="single" w:sz="8" w:color="auto"/>
            </w:tcBorders>
            <w:shd w:val="clear" w:color="auto" w:fill="CCEEFF"/>
          </w:tcPr>
          <w:p>
            <w:pPr>
              <w:jc w:val="center"/>
              <w:spacing w:after="0" w:line="183" w:lineRule="exact"/>
              <w:rPr>
                <w:sz w:val="20"/>
                <w:szCs w:val="20"/>
                <w:color w:val="auto"/>
              </w:rPr>
            </w:pPr>
            <w:r>
              <w:rPr>
                <w:rFonts w:ascii="Arial" w:cs="Arial" w:eastAsia="Arial" w:hAnsi="Arial"/>
                <w:sz w:val="17"/>
                <w:szCs w:val="17"/>
                <w:b w:val="1"/>
                <w:bCs w:val="1"/>
                <w:color w:val="auto"/>
              </w:rPr>
              <w:t>150%</w:t>
            </w:r>
          </w:p>
        </w:tc>
        <w:tc>
          <w:tcPr>
            <w:tcW w:w="960" w:type="dxa"/>
            <w:vAlign w:val="bottom"/>
            <w:tcBorders>
              <w:bottom w:val="single" w:sz="8" w:color="auto"/>
            </w:tcBorders>
            <w:shd w:val="clear" w:color="auto" w:fill="CCEEFF"/>
          </w:tcPr>
          <w:p>
            <w:pPr>
              <w:jc w:val="center"/>
              <w:ind w:left="115"/>
              <w:spacing w:after="0" w:line="183" w:lineRule="exact"/>
              <w:rPr>
                <w:sz w:val="20"/>
                <w:szCs w:val="20"/>
                <w:color w:val="auto"/>
              </w:rPr>
            </w:pPr>
            <w:r>
              <w:rPr>
                <w:rFonts w:ascii="Arial" w:cs="Arial" w:eastAsia="Arial" w:hAnsi="Arial"/>
                <w:sz w:val="17"/>
                <w:szCs w:val="17"/>
                <w:b w:val="1"/>
                <w:bCs w:val="1"/>
                <w:color w:val="auto"/>
                <w:w w:val="97"/>
              </w:rPr>
              <w:t>0%</w:t>
            </w:r>
          </w:p>
        </w:tc>
      </w:tr>
    </w:tbl>
    <w:p>
      <w:pPr>
        <w:spacing w:after="0" w:line="169" w:lineRule="exact"/>
        <w:rPr>
          <w:sz w:val="20"/>
          <w:szCs w:val="20"/>
          <w:color w:val="auto"/>
        </w:rPr>
      </w:pPr>
    </w:p>
    <w:p>
      <w:pPr>
        <w:ind w:right="740"/>
        <w:spacing w:after="0" w:line="243" w:lineRule="auto"/>
        <w:rPr>
          <w:sz w:val="20"/>
          <w:szCs w:val="20"/>
          <w:color w:val="auto"/>
        </w:rPr>
      </w:pPr>
      <w:r>
        <w:rPr>
          <w:rFonts w:ascii="Arial" w:cs="Arial" w:eastAsia="Arial" w:hAnsi="Arial"/>
          <w:sz w:val="17"/>
          <w:szCs w:val="17"/>
          <w:color w:val="auto"/>
        </w:rPr>
        <w:t>Taking both halves of the 2013–2015 strategic performance share award into account, strategic performance share awards for the 2013-2015 performance cycle were earned at 47% of target.</w:t>
      </w:r>
    </w:p>
    <w:p>
      <w:pPr>
        <w:spacing w:after="0" w:line="142" w:lineRule="exact"/>
        <w:rPr>
          <w:sz w:val="20"/>
          <w:szCs w:val="20"/>
          <w:color w:val="auto"/>
        </w:rPr>
      </w:pPr>
    </w:p>
    <w:p>
      <w:pPr>
        <w:spacing w:after="0"/>
        <w:rPr>
          <w:sz w:val="20"/>
          <w:szCs w:val="20"/>
          <w:color w:val="auto"/>
        </w:rPr>
      </w:pPr>
      <w:r>
        <w:rPr>
          <w:rFonts w:ascii="Arial" w:cs="Arial" w:eastAsia="Arial" w:hAnsi="Arial"/>
          <w:sz w:val="14"/>
          <w:szCs w:val="14"/>
          <w:color w:val="auto"/>
        </w:rPr>
        <w:t>40</w:t>
      </w:r>
    </w:p>
    <w:p>
      <w:pPr>
        <w:sectPr>
          <w:pgSz w:w="11900" w:h="16838" w:orient="portrait"/>
          <w:cols w:equalWidth="0" w:num="1">
            <w:col w:w="11420"/>
          </w:cols>
          <w:pgMar w:left="240" w:top="459" w:right="239" w:bottom="1440" w:gutter="0" w:footer="0" w:header="0"/>
        </w:sectPr>
      </w:pPr>
    </w:p>
    <w:bookmarkStart w:id="46" w:name="page47"/>
    <w:bookmarkEnd w:id="4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43">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2715260</wp:posOffset>
            </wp:positionH>
            <wp:positionV relativeFrom="paragraph">
              <wp:posOffset>205740</wp:posOffset>
            </wp:positionV>
            <wp:extent cx="1826895" cy="205740"/>
            <wp:wrapNone/>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44">
                      <a:extLst>
                        <a:ext uri="{28A0092B-C50C-407E-A947-70E740481C1C}"/>
                      </a:extLst>
                    </a:blip>
                    <a:srcRect/>
                    <a:stretch>
                      <a:fillRect/>
                    </a:stretch>
                  </pic:blipFill>
                  <pic:spPr bwMode="auto">
                    <a:xfrm>
                      <a:off x="0" y="0"/>
                      <a:ext cx="1826895" cy="20574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50" w:lineRule="exact"/>
        <w:rPr>
          <w:sz w:val="20"/>
          <w:szCs w:val="20"/>
          <w:color w:val="auto"/>
        </w:rPr>
      </w:pPr>
    </w:p>
    <w:p>
      <w:pPr>
        <w:spacing w:after="0"/>
        <w:rPr>
          <w:sz w:val="20"/>
          <w:szCs w:val="20"/>
          <w:color w:val="auto"/>
        </w:rPr>
      </w:pPr>
      <w:r>
        <w:rPr>
          <w:rFonts w:ascii="Arial" w:cs="Arial" w:eastAsia="Arial" w:hAnsi="Arial"/>
          <w:sz w:val="17"/>
          <w:szCs w:val="17"/>
          <w:b w:val="1"/>
          <w:bCs w:val="1"/>
          <w:color w:val="666666"/>
        </w:rPr>
        <w:t>RETIREMENT AND OTHER BENEFITS</w:t>
      </w:r>
    </w:p>
    <w:p>
      <w:pPr>
        <w:spacing w:after="0" w:line="210"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Retirement Income Programs</w:t>
      </w:r>
    </w:p>
    <w:p>
      <w:pPr>
        <w:spacing w:after="0" w:line="14" w:lineRule="exact"/>
        <w:rPr>
          <w:sz w:val="20"/>
          <w:szCs w:val="20"/>
          <w:color w:val="auto"/>
        </w:rPr>
      </w:pPr>
    </w:p>
    <w:p>
      <w:pPr>
        <w:jc w:val="both"/>
        <w:spacing w:after="0" w:line="238" w:lineRule="auto"/>
        <w:rPr>
          <w:sz w:val="20"/>
          <w:szCs w:val="20"/>
          <w:color w:val="auto"/>
        </w:rPr>
      </w:pPr>
      <w:r>
        <w:rPr>
          <w:rFonts w:ascii="Arial" w:cs="Arial" w:eastAsia="Arial" w:hAnsi="Arial"/>
          <w:sz w:val="17"/>
          <w:szCs w:val="17"/>
          <w:color w:val="auto"/>
        </w:rPr>
        <w:t>The Company’s retirement income programs are an important retention tool. The Company maintains both qualified and nonqualified retirement income programs. The NEOs participate</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4" w:lineRule="exact"/>
        <w:rPr>
          <w:sz w:val="20"/>
          <w:szCs w:val="20"/>
          <w:color w:val="auto"/>
        </w:rPr>
      </w:pPr>
    </w:p>
    <w:p>
      <w:pPr>
        <w:ind w:right="340"/>
        <w:spacing w:after="0" w:line="238" w:lineRule="auto"/>
        <w:rPr>
          <w:sz w:val="20"/>
          <w:szCs w:val="20"/>
          <w:color w:val="auto"/>
        </w:rPr>
      </w:pPr>
      <w:r>
        <w:rPr>
          <w:rFonts w:ascii="Arial" w:cs="Arial" w:eastAsia="Arial" w:hAnsi="Arial"/>
          <w:sz w:val="17"/>
          <w:szCs w:val="17"/>
          <w:color w:val="auto"/>
        </w:rPr>
        <w:t>The Company’s retirement income programs support an important part of our executive compensation program objectives: retention.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-259715</wp:posOffset>
            </wp:positionH>
            <wp:positionV relativeFrom="paragraph">
              <wp:posOffset>-415925</wp:posOffset>
            </wp:positionV>
            <wp:extent cx="3181350" cy="497205"/>
            <wp:wrapNone/>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45">
                      <a:extLst>
                        <a:ext uri="{28A0092B-C50C-407E-A947-70E740481C1C}"/>
                      </a:extLst>
                    </a:blip>
                    <a:srcRect/>
                    <a:stretch>
                      <a:fillRect/>
                    </a:stretch>
                  </pic:blipFill>
                  <pic:spPr bwMode="auto">
                    <a:xfrm>
                      <a:off x="0" y="0"/>
                      <a:ext cx="3181350" cy="497205"/>
                    </a:xfrm>
                    <a:prstGeom prst="rect">
                      <a:avLst/>
                    </a:prstGeom>
                    <a:noFill/>
                  </pic:spPr>
                </pic:pic>
              </a:graphicData>
            </a:graphic>
          </wp:anchor>
        </w:drawing>
      </w:r>
    </w:p>
    <w:p>
      <w:pPr>
        <w:spacing w:after="0" w:line="121" w:lineRule="exact"/>
        <w:rPr>
          <w:sz w:val="20"/>
          <w:szCs w:val="20"/>
          <w:color w:val="auto"/>
        </w:rPr>
      </w:pPr>
    </w:p>
    <w:p>
      <w:pPr>
        <w:sectPr>
          <w:pgSz w:w="11900" w:h="16838" w:orient="portrait"/>
          <w:cols w:equalWidth="0" w:num="2">
            <w:col w:w="6120" w:space="700"/>
            <w:col w:w="4580"/>
          </w:cols>
          <w:pgMar w:left="240" w:top="459" w:right="259" w:bottom="1440" w:gutter="0" w:footer="0" w:header="0"/>
        </w:sectPr>
      </w:pPr>
    </w:p>
    <w:p>
      <w:pPr>
        <w:ind w:right="420"/>
        <w:spacing w:after="0" w:line="243" w:lineRule="auto"/>
        <w:rPr>
          <w:sz w:val="20"/>
          <w:szCs w:val="20"/>
          <w:color w:val="auto"/>
        </w:rPr>
      </w:pPr>
      <w:r>
        <w:rPr>
          <w:rFonts w:ascii="Arial" w:cs="Arial" w:eastAsia="Arial" w:hAnsi="Arial"/>
          <w:sz w:val="17"/>
          <w:szCs w:val="17"/>
          <w:color w:val="auto"/>
        </w:rPr>
        <w:t>in qualified plans on the same terms and conditions as all other salaried employees and also participate in the Company’s nonqualified retirement income programs. The Company currently provides retirement income through several types of plans:</w:t>
      </w:r>
    </w:p>
    <w:p>
      <w:pPr>
        <w:spacing w:after="0" w:line="198" w:lineRule="exact"/>
        <w:rPr>
          <w:sz w:val="20"/>
          <w:szCs w:val="20"/>
          <w:color w:val="auto"/>
        </w:rPr>
      </w:pPr>
    </w:p>
    <w:p>
      <w:pPr>
        <w:ind w:left="220" w:right="60" w:hanging="212"/>
        <w:spacing w:after="0" w:line="236" w:lineRule="auto"/>
        <w:tabs>
          <w:tab w:leader="none" w:pos="220" w:val="left"/>
        </w:tabs>
        <w:numPr>
          <w:ilvl w:val="0"/>
          <w:numId w:val="21"/>
        </w:numPr>
        <w:rPr>
          <w:rFonts w:ascii="Arial" w:cs="Arial" w:eastAsia="Arial" w:hAnsi="Arial"/>
          <w:sz w:val="17"/>
          <w:szCs w:val="17"/>
          <w:color w:val="auto"/>
        </w:rPr>
      </w:pPr>
      <w:r>
        <w:rPr>
          <w:rFonts w:ascii="Arial" w:cs="Arial" w:eastAsia="Arial" w:hAnsi="Arial"/>
          <w:sz w:val="17"/>
          <w:szCs w:val="17"/>
          <w:color w:val="auto"/>
        </w:rPr>
        <w:t>Qualified and nonqualified defined contribution plans provide for savings based on each executive’s contributions, Company matching contributions and core defined contributions in excess of tax limits. The nonqualified defined contribution arrangement in which the NEOs participate is the Post Tax Savings Benefit. This benefit is primarily intended to restore benefits that would be provided under the qualified retirement plans were it not for limits on benefits and compensation imposed by the Internal Revenue Code.</w:t>
      </w:r>
    </w:p>
    <w:p>
      <w:pPr>
        <w:spacing w:after="0" w:line="203" w:lineRule="exact"/>
        <w:rPr>
          <w:rFonts w:ascii="Arial" w:cs="Arial" w:eastAsia="Arial" w:hAnsi="Arial"/>
          <w:sz w:val="17"/>
          <w:szCs w:val="17"/>
          <w:color w:val="auto"/>
        </w:rPr>
      </w:pPr>
    </w:p>
    <w:p>
      <w:pPr>
        <w:ind w:left="220" w:right="120" w:hanging="212"/>
        <w:spacing w:after="0" w:line="235" w:lineRule="auto"/>
        <w:tabs>
          <w:tab w:leader="none" w:pos="220" w:val="left"/>
        </w:tabs>
        <w:numPr>
          <w:ilvl w:val="0"/>
          <w:numId w:val="21"/>
        </w:numPr>
        <w:rPr>
          <w:rFonts w:ascii="Arial" w:cs="Arial" w:eastAsia="Arial" w:hAnsi="Arial"/>
          <w:sz w:val="17"/>
          <w:szCs w:val="17"/>
          <w:color w:val="auto"/>
        </w:rPr>
      </w:pPr>
      <w:r>
        <w:rPr>
          <w:rFonts w:ascii="Arial" w:cs="Arial" w:eastAsia="Arial" w:hAnsi="Arial"/>
          <w:sz w:val="17"/>
          <w:szCs w:val="17"/>
          <w:color w:val="auto"/>
        </w:rPr>
        <w:t>Qualified and nonqualified defined benefit plans provide for a targeted percentage of salary and annual incentive income that will continue through retirement. The nonqualified defined benefit plan in which the NEOs participate is the Supplemental Executive Retirement Program for Executive Officers (SERP). The SERP provides for a benefit based on final average earnings with offsets for benefits provided under the Company’s other retirement programs. The SERP promotes retention of executive officers because it requires ten years of service, including five years as an officer, for full benefits to be earned.</w:t>
      </w:r>
    </w:p>
    <w:p>
      <w:pPr>
        <w:spacing w:after="0" w:line="177" w:lineRule="exact"/>
        <w:rPr>
          <w:sz w:val="20"/>
          <w:szCs w:val="20"/>
          <w:color w:val="auto"/>
        </w:rPr>
      </w:pPr>
    </w:p>
    <w:p>
      <w:pPr>
        <w:ind w:right="120"/>
        <w:spacing w:after="0" w:line="234" w:lineRule="auto"/>
        <w:rPr>
          <w:sz w:val="20"/>
          <w:szCs w:val="20"/>
          <w:color w:val="auto"/>
        </w:rPr>
      </w:pPr>
      <w:r>
        <w:rPr>
          <w:rFonts w:ascii="Arial" w:cs="Arial" w:eastAsia="Arial" w:hAnsi="Arial"/>
          <w:sz w:val="17"/>
          <w:szCs w:val="17"/>
          <w:color w:val="auto"/>
        </w:rPr>
        <w:t>Although the policies and procedures underlying the Company’s retirement income programs are the same for all participants, the age and length of service (including service as an officer of the Company) of each participant can have a significant effect on an individual’s benefit calculation because the programs have changed over time. In addition, because benefits under the Company’s retirement income programs are based on final average earnings (base salary and cash annual incentive compensation for the five highest non-consecutive years out of the final ten years), pension values can increase significantly as salary and cash annual incentive compensation increase. Pension values also are influenced by external factors such as the current environment of low interest rates, which have caused pension values to increase. For additional information, see “Pension Benefits” on pages 50-51 of this Proxy Statement.</w:t>
      </w:r>
    </w:p>
    <w:p>
      <w:pPr>
        <w:spacing w:after="0" w:line="165" w:lineRule="exact"/>
        <w:rPr>
          <w:sz w:val="20"/>
          <w:szCs w:val="20"/>
          <w:color w:val="auto"/>
        </w:rPr>
      </w:pPr>
    </w:p>
    <w:p>
      <w:pPr>
        <w:ind w:right="40"/>
        <w:spacing w:after="0" w:line="238" w:lineRule="auto"/>
        <w:rPr>
          <w:sz w:val="20"/>
          <w:szCs w:val="20"/>
          <w:color w:val="auto"/>
        </w:rPr>
      </w:pPr>
      <w:r>
        <w:rPr>
          <w:rFonts w:ascii="Arial" w:cs="Arial" w:eastAsia="Arial" w:hAnsi="Arial"/>
          <w:sz w:val="17"/>
          <w:szCs w:val="17"/>
          <w:color w:val="auto"/>
        </w:rPr>
        <w:t>The value of the nonqualified retirement income programs is quantified each year and these programs are periodically reviewed for their competitiveness. To date, the value of these programs has not had a significant impact on decisions regarding salary, annual incentive awards or long-term incentive grants.</w:t>
      </w:r>
    </w:p>
    <w:p>
      <w:pPr>
        <w:spacing w:after="0" w:line="141"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Deferred Compensation</w:t>
      </w:r>
    </w:p>
    <w:p>
      <w:pPr>
        <w:spacing w:after="0" w:line="14" w:lineRule="exact"/>
        <w:rPr>
          <w:sz w:val="20"/>
          <w:szCs w:val="20"/>
          <w:color w:val="auto"/>
        </w:rPr>
      </w:pPr>
    </w:p>
    <w:p>
      <w:pPr>
        <w:ind w:right="60"/>
        <w:spacing w:after="0" w:line="236" w:lineRule="auto"/>
        <w:rPr>
          <w:sz w:val="20"/>
          <w:szCs w:val="20"/>
          <w:color w:val="auto"/>
        </w:rPr>
      </w:pPr>
      <w:r>
        <w:rPr>
          <w:rFonts w:ascii="Arial" w:cs="Arial" w:eastAsia="Arial" w:hAnsi="Arial"/>
          <w:sz w:val="17"/>
          <w:szCs w:val="17"/>
          <w:color w:val="auto"/>
        </w:rPr>
        <w:t>The Company maintains a Deferred Compensation Plan that allows certain employees, including the NEOs, to defer receipt of all or a portion of their salary, employee contributions and Company matching contributions that would otherwise be paid out post-tax and incentive compensation payable in cash until a specified point in the future. Cash deferrals earn interest quarterly at a rate based on the prime rate plus one percent. In 2015, none of the NEOs earned “above-market” interest, as defined by the Securities and Exchange Commission.</w:t>
      </w:r>
    </w:p>
    <w:p>
      <w:pPr>
        <w:spacing w:after="0" w:line="177" w:lineRule="exact"/>
        <w:rPr>
          <w:sz w:val="20"/>
          <w:szCs w:val="20"/>
          <w:color w:val="auto"/>
        </w:rPr>
      </w:pPr>
    </w:p>
    <w:p>
      <w:pPr>
        <w:jc w:val="both"/>
        <w:spacing w:after="0" w:line="238" w:lineRule="auto"/>
        <w:rPr>
          <w:sz w:val="20"/>
          <w:szCs w:val="20"/>
          <w:color w:val="auto"/>
        </w:rPr>
      </w:pPr>
      <w:r>
        <w:rPr>
          <w:rFonts w:ascii="Arial" w:cs="Arial" w:eastAsia="Arial" w:hAnsi="Arial"/>
          <w:sz w:val="17"/>
          <w:szCs w:val="17"/>
          <w:color w:val="auto"/>
        </w:rPr>
        <w:t>The Deferred Compensation Plan is not funded by the Company, and participants have an unsecured contractual commitment by the Company to pay the amounts due under the plan. When such payments are due, they will be distributed from the Company’s general assets. In the event of a change in control of the Company, as defined in</w:t>
      </w:r>
    </w:p>
    <w:p>
      <w:pPr>
        <w:spacing w:after="0" w:line="145" w:lineRule="exact"/>
        <w:rPr>
          <w:sz w:val="20"/>
          <w:szCs w:val="20"/>
          <w:color w:val="auto"/>
        </w:rPr>
      </w:pPr>
    </w:p>
    <w:p>
      <w:pPr>
        <w:ind w:left="11180"/>
        <w:spacing w:after="0"/>
        <w:rPr>
          <w:sz w:val="20"/>
          <w:szCs w:val="20"/>
          <w:color w:val="auto"/>
        </w:rPr>
      </w:pPr>
      <w:r>
        <w:rPr>
          <w:rFonts w:ascii="Arial" w:cs="Arial" w:eastAsia="Arial" w:hAnsi="Arial"/>
          <w:sz w:val="14"/>
          <w:szCs w:val="14"/>
          <w:color w:val="auto"/>
        </w:rPr>
        <w:t>41</w:t>
      </w:r>
    </w:p>
    <w:p>
      <w:pPr>
        <w:sectPr>
          <w:pgSz w:w="11900" w:h="16838" w:orient="portrait"/>
          <w:cols w:equalWidth="0" w:num="1">
            <w:col w:w="11400"/>
          </w:cols>
          <w:pgMar w:left="240" w:top="459" w:right="259" w:bottom="1440" w:gutter="0" w:footer="0" w:header="0"/>
          <w:type w:val="continuous"/>
        </w:sectPr>
      </w:pPr>
    </w:p>
    <w:bookmarkStart w:id="47" w:name="page48"/>
    <w:bookmarkEnd w:id="47"/>
    <w:p>
      <w:pPr>
        <w:jc w:val="both"/>
        <w:spacing w:after="0" w:line="218" w:lineRule="auto"/>
        <w:framePr w:w="4520" w:h="533" w:wrap="auto" w:vAnchor="page" w:hAnchor="page" w:x="6940" w:y="5468"/>
        <w:rPr>
          <w:rFonts w:ascii="Arial" w:cs="Arial" w:eastAsia="Arial" w:hAnsi="Arial"/>
          <w:sz w:val="17"/>
          <w:szCs w:val="17"/>
          <w:color w:val="auto"/>
        </w:rPr>
      </w:pPr>
      <w:r>
        <w:rPr>
          <w:rFonts w:ascii="Arial" w:cs="Arial" w:eastAsia="Arial" w:hAnsi="Arial"/>
          <w:sz w:val="17"/>
          <w:szCs w:val="17"/>
          <w:color w:val="auto"/>
        </w:rPr>
        <w:t>The Company believes that providing for income continuity results in greater management stability and less unwanted management turnover.</w:t>
      </w:r>
    </w:p>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46">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20" w:lineRule="exact"/>
        <w:rPr>
          <w:rFonts w:ascii="Arial" w:cs="Arial" w:eastAsia="Arial" w:hAnsi="Arial"/>
          <w:sz w:val="17"/>
          <w:szCs w:val="17"/>
          <w:color w:val="auto"/>
        </w:rPr>
      </w:pPr>
      <w:r>
        <w:rPr>
          <w:rFonts w:ascii="Arial" w:cs="Arial" w:eastAsia="Arial" w:hAnsi="Arial"/>
          <w:sz w:val="17"/>
          <w:szCs w:val="17"/>
          <w:color w:val="auto"/>
        </w:rPr>
        <w:drawing>
          <wp:anchor simplePos="0" relativeHeight="251657728" behindDoc="1" locked="0" layoutInCell="0" allowOverlap="1">
            <wp:simplePos x="0" y="0"/>
            <wp:positionH relativeFrom="column">
              <wp:posOffset>3109595</wp:posOffset>
            </wp:positionH>
            <wp:positionV relativeFrom="paragraph">
              <wp:posOffset>205740</wp:posOffset>
            </wp:positionV>
            <wp:extent cx="1046480" cy="205740"/>
            <wp:wrapNone/>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47">
                      <a:extLst>
                        <a:ext uri="{28A0092B-C50C-407E-A947-70E740481C1C}"/>
                      </a:extLst>
                    </a:blip>
                    <a:srcRect/>
                    <a:stretch>
                      <a:fillRect/>
                    </a:stretch>
                  </pic:blipFill>
                  <pic:spPr bwMode="auto">
                    <a:xfrm>
                      <a:off x="0" y="0"/>
                      <a:ext cx="1046480" cy="205740"/>
                    </a:xfrm>
                    <a:prstGeom prst="rect">
                      <a:avLst/>
                    </a:prstGeom>
                    <a:noFill/>
                  </pic:spPr>
                </pic:pic>
              </a:graphicData>
            </a:graphic>
          </wp:anchor>
        </w:drawing>
      </w:r>
    </w:p>
    <w:p>
      <w:pPr>
        <w:spacing w:after="0" w:line="200" w:lineRule="exact"/>
        <w:rPr>
          <w:rFonts w:ascii="Arial" w:cs="Arial" w:eastAsia="Arial" w:hAnsi="Arial"/>
          <w:sz w:val="17"/>
          <w:szCs w:val="17"/>
          <w:color w:val="auto"/>
        </w:rPr>
      </w:pPr>
    </w:p>
    <w:p>
      <w:pPr>
        <w:spacing w:after="0" w:line="200" w:lineRule="exact"/>
        <w:rPr>
          <w:rFonts w:ascii="Arial" w:cs="Arial" w:eastAsia="Arial" w:hAnsi="Arial"/>
          <w:sz w:val="17"/>
          <w:szCs w:val="17"/>
          <w:color w:val="auto"/>
        </w:rPr>
      </w:pPr>
    </w:p>
    <w:p>
      <w:pPr>
        <w:spacing w:after="0" w:line="370" w:lineRule="exact"/>
        <w:rPr>
          <w:rFonts w:ascii="Arial" w:cs="Arial" w:eastAsia="Arial" w:hAnsi="Arial"/>
          <w:sz w:val="17"/>
          <w:szCs w:val="17"/>
          <w:color w:val="auto"/>
        </w:rPr>
      </w:pPr>
    </w:p>
    <w:p>
      <w:pPr>
        <w:ind w:right="120"/>
        <w:spacing w:after="0" w:line="243" w:lineRule="auto"/>
        <w:rPr>
          <w:sz w:val="20"/>
          <w:szCs w:val="20"/>
          <w:color w:val="auto"/>
        </w:rPr>
      </w:pPr>
      <w:r>
        <w:rPr>
          <w:rFonts w:ascii="Arial" w:cs="Arial" w:eastAsia="Arial" w:hAnsi="Arial"/>
          <w:sz w:val="17"/>
          <w:szCs w:val="17"/>
          <w:color w:val="auto"/>
        </w:rPr>
        <w:t>the plan, participants are entitled to receive deferred amounts immediately. The Compensation Committee believes that providing employees with tax deferral opportunities aids in the attraction and retention of such employees.</w:t>
      </w:r>
    </w:p>
    <w:p>
      <w:pPr>
        <w:spacing w:after="0" w:line="171" w:lineRule="exact"/>
        <w:rPr>
          <w:rFonts w:ascii="Arial" w:cs="Arial" w:eastAsia="Arial" w:hAnsi="Arial"/>
          <w:sz w:val="17"/>
          <w:szCs w:val="17"/>
          <w:color w:val="auto"/>
        </w:rPr>
      </w:pPr>
    </w:p>
    <w:p>
      <w:pPr>
        <w:ind w:right="140"/>
        <w:spacing w:after="0" w:line="238" w:lineRule="auto"/>
        <w:rPr>
          <w:sz w:val="20"/>
          <w:szCs w:val="20"/>
          <w:color w:val="auto"/>
        </w:rPr>
      </w:pPr>
      <w:r>
        <w:rPr>
          <w:rFonts w:ascii="Arial" w:cs="Arial" w:eastAsia="Arial" w:hAnsi="Arial"/>
          <w:sz w:val="17"/>
          <w:szCs w:val="17"/>
          <w:color w:val="auto"/>
        </w:rPr>
        <w:t>The value of deferred compensation amounts is quantified each year and this program is periodically reviewed for its competitiveness. To date, the value of deferred compensation has not had a significant impact on decisions regarding salary, annual incentive awards or long-term incentive grants for our NEOs.</w:t>
      </w:r>
    </w:p>
    <w:p>
      <w:pPr>
        <w:spacing w:after="0" w:line="141" w:lineRule="exact"/>
        <w:rPr>
          <w:rFonts w:ascii="Arial" w:cs="Arial" w:eastAsia="Arial" w:hAnsi="Arial"/>
          <w:sz w:val="17"/>
          <w:szCs w:val="17"/>
          <w:color w:val="auto"/>
        </w:rPr>
      </w:pPr>
    </w:p>
    <w:p>
      <w:pPr>
        <w:spacing w:after="0"/>
        <w:rPr>
          <w:sz w:val="20"/>
          <w:szCs w:val="20"/>
          <w:color w:val="auto"/>
        </w:rPr>
      </w:pPr>
      <w:r>
        <w:rPr>
          <w:rFonts w:ascii="Arial" w:cs="Arial" w:eastAsia="Arial" w:hAnsi="Arial"/>
          <w:sz w:val="17"/>
          <w:szCs w:val="17"/>
          <w:b w:val="1"/>
          <w:bCs w:val="1"/>
          <w:color w:val="auto"/>
        </w:rPr>
        <w:t>Other Benefits</w:t>
      </w:r>
    </w:p>
    <w:p>
      <w:pPr>
        <w:spacing w:after="0" w:line="14" w:lineRule="exact"/>
        <w:rPr>
          <w:rFonts w:ascii="Arial" w:cs="Arial" w:eastAsia="Arial" w:hAnsi="Arial"/>
          <w:sz w:val="17"/>
          <w:szCs w:val="17"/>
          <w:color w:val="auto"/>
        </w:rPr>
      </w:pPr>
    </w:p>
    <w:p>
      <w:pPr>
        <w:ind w:right="140"/>
        <w:spacing w:after="0" w:line="243" w:lineRule="auto"/>
        <w:rPr>
          <w:sz w:val="20"/>
          <w:szCs w:val="20"/>
          <w:color w:val="auto"/>
        </w:rPr>
      </w:pPr>
      <w:r>
        <w:rPr>
          <w:rFonts w:ascii="Arial" w:cs="Arial" w:eastAsia="Arial" w:hAnsi="Arial"/>
          <w:sz w:val="17"/>
          <w:szCs w:val="17"/>
          <w:color w:val="auto"/>
        </w:rPr>
        <w:t>The Company’s executive officers, including all of the NEOs, are eligible to participate in a number of broad-based benefit programs including health, disability and life insurance programs.</w:t>
      </w:r>
    </w:p>
    <w:p>
      <w:pPr>
        <w:spacing w:after="0" w:line="158" w:lineRule="exact"/>
        <w:rPr>
          <w:rFonts w:ascii="Arial" w:cs="Arial" w:eastAsia="Arial" w:hAnsi="Arial"/>
          <w:sz w:val="17"/>
          <w:szCs w:val="17"/>
          <w:color w:val="auto"/>
        </w:rPr>
      </w:pPr>
    </w:p>
    <w:p>
      <w:pPr>
        <w:ind w:right="160"/>
        <w:spacing w:after="0" w:line="236" w:lineRule="auto"/>
        <w:rPr>
          <w:sz w:val="20"/>
          <w:szCs w:val="20"/>
          <w:color w:val="auto"/>
        </w:rPr>
      </w:pPr>
      <w:r>
        <w:rPr>
          <w:rFonts w:ascii="Arial" w:cs="Arial" w:eastAsia="Arial" w:hAnsi="Arial"/>
          <w:sz w:val="17"/>
          <w:szCs w:val="17"/>
          <w:color w:val="auto"/>
        </w:rPr>
        <w:t>The NEOs may also receive certain perquisites including term life insurance coverage (although this program is closed to new entrants), financial counseling and tax preparation assistance, executive physicals, access to corporate country club memberships (although personal expenses are not reimbursed), spousal travel benefits and home security systems (although this program is closed to new entrants). The value of these benefits is reflected in the All Other Compensation column in the 2015 Summary Compensation Table on page 44.</w:t>
      </w:r>
    </w:p>
    <w:p>
      <w:pPr>
        <w:spacing w:after="0" w:line="177" w:lineRule="exact"/>
        <w:rPr>
          <w:rFonts w:ascii="Arial" w:cs="Arial" w:eastAsia="Arial" w:hAnsi="Arial"/>
          <w:sz w:val="17"/>
          <w:szCs w:val="17"/>
          <w:color w:val="auto"/>
        </w:rPr>
      </w:pPr>
    </w:p>
    <w:p>
      <w:pPr>
        <w:ind w:right="60"/>
        <w:spacing w:after="0" w:line="238" w:lineRule="auto"/>
        <w:rPr>
          <w:sz w:val="20"/>
          <w:szCs w:val="20"/>
          <w:color w:val="auto"/>
        </w:rPr>
      </w:pPr>
      <w:r>
        <w:rPr>
          <w:rFonts w:ascii="Arial" w:cs="Arial" w:eastAsia="Arial" w:hAnsi="Arial"/>
          <w:sz w:val="17"/>
          <w:szCs w:val="17"/>
          <w:color w:val="auto"/>
        </w:rPr>
        <w:t>The Company does not provide tax gross-ups for these benefits to executives. These benefits are intended to provide executives with a competitive perquisite program that is reasonable and consistent with the Company’s overall approach to executive compensation. The total cost of these benefits is a small percentage of each NEO’s total compensation.</w:t>
      </w:r>
    </w:p>
    <w:p>
      <w:pPr>
        <w:spacing w:after="0" w:line="141" w:lineRule="exact"/>
        <w:rPr>
          <w:rFonts w:ascii="Arial" w:cs="Arial" w:eastAsia="Arial" w:hAnsi="Arial"/>
          <w:sz w:val="17"/>
          <w:szCs w:val="17"/>
          <w:color w:val="auto"/>
        </w:rPr>
      </w:pPr>
    </w:p>
    <w:p>
      <w:pPr>
        <w:spacing w:after="0"/>
        <w:rPr>
          <w:sz w:val="20"/>
          <w:szCs w:val="20"/>
          <w:color w:val="auto"/>
        </w:rPr>
      </w:pPr>
      <w:r>
        <w:rPr>
          <w:rFonts w:ascii="Arial" w:cs="Arial" w:eastAsia="Arial" w:hAnsi="Arial"/>
          <w:sz w:val="17"/>
          <w:szCs w:val="17"/>
          <w:b w:val="1"/>
          <w:bCs w:val="1"/>
          <w:color w:val="666666"/>
        </w:rPr>
        <w:t>SEVERANCE AGREEMENTS</w:t>
      </w:r>
    </w:p>
    <w:p>
      <w:pPr>
        <w:spacing w:after="0" w:line="14" w:lineRule="exact"/>
        <w:rPr>
          <w:rFonts w:ascii="Arial" w:cs="Arial" w:eastAsia="Arial" w:hAnsi="Arial"/>
          <w:sz w:val="17"/>
          <w:szCs w:val="17"/>
          <w:color w:val="auto"/>
        </w:rPr>
      </w:pPr>
    </w:p>
    <w:p>
      <w:pPr>
        <w:ind w:right="5440"/>
        <w:spacing w:after="0" w:line="232" w:lineRule="auto"/>
        <w:rPr>
          <w:sz w:val="20"/>
          <w:szCs w:val="20"/>
          <w:color w:val="auto"/>
        </w:rPr>
      </w:pPr>
      <w:r>
        <w:rPr>
          <w:rFonts w:ascii="Arial" w:cs="Arial" w:eastAsia="Arial" w:hAnsi="Arial"/>
          <w:sz w:val="17"/>
          <w:szCs w:val="17"/>
          <w:color w:val="auto"/>
        </w:rPr>
        <w:t>In addition to retirement payments, the Company provides termination-related payments in the event of involuntary termination without cause and involuntary termination without cause following a change in control through severance agreements with individual executives. Severance agreements</w:t>
      </w:r>
    </w:p>
    <w:p>
      <w:pPr>
        <w:spacing w:after="0" w:line="20" w:lineRule="exact"/>
        <w:rPr>
          <w:rFonts w:ascii="Arial" w:cs="Arial" w:eastAsia="Arial" w:hAnsi="Arial"/>
          <w:sz w:val="17"/>
          <w:szCs w:val="17"/>
          <w:color w:val="auto"/>
        </w:rPr>
      </w:pPr>
      <w:r>
        <w:rPr>
          <w:rFonts w:ascii="Arial" w:cs="Arial" w:eastAsia="Arial" w:hAnsi="Arial"/>
          <w:sz w:val="17"/>
          <w:szCs w:val="17"/>
          <w:color w:val="auto"/>
        </w:rPr>
        <w:drawing>
          <wp:anchor simplePos="0" relativeHeight="251657728" behindDoc="1" locked="0" layoutInCell="0" allowOverlap="1">
            <wp:simplePos x="0" y="0"/>
            <wp:positionH relativeFrom="column">
              <wp:posOffset>4070350</wp:posOffset>
            </wp:positionH>
            <wp:positionV relativeFrom="paragraph">
              <wp:posOffset>-475615</wp:posOffset>
            </wp:positionV>
            <wp:extent cx="3181350" cy="480060"/>
            <wp:wrapNone/>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48">
                      <a:extLst>
                        <a:ext uri="{28A0092B-C50C-407E-A947-70E740481C1C}"/>
                      </a:extLst>
                    </a:blip>
                    <a:srcRect/>
                    <a:stretch>
                      <a:fillRect/>
                    </a:stretch>
                  </pic:blipFill>
                  <pic:spPr bwMode="auto">
                    <a:xfrm>
                      <a:off x="0" y="0"/>
                      <a:ext cx="3181350" cy="480060"/>
                    </a:xfrm>
                    <a:prstGeom prst="rect">
                      <a:avLst/>
                    </a:prstGeom>
                    <a:noFill/>
                  </pic:spPr>
                </pic:pic>
              </a:graphicData>
            </a:graphic>
          </wp:anchor>
        </w:drawing>
      </w:r>
    </w:p>
    <w:p>
      <w:pPr>
        <w:spacing w:after="0" w:line="238" w:lineRule="auto"/>
        <w:rPr>
          <w:sz w:val="20"/>
          <w:szCs w:val="20"/>
          <w:color w:val="auto"/>
        </w:rPr>
      </w:pPr>
      <w:r>
        <w:rPr>
          <w:rFonts w:ascii="Arial" w:cs="Arial" w:eastAsia="Arial" w:hAnsi="Arial"/>
          <w:sz w:val="17"/>
          <w:szCs w:val="17"/>
          <w:color w:val="auto"/>
        </w:rPr>
        <w:t>are provided based on competitive market practice and the Company’s desire to ensure some level of income continuity should an executive’s employment be terminated without cause. The Company believes that providing for such income continuity results in greater management stability and less unwanted management turnover.</w:t>
      </w:r>
    </w:p>
    <w:p>
      <w:pPr>
        <w:spacing w:after="0" w:line="161" w:lineRule="exact"/>
        <w:rPr>
          <w:rFonts w:ascii="Arial" w:cs="Arial" w:eastAsia="Arial" w:hAnsi="Arial"/>
          <w:sz w:val="17"/>
          <w:szCs w:val="17"/>
          <w:color w:val="auto"/>
        </w:rPr>
      </w:pPr>
    </w:p>
    <w:p>
      <w:pPr>
        <w:ind w:right="40"/>
        <w:spacing w:after="0" w:line="236" w:lineRule="auto"/>
        <w:rPr>
          <w:sz w:val="20"/>
          <w:szCs w:val="20"/>
          <w:color w:val="auto"/>
        </w:rPr>
      </w:pPr>
      <w:r>
        <w:rPr>
          <w:rFonts w:ascii="Arial" w:cs="Arial" w:eastAsia="Arial" w:hAnsi="Arial"/>
          <w:sz w:val="17"/>
          <w:szCs w:val="17"/>
          <w:color w:val="auto"/>
        </w:rPr>
        <w:t>The level of severance benefits reflects the Company’s perception of competitive market practice for the NEOs’ positions, based on an assessment by Willis Towers Watson. Severance pay was established as a multiple of base salary and actual annual incentive compensation, based on competitive market practice. Specific dollar values were not targeted by the Compensation Committee. The amounts of potential payouts are indicated in the Termination Scenarios table on page 55.</w:t>
      </w:r>
    </w:p>
    <w:p>
      <w:pPr>
        <w:sectPr>
          <w:pgSz w:w="11900" w:h="16838" w:orient="portrait"/>
          <w:cols w:equalWidth="0" w:num="1">
            <w:col w:w="11380"/>
          </w:cols>
          <w:pgMar w:left="240" w:top="459" w:right="279" w:bottom="1440" w:gutter="0" w:footer="0" w:header="0"/>
        </w:sectPr>
      </w:pPr>
    </w:p>
    <w:p>
      <w:pPr>
        <w:spacing w:after="0" w:line="157" w:lineRule="exact"/>
        <w:rPr>
          <w:rFonts w:ascii="Arial" w:cs="Arial" w:eastAsia="Arial" w:hAnsi="Arial"/>
          <w:sz w:val="17"/>
          <w:szCs w:val="17"/>
          <w:color w:val="auto"/>
        </w:rPr>
      </w:pPr>
    </w:p>
    <w:p>
      <w:pPr>
        <w:spacing w:after="0"/>
        <w:rPr>
          <w:sz w:val="20"/>
          <w:szCs w:val="20"/>
          <w:color w:val="auto"/>
        </w:rPr>
      </w:pPr>
      <w:r>
        <w:rPr>
          <w:rFonts w:ascii="Arial" w:cs="Arial" w:eastAsia="Arial" w:hAnsi="Arial"/>
          <w:sz w:val="17"/>
          <w:szCs w:val="17"/>
          <w:b w:val="1"/>
          <w:bCs w:val="1"/>
          <w:color w:val="666666"/>
        </w:rPr>
        <w:t>OTHER COMPENSATION PROGRAM FEATURES</w:t>
      </w:r>
    </w:p>
    <w:p>
      <w:pPr>
        <w:spacing w:after="0" w:line="210" w:lineRule="exact"/>
        <w:rPr>
          <w:rFonts w:ascii="Arial" w:cs="Arial" w:eastAsia="Arial" w:hAnsi="Arial"/>
          <w:sz w:val="17"/>
          <w:szCs w:val="17"/>
          <w:color w:val="auto"/>
        </w:rPr>
      </w:pPr>
    </w:p>
    <w:p>
      <w:pPr>
        <w:spacing w:after="0"/>
        <w:rPr>
          <w:sz w:val="20"/>
          <w:szCs w:val="20"/>
          <w:color w:val="auto"/>
        </w:rPr>
      </w:pPr>
      <w:r>
        <w:rPr>
          <w:rFonts w:ascii="Arial" w:cs="Arial" w:eastAsia="Arial" w:hAnsi="Arial"/>
          <w:sz w:val="17"/>
          <w:szCs w:val="17"/>
          <w:b w:val="1"/>
          <w:bCs w:val="1"/>
          <w:color w:val="auto"/>
        </w:rPr>
        <w:t>Stock Ownership Guidelines</w:t>
      </w:r>
    </w:p>
    <w:p>
      <w:pPr>
        <w:spacing w:after="0" w:line="14" w:lineRule="exact"/>
        <w:rPr>
          <w:rFonts w:ascii="Arial" w:cs="Arial" w:eastAsia="Arial" w:hAnsi="Arial"/>
          <w:sz w:val="17"/>
          <w:szCs w:val="17"/>
          <w:color w:val="auto"/>
        </w:rPr>
      </w:pPr>
    </w:p>
    <w:p>
      <w:pPr>
        <w:spacing w:after="0" w:line="238" w:lineRule="auto"/>
        <w:rPr>
          <w:sz w:val="20"/>
          <w:szCs w:val="20"/>
          <w:color w:val="auto"/>
        </w:rPr>
      </w:pPr>
      <w:r>
        <w:rPr>
          <w:rFonts w:ascii="Arial" w:cs="Arial" w:eastAsia="Arial" w:hAnsi="Arial"/>
          <w:sz w:val="17"/>
          <w:szCs w:val="17"/>
          <w:color w:val="auto"/>
        </w:rPr>
        <w:t>Stock ownership guidelines have been established for all senior executives and are intended to align the interests of executive management with those of our shareholders and long-term stock price performance.</w:t>
      </w:r>
    </w:p>
    <w:p>
      <w:pPr>
        <w:spacing w:after="0" w:line="20" w:lineRule="exact"/>
        <w:rPr>
          <w:rFonts w:ascii="Arial" w:cs="Arial" w:eastAsia="Arial" w:hAnsi="Arial"/>
          <w:sz w:val="17"/>
          <w:szCs w:val="17"/>
          <w:color w:val="auto"/>
        </w:rPr>
      </w:pPr>
      <w:r>
        <w:rPr>
          <w:rFonts w:ascii="Arial" w:cs="Arial" w:eastAsia="Arial" w:hAnsi="Arial"/>
          <w:sz w:val="17"/>
          <w:szCs w:val="17"/>
          <w:color w:val="auto"/>
        </w:rPr>
        <w:br w:type="column"/>
      </w:r>
    </w:p>
    <w:p>
      <w:pPr>
        <w:spacing w:after="0" w:line="200" w:lineRule="exact"/>
        <w:rPr>
          <w:rFonts w:ascii="Arial" w:cs="Arial" w:eastAsia="Arial" w:hAnsi="Arial"/>
          <w:sz w:val="17"/>
          <w:szCs w:val="17"/>
          <w:color w:val="auto"/>
        </w:rPr>
      </w:pPr>
    </w:p>
    <w:p>
      <w:pPr>
        <w:spacing w:after="0" w:line="200" w:lineRule="exact"/>
        <w:rPr>
          <w:rFonts w:ascii="Arial" w:cs="Arial" w:eastAsia="Arial" w:hAnsi="Arial"/>
          <w:sz w:val="17"/>
          <w:szCs w:val="17"/>
          <w:color w:val="auto"/>
        </w:rPr>
      </w:pPr>
    </w:p>
    <w:p>
      <w:pPr>
        <w:spacing w:after="0" w:line="223" w:lineRule="exact"/>
        <w:rPr>
          <w:rFonts w:ascii="Arial" w:cs="Arial" w:eastAsia="Arial" w:hAnsi="Arial"/>
          <w:sz w:val="17"/>
          <w:szCs w:val="17"/>
          <w:color w:val="auto"/>
        </w:rPr>
      </w:pPr>
    </w:p>
    <w:p>
      <w:pPr>
        <w:spacing w:after="0"/>
        <w:rPr>
          <w:sz w:val="20"/>
          <w:szCs w:val="20"/>
          <w:color w:val="auto"/>
        </w:rPr>
      </w:pPr>
      <w:r>
        <w:rPr>
          <w:rFonts w:ascii="Arial" w:cs="Arial" w:eastAsia="Arial" w:hAnsi="Arial"/>
          <w:sz w:val="17"/>
          <w:szCs w:val="17"/>
          <w:b w:val="1"/>
          <w:bCs w:val="1"/>
          <w:color w:val="auto"/>
        </w:rPr>
        <w:t>Linking Compensation to Stock Performance</w:t>
      </w:r>
    </w:p>
    <w:p>
      <w:pPr>
        <w:spacing w:after="0" w:line="20" w:lineRule="exact"/>
        <w:rPr>
          <w:rFonts w:ascii="Arial" w:cs="Arial" w:eastAsia="Arial" w:hAnsi="Arial"/>
          <w:sz w:val="17"/>
          <w:szCs w:val="17"/>
          <w:color w:val="auto"/>
        </w:rPr>
      </w:pPr>
      <w:r>
        <w:rPr>
          <w:rFonts w:ascii="Arial" w:cs="Arial" w:eastAsia="Arial" w:hAnsi="Arial"/>
          <w:sz w:val="17"/>
          <w:szCs w:val="17"/>
          <w:color w:val="auto"/>
        </w:rPr>
        <w:drawing>
          <wp:anchor simplePos="0" relativeHeight="251657728" behindDoc="1" locked="0" layoutInCell="0" allowOverlap="1">
            <wp:simplePos x="0" y="0"/>
            <wp:positionH relativeFrom="column">
              <wp:posOffset>-208915</wp:posOffset>
            </wp:positionH>
            <wp:positionV relativeFrom="paragraph">
              <wp:posOffset>-158115</wp:posOffset>
            </wp:positionV>
            <wp:extent cx="3181350" cy="617220"/>
            <wp:wrapNone/>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49">
                      <a:extLst>
                        <a:ext uri="{28A0092B-C50C-407E-A947-70E740481C1C}"/>
                      </a:extLst>
                    </a:blip>
                    <a:srcRect/>
                    <a:stretch>
                      <a:fillRect/>
                    </a:stretch>
                  </pic:blipFill>
                  <pic:spPr bwMode="auto">
                    <a:xfrm>
                      <a:off x="0" y="0"/>
                      <a:ext cx="3181350" cy="617220"/>
                    </a:xfrm>
                    <a:prstGeom prst="rect">
                      <a:avLst/>
                    </a:prstGeom>
                    <a:noFill/>
                  </pic:spPr>
                </pic:pic>
              </a:graphicData>
            </a:graphic>
          </wp:anchor>
        </w:drawing>
      </w:r>
    </w:p>
    <w:p>
      <w:pPr>
        <w:ind w:right="120"/>
        <w:spacing w:after="0" w:line="238" w:lineRule="auto"/>
        <w:rPr>
          <w:sz w:val="20"/>
          <w:szCs w:val="20"/>
          <w:color w:val="auto"/>
        </w:rPr>
      </w:pPr>
      <w:r>
        <w:rPr>
          <w:rFonts w:ascii="Arial" w:cs="Arial" w:eastAsia="Arial" w:hAnsi="Arial"/>
          <w:sz w:val="17"/>
          <w:szCs w:val="17"/>
          <w:color w:val="auto"/>
        </w:rPr>
        <w:t>Stock Ownership Guidelines align the interests of the NEOs with those of our shareholders, given that the increase or decrease in our stock price impacts their personal holdings.</w:t>
      </w:r>
    </w:p>
    <w:p>
      <w:pPr>
        <w:spacing w:after="0" w:line="200" w:lineRule="exact"/>
        <w:rPr>
          <w:rFonts w:ascii="Arial" w:cs="Arial" w:eastAsia="Arial" w:hAnsi="Arial"/>
          <w:sz w:val="17"/>
          <w:szCs w:val="17"/>
          <w:color w:val="auto"/>
        </w:rPr>
      </w:pPr>
    </w:p>
    <w:p>
      <w:pPr>
        <w:sectPr>
          <w:pgSz w:w="11900" w:h="16838" w:orient="portrait"/>
          <w:cols w:equalWidth="0" w:num="2">
            <w:col w:w="6300" w:space="440"/>
            <w:col w:w="4640"/>
          </w:cols>
          <w:pgMar w:left="240" w:top="459" w:right="279" w:bottom="1440" w:gutter="0" w:footer="0" w:header="0"/>
          <w:type w:val="continuous"/>
        </w:sectPr>
      </w:pPr>
    </w:p>
    <w:p>
      <w:pPr>
        <w:spacing w:after="0" w:line="80" w:lineRule="exact"/>
        <w:rPr>
          <w:rFonts w:ascii="Arial" w:cs="Arial" w:eastAsia="Arial" w:hAnsi="Arial"/>
          <w:sz w:val="17"/>
          <w:szCs w:val="17"/>
          <w:color w:val="auto"/>
        </w:rPr>
      </w:pPr>
    </w:p>
    <w:p>
      <w:pPr>
        <w:spacing w:after="0"/>
        <w:rPr>
          <w:sz w:val="20"/>
          <w:szCs w:val="20"/>
          <w:color w:val="auto"/>
        </w:rPr>
      </w:pPr>
      <w:r>
        <w:rPr>
          <w:rFonts w:ascii="Arial" w:cs="Arial" w:eastAsia="Arial" w:hAnsi="Arial"/>
          <w:sz w:val="14"/>
          <w:szCs w:val="14"/>
          <w:color w:val="auto"/>
        </w:rPr>
        <w:t>42</w:t>
      </w:r>
    </w:p>
    <w:p>
      <w:pPr>
        <w:sectPr>
          <w:pgSz w:w="11900" w:h="16838" w:orient="portrait"/>
          <w:cols w:equalWidth="0" w:num="1">
            <w:col w:w="11380"/>
          </w:cols>
          <w:pgMar w:left="240" w:top="459" w:right="279" w:bottom="1440" w:gutter="0" w:footer="0" w:header="0"/>
          <w:type w:val="continuous"/>
        </w:sectPr>
      </w:pPr>
    </w:p>
    <w:bookmarkStart w:id="48" w:name="page49"/>
    <w:bookmarkEnd w:id="4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50">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2715260</wp:posOffset>
            </wp:positionH>
            <wp:positionV relativeFrom="paragraph">
              <wp:posOffset>205740</wp:posOffset>
            </wp:positionV>
            <wp:extent cx="1826895" cy="205740"/>
            <wp:wrapNone/>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51">
                      <a:extLst>
                        <a:ext uri="{28A0092B-C50C-407E-A947-70E740481C1C}"/>
                      </a:extLst>
                    </a:blip>
                    <a:srcRect/>
                    <a:stretch>
                      <a:fillRect/>
                    </a:stretch>
                  </pic:blipFill>
                  <pic:spPr bwMode="auto">
                    <a:xfrm>
                      <a:off x="0" y="0"/>
                      <a:ext cx="1826895" cy="20574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70" w:lineRule="exact"/>
        <w:rPr>
          <w:sz w:val="20"/>
          <w:szCs w:val="20"/>
          <w:color w:val="auto"/>
        </w:rPr>
      </w:pPr>
    </w:p>
    <w:p>
      <w:pPr>
        <w:spacing w:after="0"/>
        <w:rPr>
          <w:sz w:val="20"/>
          <w:szCs w:val="20"/>
          <w:color w:val="auto"/>
        </w:rPr>
      </w:pPr>
      <w:r>
        <w:rPr>
          <w:rFonts w:ascii="Arial" w:cs="Arial" w:eastAsia="Arial" w:hAnsi="Arial"/>
          <w:sz w:val="17"/>
          <w:szCs w:val="17"/>
          <w:color w:val="auto"/>
        </w:rPr>
        <w:t>These guidelines establish the following specific ownership target for each of the NEOs:</w:t>
      </w:r>
    </w:p>
    <w:p>
      <w:pPr>
        <w:spacing w:after="0" w:line="210" w:lineRule="exact"/>
        <w:rPr>
          <w:sz w:val="20"/>
          <w:szCs w:val="20"/>
          <w:color w:val="auto"/>
        </w:rPr>
      </w:pPr>
    </w:p>
    <w:p>
      <w:pPr>
        <w:ind w:left="220" w:hanging="212"/>
        <w:spacing w:after="0"/>
        <w:tabs>
          <w:tab w:leader="none" w:pos="220" w:val="left"/>
        </w:tabs>
        <w:numPr>
          <w:ilvl w:val="0"/>
          <w:numId w:val="22"/>
        </w:numPr>
        <w:rPr>
          <w:rFonts w:ascii="Arial" w:cs="Arial" w:eastAsia="Arial" w:hAnsi="Arial"/>
          <w:sz w:val="17"/>
          <w:szCs w:val="17"/>
          <w:color w:val="auto"/>
        </w:rPr>
      </w:pPr>
      <w:r>
        <w:rPr>
          <w:rFonts w:ascii="Arial" w:cs="Arial" w:eastAsia="Arial" w:hAnsi="Arial"/>
          <w:sz w:val="17"/>
          <w:szCs w:val="17"/>
          <w:color w:val="auto"/>
        </w:rPr>
        <w:t>Mr. Timken – 80,000 shares</w:t>
      </w:r>
    </w:p>
    <w:p>
      <w:pPr>
        <w:spacing w:after="0" w:line="209" w:lineRule="exact"/>
        <w:rPr>
          <w:rFonts w:ascii="Arial" w:cs="Arial" w:eastAsia="Arial" w:hAnsi="Arial"/>
          <w:sz w:val="17"/>
          <w:szCs w:val="17"/>
          <w:color w:val="auto"/>
        </w:rPr>
      </w:pPr>
    </w:p>
    <w:p>
      <w:pPr>
        <w:ind w:left="220" w:hanging="212"/>
        <w:spacing w:after="0"/>
        <w:tabs>
          <w:tab w:leader="none" w:pos="220" w:val="left"/>
        </w:tabs>
        <w:numPr>
          <w:ilvl w:val="0"/>
          <w:numId w:val="22"/>
        </w:numPr>
        <w:rPr>
          <w:rFonts w:ascii="Arial" w:cs="Arial" w:eastAsia="Arial" w:hAnsi="Arial"/>
          <w:sz w:val="17"/>
          <w:szCs w:val="17"/>
          <w:color w:val="auto"/>
        </w:rPr>
      </w:pPr>
      <w:r>
        <w:rPr>
          <w:rFonts w:ascii="Arial" w:cs="Arial" w:eastAsia="Arial" w:hAnsi="Arial"/>
          <w:sz w:val="17"/>
          <w:szCs w:val="17"/>
          <w:color w:val="auto"/>
        </w:rPr>
        <w:t>Mr. Holding – 24,000 shares</w:t>
      </w:r>
    </w:p>
    <w:p>
      <w:pPr>
        <w:spacing w:after="0" w:line="209" w:lineRule="exact"/>
        <w:rPr>
          <w:rFonts w:ascii="Arial" w:cs="Arial" w:eastAsia="Arial" w:hAnsi="Arial"/>
          <w:sz w:val="17"/>
          <w:szCs w:val="17"/>
          <w:color w:val="auto"/>
        </w:rPr>
      </w:pPr>
    </w:p>
    <w:p>
      <w:pPr>
        <w:ind w:left="220" w:hanging="212"/>
        <w:spacing w:after="0"/>
        <w:tabs>
          <w:tab w:leader="none" w:pos="220" w:val="left"/>
        </w:tabs>
        <w:numPr>
          <w:ilvl w:val="0"/>
          <w:numId w:val="22"/>
        </w:numPr>
        <w:rPr>
          <w:rFonts w:ascii="Arial" w:cs="Arial" w:eastAsia="Arial" w:hAnsi="Arial"/>
          <w:sz w:val="17"/>
          <w:szCs w:val="17"/>
          <w:color w:val="auto"/>
        </w:rPr>
      </w:pPr>
      <w:r>
        <w:rPr>
          <w:rFonts w:ascii="Arial" w:cs="Arial" w:eastAsia="Arial" w:hAnsi="Arial"/>
          <w:sz w:val="17"/>
          <w:szCs w:val="17"/>
          <w:color w:val="auto"/>
        </w:rPr>
        <w:t>Mr. Walker – 17,000 shares</w:t>
      </w:r>
    </w:p>
    <w:p>
      <w:pPr>
        <w:spacing w:after="0" w:line="209" w:lineRule="exact"/>
        <w:rPr>
          <w:rFonts w:ascii="Arial" w:cs="Arial" w:eastAsia="Arial" w:hAnsi="Arial"/>
          <w:sz w:val="17"/>
          <w:szCs w:val="17"/>
          <w:color w:val="auto"/>
        </w:rPr>
      </w:pPr>
    </w:p>
    <w:p>
      <w:pPr>
        <w:ind w:left="220" w:hanging="212"/>
        <w:spacing w:after="0"/>
        <w:tabs>
          <w:tab w:leader="none" w:pos="220" w:val="left"/>
        </w:tabs>
        <w:numPr>
          <w:ilvl w:val="0"/>
          <w:numId w:val="22"/>
        </w:numPr>
        <w:rPr>
          <w:rFonts w:ascii="Arial" w:cs="Arial" w:eastAsia="Arial" w:hAnsi="Arial"/>
          <w:sz w:val="17"/>
          <w:szCs w:val="17"/>
          <w:color w:val="auto"/>
        </w:rPr>
      </w:pPr>
      <w:r>
        <w:rPr>
          <w:rFonts w:ascii="Arial" w:cs="Arial" w:eastAsia="Arial" w:hAnsi="Arial"/>
          <w:sz w:val="17"/>
          <w:szCs w:val="17"/>
          <w:color w:val="auto"/>
        </w:rPr>
        <w:t>Mr. DiPiero – 21,000 shares</w:t>
      </w:r>
    </w:p>
    <w:p>
      <w:pPr>
        <w:spacing w:after="0" w:line="183" w:lineRule="exact"/>
        <w:rPr>
          <w:sz w:val="20"/>
          <w:szCs w:val="20"/>
          <w:color w:val="auto"/>
        </w:rPr>
      </w:pPr>
    </w:p>
    <w:p>
      <w:pPr>
        <w:ind w:right="300"/>
        <w:spacing w:after="0" w:line="236" w:lineRule="auto"/>
        <w:rPr>
          <w:sz w:val="20"/>
          <w:szCs w:val="20"/>
          <w:color w:val="auto"/>
        </w:rPr>
      </w:pPr>
      <w:r>
        <w:rPr>
          <w:rFonts w:ascii="Arial" w:cs="Arial" w:eastAsia="Arial" w:hAnsi="Arial"/>
          <w:sz w:val="17"/>
          <w:szCs w:val="17"/>
          <w:color w:val="auto"/>
        </w:rPr>
        <w:t>The Company considers all shares owned by the executive, including deferred shares, restricted shares and performance shares still subject to forfeiture, but not shares that are subject to unexercised options, in determining whether the executive has met the ownership targets. As of December 31, 2015, Messrs. Timken and Walker had exceeded their ownership targets. Messrs. Holding and DiPiero must retain shares net of tax withholding earned under the Company’s long-term incentive plans until they reach their stock ownership guideline.</w:t>
      </w:r>
    </w:p>
    <w:p>
      <w:pPr>
        <w:spacing w:after="0" w:line="143"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Anti-Pledging and Anti-Hedging Policy</w:t>
      </w:r>
    </w:p>
    <w:p>
      <w:pPr>
        <w:spacing w:after="0" w:line="14" w:lineRule="exact"/>
        <w:rPr>
          <w:sz w:val="20"/>
          <w:szCs w:val="20"/>
          <w:color w:val="auto"/>
        </w:rPr>
      </w:pPr>
    </w:p>
    <w:p>
      <w:pPr>
        <w:spacing w:after="0"/>
        <w:rPr>
          <w:sz w:val="20"/>
          <w:szCs w:val="20"/>
          <w:color w:val="auto"/>
        </w:rPr>
      </w:pPr>
      <w:r>
        <w:rPr>
          <w:rFonts w:ascii="Arial" w:cs="Arial" w:eastAsia="Arial" w:hAnsi="Arial"/>
          <w:sz w:val="17"/>
          <w:szCs w:val="17"/>
          <w:color w:val="auto"/>
        </w:rPr>
        <w:t>The Company has a formal policy that prohibits pledging Company stock or hedging the economic risk related to such stock ownership.</w:t>
      </w:r>
    </w:p>
    <w:p>
      <w:pPr>
        <w:spacing w:after="0" w:line="149"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Clawback Provisions</w:t>
      </w:r>
    </w:p>
    <w:p>
      <w:pPr>
        <w:spacing w:after="0" w:line="14" w:lineRule="exact"/>
        <w:rPr>
          <w:sz w:val="20"/>
          <w:szCs w:val="20"/>
          <w:color w:val="auto"/>
        </w:rPr>
      </w:pPr>
    </w:p>
    <w:p>
      <w:pPr>
        <w:ind w:right="20"/>
        <w:spacing w:after="0" w:line="235" w:lineRule="auto"/>
        <w:rPr>
          <w:sz w:val="20"/>
          <w:szCs w:val="20"/>
          <w:color w:val="auto"/>
        </w:rPr>
      </w:pPr>
      <w:r>
        <w:rPr>
          <w:rFonts w:ascii="Arial" w:cs="Arial" w:eastAsia="Arial" w:hAnsi="Arial"/>
          <w:sz w:val="17"/>
          <w:szCs w:val="17"/>
          <w:color w:val="auto"/>
        </w:rPr>
        <w:t>The Company maintains specific provisions regarding the recovery (“clawback”) of awards to deter certain types of conduct, including conduct that could affect the accuracy of the Company’s financial statements. These provisions apply to both short- and long-term incentive programs where, if personal misconduct or any fraudulent activity on the part of the executive leads to the restatement of Company financial results, the Company can clawback an award. In such cases, the Compensation Committee has discretion, based on applicable facts and circumstances, to cause the Company to recover all or any portion of the incentive paid or payable to the executive for some or all of the years covered by the restatement.</w:t>
      </w:r>
    </w:p>
    <w:p>
      <w:pPr>
        <w:spacing w:after="0" w:line="157"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Tax Accounting Rules and Regulations</w:t>
      </w:r>
    </w:p>
    <w:p>
      <w:pPr>
        <w:spacing w:after="0" w:line="14" w:lineRule="exact"/>
        <w:rPr>
          <w:sz w:val="20"/>
          <w:szCs w:val="20"/>
          <w:color w:val="auto"/>
        </w:rPr>
      </w:pPr>
    </w:p>
    <w:p>
      <w:pPr>
        <w:spacing w:after="0" w:line="233" w:lineRule="auto"/>
        <w:rPr>
          <w:sz w:val="20"/>
          <w:szCs w:val="20"/>
          <w:color w:val="auto"/>
        </w:rPr>
      </w:pPr>
      <w:r>
        <w:rPr>
          <w:rFonts w:ascii="Arial" w:cs="Arial" w:eastAsia="Arial" w:hAnsi="Arial"/>
          <w:sz w:val="17"/>
          <w:szCs w:val="17"/>
          <w:color w:val="auto"/>
        </w:rPr>
        <w:t>The Company analyzes the overall expense arising from aggregate executive compensation, as well as the accounting and tax treatment of such programs. Section 162(m) of the Internal Revenue Code generally disallows a federal income tax deduction to publicly-traded companies for compensation paid to certain executives to the extent such compensation exceeds $1 million per executive in any fiscal year. Compensation that satisfies the Internal Revenue Code’s requirements for qualified performance-based compensation may not be subject to that deduction limitation. In addition, the Company may structure certain incentives as performance-based compensation. The Compensation Committee considers the deductibility of compensation and benefits for federal income tax purposes, along with other relevant factors, when determining executive compensation practices. While the Compensation Committee may take action from time to time to design certain elements of the NEOs’ compensation to meet the requirements for qualified performance-based compensation and limit the impact of Section 162(m) of the Code, the Compensation Committee also believes that tax deductibility is only one of several relevant considerations in setting compensation. The Compensation Committee believes that the tax deduction limitation should not compromise its ability to design and maintain executive compensation arrangements that will attract, motivate and help retain executive talent. Accordingly, achieving the desired flexibility in the design and delivery of compensation may result in compensation that in certain cases is not deductible for federal income tax purposes.</w:t>
      </w:r>
    </w:p>
    <w:p>
      <w:pPr>
        <w:spacing w:after="0" w:line="151" w:lineRule="exact"/>
        <w:rPr>
          <w:sz w:val="20"/>
          <w:szCs w:val="20"/>
          <w:color w:val="auto"/>
        </w:rPr>
      </w:pPr>
    </w:p>
    <w:p>
      <w:pPr>
        <w:ind w:left="11180"/>
        <w:spacing w:after="0"/>
        <w:rPr>
          <w:sz w:val="20"/>
          <w:szCs w:val="20"/>
          <w:color w:val="auto"/>
        </w:rPr>
      </w:pPr>
      <w:r>
        <w:rPr>
          <w:rFonts w:ascii="Arial" w:cs="Arial" w:eastAsia="Arial" w:hAnsi="Arial"/>
          <w:sz w:val="14"/>
          <w:szCs w:val="14"/>
          <w:color w:val="auto"/>
        </w:rPr>
        <w:t>43</w:t>
      </w:r>
    </w:p>
    <w:p>
      <w:pPr>
        <w:sectPr>
          <w:pgSz w:w="11900" w:h="16838" w:orient="portrait"/>
          <w:cols w:equalWidth="0" w:num="1">
            <w:col w:w="11380"/>
          </w:cols>
          <w:pgMar w:left="240" w:top="459" w:right="279" w:bottom="1440" w:gutter="0" w:footer="0" w:header="0"/>
        </w:sectPr>
      </w:pPr>
    </w:p>
    <w:bookmarkStart w:id="49" w:name="page50"/>
    <w:bookmarkEnd w:id="4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52">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3109595</wp:posOffset>
            </wp:positionH>
            <wp:positionV relativeFrom="paragraph">
              <wp:posOffset>205740</wp:posOffset>
            </wp:positionV>
            <wp:extent cx="1046480" cy="205740"/>
            <wp:wrapNone/>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53">
                      <a:extLst>
                        <a:ext uri="{28A0092B-C50C-407E-A947-70E740481C1C}"/>
                      </a:extLst>
                    </a:blip>
                    <a:srcRect/>
                    <a:stretch>
                      <a:fillRect/>
                    </a:stretch>
                  </pic:blipFill>
                  <pic:spPr bwMode="auto">
                    <a:xfrm>
                      <a:off x="0" y="0"/>
                      <a:ext cx="1046480" cy="20574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76" w:lineRule="exact"/>
        <w:rPr>
          <w:sz w:val="20"/>
          <w:szCs w:val="20"/>
          <w:color w:val="auto"/>
        </w:rPr>
      </w:pPr>
    </w:p>
    <w:p>
      <w:pPr>
        <w:spacing w:after="0"/>
        <w:rPr>
          <w:sz w:val="20"/>
          <w:szCs w:val="20"/>
          <w:color w:val="auto"/>
        </w:rPr>
      </w:pPr>
      <w:r>
        <w:rPr>
          <w:rFonts w:ascii="Arial" w:cs="Arial" w:eastAsia="Arial" w:hAnsi="Arial"/>
          <w:sz w:val="18"/>
          <w:szCs w:val="18"/>
          <w:color w:val="auto"/>
        </w:rPr>
        <w:t>2015 SUMMARY COMPENSATION TABLE</w:t>
      </w:r>
    </w:p>
    <w:p>
      <w:pPr>
        <w:spacing w:after="0" w:line="179" w:lineRule="exact"/>
        <w:rPr>
          <w:sz w:val="20"/>
          <w:szCs w:val="20"/>
          <w:color w:val="auto"/>
        </w:rPr>
      </w:pPr>
    </w:p>
    <w:p>
      <w:pPr>
        <w:spacing w:after="0"/>
        <w:rPr>
          <w:sz w:val="20"/>
          <w:szCs w:val="20"/>
          <w:color w:val="auto"/>
        </w:rPr>
      </w:pPr>
      <w:r>
        <w:rPr>
          <w:rFonts w:ascii="Arial" w:cs="Arial" w:eastAsia="Arial" w:hAnsi="Arial"/>
          <w:sz w:val="17"/>
          <w:szCs w:val="17"/>
          <w:color w:val="auto"/>
        </w:rPr>
        <w:t>The following table sets forth information concerning compensation for our NEOs for the fiscal years ending December 31, 2015, 2014 and 2013:</w:t>
      </w:r>
    </w:p>
    <w:p>
      <w:pPr>
        <w:spacing w:after="0" w:line="196" w:lineRule="exact"/>
        <w:rPr>
          <w:sz w:val="20"/>
          <w:szCs w:val="20"/>
          <w:color w:val="auto"/>
        </w:rPr>
      </w:pPr>
    </w:p>
    <w:tbl>
      <w:tblPr>
        <w:tblLayout w:type="fixed"/>
        <w:tblInd w:w="10" w:type="dxa"/>
        <w:tblCellMar>
          <w:top w:w="0" w:type="dxa"/>
          <w:left w:w="0" w:type="dxa"/>
          <w:bottom w:w="0" w:type="dxa"/>
          <w:right w:w="0" w:type="dxa"/>
        </w:tblCellMar>
      </w:tblPr>
      <w:tr>
        <w:trPr>
          <w:trHeight w:val="127"/>
        </w:trPr>
        <w:tc>
          <w:tcPr>
            <w:tcW w:w="3220" w:type="dxa"/>
            <w:vAlign w:val="bottom"/>
            <w:tcBorders>
              <w:top w:val="single" w:sz="8" w:color="auto"/>
              <w:left w:val="single" w:sz="8" w:color="auto"/>
              <w:right w:val="single" w:sz="8" w:color="auto"/>
            </w:tcBorders>
          </w:tcPr>
          <w:p>
            <w:pPr>
              <w:spacing w:after="0"/>
              <w:rPr>
                <w:sz w:val="11"/>
                <w:szCs w:val="11"/>
                <w:color w:val="auto"/>
              </w:rPr>
            </w:pPr>
          </w:p>
        </w:tc>
        <w:tc>
          <w:tcPr>
            <w:tcW w:w="580" w:type="dxa"/>
            <w:vAlign w:val="bottom"/>
            <w:tcBorders>
              <w:top w:val="single" w:sz="8" w:color="auto"/>
              <w:right w:val="single" w:sz="8" w:color="auto"/>
            </w:tcBorders>
          </w:tcPr>
          <w:p>
            <w:pPr>
              <w:spacing w:after="0"/>
              <w:rPr>
                <w:sz w:val="11"/>
                <w:szCs w:val="11"/>
                <w:color w:val="auto"/>
              </w:rPr>
            </w:pPr>
          </w:p>
        </w:tc>
        <w:tc>
          <w:tcPr>
            <w:tcW w:w="860" w:type="dxa"/>
            <w:vAlign w:val="bottom"/>
            <w:tcBorders>
              <w:top w:val="single" w:sz="8" w:color="auto"/>
              <w:right w:val="single" w:sz="8" w:color="auto"/>
            </w:tcBorders>
          </w:tcPr>
          <w:p>
            <w:pPr>
              <w:spacing w:after="0"/>
              <w:rPr>
                <w:sz w:val="11"/>
                <w:szCs w:val="11"/>
                <w:color w:val="auto"/>
              </w:rPr>
            </w:pPr>
          </w:p>
        </w:tc>
        <w:tc>
          <w:tcPr>
            <w:tcW w:w="180" w:type="dxa"/>
            <w:vAlign w:val="bottom"/>
            <w:tcBorders>
              <w:top w:val="single" w:sz="8" w:color="auto"/>
            </w:tcBorders>
          </w:tcPr>
          <w:p>
            <w:pPr>
              <w:spacing w:after="0"/>
              <w:rPr>
                <w:sz w:val="11"/>
                <w:szCs w:val="11"/>
                <w:color w:val="auto"/>
              </w:rPr>
            </w:pPr>
          </w:p>
        </w:tc>
        <w:tc>
          <w:tcPr>
            <w:tcW w:w="800" w:type="dxa"/>
            <w:vAlign w:val="bottom"/>
            <w:tcBorders>
              <w:top w:val="single" w:sz="8" w:color="auto"/>
              <w:right w:val="single" w:sz="8" w:color="auto"/>
            </w:tcBorders>
          </w:tcPr>
          <w:p>
            <w:pPr>
              <w:spacing w:after="0"/>
              <w:rPr>
                <w:sz w:val="11"/>
                <w:szCs w:val="11"/>
                <w:color w:val="auto"/>
              </w:rPr>
            </w:pPr>
          </w:p>
        </w:tc>
        <w:tc>
          <w:tcPr>
            <w:tcW w:w="160" w:type="dxa"/>
            <w:vAlign w:val="bottom"/>
            <w:tcBorders>
              <w:top w:val="single" w:sz="8" w:color="auto"/>
            </w:tcBorders>
          </w:tcPr>
          <w:p>
            <w:pPr>
              <w:spacing w:after="0"/>
              <w:rPr>
                <w:sz w:val="11"/>
                <w:szCs w:val="11"/>
                <w:color w:val="auto"/>
              </w:rPr>
            </w:pPr>
          </w:p>
        </w:tc>
        <w:tc>
          <w:tcPr>
            <w:tcW w:w="800" w:type="dxa"/>
            <w:vAlign w:val="bottom"/>
            <w:tcBorders>
              <w:top w:val="single" w:sz="8" w:color="auto"/>
              <w:right w:val="single" w:sz="8" w:color="auto"/>
            </w:tcBorders>
          </w:tcPr>
          <w:p>
            <w:pPr>
              <w:spacing w:after="0"/>
              <w:rPr>
                <w:sz w:val="11"/>
                <w:szCs w:val="11"/>
                <w:color w:val="auto"/>
              </w:rPr>
            </w:pPr>
          </w:p>
        </w:tc>
        <w:tc>
          <w:tcPr>
            <w:tcW w:w="180" w:type="dxa"/>
            <w:vAlign w:val="bottom"/>
            <w:tcBorders>
              <w:top w:val="single" w:sz="8" w:color="auto"/>
            </w:tcBorders>
          </w:tcPr>
          <w:p>
            <w:pPr>
              <w:spacing w:after="0"/>
              <w:rPr>
                <w:sz w:val="11"/>
                <w:szCs w:val="11"/>
                <w:color w:val="auto"/>
              </w:rPr>
            </w:pPr>
          </w:p>
        </w:tc>
        <w:tc>
          <w:tcPr>
            <w:tcW w:w="1100" w:type="dxa"/>
            <w:vAlign w:val="bottom"/>
            <w:tcBorders>
              <w:top w:val="single" w:sz="8" w:color="auto"/>
              <w:right w:val="single" w:sz="8" w:color="auto"/>
            </w:tcBorders>
          </w:tcPr>
          <w:p>
            <w:pPr>
              <w:spacing w:after="0"/>
              <w:rPr>
                <w:sz w:val="11"/>
                <w:szCs w:val="11"/>
                <w:color w:val="auto"/>
              </w:rPr>
            </w:pPr>
          </w:p>
        </w:tc>
        <w:tc>
          <w:tcPr>
            <w:tcW w:w="200" w:type="dxa"/>
            <w:vAlign w:val="bottom"/>
            <w:tcBorders>
              <w:top w:val="single" w:sz="8" w:color="auto"/>
            </w:tcBorders>
          </w:tcPr>
          <w:p>
            <w:pPr>
              <w:spacing w:after="0"/>
              <w:rPr>
                <w:sz w:val="11"/>
                <w:szCs w:val="11"/>
                <w:color w:val="auto"/>
              </w:rPr>
            </w:pPr>
          </w:p>
        </w:tc>
        <w:tc>
          <w:tcPr>
            <w:tcW w:w="940" w:type="dxa"/>
            <w:vAlign w:val="bottom"/>
            <w:tcBorders>
              <w:top w:val="single" w:sz="8" w:color="auto"/>
              <w:right w:val="single" w:sz="8" w:color="auto"/>
            </w:tcBorders>
          </w:tcPr>
          <w:p>
            <w:pPr>
              <w:jc w:val="center"/>
              <w:ind w:right="150"/>
              <w:spacing w:after="0" w:line="127" w:lineRule="exact"/>
              <w:rPr>
                <w:sz w:val="20"/>
                <w:szCs w:val="20"/>
                <w:color w:val="auto"/>
              </w:rPr>
            </w:pPr>
            <w:r>
              <w:rPr>
                <w:rFonts w:ascii="Arial" w:cs="Arial" w:eastAsia="Arial" w:hAnsi="Arial"/>
                <w:sz w:val="13"/>
                <w:szCs w:val="13"/>
                <w:b w:val="1"/>
                <w:bCs w:val="1"/>
                <w:color w:val="auto"/>
                <w:w w:val="95"/>
              </w:rPr>
              <w:t>Change in</w:t>
            </w:r>
          </w:p>
        </w:tc>
        <w:tc>
          <w:tcPr>
            <w:tcW w:w="260" w:type="dxa"/>
            <w:vAlign w:val="bottom"/>
            <w:tcBorders>
              <w:top w:val="single" w:sz="8" w:color="auto"/>
            </w:tcBorders>
          </w:tcPr>
          <w:p>
            <w:pPr>
              <w:spacing w:after="0"/>
              <w:rPr>
                <w:sz w:val="11"/>
                <w:szCs w:val="11"/>
                <w:color w:val="auto"/>
              </w:rPr>
            </w:pPr>
          </w:p>
        </w:tc>
        <w:tc>
          <w:tcPr>
            <w:tcW w:w="1020" w:type="dxa"/>
            <w:vAlign w:val="bottom"/>
            <w:tcBorders>
              <w:top w:val="single" w:sz="8" w:color="auto"/>
              <w:right w:val="single" w:sz="8" w:color="auto"/>
            </w:tcBorders>
          </w:tcPr>
          <w:p>
            <w:pPr>
              <w:spacing w:after="0"/>
              <w:rPr>
                <w:sz w:val="11"/>
                <w:szCs w:val="11"/>
                <w:color w:val="auto"/>
              </w:rPr>
            </w:pPr>
          </w:p>
        </w:tc>
        <w:tc>
          <w:tcPr>
            <w:tcW w:w="220" w:type="dxa"/>
            <w:vAlign w:val="bottom"/>
            <w:tcBorders>
              <w:top w:val="single" w:sz="8" w:color="auto"/>
            </w:tcBorders>
          </w:tcPr>
          <w:p>
            <w:pPr>
              <w:spacing w:after="0"/>
              <w:rPr>
                <w:sz w:val="11"/>
                <w:szCs w:val="11"/>
                <w:color w:val="auto"/>
              </w:rPr>
            </w:pPr>
          </w:p>
        </w:tc>
        <w:tc>
          <w:tcPr>
            <w:tcW w:w="920" w:type="dxa"/>
            <w:vAlign w:val="bottom"/>
            <w:tcBorders>
              <w:top w:val="single" w:sz="8" w:color="auto"/>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3220" w:type="dxa"/>
            <w:vAlign w:val="bottom"/>
            <w:tcBorders>
              <w:left w:val="single" w:sz="8" w:color="auto"/>
              <w:right w:val="single" w:sz="8" w:color="auto"/>
            </w:tcBorders>
          </w:tcPr>
          <w:p>
            <w:pPr>
              <w:spacing w:after="0"/>
              <w:rPr>
                <w:sz w:val="11"/>
                <w:szCs w:val="11"/>
                <w:color w:val="auto"/>
              </w:rPr>
            </w:pPr>
          </w:p>
        </w:tc>
        <w:tc>
          <w:tcPr>
            <w:tcW w:w="580" w:type="dxa"/>
            <w:vAlign w:val="bottom"/>
            <w:tcBorders>
              <w:right w:val="single" w:sz="8" w:color="auto"/>
            </w:tcBorders>
          </w:tcPr>
          <w:p>
            <w:pPr>
              <w:spacing w:after="0"/>
              <w:rPr>
                <w:sz w:val="11"/>
                <w:szCs w:val="11"/>
                <w:color w:val="auto"/>
              </w:rPr>
            </w:pPr>
          </w:p>
        </w:tc>
        <w:tc>
          <w:tcPr>
            <w:tcW w:w="860" w:type="dxa"/>
            <w:vAlign w:val="bottom"/>
            <w:tcBorders>
              <w:right w:val="single" w:sz="8" w:color="auto"/>
            </w:tcBorders>
          </w:tcPr>
          <w:p>
            <w:pPr>
              <w:spacing w:after="0"/>
              <w:rPr>
                <w:sz w:val="11"/>
                <w:szCs w:val="11"/>
                <w:color w:val="auto"/>
              </w:rPr>
            </w:pPr>
          </w:p>
        </w:tc>
        <w:tc>
          <w:tcPr>
            <w:tcW w:w="180" w:type="dxa"/>
            <w:vAlign w:val="bottom"/>
          </w:tcPr>
          <w:p>
            <w:pPr>
              <w:spacing w:after="0"/>
              <w:rPr>
                <w:sz w:val="11"/>
                <w:szCs w:val="11"/>
                <w:color w:val="auto"/>
              </w:rPr>
            </w:pPr>
          </w:p>
        </w:tc>
        <w:tc>
          <w:tcPr>
            <w:tcW w:w="800" w:type="dxa"/>
            <w:vAlign w:val="bottom"/>
            <w:tcBorders>
              <w:right w:val="single" w:sz="8" w:color="auto"/>
            </w:tcBorders>
          </w:tcPr>
          <w:p>
            <w:pPr>
              <w:spacing w:after="0"/>
              <w:rPr>
                <w:sz w:val="11"/>
                <w:szCs w:val="11"/>
                <w:color w:val="auto"/>
              </w:rPr>
            </w:pPr>
          </w:p>
        </w:tc>
        <w:tc>
          <w:tcPr>
            <w:tcW w:w="160" w:type="dxa"/>
            <w:vAlign w:val="bottom"/>
          </w:tcPr>
          <w:p>
            <w:pPr>
              <w:spacing w:after="0"/>
              <w:rPr>
                <w:sz w:val="11"/>
                <w:szCs w:val="11"/>
                <w:color w:val="auto"/>
              </w:rPr>
            </w:pPr>
          </w:p>
        </w:tc>
        <w:tc>
          <w:tcPr>
            <w:tcW w:w="800" w:type="dxa"/>
            <w:vAlign w:val="bottom"/>
            <w:tcBorders>
              <w:right w:val="single" w:sz="8" w:color="auto"/>
            </w:tcBorders>
          </w:tcPr>
          <w:p>
            <w:pPr>
              <w:spacing w:after="0"/>
              <w:rPr>
                <w:sz w:val="11"/>
                <w:szCs w:val="11"/>
                <w:color w:val="auto"/>
              </w:rPr>
            </w:pPr>
          </w:p>
        </w:tc>
        <w:tc>
          <w:tcPr>
            <w:tcW w:w="180" w:type="dxa"/>
            <w:vAlign w:val="bottom"/>
          </w:tcPr>
          <w:p>
            <w:pPr>
              <w:spacing w:after="0"/>
              <w:rPr>
                <w:sz w:val="11"/>
                <w:szCs w:val="11"/>
                <w:color w:val="auto"/>
              </w:rPr>
            </w:pPr>
          </w:p>
        </w:tc>
        <w:tc>
          <w:tcPr>
            <w:tcW w:w="1100" w:type="dxa"/>
            <w:vAlign w:val="bottom"/>
            <w:tcBorders>
              <w:right w:val="single" w:sz="8" w:color="auto"/>
            </w:tcBorders>
          </w:tcPr>
          <w:p>
            <w:pPr>
              <w:spacing w:after="0"/>
              <w:rPr>
                <w:sz w:val="11"/>
                <w:szCs w:val="11"/>
                <w:color w:val="auto"/>
              </w:rPr>
            </w:pPr>
          </w:p>
        </w:tc>
        <w:tc>
          <w:tcPr>
            <w:tcW w:w="1140" w:type="dxa"/>
            <w:vAlign w:val="bottom"/>
            <w:tcBorders>
              <w:right w:val="single" w:sz="8" w:color="auto"/>
            </w:tcBorders>
            <w:gridSpan w:val="2"/>
          </w:tcPr>
          <w:p>
            <w:pPr>
              <w:jc w:val="center"/>
              <w:spacing w:after="0" w:line="135" w:lineRule="exact"/>
              <w:rPr>
                <w:sz w:val="20"/>
                <w:szCs w:val="20"/>
                <w:color w:val="auto"/>
              </w:rPr>
            </w:pPr>
            <w:r>
              <w:rPr>
                <w:rFonts w:ascii="Arial" w:cs="Arial" w:eastAsia="Arial" w:hAnsi="Arial"/>
                <w:sz w:val="13"/>
                <w:szCs w:val="13"/>
                <w:b w:val="1"/>
                <w:bCs w:val="1"/>
                <w:color w:val="auto"/>
                <w:w w:val="96"/>
              </w:rPr>
              <w:t>Pension Value</w:t>
            </w:r>
          </w:p>
        </w:tc>
        <w:tc>
          <w:tcPr>
            <w:tcW w:w="260" w:type="dxa"/>
            <w:vAlign w:val="bottom"/>
          </w:tcPr>
          <w:p>
            <w:pPr>
              <w:spacing w:after="0"/>
              <w:rPr>
                <w:sz w:val="11"/>
                <w:szCs w:val="11"/>
                <w:color w:val="auto"/>
              </w:rPr>
            </w:pPr>
          </w:p>
        </w:tc>
        <w:tc>
          <w:tcPr>
            <w:tcW w:w="1020" w:type="dxa"/>
            <w:vAlign w:val="bottom"/>
            <w:tcBorders>
              <w:right w:val="single" w:sz="8" w:color="auto"/>
            </w:tcBorders>
          </w:tcPr>
          <w:p>
            <w:pPr>
              <w:spacing w:after="0"/>
              <w:rPr>
                <w:sz w:val="11"/>
                <w:szCs w:val="11"/>
                <w:color w:val="auto"/>
              </w:rPr>
            </w:pPr>
          </w:p>
        </w:tc>
        <w:tc>
          <w:tcPr>
            <w:tcW w:w="220" w:type="dxa"/>
            <w:vAlign w:val="bottom"/>
          </w:tcPr>
          <w:p>
            <w:pPr>
              <w:spacing w:after="0"/>
              <w:rPr>
                <w:sz w:val="11"/>
                <w:szCs w:val="11"/>
                <w:color w:val="auto"/>
              </w:rPr>
            </w:pPr>
          </w:p>
        </w:tc>
        <w:tc>
          <w:tcPr>
            <w:tcW w:w="92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3220" w:type="dxa"/>
            <w:vAlign w:val="bottom"/>
            <w:tcBorders>
              <w:left w:val="single" w:sz="8" w:color="auto"/>
              <w:right w:val="single" w:sz="8" w:color="auto"/>
            </w:tcBorders>
          </w:tcPr>
          <w:p>
            <w:pPr>
              <w:spacing w:after="0"/>
              <w:rPr>
                <w:sz w:val="11"/>
                <w:szCs w:val="11"/>
                <w:color w:val="auto"/>
              </w:rPr>
            </w:pPr>
          </w:p>
        </w:tc>
        <w:tc>
          <w:tcPr>
            <w:tcW w:w="580" w:type="dxa"/>
            <w:vAlign w:val="bottom"/>
            <w:tcBorders>
              <w:right w:val="single" w:sz="8" w:color="auto"/>
            </w:tcBorders>
          </w:tcPr>
          <w:p>
            <w:pPr>
              <w:spacing w:after="0"/>
              <w:rPr>
                <w:sz w:val="11"/>
                <w:szCs w:val="11"/>
                <w:color w:val="auto"/>
              </w:rPr>
            </w:pPr>
          </w:p>
        </w:tc>
        <w:tc>
          <w:tcPr>
            <w:tcW w:w="860" w:type="dxa"/>
            <w:vAlign w:val="bottom"/>
            <w:tcBorders>
              <w:right w:val="single" w:sz="8" w:color="auto"/>
            </w:tcBorders>
          </w:tcPr>
          <w:p>
            <w:pPr>
              <w:spacing w:after="0"/>
              <w:rPr>
                <w:sz w:val="11"/>
                <w:szCs w:val="11"/>
                <w:color w:val="auto"/>
              </w:rPr>
            </w:pPr>
          </w:p>
        </w:tc>
        <w:tc>
          <w:tcPr>
            <w:tcW w:w="180" w:type="dxa"/>
            <w:vAlign w:val="bottom"/>
          </w:tcPr>
          <w:p>
            <w:pPr>
              <w:spacing w:after="0"/>
              <w:rPr>
                <w:sz w:val="11"/>
                <w:szCs w:val="11"/>
                <w:color w:val="auto"/>
              </w:rPr>
            </w:pPr>
          </w:p>
        </w:tc>
        <w:tc>
          <w:tcPr>
            <w:tcW w:w="800" w:type="dxa"/>
            <w:vAlign w:val="bottom"/>
            <w:tcBorders>
              <w:right w:val="single" w:sz="8" w:color="auto"/>
            </w:tcBorders>
          </w:tcPr>
          <w:p>
            <w:pPr>
              <w:spacing w:after="0"/>
              <w:rPr>
                <w:sz w:val="11"/>
                <w:szCs w:val="11"/>
                <w:color w:val="auto"/>
              </w:rPr>
            </w:pPr>
          </w:p>
        </w:tc>
        <w:tc>
          <w:tcPr>
            <w:tcW w:w="160" w:type="dxa"/>
            <w:vAlign w:val="bottom"/>
          </w:tcPr>
          <w:p>
            <w:pPr>
              <w:spacing w:after="0"/>
              <w:rPr>
                <w:sz w:val="11"/>
                <w:szCs w:val="11"/>
                <w:color w:val="auto"/>
              </w:rPr>
            </w:pPr>
          </w:p>
        </w:tc>
        <w:tc>
          <w:tcPr>
            <w:tcW w:w="800" w:type="dxa"/>
            <w:vAlign w:val="bottom"/>
            <w:tcBorders>
              <w:right w:val="single" w:sz="8" w:color="auto"/>
            </w:tcBorders>
          </w:tcPr>
          <w:p>
            <w:pPr>
              <w:spacing w:after="0"/>
              <w:rPr>
                <w:sz w:val="11"/>
                <w:szCs w:val="11"/>
                <w:color w:val="auto"/>
              </w:rPr>
            </w:pPr>
          </w:p>
        </w:tc>
        <w:tc>
          <w:tcPr>
            <w:tcW w:w="180" w:type="dxa"/>
            <w:vAlign w:val="bottom"/>
          </w:tcPr>
          <w:p>
            <w:pPr>
              <w:spacing w:after="0"/>
              <w:rPr>
                <w:sz w:val="11"/>
                <w:szCs w:val="11"/>
                <w:color w:val="auto"/>
              </w:rPr>
            </w:pPr>
          </w:p>
        </w:tc>
        <w:tc>
          <w:tcPr>
            <w:tcW w:w="1100" w:type="dxa"/>
            <w:vAlign w:val="bottom"/>
            <w:tcBorders>
              <w:right w:val="single" w:sz="8" w:color="auto"/>
            </w:tcBorders>
          </w:tcPr>
          <w:p>
            <w:pPr>
              <w:spacing w:after="0"/>
              <w:rPr>
                <w:sz w:val="11"/>
                <w:szCs w:val="11"/>
                <w:color w:val="auto"/>
              </w:rPr>
            </w:pPr>
          </w:p>
        </w:tc>
        <w:tc>
          <w:tcPr>
            <w:tcW w:w="200" w:type="dxa"/>
            <w:vAlign w:val="bottom"/>
          </w:tcPr>
          <w:p>
            <w:pPr>
              <w:spacing w:after="0"/>
              <w:rPr>
                <w:sz w:val="11"/>
                <w:szCs w:val="11"/>
                <w:color w:val="auto"/>
              </w:rPr>
            </w:pPr>
          </w:p>
        </w:tc>
        <w:tc>
          <w:tcPr>
            <w:tcW w:w="940" w:type="dxa"/>
            <w:vAlign w:val="bottom"/>
            <w:tcBorders>
              <w:right w:val="single" w:sz="8" w:color="auto"/>
            </w:tcBorders>
          </w:tcPr>
          <w:p>
            <w:pPr>
              <w:jc w:val="center"/>
              <w:ind w:right="170"/>
              <w:spacing w:after="0" w:line="135" w:lineRule="exact"/>
              <w:rPr>
                <w:sz w:val="20"/>
                <w:szCs w:val="20"/>
                <w:color w:val="auto"/>
              </w:rPr>
            </w:pPr>
            <w:r>
              <w:rPr>
                <w:rFonts w:ascii="Arial" w:cs="Arial" w:eastAsia="Arial" w:hAnsi="Arial"/>
                <w:sz w:val="13"/>
                <w:szCs w:val="13"/>
                <w:b w:val="1"/>
                <w:bCs w:val="1"/>
                <w:color w:val="auto"/>
                <w:w w:val="94"/>
              </w:rPr>
              <w:t>and</w:t>
            </w:r>
          </w:p>
        </w:tc>
        <w:tc>
          <w:tcPr>
            <w:tcW w:w="260" w:type="dxa"/>
            <w:vAlign w:val="bottom"/>
          </w:tcPr>
          <w:p>
            <w:pPr>
              <w:spacing w:after="0"/>
              <w:rPr>
                <w:sz w:val="11"/>
                <w:szCs w:val="11"/>
                <w:color w:val="auto"/>
              </w:rPr>
            </w:pPr>
          </w:p>
        </w:tc>
        <w:tc>
          <w:tcPr>
            <w:tcW w:w="1020" w:type="dxa"/>
            <w:vAlign w:val="bottom"/>
            <w:tcBorders>
              <w:right w:val="single" w:sz="8" w:color="auto"/>
            </w:tcBorders>
          </w:tcPr>
          <w:p>
            <w:pPr>
              <w:spacing w:after="0"/>
              <w:rPr>
                <w:sz w:val="11"/>
                <w:szCs w:val="11"/>
                <w:color w:val="auto"/>
              </w:rPr>
            </w:pPr>
          </w:p>
        </w:tc>
        <w:tc>
          <w:tcPr>
            <w:tcW w:w="220" w:type="dxa"/>
            <w:vAlign w:val="bottom"/>
          </w:tcPr>
          <w:p>
            <w:pPr>
              <w:spacing w:after="0"/>
              <w:rPr>
                <w:sz w:val="11"/>
                <w:szCs w:val="11"/>
                <w:color w:val="auto"/>
              </w:rPr>
            </w:pPr>
          </w:p>
        </w:tc>
        <w:tc>
          <w:tcPr>
            <w:tcW w:w="92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3220" w:type="dxa"/>
            <w:vAlign w:val="bottom"/>
            <w:tcBorders>
              <w:left w:val="single" w:sz="8" w:color="auto"/>
              <w:right w:val="single" w:sz="8" w:color="auto"/>
            </w:tcBorders>
          </w:tcPr>
          <w:p>
            <w:pPr>
              <w:spacing w:after="0"/>
              <w:rPr>
                <w:sz w:val="11"/>
                <w:szCs w:val="11"/>
                <w:color w:val="auto"/>
              </w:rPr>
            </w:pPr>
          </w:p>
        </w:tc>
        <w:tc>
          <w:tcPr>
            <w:tcW w:w="580" w:type="dxa"/>
            <w:vAlign w:val="bottom"/>
            <w:tcBorders>
              <w:right w:val="single" w:sz="8" w:color="auto"/>
            </w:tcBorders>
          </w:tcPr>
          <w:p>
            <w:pPr>
              <w:spacing w:after="0"/>
              <w:rPr>
                <w:sz w:val="11"/>
                <w:szCs w:val="11"/>
                <w:color w:val="auto"/>
              </w:rPr>
            </w:pPr>
          </w:p>
        </w:tc>
        <w:tc>
          <w:tcPr>
            <w:tcW w:w="860" w:type="dxa"/>
            <w:vAlign w:val="bottom"/>
            <w:tcBorders>
              <w:right w:val="single" w:sz="8" w:color="auto"/>
            </w:tcBorders>
          </w:tcPr>
          <w:p>
            <w:pPr>
              <w:spacing w:after="0"/>
              <w:rPr>
                <w:sz w:val="11"/>
                <w:szCs w:val="11"/>
                <w:color w:val="auto"/>
              </w:rPr>
            </w:pPr>
          </w:p>
        </w:tc>
        <w:tc>
          <w:tcPr>
            <w:tcW w:w="180" w:type="dxa"/>
            <w:vAlign w:val="bottom"/>
          </w:tcPr>
          <w:p>
            <w:pPr>
              <w:spacing w:after="0"/>
              <w:rPr>
                <w:sz w:val="11"/>
                <w:szCs w:val="11"/>
                <w:color w:val="auto"/>
              </w:rPr>
            </w:pPr>
          </w:p>
        </w:tc>
        <w:tc>
          <w:tcPr>
            <w:tcW w:w="800" w:type="dxa"/>
            <w:vAlign w:val="bottom"/>
            <w:tcBorders>
              <w:right w:val="single" w:sz="8" w:color="auto"/>
            </w:tcBorders>
          </w:tcPr>
          <w:p>
            <w:pPr>
              <w:spacing w:after="0"/>
              <w:rPr>
                <w:sz w:val="11"/>
                <w:szCs w:val="11"/>
                <w:color w:val="auto"/>
              </w:rPr>
            </w:pPr>
          </w:p>
        </w:tc>
        <w:tc>
          <w:tcPr>
            <w:tcW w:w="160" w:type="dxa"/>
            <w:vAlign w:val="bottom"/>
          </w:tcPr>
          <w:p>
            <w:pPr>
              <w:spacing w:after="0"/>
              <w:rPr>
                <w:sz w:val="11"/>
                <w:szCs w:val="11"/>
                <w:color w:val="auto"/>
              </w:rPr>
            </w:pPr>
          </w:p>
        </w:tc>
        <w:tc>
          <w:tcPr>
            <w:tcW w:w="800" w:type="dxa"/>
            <w:vAlign w:val="bottom"/>
            <w:tcBorders>
              <w:right w:val="single" w:sz="8" w:color="auto"/>
            </w:tcBorders>
          </w:tcPr>
          <w:p>
            <w:pPr>
              <w:spacing w:after="0"/>
              <w:rPr>
                <w:sz w:val="11"/>
                <w:szCs w:val="11"/>
                <w:color w:val="auto"/>
              </w:rPr>
            </w:pPr>
          </w:p>
        </w:tc>
        <w:tc>
          <w:tcPr>
            <w:tcW w:w="180" w:type="dxa"/>
            <w:vAlign w:val="bottom"/>
          </w:tcPr>
          <w:p>
            <w:pPr>
              <w:spacing w:after="0"/>
              <w:rPr>
                <w:sz w:val="11"/>
                <w:szCs w:val="11"/>
                <w:color w:val="auto"/>
              </w:rPr>
            </w:pPr>
          </w:p>
        </w:tc>
        <w:tc>
          <w:tcPr>
            <w:tcW w:w="1100" w:type="dxa"/>
            <w:vAlign w:val="bottom"/>
            <w:tcBorders>
              <w:right w:val="single" w:sz="8" w:color="auto"/>
            </w:tcBorders>
            <w:vMerge w:val="restart"/>
          </w:tcPr>
          <w:p>
            <w:pPr>
              <w:jc w:val="center"/>
              <w:ind w:right="129"/>
              <w:spacing w:after="0"/>
              <w:rPr>
                <w:sz w:val="20"/>
                <w:szCs w:val="20"/>
                <w:color w:val="auto"/>
              </w:rPr>
            </w:pPr>
            <w:r>
              <w:rPr>
                <w:rFonts w:ascii="Arial" w:cs="Arial" w:eastAsia="Arial" w:hAnsi="Arial"/>
                <w:sz w:val="13"/>
                <w:szCs w:val="13"/>
                <w:b w:val="1"/>
                <w:bCs w:val="1"/>
                <w:color w:val="auto"/>
                <w:w w:val="95"/>
              </w:rPr>
              <w:t>Non-Equity</w:t>
            </w:r>
          </w:p>
        </w:tc>
        <w:tc>
          <w:tcPr>
            <w:tcW w:w="1140" w:type="dxa"/>
            <w:vAlign w:val="bottom"/>
            <w:tcBorders>
              <w:right w:val="single" w:sz="8" w:color="auto"/>
            </w:tcBorders>
            <w:gridSpan w:val="2"/>
          </w:tcPr>
          <w:p>
            <w:pPr>
              <w:jc w:val="center"/>
              <w:spacing w:after="0" w:line="135" w:lineRule="exact"/>
              <w:rPr>
                <w:sz w:val="20"/>
                <w:szCs w:val="20"/>
                <w:color w:val="auto"/>
              </w:rPr>
            </w:pPr>
            <w:r>
              <w:rPr>
                <w:rFonts w:ascii="Arial" w:cs="Arial" w:eastAsia="Arial" w:hAnsi="Arial"/>
                <w:sz w:val="13"/>
                <w:szCs w:val="13"/>
                <w:b w:val="1"/>
                <w:bCs w:val="1"/>
                <w:color w:val="auto"/>
                <w:w w:val="96"/>
              </w:rPr>
              <w:t>Nonqualified</w:t>
            </w:r>
          </w:p>
        </w:tc>
        <w:tc>
          <w:tcPr>
            <w:tcW w:w="260" w:type="dxa"/>
            <w:vAlign w:val="bottom"/>
          </w:tcPr>
          <w:p>
            <w:pPr>
              <w:spacing w:after="0"/>
              <w:rPr>
                <w:sz w:val="11"/>
                <w:szCs w:val="11"/>
                <w:color w:val="auto"/>
              </w:rPr>
            </w:pPr>
          </w:p>
        </w:tc>
        <w:tc>
          <w:tcPr>
            <w:tcW w:w="1020" w:type="dxa"/>
            <w:vAlign w:val="bottom"/>
            <w:tcBorders>
              <w:right w:val="single" w:sz="8" w:color="auto"/>
            </w:tcBorders>
          </w:tcPr>
          <w:p>
            <w:pPr>
              <w:spacing w:after="0"/>
              <w:rPr>
                <w:sz w:val="11"/>
                <w:szCs w:val="11"/>
                <w:color w:val="auto"/>
              </w:rPr>
            </w:pPr>
          </w:p>
        </w:tc>
        <w:tc>
          <w:tcPr>
            <w:tcW w:w="220" w:type="dxa"/>
            <w:vAlign w:val="bottom"/>
          </w:tcPr>
          <w:p>
            <w:pPr>
              <w:spacing w:after="0"/>
              <w:rPr>
                <w:sz w:val="11"/>
                <w:szCs w:val="11"/>
                <w:color w:val="auto"/>
              </w:rPr>
            </w:pPr>
          </w:p>
        </w:tc>
        <w:tc>
          <w:tcPr>
            <w:tcW w:w="92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3220" w:type="dxa"/>
            <w:vAlign w:val="bottom"/>
            <w:tcBorders>
              <w:left w:val="single" w:sz="8" w:color="auto"/>
              <w:right w:val="single" w:sz="8" w:color="auto"/>
            </w:tcBorders>
          </w:tcPr>
          <w:p>
            <w:pPr>
              <w:spacing w:after="0"/>
              <w:rPr>
                <w:sz w:val="11"/>
                <w:szCs w:val="11"/>
                <w:color w:val="auto"/>
              </w:rPr>
            </w:pPr>
          </w:p>
        </w:tc>
        <w:tc>
          <w:tcPr>
            <w:tcW w:w="580" w:type="dxa"/>
            <w:vAlign w:val="bottom"/>
            <w:tcBorders>
              <w:right w:val="single" w:sz="8" w:color="auto"/>
            </w:tcBorders>
          </w:tcPr>
          <w:p>
            <w:pPr>
              <w:spacing w:after="0"/>
              <w:rPr>
                <w:sz w:val="11"/>
                <w:szCs w:val="11"/>
                <w:color w:val="auto"/>
              </w:rPr>
            </w:pPr>
          </w:p>
        </w:tc>
        <w:tc>
          <w:tcPr>
            <w:tcW w:w="860" w:type="dxa"/>
            <w:vAlign w:val="bottom"/>
            <w:tcBorders>
              <w:right w:val="single" w:sz="8" w:color="auto"/>
            </w:tcBorders>
          </w:tcPr>
          <w:p>
            <w:pPr>
              <w:spacing w:after="0"/>
              <w:rPr>
                <w:sz w:val="11"/>
                <w:szCs w:val="11"/>
                <w:color w:val="auto"/>
              </w:rPr>
            </w:pPr>
          </w:p>
        </w:tc>
        <w:tc>
          <w:tcPr>
            <w:tcW w:w="180" w:type="dxa"/>
            <w:vAlign w:val="bottom"/>
          </w:tcPr>
          <w:p>
            <w:pPr>
              <w:spacing w:after="0"/>
              <w:rPr>
                <w:sz w:val="11"/>
                <w:szCs w:val="11"/>
                <w:color w:val="auto"/>
              </w:rPr>
            </w:pPr>
          </w:p>
        </w:tc>
        <w:tc>
          <w:tcPr>
            <w:tcW w:w="800" w:type="dxa"/>
            <w:vAlign w:val="bottom"/>
            <w:tcBorders>
              <w:right w:val="single" w:sz="8" w:color="auto"/>
            </w:tcBorders>
          </w:tcPr>
          <w:p>
            <w:pPr>
              <w:spacing w:after="0"/>
              <w:rPr>
                <w:sz w:val="11"/>
                <w:szCs w:val="11"/>
                <w:color w:val="auto"/>
              </w:rPr>
            </w:pPr>
          </w:p>
        </w:tc>
        <w:tc>
          <w:tcPr>
            <w:tcW w:w="160" w:type="dxa"/>
            <w:vAlign w:val="bottom"/>
          </w:tcPr>
          <w:p>
            <w:pPr>
              <w:spacing w:after="0"/>
              <w:rPr>
                <w:sz w:val="11"/>
                <w:szCs w:val="11"/>
                <w:color w:val="auto"/>
              </w:rPr>
            </w:pPr>
          </w:p>
        </w:tc>
        <w:tc>
          <w:tcPr>
            <w:tcW w:w="800" w:type="dxa"/>
            <w:vAlign w:val="bottom"/>
            <w:tcBorders>
              <w:right w:val="single" w:sz="8" w:color="auto"/>
            </w:tcBorders>
          </w:tcPr>
          <w:p>
            <w:pPr>
              <w:spacing w:after="0"/>
              <w:rPr>
                <w:sz w:val="11"/>
                <w:szCs w:val="11"/>
                <w:color w:val="auto"/>
              </w:rPr>
            </w:pPr>
          </w:p>
        </w:tc>
        <w:tc>
          <w:tcPr>
            <w:tcW w:w="180" w:type="dxa"/>
            <w:vAlign w:val="bottom"/>
          </w:tcPr>
          <w:p>
            <w:pPr>
              <w:spacing w:after="0"/>
              <w:rPr>
                <w:sz w:val="11"/>
                <w:szCs w:val="11"/>
                <w:color w:val="auto"/>
              </w:rPr>
            </w:pPr>
          </w:p>
        </w:tc>
        <w:tc>
          <w:tcPr>
            <w:tcW w:w="1100" w:type="dxa"/>
            <w:vAlign w:val="bottom"/>
            <w:tcBorders>
              <w:right w:val="single" w:sz="8" w:color="auto"/>
            </w:tcBorders>
            <w:vMerge w:val="continue"/>
          </w:tcPr>
          <w:p>
            <w:pPr>
              <w:spacing w:after="0"/>
              <w:rPr>
                <w:sz w:val="11"/>
                <w:szCs w:val="11"/>
                <w:color w:val="auto"/>
              </w:rPr>
            </w:pPr>
          </w:p>
        </w:tc>
        <w:tc>
          <w:tcPr>
            <w:tcW w:w="200" w:type="dxa"/>
            <w:vAlign w:val="bottom"/>
          </w:tcPr>
          <w:p>
            <w:pPr>
              <w:spacing w:after="0"/>
              <w:rPr>
                <w:sz w:val="11"/>
                <w:szCs w:val="11"/>
                <w:color w:val="auto"/>
              </w:rPr>
            </w:pPr>
          </w:p>
        </w:tc>
        <w:tc>
          <w:tcPr>
            <w:tcW w:w="940" w:type="dxa"/>
            <w:vAlign w:val="bottom"/>
            <w:tcBorders>
              <w:right w:val="single" w:sz="8" w:color="auto"/>
            </w:tcBorders>
          </w:tcPr>
          <w:p>
            <w:pPr>
              <w:jc w:val="center"/>
              <w:ind w:right="150"/>
              <w:spacing w:after="0" w:line="130" w:lineRule="exact"/>
              <w:rPr>
                <w:sz w:val="20"/>
                <w:szCs w:val="20"/>
                <w:color w:val="auto"/>
              </w:rPr>
            </w:pPr>
            <w:r>
              <w:rPr>
                <w:rFonts w:ascii="Arial" w:cs="Arial" w:eastAsia="Arial" w:hAnsi="Arial"/>
                <w:sz w:val="13"/>
                <w:szCs w:val="13"/>
                <w:b w:val="1"/>
                <w:bCs w:val="1"/>
                <w:color w:val="auto"/>
                <w:w w:val="97"/>
              </w:rPr>
              <w:t>Deferred</w:t>
            </w:r>
          </w:p>
        </w:tc>
        <w:tc>
          <w:tcPr>
            <w:tcW w:w="260" w:type="dxa"/>
            <w:vAlign w:val="bottom"/>
          </w:tcPr>
          <w:p>
            <w:pPr>
              <w:spacing w:after="0"/>
              <w:rPr>
                <w:sz w:val="11"/>
                <w:szCs w:val="11"/>
                <w:color w:val="auto"/>
              </w:rPr>
            </w:pPr>
          </w:p>
        </w:tc>
        <w:tc>
          <w:tcPr>
            <w:tcW w:w="1020" w:type="dxa"/>
            <w:vAlign w:val="bottom"/>
            <w:tcBorders>
              <w:right w:val="single" w:sz="8" w:color="auto"/>
            </w:tcBorders>
          </w:tcPr>
          <w:p>
            <w:pPr>
              <w:spacing w:after="0"/>
              <w:rPr>
                <w:sz w:val="11"/>
                <w:szCs w:val="11"/>
                <w:color w:val="auto"/>
              </w:rPr>
            </w:pPr>
          </w:p>
        </w:tc>
        <w:tc>
          <w:tcPr>
            <w:tcW w:w="220" w:type="dxa"/>
            <w:vAlign w:val="bottom"/>
          </w:tcPr>
          <w:p>
            <w:pPr>
              <w:spacing w:after="0"/>
              <w:rPr>
                <w:sz w:val="11"/>
                <w:szCs w:val="11"/>
                <w:color w:val="auto"/>
              </w:rPr>
            </w:pPr>
          </w:p>
        </w:tc>
        <w:tc>
          <w:tcPr>
            <w:tcW w:w="92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3220" w:type="dxa"/>
            <w:vAlign w:val="bottom"/>
            <w:tcBorders>
              <w:left w:val="single" w:sz="8" w:color="auto"/>
              <w:right w:val="single" w:sz="8" w:color="auto"/>
            </w:tcBorders>
          </w:tcPr>
          <w:p>
            <w:pPr>
              <w:ind w:left="160"/>
              <w:spacing w:after="0" w:line="135" w:lineRule="exact"/>
              <w:rPr>
                <w:sz w:val="20"/>
                <w:szCs w:val="20"/>
                <w:color w:val="auto"/>
              </w:rPr>
            </w:pPr>
            <w:r>
              <w:rPr>
                <w:rFonts w:ascii="Arial" w:cs="Arial" w:eastAsia="Arial" w:hAnsi="Arial"/>
                <w:sz w:val="13"/>
                <w:szCs w:val="13"/>
                <w:b w:val="1"/>
                <w:bCs w:val="1"/>
                <w:color w:val="auto"/>
              </w:rPr>
              <w:t>Name and Principal</w:t>
            </w:r>
          </w:p>
        </w:tc>
        <w:tc>
          <w:tcPr>
            <w:tcW w:w="580" w:type="dxa"/>
            <w:vAlign w:val="bottom"/>
            <w:tcBorders>
              <w:right w:val="single" w:sz="8" w:color="auto"/>
            </w:tcBorders>
          </w:tcPr>
          <w:p>
            <w:pPr>
              <w:spacing w:after="0"/>
              <w:rPr>
                <w:sz w:val="11"/>
                <w:szCs w:val="11"/>
                <w:color w:val="auto"/>
              </w:rPr>
            </w:pPr>
          </w:p>
        </w:tc>
        <w:tc>
          <w:tcPr>
            <w:tcW w:w="860" w:type="dxa"/>
            <w:vAlign w:val="bottom"/>
            <w:tcBorders>
              <w:right w:val="single" w:sz="8" w:color="auto"/>
            </w:tcBorders>
          </w:tcPr>
          <w:p>
            <w:pPr>
              <w:spacing w:after="0"/>
              <w:rPr>
                <w:sz w:val="11"/>
                <w:szCs w:val="11"/>
                <w:color w:val="auto"/>
              </w:rPr>
            </w:pPr>
          </w:p>
        </w:tc>
        <w:tc>
          <w:tcPr>
            <w:tcW w:w="180" w:type="dxa"/>
            <w:vAlign w:val="bottom"/>
          </w:tcPr>
          <w:p>
            <w:pPr>
              <w:spacing w:after="0"/>
              <w:rPr>
                <w:sz w:val="11"/>
                <w:szCs w:val="11"/>
                <w:color w:val="auto"/>
              </w:rPr>
            </w:pPr>
          </w:p>
        </w:tc>
        <w:tc>
          <w:tcPr>
            <w:tcW w:w="800" w:type="dxa"/>
            <w:vAlign w:val="bottom"/>
            <w:tcBorders>
              <w:right w:val="single" w:sz="8" w:color="auto"/>
            </w:tcBorders>
          </w:tcPr>
          <w:p>
            <w:pPr>
              <w:jc w:val="right"/>
              <w:ind w:right="269"/>
              <w:spacing w:after="0" w:line="135" w:lineRule="exact"/>
              <w:rPr>
                <w:sz w:val="20"/>
                <w:szCs w:val="20"/>
                <w:color w:val="auto"/>
              </w:rPr>
            </w:pPr>
            <w:r>
              <w:rPr>
                <w:rFonts w:ascii="Arial" w:cs="Arial" w:eastAsia="Arial" w:hAnsi="Arial"/>
                <w:sz w:val="13"/>
                <w:szCs w:val="13"/>
                <w:b w:val="1"/>
                <w:bCs w:val="1"/>
                <w:color w:val="auto"/>
              </w:rPr>
              <w:t>Stock</w:t>
            </w:r>
          </w:p>
        </w:tc>
        <w:tc>
          <w:tcPr>
            <w:tcW w:w="160" w:type="dxa"/>
            <w:vAlign w:val="bottom"/>
          </w:tcPr>
          <w:p>
            <w:pPr>
              <w:spacing w:after="0"/>
              <w:rPr>
                <w:sz w:val="11"/>
                <w:szCs w:val="11"/>
                <w:color w:val="auto"/>
              </w:rPr>
            </w:pPr>
          </w:p>
        </w:tc>
        <w:tc>
          <w:tcPr>
            <w:tcW w:w="800" w:type="dxa"/>
            <w:vAlign w:val="bottom"/>
            <w:tcBorders>
              <w:right w:val="single" w:sz="8" w:color="auto"/>
            </w:tcBorders>
          </w:tcPr>
          <w:p>
            <w:pPr>
              <w:jc w:val="right"/>
              <w:ind w:right="229"/>
              <w:spacing w:after="0" w:line="135" w:lineRule="exact"/>
              <w:rPr>
                <w:sz w:val="20"/>
                <w:szCs w:val="20"/>
                <w:color w:val="auto"/>
              </w:rPr>
            </w:pPr>
            <w:r>
              <w:rPr>
                <w:rFonts w:ascii="Arial" w:cs="Arial" w:eastAsia="Arial" w:hAnsi="Arial"/>
                <w:sz w:val="13"/>
                <w:szCs w:val="13"/>
                <w:b w:val="1"/>
                <w:bCs w:val="1"/>
                <w:color w:val="auto"/>
              </w:rPr>
              <w:t>Option</w:t>
            </w:r>
          </w:p>
        </w:tc>
        <w:tc>
          <w:tcPr>
            <w:tcW w:w="180" w:type="dxa"/>
            <w:vAlign w:val="bottom"/>
          </w:tcPr>
          <w:p>
            <w:pPr>
              <w:spacing w:after="0"/>
              <w:rPr>
                <w:sz w:val="11"/>
                <w:szCs w:val="11"/>
                <w:color w:val="auto"/>
              </w:rPr>
            </w:pPr>
          </w:p>
        </w:tc>
        <w:tc>
          <w:tcPr>
            <w:tcW w:w="1100" w:type="dxa"/>
            <w:vAlign w:val="bottom"/>
            <w:tcBorders>
              <w:right w:val="single" w:sz="8" w:color="auto"/>
            </w:tcBorders>
          </w:tcPr>
          <w:p>
            <w:pPr>
              <w:jc w:val="center"/>
              <w:ind w:right="129"/>
              <w:spacing w:after="0" w:line="135" w:lineRule="exact"/>
              <w:rPr>
                <w:sz w:val="20"/>
                <w:szCs w:val="20"/>
                <w:color w:val="auto"/>
              </w:rPr>
            </w:pPr>
            <w:r>
              <w:rPr>
                <w:rFonts w:ascii="Arial" w:cs="Arial" w:eastAsia="Arial" w:hAnsi="Arial"/>
                <w:sz w:val="13"/>
                <w:szCs w:val="13"/>
                <w:b w:val="1"/>
                <w:bCs w:val="1"/>
                <w:color w:val="auto"/>
                <w:w w:val="98"/>
              </w:rPr>
              <w:t>Incentive Plan</w:t>
            </w:r>
          </w:p>
        </w:tc>
        <w:tc>
          <w:tcPr>
            <w:tcW w:w="1140" w:type="dxa"/>
            <w:vAlign w:val="bottom"/>
            <w:tcBorders>
              <w:right w:val="single" w:sz="8" w:color="auto"/>
            </w:tcBorders>
            <w:gridSpan w:val="2"/>
          </w:tcPr>
          <w:p>
            <w:pPr>
              <w:jc w:val="center"/>
              <w:spacing w:after="0" w:line="135" w:lineRule="exact"/>
              <w:rPr>
                <w:sz w:val="20"/>
                <w:szCs w:val="20"/>
                <w:color w:val="auto"/>
              </w:rPr>
            </w:pPr>
            <w:r>
              <w:rPr>
                <w:rFonts w:ascii="Arial" w:cs="Arial" w:eastAsia="Arial" w:hAnsi="Arial"/>
                <w:sz w:val="13"/>
                <w:szCs w:val="13"/>
                <w:b w:val="1"/>
                <w:bCs w:val="1"/>
                <w:color w:val="auto"/>
                <w:w w:val="97"/>
              </w:rPr>
              <w:t>Compensation</w:t>
            </w:r>
          </w:p>
        </w:tc>
        <w:tc>
          <w:tcPr>
            <w:tcW w:w="260" w:type="dxa"/>
            <w:vAlign w:val="bottom"/>
          </w:tcPr>
          <w:p>
            <w:pPr>
              <w:spacing w:after="0"/>
              <w:rPr>
                <w:sz w:val="11"/>
                <w:szCs w:val="11"/>
                <w:color w:val="auto"/>
              </w:rPr>
            </w:pPr>
          </w:p>
        </w:tc>
        <w:tc>
          <w:tcPr>
            <w:tcW w:w="1020" w:type="dxa"/>
            <w:vAlign w:val="bottom"/>
            <w:tcBorders>
              <w:right w:val="single" w:sz="8" w:color="auto"/>
            </w:tcBorders>
          </w:tcPr>
          <w:p>
            <w:pPr>
              <w:jc w:val="right"/>
              <w:ind w:right="309"/>
              <w:spacing w:after="0" w:line="135" w:lineRule="exact"/>
              <w:rPr>
                <w:sz w:val="20"/>
                <w:szCs w:val="20"/>
                <w:color w:val="auto"/>
              </w:rPr>
            </w:pPr>
            <w:r>
              <w:rPr>
                <w:rFonts w:ascii="Arial" w:cs="Arial" w:eastAsia="Arial" w:hAnsi="Arial"/>
                <w:sz w:val="13"/>
                <w:szCs w:val="13"/>
                <w:b w:val="1"/>
                <w:bCs w:val="1"/>
                <w:color w:val="auto"/>
              </w:rPr>
              <w:t>All Other</w:t>
            </w:r>
          </w:p>
        </w:tc>
        <w:tc>
          <w:tcPr>
            <w:tcW w:w="220" w:type="dxa"/>
            <w:vAlign w:val="bottom"/>
          </w:tcPr>
          <w:p>
            <w:pPr>
              <w:spacing w:after="0"/>
              <w:rPr>
                <w:sz w:val="11"/>
                <w:szCs w:val="11"/>
                <w:color w:val="auto"/>
              </w:rPr>
            </w:pPr>
          </w:p>
        </w:tc>
        <w:tc>
          <w:tcPr>
            <w:tcW w:w="92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62"/>
        </w:trPr>
        <w:tc>
          <w:tcPr>
            <w:tcW w:w="3220" w:type="dxa"/>
            <w:vAlign w:val="bottom"/>
            <w:tcBorders>
              <w:left w:val="single" w:sz="8" w:color="auto"/>
              <w:bottom w:val="single" w:sz="8" w:color="auto"/>
              <w:right w:val="single" w:sz="8" w:color="auto"/>
            </w:tcBorders>
          </w:tcPr>
          <w:p>
            <w:pPr>
              <w:ind w:left="160"/>
              <w:spacing w:after="0"/>
              <w:rPr>
                <w:sz w:val="20"/>
                <w:szCs w:val="20"/>
                <w:color w:val="auto"/>
              </w:rPr>
            </w:pPr>
            <w:r>
              <w:rPr>
                <w:rFonts w:ascii="Arial" w:cs="Arial" w:eastAsia="Arial" w:hAnsi="Arial"/>
                <w:sz w:val="13"/>
                <w:szCs w:val="13"/>
                <w:b w:val="1"/>
                <w:bCs w:val="1"/>
                <w:color w:val="auto"/>
              </w:rPr>
              <w:t>Position</w:t>
            </w:r>
          </w:p>
        </w:tc>
        <w:tc>
          <w:tcPr>
            <w:tcW w:w="580" w:type="dxa"/>
            <w:vAlign w:val="bottom"/>
            <w:tcBorders>
              <w:bottom w:val="single" w:sz="8" w:color="auto"/>
              <w:right w:val="single" w:sz="8" w:color="auto"/>
            </w:tcBorders>
          </w:tcPr>
          <w:p>
            <w:pPr>
              <w:ind w:left="140"/>
              <w:spacing w:after="0"/>
              <w:rPr>
                <w:sz w:val="20"/>
                <w:szCs w:val="20"/>
                <w:color w:val="auto"/>
              </w:rPr>
            </w:pPr>
            <w:r>
              <w:rPr>
                <w:rFonts w:ascii="Arial" w:cs="Arial" w:eastAsia="Arial" w:hAnsi="Arial"/>
                <w:sz w:val="13"/>
                <w:szCs w:val="13"/>
                <w:b w:val="1"/>
                <w:bCs w:val="1"/>
                <w:color w:val="auto"/>
              </w:rPr>
              <w:t>Year</w:t>
            </w:r>
          </w:p>
        </w:tc>
        <w:tc>
          <w:tcPr>
            <w:tcW w:w="86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3"/>
                <w:szCs w:val="13"/>
                <w:b w:val="1"/>
                <w:bCs w:val="1"/>
                <w:color w:val="auto"/>
                <w:w w:val="97"/>
              </w:rPr>
              <w:t>Salary</w:t>
            </w:r>
          </w:p>
        </w:tc>
        <w:tc>
          <w:tcPr>
            <w:tcW w:w="180" w:type="dxa"/>
            <w:vAlign w:val="bottom"/>
            <w:tcBorders>
              <w:bottom w:val="single" w:sz="8" w:color="auto"/>
            </w:tcBorders>
          </w:tcPr>
          <w:p>
            <w:pPr>
              <w:spacing w:after="0"/>
              <w:rPr>
                <w:sz w:val="14"/>
                <w:szCs w:val="14"/>
                <w:color w:val="auto"/>
              </w:rPr>
            </w:pPr>
          </w:p>
        </w:tc>
        <w:tc>
          <w:tcPr>
            <w:tcW w:w="800" w:type="dxa"/>
            <w:vAlign w:val="bottom"/>
            <w:tcBorders>
              <w:bottom w:val="single" w:sz="8" w:color="auto"/>
              <w:right w:val="single" w:sz="8" w:color="auto"/>
            </w:tcBorders>
          </w:tcPr>
          <w:p>
            <w:pPr>
              <w:jc w:val="right"/>
              <w:ind w:right="149"/>
              <w:spacing w:after="0"/>
              <w:rPr>
                <w:sz w:val="20"/>
                <w:szCs w:val="20"/>
                <w:color w:val="auto"/>
              </w:rPr>
            </w:pPr>
            <w:r>
              <w:rPr>
                <w:rFonts w:ascii="Arial" w:cs="Arial" w:eastAsia="Arial" w:hAnsi="Arial"/>
                <w:sz w:val="13"/>
                <w:szCs w:val="13"/>
                <w:b w:val="1"/>
                <w:bCs w:val="1"/>
                <w:color w:val="auto"/>
                <w:w w:val="94"/>
              </w:rPr>
              <w:t>Awards</w:t>
            </w:r>
            <w:r>
              <w:rPr>
                <w:rFonts w:ascii="Arial" w:cs="Arial" w:eastAsia="Arial" w:hAnsi="Arial"/>
                <w:sz w:val="10"/>
                <w:szCs w:val="10"/>
                <w:b w:val="1"/>
                <w:bCs w:val="1"/>
                <w:color w:val="auto"/>
                <w:w w:val="94"/>
              </w:rPr>
              <w:t>(1)</w:t>
            </w:r>
          </w:p>
        </w:tc>
        <w:tc>
          <w:tcPr>
            <w:tcW w:w="160" w:type="dxa"/>
            <w:vAlign w:val="bottom"/>
            <w:tcBorders>
              <w:bottom w:val="single" w:sz="8" w:color="auto"/>
            </w:tcBorders>
          </w:tcPr>
          <w:p>
            <w:pPr>
              <w:spacing w:after="0"/>
              <w:rPr>
                <w:sz w:val="14"/>
                <w:szCs w:val="14"/>
                <w:color w:val="auto"/>
              </w:rPr>
            </w:pPr>
          </w:p>
        </w:tc>
        <w:tc>
          <w:tcPr>
            <w:tcW w:w="800" w:type="dxa"/>
            <w:vAlign w:val="bottom"/>
            <w:tcBorders>
              <w:bottom w:val="single" w:sz="8" w:color="auto"/>
              <w:right w:val="single" w:sz="8" w:color="auto"/>
            </w:tcBorders>
          </w:tcPr>
          <w:p>
            <w:pPr>
              <w:jc w:val="right"/>
              <w:ind w:right="129"/>
              <w:spacing w:after="0"/>
              <w:rPr>
                <w:sz w:val="20"/>
                <w:szCs w:val="20"/>
                <w:color w:val="auto"/>
              </w:rPr>
            </w:pPr>
            <w:r>
              <w:rPr>
                <w:rFonts w:ascii="Arial" w:cs="Arial" w:eastAsia="Arial" w:hAnsi="Arial"/>
                <w:sz w:val="13"/>
                <w:szCs w:val="13"/>
                <w:b w:val="1"/>
                <w:bCs w:val="1"/>
                <w:color w:val="auto"/>
                <w:w w:val="97"/>
              </w:rPr>
              <w:t>Awards</w:t>
            </w:r>
            <w:r>
              <w:rPr>
                <w:rFonts w:ascii="Arial" w:cs="Arial" w:eastAsia="Arial" w:hAnsi="Arial"/>
                <w:sz w:val="10"/>
                <w:szCs w:val="10"/>
                <w:b w:val="1"/>
                <w:bCs w:val="1"/>
                <w:color w:val="auto"/>
                <w:w w:val="97"/>
              </w:rPr>
              <w:t>(2)</w:t>
            </w:r>
          </w:p>
        </w:tc>
        <w:tc>
          <w:tcPr>
            <w:tcW w:w="1280" w:type="dxa"/>
            <w:vAlign w:val="bottom"/>
            <w:tcBorders>
              <w:bottom w:val="single" w:sz="8" w:color="auto"/>
              <w:right w:val="single" w:sz="8" w:color="auto"/>
            </w:tcBorders>
            <w:gridSpan w:val="2"/>
          </w:tcPr>
          <w:p>
            <w:pPr>
              <w:jc w:val="center"/>
              <w:spacing w:after="0"/>
              <w:rPr>
                <w:sz w:val="20"/>
                <w:szCs w:val="20"/>
                <w:color w:val="auto"/>
              </w:rPr>
            </w:pPr>
            <w:r>
              <w:rPr>
                <w:rFonts w:ascii="Arial" w:cs="Arial" w:eastAsia="Arial" w:hAnsi="Arial"/>
                <w:sz w:val="13"/>
                <w:szCs w:val="13"/>
                <w:b w:val="1"/>
                <w:bCs w:val="1"/>
                <w:color w:val="auto"/>
                <w:w w:val="97"/>
              </w:rPr>
              <w:t>Compensation</w:t>
            </w:r>
            <w:r>
              <w:rPr>
                <w:rFonts w:ascii="Arial" w:cs="Arial" w:eastAsia="Arial" w:hAnsi="Arial"/>
                <w:sz w:val="10"/>
                <w:szCs w:val="10"/>
                <w:b w:val="1"/>
                <w:bCs w:val="1"/>
                <w:color w:val="auto"/>
                <w:w w:val="97"/>
              </w:rPr>
              <w:t>(3)</w:t>
            </w:r>
          </w:p>
        </w:tc>
        <w:tc>
          <w:tcPr>
            <w:tcW w:w="200" w:type="dxa"/>
            <w:vAlign w:val="bottom"/>
            <w:tcBorders>
              <w:bottom w:val="single" w:sz="8" w:color="auto"/>
            </w:tcBorders>
          </w:tcPr>
          <w:p>
            <w:pPr>
              <w:spacing w:after="0"/>
              <w:rPr>
                <w:sz w:val="14"/>
                <w:szCs w:val="14"/>
                <w:color w:val="auto"/>
              </w:rPr>
            </w:pPr>
          </w:p>
        </w:tc>
        <w:tc>
          <w:tcPr>
            <w:tcW w:w="940" w:type="dxa"/>
            <w:vAlign w:val="bottom"/>
            <w:tcBorders>
              <w:bottom w:val="single" w:sz="8" w:color="auto"/>
              <w:right w:val="single" w:sz="8" w:color="auto"/>
            </w:tcBorders>
          </w:tcPr>
          <w:p>
            <w:pPr>
              <w:jc w:val="center"/>
              <w:ind w:right="150"/>
              <w:spacing w:after="0"/>
              <w:rPr>
                <w:sz w:val="20"/>
                <w:szCs w:val="20"/>
                <w:color w:val="auto"/>
              </w:rPr>
            </w:pPr>
            <w:r>
              <w:rPr>
                <w:rFonts w:ascii="Arial" w:cs="Arial" w:eastAsia="Arial" w:hAnsi="Arial"/>
                <w:sz w:val="13"/>
                <w:szCs w:val="13"/>
                <w:b w:val="1"/>
                <w:bCs w:val="1"/>
                <w:color w:val="auto"/>
              </w:rPr>
              <w:t>Earnings</w:t>
            </w:r>
            <w:r>
              <w:rPr>
                <w:rFonts w:ascii="Arial" w:cs="Arial" w:eastAsia="Arial" w:hAnsi="Arial"/>
                <w:sz w:val="10"/>
                <w:szCs w:val="10"/>
                <w:b w:val="1"/>
                <w:bCs w:val="1"/>
                <w:color w:val="auto"/>
              </w:rPr>
              <w:t>(4)</w:t>
            </w:r>
          </w:p>
        </w:tc>
        <w:tc>
          <w:tcPr>
            <w:tcW w:w="1280" w:type="dxa"/>
            <w:vAlign w:val="bottom"/>
            <w:tcBorders>
              <w:bottom w:val="single" w:sz="8" w:color="auto"/>
              <w:right w:val="single" w:sz="8" w:color="auto"/>
            </w:tcBorders>
            <w:gridSpan w:val="2"/>
          </w:tcPr>
          <w:p>
            <w:pPr>
              <w:jc w:val="right"/>
              <w:ind w:right="89"/>
              <w:spacing w:after="0"/>
              <w:rPr>
                <w:sz w:val="20"/>
                <w:szCs w:val="20"/>
                <w:color w:val="auto"/>
              </w:rPr>
            </w:pPr>
            <w:r>
              <w:rPr>
                <w:rFonts w:ascii="Arial" w:cs="Arial" w:eastAsia="Arial" w:hAnsi="Arial"/>
                <w:sz w:val="13"/>
                <w:szCs w:val="13"/>
                <w:b w:val="1"/>
                <w:bCs w:val="1"/>
                <w:color w:val="auto"/>
              </w:rPr>
              <w:t>Compensation</w:t>
            </w:r>
            <w:r>
              <w:rPr>
                <w:rFonts w:ascii="Arial" w:cs="Arial" w:eastAsia="Arial" w:hAnsi="Arial"/>
                <w:sz w:val="10"/>
                <w:szCs w:val="10"/>
                <w:b w:val="1"/>
                <w:bCs w:val="1"/>
                <w:color w:val="auto"/>
              </w:rPr>
              <w:t>(5)</w:t>
            </w:r>
          </w:p>
        </w:tc>
        <w:tc>
          <w:tcPr>
            <w:tcW w:w="220" w:type="dxa"/>
            <w:vAlign w:val="bottom"/>
            <w:tcBorders>
              <w:bottom w:val="single" w:sz="8" w:color="auto"/>
            </w:tcBorders>
          </w:tcPr>
          <w:p>
            <w:pPr>
              <w:spacing w:after="0"/>
              <w:rPr>
                <w:sz w:val="14"/>
                <w:szCs w:val="14"/>
                <w:color w:val="auto"/>
              </w:rPr>
            </w:pPr>
          </w:p>
        </w:tc>
        <w:tc>
          <w:tcPr>
            <w:tcW w:w="920" w:type="dxa"/>
            <w:vAlign w:val="bottom"/>
            <w:tcBorders>
              <w:bottom w:val="single" w:sz="8" w:color="auto"/>
              <w:right w:val="single" w:sz="8" w:color="auto"/>
            </w:tcBorders>
          </w:tcPr>
          <w:p>
            <w:pPr>
              <w:jc w:val="right"/>
              <w:ind w:right="429"/>
              <w:spacing w:after="0"/>
              <w:rPr>
                <w:sz w:val="20"/>
                <w:szCs w:val="20"/>
                <w:color w:val="auto"/>
              </w:rPr>
            </w:pPr>
            <w:r>
              <w:rPr>
                <w:rFonts w:ascii="Arial" w:cs="Arial" w:eastAsia="Arial" w:hAnsi="Arial"/>
                <w:sz w:val="13"/>
                <w:szCs w:val="13"/>
                <w:b w:val="1"/>
                <w:bCs w:val="1"/>
                <w:color w:val="auto"/>
              </w:rPr>
              <w:t>Total</w:t>
            </w:r>
          </w:p>
        </w:tc>
        <w:tc>
          <w:tcPr>
            <w:tcW w:w="0" w:type="dxa"/>
            <w:vAlign w:val="bottom"/>
          </w:tcPr>
          <w:p>
            <w:pPr>
              <w:spacing w:after="0"/>
              <w:rPr>
                <w:sz w:val="1"/>
                <w:szCs w:val="1"/>
                <w:color w:val="auto"/>
              </w:rPr>
            </w:pPr>
          </w:p>
        </w:tc>
      </w:tr>
      <w:tr>
        <w:trPr>
          <w:trHeight w:val="156"/>
        </w:trPr>
        <w:tc>
          <w:tcPr>
            <w:tcW w:w="3220" w:type="dxa"/>
            <w:vAlign w:val="bottom"/>
            <w:tcBorders>
              <w:left w:val="single" w:sz="8" w:color="auto"/>
              <w:right w:val="single" w:sz="8" w:color="auto"/>
            </w:tcBorders>
            <w:vMerge w:val="restart"/>
            <w:shd w:val="clear" w:color="auto" w:fill="CCEEFF"/>
          </w:tcPr>
          <w:p>
            <w:pPr>
              <w:ind w:left="160"/>
              <w:spacing w:after="0"/>
              <w:rPr>
                <w:sz w:val="20"/>
                <w:szCs w:val="20"/>
                <w:color w:val="auto"/>
              </w:rPr>
            </w:pPr>
            <w:r>
              <w:rPr>
                <w:rFonts w:ascii="Arial" w:cs="Arial" w:eastAsia="Arial" w:hAnsi="Arial"/>
                <w:sz w:val="14"/>
                <w:szCs w:val="14"/>
                <w:color w:val="auto"/>
              </w:rPr>
              <w:t>Ward J. Timken, Jr. Chairman, CEO &amp;</w:t>
            </w:r>
          </w:p>
        </w:tc>
        <w:tc>
          <w:tcPr>
            <w:tcW w:w="580" w:type="dxa"/>
            <w:vAlign w:val="bottom"/>
            <w:tcBorders>
              <w:right w:val="single" w:sz="8" w:color="auto"/>
            </w:tcBorders>
            <w:shd w:val="clear" w:color="auto" w:fill="CCEEFF"/>
          </w:tcPr>
          <w:p>
            <w:pPr>
              <w:ind w:left="140"/>
              <w:spacing w:after="0" w:line="155" w:lineRule="exact"/>
              <w:rPr>
                <w:sz w:val="20"/>
                <w:szCs w:val="20"/>
                <w:color w:val="auto"/>
              </w:rPr>
            </w:pPr>
            <w:r>
              <w:rPr>
                <w:rFonts w:ascii="Arial" w:cs="Arial" w:eastAsia="Arial" w:hAnsi="Arial"/>
                <w:sz w:val="14"/>
                <w:szCs w:val="14"/>
                <w:color w:val="auto"/>
              </w:rPr>
              <w:t>2015</w:t>
            </w:r>
          </w:p>
        </w:tc>
        <w:tc>
          <w:tcPr>
            <w:tcW w:w="860" w:type="dxa"/>
            <w:vAlign w:val="bottom"/>
            <w:tcBorders>
              <w:right w:val="single" w:sz="8" w:color="auto"/>
            </w:tcBorders>
            <w:shd w:val="clear" w:color="auto" w:fill="CCEEFF"/>
          </w:tcPr>
          <w:p>
            <w:pPr>
              <w:jc w:val="center"/>
              <w:spacing w:after="0" w:line="155" w:lineRule="exact"/>
              <w:rPr>
                <w:sz w:val="20"/>
                <w:szCs w:val="20"/>
                <w:color w:val="auto"/>
              </w:rPr>
            </w:pPr>
            <w:r>
              <w:rPr>
                <w:rFonts w:ascii="Arial" w:cs="Arial" w:eastAsia="Arial" w:hAnsi="Arial"/>
                <w:sz w:val="14"/>
                <w:szCs w:val="14"/>
                <w:color w:val="auto"/>
              </w:rPr>
              <w:t>$ 865,200</w:t>
            </w:r>
          </w:p>
        </w:tc>
        <w:tc>
          <w:tcPr>
            <w:tcW w:w="180" w:type="dxa"/>
            <w:vAlign w:val="bottom"/>
            <w:shd w:val="clear" w:color="auto" w:fill="CCEEFF"/>
          </w:tcPr>
          <w:p>
            <w:pPr>
              <w:jc w:val="right"/>
              <w:spacing w:after="0" w:line="155" w:lineRule="exact"/>
              <w:rPr>
                <w:sz w:val="20"/>
                <w:szCs w:val="20"/>
                <w:color w:val="auto"/>
              </w:rPr>
            </w:pPr>
            <w:r>
              <w:rPr>
                <w:rFonts w:ascii="Arial" w:cs="Arial" w:eastAsia="Arial" w:hAnsi="Arial"/>
                <w:sz w:val="14"/>
                <w:szCs w:val="14"/>
                <w:color w:val="auto"/>
              </w:rPr>
              <w:t>$</w:t>
            </w:r>
          </w:p>
        </w:tc>
        <w:tc>
          <w:tcPr>
            <w:tcW w:w="800" w:type="dxa"/>
            <w:vAlign w:val="bottom"/>
            <w:tcBorders>
              <w:right w:val="single" w:sz="8" w:color="auto"/>
            </w:tcBorders>
            <w:shd w:val="clear" w:color="auto" w:fill="CCEEFF"/>
          </w:tcPr>
          <w:p>
            <w:pPr>
              <w:jc w:val="right"/>
              <w:ind w:right="69"/>
              <w:spacing w:after="0" w:line="155" w:lineRule="exact"/>
              <w:rPr>
                <w:sz w:val="20"/>
                <w:szCs w:val="20"/>
                <w:color w:val="auto"/>
              </w:rPr>
            </w:pPr>
            <w:r>
              <w:rPr>
                <w:rFonts w:ascii="Arial" w:cs="Arial" w:eastAsia="Arial" w:hAnsi="Arial"/>
                <w:sz w:val="14"/>
                <w:szCs w:val="14"/>
                <w:color w:val="auto"/>
              </w:rPr>
              <w:t>2,169,200</w:t>
            </w:r>
          </w:p>
        </w:tc>
        <w:tc>
          <w:tcPr>
            <w:tcW w:w="160" w:type="dxa"/>
            <w:vAlign w:val="bottom"/>
            <w:shd w:val="clear" w:color="auto" w:fill="CCEEFF"/>
          </w:tcPr>
          <w:p>
            <w:pPr>
              <w:jc w:val="right"/>
              <w:spacing w:after="0" w:line="155" w:lineRule="exact"/>
              <w:rPr>
                <w:sz w:val="20"/>
                <w:szCs w:val="20"/>
                <w:color w:val="auto"/>
              </w:rPr>
            </w:pPr>
            <w:r>
              <w:rPr>
                <w:rFonts w:ascii="Arial" w:cs="Arial" w:eastAsia="Arial" w:hAnsi="Arial"/>
                <w:sz w:val="14"/>
                <w:szCs w:val="14"/>
                <w:color w:val="auto"/>
              </w:rPr>
              <w:t>$</w:t>
            </w:r>
          </w:p>
        </w:tc>
        <w:tc>
          <w:tcPr>
            <w:tcW w:w="800" w:type="dxa"/>
            <w:vAlign w:val="bottom"/>
            <w:tcBorders>
              <w:right w:val="single" w:sz="8" w:color="auto"/>
            </w:tcBorders>
            <w:shd w:val="clear" w:color="auto" w:fill="CCEEFF"/>
          </w:tcPr>
          <w:p>
            <w:pPr>
              <w:jc w:val="right"/>
              <w:ind w:right="49"/>
              <w:spacing w:after="0" w:line="155" w:lineRule="exact"/>
              <w:rPr>
                <w:sz w:val="20"/>
                <w:szCs w:val="20"/>
                <w:color w:val="auto"/>
              </w:rPr>
            </w:pPr>
            <w:r>
              <w:rPr>
                <w:rFonts w:ascii="Arial" w:cs="Arial" w:eastAsia="Arial" w:hAnsi="Arial"/>
                <w:sz w:val="14"/>
                <w:szCs w:val="14"/>
                <w:color w:val="auto"/>
              </w:rPr>
              <w:t>960,450</w:t>
            </w:r>
          </w:p>
        </w:tc>
        <w:tc>
          <w:tcPr>
            <w:tcW w:w="180" w:type="dxa"/>
            <w:vAlign w:val="bottom"/>
            <w:shd w:val="clear" w:color="auto" w:fill="CCEEFF"/>
          </w:tcPr>
          <w:p>
            <w:pPr>
              <w:jc w:val="right"/>
              <w:spacing w:after="0" w:line="155" w:lineRule="exact"/>
              <w:rPr>
                <w:sz w:val="20"/>
                <w:szCs w:val="20"/>
                <w:color w:val="auto"/>
              </w:rPr>
            </w:pPr>
            <w:r>
              <w:rPr>
                <w:rFonts w:ascii="Arial" w:cs="Arial" w:eastAsia="Arial" w:hAnsi="Arial"/>
                <w:sz w:val="14"/>
                <w:szCs w:val="14"/>
                <w:color w:val="auto"/>
              </w:rPr>
              <w:t>$</w:t>
            </w:r>
          </w:p>
        </w:tc>
        <w:tc>
          <w:tcPr>
            <w:tcW w:w="1100" w:type="dxa"/>
            <w:vAlign w:val="bottom"/>
            <w:tcBorders>
              <w:right w:val="single" w:sz="8" w:color="auto"/>
            </w:tcBorders>
            <w:shd w:val="clear" w:color="auto" w:fill="CCEEFF"/>
          </w:tcPr>
          <w:p>
            <w:pPr>
              <w:jc w:val="right"/>
              <w:ind w:right="49"/>
              <w:spacing w:after="0" w:line="155" w:lineRule="exact"/>
              <w:rPr>
                <w:sz w:val="20"/>
                <w:szCs w:val="20"/>
                <w:color w:val="auto"/>
              </w:rPr>
            </w:pPr>
            <w:r>
              <w:rPr>
                <w:rFonts w:ascii="Arial" w:cs="Arial" w:eastAsia="Arial" w:hAnsi="Arial"/>
                <w:sz w:val="14"/>
                <w:szCs w:val="14"/>
                <w:color w:val="auto"/>
              </w:rPr>
              <w:t>0</w:t>
            </w:r>
          </w:p>
        </w:tc>
        <w:tc>
          <w:tcPr>
            <w:tcW w:w="200" w:type="dxa"/>
            <w:vAlign w:val="bottom"/>
            <w:shd w:val="clear" w:color="auto" w:fill="CCEEFF"/>
          </w:tcPr>
          <w:p>
            <w:pPr>
              <w:jc w:val="right"/>
              <w:spacing w:after="0" w:line="155" w:lineRule="exact"/>
              <w:rPr>
                <w:sz w:val="20"/>
                <w:szCs w:val="20"/>
                <w:color w:val="auto"/>
              </w:rPr>
            </w:pPr>
            <w:r>
              <w:rPr>
                <w:rFonts w:ascii="Arial" w:cs="Arial" w:eastAsia="Arial" w:hAnsi="Arial"/>
                <w:sz w:val="14"/>
                <w:szCs w:val="14"/>
                <w:color w:val="auto"/>
              </w:rPr>
              <w:t>$</w:t>
            </w:r>
          </w:p>
        </w:tc>
        <w:tc>
          <w:tcPr>
            <w:tcW w:w="940" w:type="dxa"/>
            <w:vAlign w:val="bottom"/>
            <w:tcBorders>
              <w:right w:val="single" w:sz="8" w:color="auto"/>
            </w:tcBorders>
            <w:shd w:val="clear" w:color="auto" w:fill="CCEEFF"/>
          </w:tcPr>
          <w:p>
            <w:pPr>
              <w:jc w:val="right"/>
              <w:ind w:right="50"/>
              <w:spacing w:after="0" w:line="155" w:lineRule="exact"/>
              <w:rPr>
                <w:sz w:val="20"/>
                <w:szCs w:val="20"/>
                <w:color w:val="auto"/>
              </w:rPr>
            </w:pPr>
            <w:r>
              <w:rPr>
                <w:rFonts w:ascii="Arial" w:cs="Arial" w:eastAsia="Arial" w:hAnsi="Arial"/>
                <w:sz w:val="14"/>
                <w:szCs w:val="14"/>
                <w:color w:val="auto"/>
              </w:rPr>
              <w:t>0</w:t>
            </w:r>
          </w:p>
        </w:tc>
        <w:tc>
          <w:tcPr>
            <w:tcW w:w="260" w:type="dxa"/>
            <w:vAlign w:val="bottom"/>
            <w:shd w:val="clear" w:color="auto" w:fill="CCEEFF"/>
          </w:tcPr>
          <w:p>
            <w:pPr>
              <w:jc w:val="right"/>
              <w:ind w:right="9"/>
              <w:spacing w:after="0" w:line="155" w:lineRule="exact"/>
              <w:rPr>
                <w:sz w:val="20"/>
                <w:szCs w:val="20"/>
                <w:color w:val="auto"/>
              </w:rPr>
            </w:pPr>
            <w:r>
              <w:rPr>
                <w:rFonts w:ascii="Arial" w:cs="Arial" w:eastAsia="Arial" w:hAnsi="Arial"/>
                <w:sz w:val="14"/>
                <w:szCs w:val="14"/>
                <w:color w:val="auto"/>
              </w:rPr>
              <w:t>$</w:t>
            </w:r>
          </w:p>
        </w:tc>
        <w:tc>
          <w:tcPr>
            <w:tcW w:w="1020" w:type="dxa"/>
            <w:vAlign w:val="bottom"/>
            <w:tcBorders>
              <w:right w:val="single" w:sz="8" w:color="auto"/>
            </w:tcBorders>
            <w:shd w:val="clear" w:color="auto" w:fill="CCEEFF"/>
          </w:tcPr>
          <w:p>
            <w:pPr>
              <w:jc w:val="right"/>
              <w:ind w:right="49"/>
              <w:spacing w:after="0" w:line="155" w:lineRule="exact"/>
              <w:rPr>
                <w:sz w:val="20"/>
                <w:szCs w:val="20"/>
                <w:color w:val="auto"/>
              </w:rPr>
            </w:pPr>
            <w:r>
              <w:rPr>
                <w:rFonts w:ascii="Arial" w:cs="Arial" w:eastAsia="Arial" w:hAnsi="Arial"/>
                <w:sz w:val="14"/>
                <w:szCs w:val="14"/>
                <w:color w:val="auto"/>
              </w:rPr>
              <w:t>193,640</w:t>
            </w:r>
          </w:p>
        </w:tc>
        <w:tc>
          <w:tcPr>
            <w:tcW w:w="220" w:type="dxa"/>
            <w:vAlign w:val="bottom"/>
            <w:shd w:val="clear" w:color="auto" w:fill="CCEEFF"/>
          </w:tcPr>
          <w:p>
            <w:pPr>
              <w:jc w:val="right"/>
              <w:spacing w:after="0" w:line="155" w:lineRule="exact"/>
              <w:rPr>
                <w:sz w:val="20"/>
                <w:szCs w:val="20"/>
                <w:color w:val="auto"/>
              </w:rPr>
            </w:pPr>
            <w:r>
              <w:rPr>
                <w:rFonts w:ascii="Arial" w:cs="Arial" w:eastAsia="Arial" w:hAnsi="Arial"/>
                <w:sz w:val="14"/>
                <w:szCs w:val="14"/>
                <w:color w:val="auto"/>
              </w:rPr>
              <w:t>$</w:t>
            </w:r>
          </w:p>
        </w:tc>
        <w:tc>
          <w:tcPr>
            <w:tcW w:w="920" w:type="dxa"/>
            <w:vAlign w:val="bottom"/>
            <w:tcBorders>
              <w:right w:val="single" w:sz="8" w:color="auto"/>
            </w:tcBorders>
            <w:shd w:val="clear" w:color="auto" w:fill="CCEEFF"/>
          </w:tcPr>
          <w:p>
            <w:pPr>
              <w:jc w:val="right"/>
              <w:ind w:right="169"/>
              <w:spacing w:after="0" w:line="155" w:lineRule="exact"/>
              <w:rPr>
                <w:sz w:val="20"/>
                <w:szCs w:val="20"/>
                <w:color w:val="auto"/>
              </w:rPr>
            </w:pPr>
            <w:r>
              <w:rPr>
                <w:rFonts w:ascii="Arial" w:cs="Arial" w:eastAsia="Arial" w:hAnsi="Arial"/>
                <w:sz w:val="14"/>
                <w:szCs w:val="14"/>
                <w:color w:val="auto"/>
              </w:rPr>
              <w:t>4,188,490</w:t>
            </w:r>
          </w:p>
        </w:tc>
        <w:tc>
          <w:tcPr>
            <w:tcW w:w="0" w:type="dxa"/>
            <w:vAlign w:val="bottom"/>
          </w:tcPr>
          <w:p>
            <w:pPr>
              <w:spacing w:after="0"/>
              <w:rPr>
                <w:sz w:val="1"/>
                <w:szCs w:val="1"/>
                <w:color w:val="auto"/>
              </w:rPr>
            </w:pPr>
          </w:p>
        </w:tc>
      </w:tr>
      <w:tr>
        <w:trPr>
          <w:trHeight w:val="86"/>
        </w:trPr>
        <w:tc>
          <w:tcPr>
            <w:tcW w:w="3220" w:type="dxa"/>
            <w:vAlign w:val="bottom"/>
            <w:tcBorders>
              <w:left w:val="single" w:sz="8" w:color="auto"/>
              <w:right w:val="single" w:sz="8" w:color="auto"/>
            </w:tcBorders>
            <w:vMerge w:val="continue"/>
            <w:shd w:val="clear" w:color="auto" w:fill="CCEEFF"/>
          </w:tcPr>
          <w:p>
            <w:pPr>
              <w:spacing w:after="0"/>
              <w:rPr>
                <w:sz w:val="7"/>
                <w:szCs w:val="7"/>
                <w:color w:val="auto"/>
              </w:rPr>
            </w:pPr>
          </w:p>
        </w:tc>
        <w:tc>
          <w:tcPr>
            <w:tcW w:w="580" w:type="dxa"/>
            <w:vAlign w:val="bottom"/>
            <w:tcBorders>
              <w:right w:val="single" w:sz="8" w:color="auto"/>
            </w:tcBorders>
            <w:vMerge w:val="restart"/>
          </w:tcPr>
          <w:p>
            <w:pPr>
              <w:ind w:left="140"/>
              <w:spacing w:after="0"/>
              <w:rPr>
                <w:sz w:val="20"/>
                <w:szCs w:val="20"/>
                <w:color w:val="auto"/>
              </w:rPr>
            </w:pPr>
            <w:r>
              <w:rPr>
                <w:rFonts w:ascii="Arial" w:cs="Arial" w:eastAsia="Arial" w:hAnsi="Arial"/>
                <w:sz w:val="14"/>
                <w:szCs w:val="14"/>
                <w:color w:val="auto"/>
              </w:rPr>
              <w:t>2014</w:t>
            </w:r>
          </w:p>
        </w:tc>
        <w:tc>
          <w:tcPr>
            <w:tcW w:w="86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4"/>
                <w:szCs w:val="14"/>
                <w:color w:val="auto"/>
              </w:rPr>
              <w:t>$ 865,200</w:t>
            </w:r>
          </w:p>
        </w:tc>
        <w:tc>
          <w:tcPr>
            <w:tcW w:w="180" w:type="dxa"/>
            <w:vAlign w:val="bottom"/>
            <w:vMerge w:val="restart"/>
          </w:tcPr>
          <w:p>
            <w:pPr>
              <w:jc w:val="right"/>
              <w:spacing w:after="0"/>
              <w:rPr>
                <w:sz w:val="20"/>
                <w:szCs w:val="20"/>
                <w:color w:val="auto"/>
              </w:rPr>
            </w:pPr>
            <w:r>
              <w:rPr>
                <w:rFonts w:ascii="Arial" w:cs="Arial" w:eastAsia="Arial" w:hAnsi="Arial"/>
                <w:sz w:val="14"/>
                <w:szCs w:val="14"/>
                <w:color w:val="auto"/>
              </w:rPr>
              <w:t>$</w:t>
            </w:r>
          </w:p>
        </w:tc>
        <w:tc>
          <w:tcPr>
            <w:tcW w:w="800" w:type="dxa"/>
            <w:vAlign w:val="bottom"/>
            <w:tcBorders>
              <w:right w:val="single" w:sz="8" w:color="auto"/>
            </w:tcBorders>
            <w:vMerge w:val="restart"/>
          </w:tcPr>
          <w:p>
            <w:pPr>
              <w:jc w:val="right"/>
              <w:ind w:right="69"/>
              <w:spacing w:after="0"/>
              <w:rPr>
                <w:sz w:val="20"/>
                <w:szCs w:val="20"/>
                <w:color w:val="auto"/>
              </w:rPr>
            </w:pPr>
            <w:r>
              <w:rPr>
                <w:rFonts w:ascii="Arial" w:cs="Arial" w:eastAsia="Arial" w:hAnsi="Arial"/>
                <w:sz w:val="14"/>
                <w:szCs w:val="14"/>
                <w:color w:val="auto"/>
              </w:rPr>
              <w:t>2,103,313</w:t>
            </w:r>
          </w:p>
        </w:tc>
        <w:tc>
          <w:tcPr>
            <w:tcW w:w="160" w:type="dxa"/>
            <w:vAlign w:val="bottom"/>
            <w:vMerge w:val="restart"/>
          </w:tcPr>
          <w:p>
            <w:pPr>
              <w:jc w:val="right"/>
              <w:spacing w:after="0"/>
              <w:rPr>
                <w:sz w:val="20"/>
                <w:szCs w:val="20"/>
                <w:color w:val="auto"/>
              </w:rPr>
            </w:pPr>
            <w:r>
              <w:rPr>
                <w:rFonts w:ascii="Arial" w:cs="Arial" w:eastAsia="Arial" w:hAnsi="Arial"/>
                <w:sz w:val="14"/>
                <w:szCs w:val="14"/>
                <w:color w:val="auto"/>
              </w:rPr>
              <w:t>$</w:t>
            </w:r>
          </w:p>
        </w:tc>
        <w:tc>
          <w:tcPr>
            <w:tcW w:w="800" w:type="dxa"/>
            <w:vAlign w:val="bottom"/>
            <w:tcBorders>
              <w:right w:val="single" w:sz="8" w:color="auto"/>
            </w:tcBorders>
            <w:vMerge w:val="restart"/>
          </w:tcPr>
          <w:p>
            <w:pPr>
              <w:jc w:val="right"/>
              <w:ind w:right="49"/>
              <w:spacing w:after="0"/>
              <w:rPr>
                <w:sz w:val="20"/>
                <w:szCs w:val="20"/>
                <w:color w:val="auto"/>
              </w:rPr>
            </w:pPr>
            <w:r>
              <w:rPr>
                <w:rFonts w:ascii="Arial" w:cs="Arial" w:eastAsia="Arial" w:hAnsi="Arial"/>
                <w:sz w:val="14"/>
                <w:szCs w:val="14"/>
                <w:color w:val="auto"/>
              </w:rPr>
              <w:t>2,469,233</w:t>
            </w:r>
          </w:p>
        </w:tc>
        <w:tc>
          <w:tcPr>
            <w:tcW w:w="180" w:type="dxa"/>
            <w:vAlign w:val="bottom"/>
            <w:vMerge w:val="restart"/>
          </w:tcPr>
          <w:p>
            <w:pPr>
              <w:jc w:val="right"/>
              <w:spacing w:after="0"/>
              <w:rPr>
                <w:sz w:val="20"/>
                <w:szCs w:val="20"/>
                <w:color w:val="auto"/>
              </w:rPr>
            </w:pPr>
            <w:r>
              <w:rPr>
                <w:rFonts w:ascii="Arial" w:cs="Arial" w:eastAsia="Arial" w:hAnsi="Arial"/>
                <w:sz w:val="14"/>
                <w:szCs w:val="14"/>
                <w:color w:val="auto"/>
              </w:rPr>
              <w:t>$</w:t>
            </w:r>
          </w:p>
        </w:tc>
        <w:tc>
          <w:tcPr>
            <w:tcW w:w="1100" w:type="dxa"/>
            <w:vAlign w:val="bottom"/>
            <w:tcBorders>
              <w:right w:val="single" w:sz="8" w:color="auto"/>
            </w:tcBorders>
            <w:vMerge w:val="restart"/>
          </w:tcPr>
          <w:p>
            <w:pPr>
              <w:jc w:val="right"/>
              <w:ind w:right="49"/>
              <w:spacing w:after="0"/>
              <w:rPr>
                <w:sz w:val="20"/>
                <w:szCs w:val="20"/>
                <w:color w:val="auto"/>
              </w:rPr>
            </w:pPr>
            <w:r>
              <w:rPr>
                <w:rFonts w:ascii="Arial" w:cs="Arial" w:eastAsia="Arial" w:hAnsi="Arial"/>
                <w:sz w:val="14"/>
                <w:szCs w:val="14"/>
                <w:color w:val="auto"/>
              </w:rPr>
              <w:t>1,210,069</w:t>
            </w:r>
          </w:p>
        </w:tc>
        <w:tc>
          <w:tcPr>
            <w:tcW w:w="200" w:type="dxa"/>
            <w:vAlign w:val="bottom"/>
            <w:vMerge w:val="restart"/>
          </w:tcPr>
          <w:p>
            <w:pPr>
              <w:jc w:val="right"/>
              <w:spacing w:after="0"/>
              <w:rPr>
                <w:sz w:val="20"/>
                <w:szCs w:val="20"/>
                <w:color w:val="auto"/>
              </w:rPr>
            </w:pPr>
            <w:r>
              <w:rPr>
                <w:rFonts w:ascii="Arial" w:cs="Arial" w:eastAsia="Arial" w:hAnsi="Arial"/>
                <w:sz w:val="14"/>
                <w:szCs w:val="14"/>
                <w:color w:val="auto"/>
              </w:rPr>
              <w:t>$</w:t>
            </w:r>
          </w:p>
        </w:tc>
        <w:tc>
          <w:tcPr>
            <w:tcW w:w="940" w:type="dxa"/>
            <w:vAlign w:val="bottom"/>
            <w:tcBorders>
              <w:right w:val="single" w:sz="8" w:color="auto"/>
            </w:tcBorders>
            <w:vMerge w:val="restart"/>
          </w:tcPr>
          <w:p>
            <w:pPr>
              <w:jc w:val="right"/>
              <w:ind w:right="50"/>
              <w:spacing w:after="0"/>
              <w:rPr>
                <w:sz w:val="20"/>
                <w:szCs w:val="20"/>
                <w:color w:val="auto"/>
              </w:rPr>
            </w:pPr>
            <w:r>
              <w:rPr>
                <w:rFonts w:ascii="Arial" w:cs="Arial" w:eastAsia="Arial" w:hAnsi="Arial"/>
                <w:sz w:val="14"/>
                <w:szCs w:val="14"/>
                <w:color w:val="auto"/>
              </w:rPr>
              <w:t>2,586,000</w:t>
            </w:r>
          </w:p>
        </w:tc>
        <w:tc>
          <w:tcPr>
            <w:tcW w:w="260" w:type="dxa"/>
            <w:vAlign w:val="bottom"/>
            <w:vMerge w:val="restart"/>
          </w:tcPr>
          <w:p>
            <w:pPr>
              <w:jc w:val="right"/>
              <w:ind w:right="9"/>
              <w:spacing w:after="0"/>
              <w:rPr>
                <w:sz w:val="20"/>
                <w:szCs w:val="20"/>
                <w:color w:val="auto"/>
              </w:rPr>
            </w:pPr>
            <w:r>
              <w:rPr>
                <w:rFonts w:ascii="Arial" w:cs="Arial" w:eastAsia="Arial" w:hAnsi="Arial"/>
                <w:sz w:val="14"/>
                <w:szCs w:val="14"/>
                <w:color w:val="auto"/>
              </w:rPr>
              <w:t>$</w:t>
            </w:r>
          </w:p>
        </w:tc>
        <w:tc>
          <w:tcPr>
            <w:tcW w:w="1020" w:type="dxa"/>
            <w:vAlign w:val="bottom"/>
            <w:tcBorders>
              <w:right w:val="single" w:sz="8" w:color="auto"/>
            </w:tcBorders>
            <w:vMerge w:val="restart"/>
          </w:tcPr>
          <w:p>
            <w:pPr>
              <w:jc w:val="right"/>
              <w:ind w:right="49"/>
              <w:spacing w:after="0"/>
              <w:rPr>
                <w:sz w:val="20"/>
                <w:szCs w:val="20"/>
                <w:color w:val="auto"/>
              </w:rPr>
            </w:pPr>
            <w:r>
              <w:rPr>
                <w:rFonts w:ascii="Arial" w:cs="Arial" w:eastAsia="Arial" w:hAnsi="Arial"/>
                <w:sz w:val="14"/>
                <w:szCs w:val="14"/>
                <w:color w:val="auto"/>
              </w:rPr>
              <w:t>171,847</w:t>
            </w:r>
          </w:p>
        </w:tc>
        <w:tc>
          <w:tcPr>
            <w:tcW w:w="220" w:type="dxa"/>
            <w:vAlign w:val="bottom"/>
            <w:vMerge w:val="restart"/>
          </w:tcPr>
          <w:p>
            <w:pPr>
              <w:jc w:val="right"/>
              <w:spacing w:after="0"/>
              <w:rPr>
                <w:sz w:val="20"/>
                <w:szCs w:val="20"/>
                <w:color w:val="auto"/>
              </w:rPr>
            </w:pPr>
            <w:r>
              <w:rPr>
                <w:rFonts w:ascii="Arial" w:cs="Arial" w:eastAsia="Arial" w:hAnsi="Arial"/>
                <w:sz w:val="14"/>
                <w:szCs w:val="14"/>
                <w:color w:val="auto"/>
              </w:rPr>
              <w:t>$</w:t>
            </w:r>
          </w:p>
        </w:tc>
        <w:tc>
          <w:tcPr>
            <w:tcW w:w="920" w:type="dxa"/>
            <w:vAlign w:val="bottom"/>
            <w:tcBorders>
              <w:right w:val="single" w:sz="8" w:color="auto"/>
            </w:tcBorders>
            <w:vMerge w:val="restart"/>
          </w:tcPr>
          <w:p>
            <w:pPr>
              <w:jc w:val="right"/>
              <w:ind w:right="169"/>
              <w:spacing w:after="0"/>
              <w:rPr>
                <w:sz w:val="20"/>
                <w:szCs w:val="20"/>
                <w:color w:val="auto"/>
              </w:rPr>
            </w:pPr>
            <w:r>
              <w:rPr>
                <w:rFonts w:ascii="Arial" w:cs="Arial" w:eastAsia="Arial" w:hAnsi="Arial"/>
                <w:sz w:val="14"/>
                <w:szCs w:val="14"/>
                <w:color w:val="auto"/>
              </w:rPr>
              <w:t>9,405,662</w:t>
            </w:r>
          </w:p>
        </w:tc>
        <w:tc>
          <w:tcPr>
            <w:tcW w:w="0" w:type="dxa"/>
            <w:vAlign w:val="bottom"/>
          </w:tcPr>
          <w:p>
            <w:pPr>
              <w:spacing w:after="0"/>
              <w:rPr>
                <w:sz w:val="1"/>
                <w:szCs w:val="1"/>
                <w:color w:val="auto"/>
              </w:rPr>
            </w:pPr>
          </w:p>
        </w:tc>
      </w:tr>
      <w:tr>
        <w:trPr>
          <w:trHeight w:val="76"/>
        </w:trPr>
        <w:tc>
          <w:tcPr>
            <w:tcW w:w="3220" w:type="dxa"/>
            <w:vAlign w:val="bottom"/>
            <w:tcBorders>
              <w:left w:val="single" w:sz="8" w:color="auto"/>
              <w:right w:val="single" w:sz="8" w:color="auto"/>
            </w:tcBorders>
            <w:vMerge w:val="restart"/>
            <w:shd w:val="clear" w:color="auto" w:fill="CCEEFF"/>
          </w:tcPr>
          <w:p>
            <w:pPr>
              <w:ind w:left="160"/>
              <w:spacing w:after="0"/>
              <w:rPr>
                <w:sz w:val="20"/>
                <w:szCs w:val="20"/>
                <w:color w:val="auto"/>
              </w:rPr>
            </w:pPr>
            <w:r>
              <w:rPr>
                <w:rFonts w:ascii="Arial" w:cs="Arial" w:eastAsia="Arial" w:hAnsi="Arial"/>
                <w:sz w:val="14"/>
                <w:szCs w:val="14"/>
                <w:color w:val="auto"/>
              </w:rPr>
              <w:t>President</w:t>
            </w:r>
          </w:p>
        </w:tc>
        <w:tc>
          <w:tcPr>
            <w:tcW w:w="580" w:type="dxa"/>
            <w:vAlign w:val="bottom"/>
            <w:tcBorders>
              <w:right w:val="single" w:sz="8" w:color="auto"/>
            </w:tcBorders>
            <w:vMerge w:val="continue"/>
          </w:tcPr>
          <w:p>
            <w:pPr>
              <w:spacing w:after="0"/>
              <w:rPr>
                <w:sz w:val="6"/>
                <w:szCs w:val="6"/>
                <w:color w:val="auto"/>
              </w:rPr>
            </w:pPr>
          </w:p>
        </w:tc>
        <w:tc>
          <w:tcPr>
            <w:tcW w:w="860" w:type="dxa"/>
            <w:vAlign w:val="bottom"/>
            <w:tcBorders>
              <w:right w:val="single" w:sz="8" w:color="auto"/>
            </w:tcBorders>
            <w:vMerge w:val="continue"/>
          </w:tcPr>
          <w:p>
            <w:pPr>
              <w:spacing w:after="0"/>
              <w:rPr>
                <w:sz w:val="6"/>
                <w:szCs w:val="6"/>
                <w:color w:val="auto"/>
              </w:rPr>
            </w:pPr>
          </w:p>
        </w:tc>
        <w:tc>
          <w:tcPr>
            <w:tcW w:w="180" w:type="dxa"/>
            <w:vAlign w:val="bottom"/>
            <w:vMerge w:val="continue"/>
          </w:tcPr>
          <w:p>
            <w:pPr>
              <w:spacing w:after="0"/>
              <w:rPr>
                <w:sz w:val="6"/>
                <w:szCs w:val="6"/>
                <w:color w:val="auto"/>
              </w:rPr>
            </w:pPr>
          </w:p>
        </w:tc>
        <w:tc>
          <w:tcPr>
            <w:tcW w:w="800" w:type="dxa"/>
            <w:vAlign w:val="bottom"/>
            <w:tcBorders>
              <w:right w:val="single" w:sz="8" w:color="auto"/>
            </w:tcBorders>
            <w:vMerge w:val="continue"/>
          </w:tcPr>
          <w:p>
            <w:pPr>
              <w:spacing w:after="0"/>
              <w:rPr>
                <w:sz w:val="6"/>
                <w:szCs w:val="6"/>
                <w:color w:val="auto"/>
              </w:rPr>
            </w:pPr>
          </w:p>
        </w:tc>
        <w:tc>
          <w:tcPr>
            <w:tcW w:w="160" w:type="dxa"/>
            <w:vAlign w:val="bottom"/>
            <w:vMerge w:val="continue"/>
          </w:tcPr>
          <w:p>
            <w:pPr>
              <w:spacing w:after="0"/>
              <w:rPr>
                <w:sz w:val="6"/>
                <w:szCs w:val="6"/>
                <w:color w:val="auto"/>
              </w:rPr>
            </w:pPr>
          </w:p>
        </w:tc>
        <w:tc>
          <w:tcPr>
            <w:tcW w:w="800" w:type="dxa"/>
            <w:vAlign w:val="bottom"/>
            <w:tcBorders>
              <w:right w:val="single" w:sz="8" w:color="auto"/>
            </w:tcBorders>
            <w:vMerge w:val="continue"/>
          </w:tcPr>
          <w:p>
            <w:pPr>
              <w:spacing w:after="0"/>
              <w:rPr>
                <w:sz w:val="6"/>
                <w:szCs w:val="6"/>
                <w:color w:val="auto"/>
              </w:rPr>
            </w:pPr>
          </w:p>
        </w:tc>
        <w:tc>
          <w:tcPr>
            <w:tcW w:w="180" w:type="dxa"/>
            <w:vAlign w:val="bottom"/>
            <w:vMerge w:val="continue"/>
          </w:tcPr>
          <w:p>
            <w:pPr>
              <w:spacing w:after="0"/>
              <w:rPr>
                <w:sz w:val="6"/>
                <w:szCs w:val="6"/>
                <w:color w:val="auto"/>
              </w:rPr>
            </w:pPr>
          </w:p>
        </w:tc>
        <w:tc>
          <w:tcPr>
            <w:tcW w:w="1100" w:type="dxa"/>
            <w:vAlign w:val="bottom"/>
            <w:tcBorders>
              <w:right w:val="single" w:sz="8" w:color="auto"/>
            </w:tcBorders>
            <w:vMerge w:val="continue"/>
          </w:tcPr>
          <w:p>
            <w:pPr>
              <w:spacing w:after="0"/>
              <w:rPr>
                <w:sz w:val="6"/>
                <w:szCs w:val="6"/>
                <w:color w:val="auto"/>
              </w:rPr>
            </w:pPr>
          </w:p>
        </w:tc>
        <w:tc>
          <w:tcPr>
            <w:tcW w:w="200" w:type="dxa"/>
            <w:vAlign w:val="bottom"/>
            <w:vMerge w:val="continue"/>
          </w:tcPr>
          <w:p>
            <w:pPr>
              <w:spacing w:after="0"/>
              <w:rPr>
                <w:sz w:val="6"/>
                <w:szCs w:val="6"/>
                <w:color w:val="auto"/>
              </w:rPr>
            </w:pPr>
          </w:p>
        </w:tc>
        <w:tc>
          <w:tcPr>
            <w:tcW w:w="940" w:type="dxa"/>
            <w:vAlign w:val="bottom"/>
            <w:tcBorders>
              <w:right w:val="single" w:sz="8" w:color="auto"/>
            </w:tcBorders>
            <w:vMerge w:val="continue"/>
          </w:tcPr>
          <w:p>
            <w:pPr>
              <w:spacing w:after="0"/>
              <w:rPr>
                <w:sz w:val="6"/>
                <w:szCs w:val="6"/>
                <w:color w:val="auto"/>
              </w:rPr>
            </w:pPr>
          </w:p>
        </w:tc>
        <w:tc>
          <w:tcPr>
            <w:tcW w:w="260" w:type="dxa"/>
            <w:vAlign w:val="bottom"/>
            <w:vMerge w:val="continue"/>
          </w:tcPr>
          <w:p>
            <w:pPr>
              <w:spacing w:after="0"/>
              <w:rPr>
                <w:sz w:val="6"/>
                <w:szCs w:val="6"/>
                <w:color w:val="auto"/>
              </w:rPr>
            </w:pPr>
          </w:p>
        </w:tc>
        <w:tc>
          <w:tcPr>
            <w:tcW w:w="1020" w:type="dxa"/>
            <w:vAlign w:val="bottom"/>
            <w:tcBorders>
              <w:right w:val="single" w:sz="8" w:color="auto"/>
            </w:tcBorders>
            <w:vMerge w:val="continue"/>
          </w:tcPr>
          <w:p>
            <w:pPr>
              <w:spacing w:after="0"/>
              <w:rPr>
                <w:sz w:val="6"/>
                <w:szCs w:val="6"/>
                <w:color w:val="auto"/>
              </w:rPr>
            </w:pPr>
          </w:p>
        </w:tc>
        <w:tc>
          <w:tcPr>
            <w:tcW w:w="220" w:type="dxa"/>
            <w:vAlign w:val="bottom"/>
            <w:vMerge w:val="continue"/>
          </w:tcPr>
          <w:p>
            <w:pPr>
              <w:spacing w:after="0"/>
              <w:rPr>
                <w:sz w:val="6"/>
                <w:szCs w:val="6"/>
                <w:color w:val="auto"/>
              </w:rPr>
            </w:pPr>
          </w:p>
        </w:tc>
        <w:tc>
          <w:tcPr>
            <w:tcW w:w="920" w:type="dxa"/>
            <w:vAlign w:val="bottom"/>
            <w:tcBorders>
              <w:right w:val="single" w:sz="8" w:color="auto"/>
            </w:tcBorders>
            <w:vMerge w:val="continue"/>
          </w:tcPr>
          <w:p>
            <w:pPr>
              <w:spacing w:after="0"/>
              <w:rPr>
                <w:sz w:val="6"/>
                <w:szCs w:val="6"/>
                <w:color w:val="auto"/>
              </w:rPr>
            </w:pPr>
          </w:p>
        </w:tc>
        <w:tc>
          <w:tcPr>
            <w:tcW w:w="0" w:type="dxa"/>
            <w:vAlign w:val="bottom"/>
          </w:tcPr>
          <w:p>
            <w:pPr>
              <w:spacing w:after="0"/>
              <w:rPr>
                <w:sz w:val="1"/>
                <w:szCs w:val="1"/>
                <w:color w:val="auto"/>
              </w:rPr>
            </w:pPr>
          </w:p>
        </w:tc>
      </w:tr>
      <w:tr>
        <w:trPr>
          <w:trHeight w:val="96"/>
        </w:trPr>
        <w:tc>
          <w:tcPr>
            <w:tcW w:w="3220" w:type="dxa"/>
            <w:vAlign w:val="bottom"/>
            <w:tcBorders>
              <w:left w:val="single" w:sz="8" w:color="auto"/>
              <w:right w:val="single" w:sz="8" w:color="auto"/>
            </w:tcBorders>
            <w:vMerge w:val="continue"/>
            <w:shd w:val="clear" w:color="auto" w:fill="CCEEFF"/>
          </w:tcPr>
          <w:p>
            <w:pPr>
              <w:spacing w:after="0"/>
              <w:rPr>
                <w:sz w:val="8"/>
                <w:szCs w:val="8"/>
                <w:color w:val="auto"/>
              </w:rPr>
            </w:pPr>
          </w:p>
        </w:tc>
        <w:tc>
          <w:tcPr>
            <w:tcW w:w="580" w:type="dxa"/>
            <w:vAlign w:val="bottom"/>
            <w:tcBorders>
              <w:right w:val="single" w:sz="8" w:color="auto"/>
            </w:tcBorders>
            <w:vMerge w:val="restart"/>
            <w:shd w:val="clear" w:color="auto" w:fill="CCEEFF"/>
          </w:tcPr>
          <w:p>
            <w:pPr>
              <w:ind w:left="140"/>
              <w:spacing w:after="0"/>
              <w:rPr>
                <w:sz w:val="20"/>
                <w:szCs w:val="20"/>
                <w:color w:val="auto"/>
              </w:rPr>
            </w:pPr>
            <w:r>
              <w:rPr>
                <w:rFonts w:ascii="Arial" w:cs="Arial" w:eastAsia="Arial" w:hAnsi="Arial"/>
                <w:sz w:val="14"/>
                <w:szCs w:val="14"/>
                <w:color w:val="auto"/>
              </w:rPr>
              <w:t>2013</w:t>
            </w:r>
          </w:p>
        </w:tc>
        <w:tc>
          <w:tcPr>
            <w:tcW w:w="860" w:type="dxa"/>
            <w:vAlign w:val="bottom"/>
            <w:tcBorders>
              <w:right w:val="single" w:sz="8" w:color="auto"/>
            </w:tcBorders>
            <w:vMerge w:val="restart"/>
            <w:shd w:val="clear" w:color="auto" w:fill="CCEEFF"/>
          </w:tcPr>
          <w:p>
            <w:pPr>
              <w:jc w:val="center"/>
              <w:spacing w:after="0"/>
              <w:rPr>
                <w:sz w:val="20"/>
                <w:szCs w:val="20"/>
                <w:color w:val="auto"/>
              </w:rPr>
            </w:pPr>
            <w:r>
              <w:rPr>
                <w:rFonts w:ascii="Arial" w:cs="Arial" w:eastAsia="Arial" w:hAnsi="Arial"/>
                <w:sz w:val="14"/>
                <w:szCs w:val="14"/>
                <w:color w:val="auto"/>
              </w:rPr>
              <w:t>$ 865,200</w:t>
            </w:r>
          </w:p>
        </w:tc>
        <w:tc>
          <w:tcPr>
            <w:tcW w:w="18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00" w:type="dxa"/>
            <w:vAlign w:val="bottom"/>
            <w:tcBorders>
              <w:right w:val="single" w:sz="8" w:color="auto"/>
            </w:tcBorders>
            <w:vMerge w:val="restart"/>
            <w:shd w:val="clear" w:color="auto" w:fill="CCEEFF"/>
          </w:tcPr>
          <w:p>
            <w:pPr>
              <w:jc w:val="right"/>
              <w:ind w:right="69"/>
              <w:spacing w:after="0"/>
              <w:rPr>
                <w:sz w:val="20"/>
                <w:szCs w:val="20"/>
                <w:color w:val="auto"/>
              </w:rPr>
            </w:pPr>
            <w:r>
              <w:rPr>
                <w:rFonts w:ascii="Arial" w:cs="Arial" w:eastAsia="Arial" w:hAnsi="Arial"/>
                <w:sz w:val="14"/>
                <w:szCs w:val="14"/>
                <w:color w:val="auto"/>
              </w:rPr>
              <w:t>1,316,718</w:t>
            </w:r>
          </w:p>
        </w:tc>
        <w:tc>
          <w:tcPr>
            <w:tcW w:w="16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00" w:type="dxa"/>
            <w:vAlign w:val="bottom"/>
            <w:tcBorders>
              <w:right w:val="single" w:sz="8" w:color="auto"/>
            </w:tcBorders>
            <w:vMerge w:val="restart"/>
            <w:shd w:val="clear" w:color="auto" w:fill="CCEEFF"/>
          </w:tcPr>
          <w:p>
            <w:pPr>
              <w:jc w:val="right"/>
              <w:ind w:right="49"/>
              <w:spacing w:after="0"/>
              <w:rPr>
                <w:sz w:val="20"/>
                <w:szCs w:val="20"/>
                <w:color w:val="auto"/>
              </w:rPr>
            </w:pPr>
            <w:r>
              <w:rPr>
                <w:rFonts w:ascii="Arial" w:cs="Arial" w:eastAsia="Arial" w:hAnsi="Arial"/>
                <w:sz w:val="14"/>
                <w:szCs w:val="14"/>
                <w:color w:val="auto"/>
              </w:rPr>
              <w:t>1,986,202</w:t>
            </w:r>
          </w:p>
        </w:tc>
        <w:tc>
          <w:tcPr>
            <w:tcW w:w="18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100" w:type="dxa"/>
            <w:vAlign w:val="bottom"/>
            <w:tcBorders>
              <w:right w:val="single" w:sz="8" w:color="auto"/>
            </w:tcBorders>
            <w:vMerge w:val="restart"/>
            <w:shd w:val="clear" w:color="auto" w:fill="CCEEFF"/>
          </w:tcPr>
          <w:p>
            <w:pPr>
              <w:jc w:val="right"/>
              <w:ind w:right="49"/>
              <w:spacing w:after="0"/>
              <w:rPr>
                <w:sz w:val="20"/>
                <w:szCs w:val="20"/>
                <w:color w:val="auto"/>
              </w:rPr>
            </w:pPr>
            <w:r>
              <w:rPr>
                <w:rFonts w:ascii="Arial" w:cs="Arial" w:eastAsia="Arial" w:hAnsi="Arial"/>
                <w:sz w:val="14"/>
                <w:szCs w:val="14"/>
                <w:color w:val="auto"/>
              </w:rPr>
              <w:t>1,896,472</w:t>
            </w:r>
          </w:p>
        </w:tc>
        <w:tc>
          <w:tcPr>
            <w:tcW w:w="20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40" w:type="dxa"/>
            <w:vAlign w:val="bottom"/>
            <w:tcBorders>
              <w:right w:val="single" w:sz="8" w:color="auto"/>
            </w:tcBorders>
            <w:vMerge w:val="restart"/>
            <w:shd w:val="clear" w:color="auto" w:fill="CCEEFF"/>
          </w:tcPr>
          <w:p>
            <w:pPr>
              <w:jc w:val="right"/>
              <w:ind w:right="50"/>
              <w:spacing w:after="0"/>
              <w:rPr>
                <w:sz w:val="20"/>
                <w:szCs w:val="20"/>
                <w:color w:val="auto"/>
              </w:rPr>
            </w:pPr>
            <w:r>
              <w:rPr>
                <w:rFonts w:ascii="Arial" w:cs="Arial" w:eastAsia="Arial" w:hAnsi="Arial"/>
                <w:sz w:val="14"/>
                <w:szCs w:val="14"/>
                <w:color w:val="auto"/>
              </w:rPr>
              <w:t>0</w:t>
            </w:r>
          </w:p>
        </w:tc>
        <w:tc>
          <w:tcPr>
            <w:tcW w:w="260" w:type="dxa"/>
            <w:vAlign w:val="bottom"/>
            <w:vMerge w:val="restart"/>
            <w:shd w:val="clear" w:color="auto" w:fill="CCEEFF"/>
          </w:tcPr>
          <w:p>
            <w:pPr>
              <w:jc w:val="right"/>
              <w:ind w:right="9"/>
              <w:spacing w:after="0"/>
              <w:rPr>
                <w:sz w:val="20"/>
                <w:szCs w:val="20"/>
                <w:color w:val="auto"/>
              </w:rPr>
            </w:pPr>
            <w:r>
              <w:rPr>
                <w:rFonts w:ascii="Arial" w:cs="Arial" w:eastAsia="Arial" w:hAnsi="Arial"/>
                <w:sz w:val="14"/>
                <w:szCs w:val="14"/>
                <w:color w:val="auto"/>
              </w:rPr>
              <w:t>$</w:t>
            </w:r>
          </w:p>
        </w:tc>
        <w:tc>
          <w:tcPr>
            <w:tcW w:w="1020" w:type="dxa"/>
            <w:vAlign w:val="bottom"/>
            <w:tcBorders>
              <w:right w:val="single" w:sz="8" w:color="auto"/>
            </w:tcBorders>
            <w:vMerge w:val="restart"/>
            <w:shd w:val="clear" w:color="auto" w:fill="CCEEFF"/>
          </w:tcPr>
          <w:p>
            <w:pPr>
              <w:jc w:val="right"/>
              <w:ind w:right="49"/>
              <w:spacing w:after="0"/>
              <w:rPr>
                <w:sz w:val="20"/>
                <w:szCs w:val="20"/>
                <w:color w:val="auto"/>
              </w:rPr>
            </w:pPr>
            <w:r>
              <w:rPr>
                <w:rFonts w:ascii="Arial" w:cs="Arial" w:eastAsia="Arial" w:hAnsi="Arial"/>
                <w:sz w:val="14"/>
                <w:szCs w:val="14"/>
                <w:color w:val="auto"/>
              </w:rPr>
              <w:t>198,393</w:t>
            </w:r>
          </w:p>
        </w:tc>
        <w:tc>
          <w:tcPr>
            <w:tcW w:w="22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20" w:type="dxa"/>
            <w:vAlign w:val="bottom"/>
            <w:tcBorders>
              <w:right w:val="single" w:sz="8" w:color="auto"/>
            </w:tcBorders>
            <w:vMerge w:val="restart"/>
            <w:shd w:val="clear" w:color="auto" w:fill="CCEEFF"/>
          </w:tcPr>
          <w:p>
            <w:pPr>
              <w:jc w:val="right"/>
              <w:ind w:right="169"/>
              <w:spacing w:after="0"/>
              <w:rPr>
                <w:sz w:val="20"/>
                <w:szCs w:val="20"/>
                <w:color w:val="auto"/>
              </w:rPr>
            </w:pPr>
            <w:r>
              <w:rPr>
                <w:rFonts w:ascii="Arial" w:cs="Arial" w:eastAsia="Arial" w:hAnsi="Arial"/>
                <w:sz w:val="14"/>
                <w:szCs w:val="14"/>
                <w:color w:val="auto"/>
              </w:rPr>
              <w:t>6,262,985</w:t>
            </w:r>
          </w:p>
        </w:tc>
        <w:tc>
          <w:tcPr>
            <w:tcW w:w="0" w:type="dxa"/>
            <w:vAlign w:val="bottom"/>
          </w:tcPr>
          <w:p>
            <w:pPr>
              <w:spacing w:after="0"/>
              <w:rPr>
                <w:sz w:val="1"/>
                <w:szCs w:val="1"/>
                <w:color w:val="auto"/>
              </w:rPr>
            </w:pPr>
          </w:p>
        </w:tc>
      </w:tr>
      <w:tr>
        <w:trPr>
          <w:trHeight w:val="66"/>
        </w:trPr>
        <w:tc>
          <w:tcPr>
            <w:tcW w:w="3220" w:type="dxa"/>
            <w:vAlign w:val="bottom"/>
            <w:tcBorders>
              <w:left w:val="single" w:sz="8" w:color="auto"/>
              <w:bottom w:val="single" w:sz="8" w:color="auto"/>
              <w:right w:val="single" w:sz="8" w:color="auto"/>
            </w:tcBorders>
            <w:shd w:val="clear" w:color="auto" w:fill="CCEEFF"/>
          </w:tcPr>
          <w:p>
            <w:pPr>
              <w:spacing w:after="0"/>
              <w:rPr>
                <w:sz w:val="5"/>
                <w:szCs w:val="5"/>
                <w:color w:val="auto"/>
              </w:rPr>
            </w:pPr>
          </w:p>
        </w:tc>
        <w:tc>
          <w:tcPr>
            <w:tcW w:w="580" w:type="dxa"/>
            <w:vAlign w:val="bottom"/>
            <w:tcBorders>
              <w:bottom w:val="single" w:sz="8" w:color="auto"/>
              <w:right w:val="single" w:sz="8" w:color="auto"/>
            </w:tcBorders>
            <w:vMerge w:val="continue"/>
            <w:shd w:val="clear" w:color="auto" w:fill="CCEEFF"/>
          </w:tcPr>
          <w:p>
            <w:pPr>
              <w:spacing w:after="0"/>
              <w:rPr>
                <w:sz w:val="5"/>
                <w:szCs w:val="5"/>
                <w:color w:val="auto"/>
              </w:rPr>
            </w:pPr>
          </w:p>
        </w:tc>
        <w:tc>
          <w:tcPr>
            <w:tcW w:w="860" w:type="dxa"/>
            <w:vAlign w:val="bottom"/>
            <w:tcBorders>
              <w:bottom w:val="single" w:sz="8" w:color="auto"/>
              <w:right w:val="single" w:sz="8" w:color="auto"/>
            </w:tcBorders>
            <w:vMerge w:val="continue"/>
            <w:shd w:val="clear" w:color="auto" w:fill="CCEEFF"/>
          </w:tcPr>
          <w:p>
            <w:pPr>
              <w:spacing w:after="0"/>
              <w:rPr>
                <w:sz w:val="5"/>
                <w:szCs w:val="5"/>
                <w:color w:val="auto"/>
              </w:rPr>
            </w:pPr>
          </w:p>
        </w:tc>
        <w:tc>
          <w:tcPr>
            <w:tcW w:w="180" w:type="dxa"/>
            <w:vAlign w:val="bottom"/>
            <w:tcBorders>
              <w:bottom w:val="single" w:sz="8" w:color="auto"/>
            </w:tcBorders>
            <w:vMerge w:val="continue"/>
            <w:shd w:val="clear" w:color="auto" w:fill="CCEEFF"/>
          </w:tcPr>
          <w:p>
            <w:pPr>
              <w:spacing w:after="0"/>
              <w:rPr>
                <w:sz w:val="5"/>
                <w:szCs w:val="5"/>
                <w:color w:val="auto"/>
              </w:rPr>
            </w:pPr>
          </w:p>
        </w:tc>
        <w:tc>
          <w:tcPr>
            <w:tcW w:w="800" w:type="dxa"/>
            <w:vAlign w:val="bottom"/>
            <w:tcBorders>
              <w:bottom w:val="single" w:sz="8" w:color="auto"/>
              <w:right w:val="single" w:sz="8" w:color="auto"/>
            </w:tcBorders>
            <w:vMerge w:val="continue"/>
            <w:shd w:val="clear" w:color="auto" w:fill="CCEEFF"/>
          </w:tcPr>
          <w:p>
            <w:pPr>
              <w:spacing w:after="0"/>
              <w:rPr>
                <w:sz w:val="5"/>
                <w:szCs w:val="5"/>
                <w:color w:val="auto"/>
              </w:rPr>
            </w:pPr>
          </w:p>
        </w:tc>
        <w:tc>
          <w:tcPr>
            <w:tcW w:w="160" w:type="dxa"/>
            <w:vAlign w:val="bottom"/>
            <w:tcBorders>
              <w:bottom w:val="single" w:sz="8" w:color="auto"/>
            </w:tcBorders>
            <w:vMerge w:val="continue"/>
            <w:shd w:val="clear" w:color="auto" w:fill="CCEEFF"/>
          </w:tcPr>
          <w:p>
            <w:pPr>
              <w:spacing w:after="0"/>
              <w:rPr>
                <w:sz w:val="5"/>
                <w:szCs w:val="5"/>
                <w:color w:val="auto"/>
              </w:rPr>
            </w:pPr>
          </w:p>
        </w:tc>
        <w:tc>
          <w:tcPr>
            <w:tcW w:w="800" w:type="dxa"/>
            <w:vAlign w:val="bottom"/>
            <w:tcBorders>
              <w:bottom w:val="single" w:sz="8" w:color="auto"/>
              <w:right w:val="single" w:sz="8" w:color="auto"/>
            </w:tcBorders>
            <w:vMerge w:val="continue"/>
            <w:shd w:val="clear" w:color="auto" w:fill="CCEEFF"/>
          </w:tcPr>
          <w:p>
            <w:pPr>
              <w:spacing w:after="0"/>
              <w:rPr>
                <w:sz w:val="5"/>
                <w:szCs w:val="5"/>
                <w:color w:val="auto"/>
              </w:rPr>
            </w:pPr>
          </w:p>
        </w:tc>
        <w:tc>
          <w:tcPr>
            <w:tcW w:w="180" w:type="dxa"/>
            <w:vAlign w:val="bottom"/>
            <w:tcBorders>
              <w:bottom w:val="single" w:sz="8" w:color="auto"/>
            </w:tcBorders>
            <w:vMerge w:val="continue"/>
            <w:shd w:val="clear" w:color="auto" w:fill="CCEEFF"/>
          </w:tcPr>
          <w:p>
            <w:pPr>
              <w:spacing w:after="0"/>
              <w:rPr>
                <w:sz w:val="5"/>
                <w:szCs w:val="5"/>
                <w:color w:val="auto"/>
              </w:rPr>
            </w:pPr>
          </w:p>
        </w:tc>
        <w:tc>
          <w:tcPr>
            <w:tcW w:w="1100" w:type="dxa"/>
            <w:vAlign w:val="bottom"/>
            <w:tcBorders>
              <w:bottom w:val="single" w:sz="8" w:color="auto"/>
              <w:right w:val="single" w:sz="8" w:color="auto"/>
            </w:tcBorders>
            <w:vMerge w:val="continue"/>
            <w:shd w:val="clear" w:color="auto" w:fill="CCEEFF"/>
          </w:tcPr>
          <w:p>
            <w:pPr>
              <w:spacing w:after="0"/>
              <w:rPr>
                <w:sz w:val="5"/>
                <w:szCs w:val="5"/>
                <w:color w:val="auto"/>
              </w:rPr>
            </w:pPr>
          </w:p>
        </w:tc>
        <w:tc>
          <w:tcPr>
            <w:tcW w:w="200" w:type="dxa"/>
            <w:vAlign w:val="bottom"/>
            <w:tcBorders>
              <w:bottom w:val="single" w:sz="8" w:color="auto"/>
            </w:tcBorders>
            <w:vMerge w:val="continue"/>
            <w:shd w:val="clear" w:color="auto" w:fill="CCEEFF"/>
          </w:tcPr>
          <w:p>
            <w:pPr>
              <w:spacing w:after="0"/>
              <w:rPr>
                <w:sz w:val="5"/>
                <w:szCs w:val="5"/>
                <w:color w:val="auto"/>
              </w:rPr>
            </w:pPr>
          </w:p>
        </w:tc>
        <w:tc>
          <w:tcPr>
            <w:tcW w:w="940" w:type="dxa"/>
            <w:vAlign w:val="bottom"/>
            <w:tcBorders>
              <w:bottom w:val="single" w:sz="8" w:color="auto"/>
              <w:right w:val="single" w:sz="8" w:color="auto"/>
            </w:tcBorders>
            <w:vMerge w:val="continue"/>
            <w:shd w:val="clear" w:color="auto" w:fill="CCEEFF"/>
          </w:tcPr>
          <w:p>
            <w:pPr>
              <w:spacing w:after="0"/>
              <w:rPr>
                <w:sz w:val="5"/>
                <w:szCs w:val="5"/>
                <w:color w:val="auto"/>
              </w:rPr>
            </w:pPr>
          </w:p>
        </w:tc>
        <w:tc>
          <w:tcPr>
            <w:tcW w:w="260" w:type="dxa"/>
            <w:vAlign w:val="bottom"/>
            <w:tcBorders>
              <w:bottom w:val="single" w:sz="8" w:color="auto"/>
            </w:tcBorders>
            <w:vMerge w:val="continue"/>
            <w:shd w:val="clear" w:color="auto" w:fill="CCEEFF"/>
          </w:tcPr>
          <w:p>
            <w:pPr>
              <w:spacing w:after="0"/>
              <w:rPr>
                <w:sz w:val="5"/>
                <w:szCs w:val="5"/>
                <w:color w:val="auto"/>
              </w:rPr>
            </w:pPr>
          </w:p>
        </w:tc>
        <w:tc>
          <w:tcPr>
            <w:tcW w:w="1020" w:type="dxa"/>
            <w:vAlign w:val="bottom"/>
            <w:tcBorders>
              <w:bottom w:val="single" w:sz="8" w:color="auto"/>
              <w:right w:val="single" w:sz="8" w:color="auto"/>
            </w:tcBorders>
            <w:vMerge w:val="continue"/>
            <w:shd w:val="clear" w:color="auto" w:fill="CCEEFF"/>
          </w:tcPr>
          <w:p>
            <w:pPr>
              <w:spacing w:after="0"/>
              <w:rPr>
                <w:sz w:val="5"/>
                <w:szCs w:val="5"/>
                <w:color w:val="auto"/>
              </w:rPr>
            </w:pPr>
          </w:p>
        </w:tc>
        <w:tc>
          <w:tcPr>
            <w:tcW w:w="220" w:type="dxa"/>
            <w:vAlign w:val="bottom"/>
            <w:tcBorders>
              <w:bottom w:val="single" w:sz="8" w:color="auto"/>
            </w:tcBorders>
            <w:vMerge w:val="continue"/>
            <w:shd w:val="clear" w:color="auto" w:fill="CCEEFF"/>
          </w:tcPr>
          <w:p>
            <w:pPr>
              <w:spacing w:after="0"/>
              <w:rPr>
                <w:sz w:val="5"/>
                <w:szCs w:val="5"/>
                <w:color w:val="auto"/>
              </w:rPr>
            </w:pPr>
          </w:p>
        </w:tc>
        <w:tc>
          <w:tcPr>
            <w:tcW w:w="920" w:type="dxa"/>
            <w:vAlign w:val="bottom"/>
            <w:tcBorders>
              <w:bottom w:val="single" w:sz="8" w:color="auto"/>
              <w:right w:val="single" w:sz="8" w:color="auto"/>
            </w:tcBorders>
            <w:vMerge w:val="continue"/>
            <w:shd w:val="clear" w:color="auto" w:fill="CCEEFF"/>
          </w:tcPr>
          <w:p>
            <w:pPr>
              <w:spacing w:after="0"/>
              <w:rPr>
                <w:sz w:val="5"/>
                <w:szCs w:val="5"/>
                <w:color w:val="auto"/>
              </w:rPr>
            </w:pPr>
          </w:p>
        </w:tc>
        <w:tc>
          <w:tcPr>
            <w:tcW w:w="0" w:type="dxa"/>
            <w:vAlign w:val="bottom"/>
          </w:tcPr>
          <w:p>
            <w:pPr>
              <w:spacing w:after="0"/>
              <w:rPr>
                <w:sz w:val="1"/>
                <w:szCs w:val="1"/>
                <w:color w:val="auto"/>
              </w:rPr>
            </w:pPr>
          </w:p>
        </w:tc>
      </w:tr>
      <w:tr>
        <w:trPr>
          <w:trHeight w:val="156"/>
        </w:trPr>
        <w:tc>
          <w:tcPr>
            <w:tcW w:w="3220" w:type="dxa"/>
            <w:vAlign w:val="bottom"/>
            <w:tcBorders>
              <w:left w:val="single" w:sz="8" w:color="auto"/>
              <w:right w:val="single" w:sz="8" w:color="auto"/>
            </w:tcBorders>
            <w:vMerge w:val="restart"/>
          </w:tcPr>
          <w:p>
            <w:pPr>
              <w:ind w:left="160"/>
              <w:spacing w:after="0"/>
              <w:rPr>
                <w:sz w:val="20"/>
                <w:szCs w:val="20"/>
                <w:color w:val="auto"/>
              </w:rPr>
            </w:pPr>
            <w:r>
              <w:rPr>
                <w:rFonts w:ascii="Arial" w:cs="Arial" w:eastAsia="Arial" w:hAnsi="Arial"/>
                <w:sz w:val="14"/>
                <w:szCs w:val="14"/>
                <w:color w:val="auto"/>
              </w:rPr>
              <w:t>Christopher J. Holding</w:t>
            </w:r>
          </w:p>
        </w:tc>
        <w:tc>
          <w:tcPr>
            <w:tcW w:w="580" w:type="dxa"/>
            <w:vAlign w:val="bottom"/>
            <w:tcBorders>
              <w:right w:val="single" w:sz="8" w:color="auto"/>
            </w:tcBorders>
          </w:tcPr>
          <w:p>
            <w:pPr>
              <w:ind w:left="140"/>
              <w:spacing w:after="0" w:line="155" w:lineRule="exact"/>
              <w:rPr>
                <w:sz w:val="20"/>
                <w:szCs w:val="20"/>
                <w:color w:val="auto"/>
              </w:rPr>
            </w:pPr>
            <w:r>
              <w:rPr>
                <w:rFonts w:ascii="Arial" w:cs="Arial" w:eastAsia="Arial" w:hAnsi="Arial"/>
                <w:sz w:val="14"/>
                <w:szCs w:val="14"/>
                <w:color w:val="auto"/>
              </w:rPr>
              <w:t>2015</w:t>
            </w:r>
          </w:p>
        </w:tc>
        <w:tc>
          <w:tcPr>
            <w:tcW w:w="860" w:type="dxa"/>
            <w:vAlign w:val="bottom"/>
            <w:tcBorders>
              <w:right w:val="single" w:sz="8" w:color="auto"/>
            </w:tcBorders>
          </w:tcPr>
          <w:p>
            <w:pPr>
              <w:jc w:val="center"/>
              <w:spacing w:after="0" w:line="155" w:lineRule="exact"/>
              <w:rPr>
                <w:sz w:val="20"/>
                <w:szCs w:val="20"/>
                <w:color w:val="auto"/>
              </w:rPr>
            </w:pPr>
            <w:r>
              <w:rPr>
                <w:rFonts w:ascii="Arial" w:cs="Arial" w:eastAsia="Arial" w:hAnsi="Arial"/>
                <w:sz w:val="14"/>
                <w:szCs w:val="14"/>
                <w:color w:val="auto"/>
              </w:rPr>
              <w:t>$ 364,583</w:t>
            </w:r>
          </w:p>
        </w:tc>
        <w:tc>
          <w:tcPr>
            <w:tcW w:w="180" w:type="dxa"/>
            <w:vAlign w:val="bottom"/>
          </w:tcPr>
          <w:p>
            <w:pPr>
              <w:jc w:val="right"/>
              <w:spacing w:after="0" w:line="155" w:lineRule="exact"/>
              <w:rPr>
                <w:sz w:val="20"/>
                <w:szCs w:val="20"/>
                <w:color w:val="auto"/>
              </w:rPr>
            </w:pPr>
            <w:r>
              <w:rPr>
                <w:rFonts w:ascii="Arial" w:cs="Arial" w:eastAsia="Arial" w:hAnsi="Arial"/>
                <w:sz w:val="14"/>
                <w:szCs w:val="14"/>
                <w:color w:val="auto"/>
              </w:rPr>
              <w:t>$</w:t>
            </w:r>
          </w:p>
        </w:tc>
        <w:tc>
          <w:tcPr>
            <w:tcW w:w="800" w:type="dxa"/>
            <w:vAlign w:val="bottom"/>
            <w:tcBorders>
              <w:right w:val="single" w:sz="8" w:color="auto"/>
            </w:tcBorders>
          </w:tcPr>
          <w:p>
            <w:pPr>
              <w:jc w:val="right"/>
              <w:ind w:right="69"/>
              <w:spacing w:after="0" w:line="155" w:lineRule="exact"/>
              <w:rPr>
                <w:sz w:val="20"/>
                <w:szCs w:val="20"/>
                <w:color w:val="auto"/>
              </w:rPr>
            </w:pPr>
            <w:r>
              <w:rPr>
                <w:rFonts w:ascii="Arial" w:cs="Arial" w:eastAsia="Arial" w:hAnsi="Arial"/>
                <w:sz w:val="14"/>
                <w:szCs w:val="14"/>
                <w:color w:val="auto"/>
              </w:rPr>
              <w:t>333,500</w:t>
            </w:r>
          </w:p>
        </w:tc>
        <w:tc>
          <w:tcPr>
            <w:tcW w:w="160" w:type="dxa"/>
            <w:vAlign w:val="bottom"/>
          </w:tcPr>
          <w:p>
            <w:pPr>
              <w:jc w:val="right"/>
              <w:spacing w:after="0" w:line="155" w:lineRule="exact"/>
              <w:rPr>
                <w:sz w:val="20"/>
                <w:szCs w:val="20"/>
                <w:color w:val="auto"/>
              </w:rPr>
            </w:pPr>
            <w:r>
              <w:rPr>
                <w:rFonts w:ascii="Arial" w:cs="Arial" w:eastAsia="Arial" w:hAnsi="Arial"/>
                <w:sz w:val="14"/>
                <w:szCs w:val="14"/>
                <w:color w:val="auto"/>
              </w:rPr>
              <w:t>$</w:t>
            </w:r>
          </w:p>
        </w:tc>
        <w:tc>
          <w:tcPr>
            <w:tcW w:w="800" w:type="dxa"/>
            <w:vAlign w:val="bottom"/>
            <w:tcBorders>
              <w:right w:val="single" w:sz="8" w:color="auto"/>
            </w:tcBorders>
          </w:tcPr>
          <w:p>
            <w:pPr>
              <w:jc w:val="right"/>
              <w:ind w:right="49"/>
              <w:spacing w:after="0" w:line="155" w:lineRule="exact"/>
              <w:rPr>
                <w:sz w:val="20"/>
                <w:szCs w:val="20"/>
                <w:color w:val="auto"/>
              </w:rPr>
            </w:pPr>
            <w:r>
              <w:rPr>
                <w:rFonts w:ascii="Arial" w:cs="Arial" w:eastAsia="Arial" w:hAnsi="Arial"/>
                <w:sz w:val="14"/>
                <w:szCs w:val="14"/>
                <w:color w:val="auto"/>
              </w:rPr>
              <w:t>147,606</w:t>
            </w:r>
          </w:p>
        </w:tc>
        <w:tc>
          <w:tcPr>
            <w:tcW w:w="180" w:type="dxa"/>
            <w:vAlign w:val="bottom"/>
          </w:tcPr>
          <w:p>
            <w:pPr>
              <w:jc w:val="right"/>
              <w:spacing w:after="0" w:line="155" w:lineRule="exact"/>
              <w:rPr>
                <w:sz w:val="20"/>
                <w:szCs w:val="20"/>
                <w:color w:val="auto"/>
              </w:rPr>
            </w:pPr>
            <w:r>
              <w:rPr>
                <w:rFonts w:ascii="Arial" w:cs="Arial" w:eastAsia="Arial" w:hAnsi="Arial"/>
                <w:sz w:val="14"/>
                <w:szCs w:val="14"/>
                <w:color w:val="auto"/>
              </w:rPr>
              <w:t>$</w:t>
            </w:r>
          </w:p>
        </w:tc>
        <w:tc>
          <w:tcPr>
            <w:tcW w:w="1100" w:type="dxa"/>
            <w:vAlign w:val="bottom"/>
            <w:tcBorders>
              <w:right w:val="single" w:sz="8" w:color="auto"/>
            </w:tcBorders>
          </w:tcPr>
          <w:p>
            <w:pPr>
              <w:jc w:val="right"/>
              <w:ind w:right="49"/>
              <w:spacing w:after="0" w:line="155" w:lineRule="exact"/>
              <w:rPr>
                <w:sz w:val="20"/>
                <w:szCs w:val="20"/>
                <w:color w:val="auto"/>
              </w:rPr>
            </w:pPr>
            <w:r>
              <w:rPr>
                <w:rFonts w:ascii="Arial" w:cs="Arial" w:eastAsia="Arial" w:hAnsi="Arial"/>
                <w:sz w:val="14"/>
                <w:szCs w:val="14"/>
                <w:color w:val="auto"/>
              </w:rPr>
              <w:t>0</w:t>
            </w:r>
          </w:p>
        </w:tc>
        <w:tc>
          <w:tcPr>
            <w:tcW w:w="200" w:type="dxa"/>
            <w:vAlign w:val="bottom"/>
          </w:tcPr>
          <w:p>
            <w:pPr>
              <w:jc w:val="right"/>
              <w:spacing w:after="0" w:line="155" w:lineRule="exact"/>
              <w:rPr>
                <w:sz w:val="20"/>
                <w:szCs w:val="20"/>
                <w:color w:val="auto"/>
              </w:rPr>
            </w:pPr>
            <w:r>
              <w:rPr>
                <w:rFonts w:ascii="Arial" w:cs="Arial" w:eastAsia="Arial" w:hAnsi="Arial"/>
                <w:sz w:val="14"/>
                <w:szCs w:val="14"/>
                <w:color w:val="auto"/>
              </w:rPr>
              <w:t>$</w:t>
            </w:r>
          </w:p>
        </w:tc>
        <w:tc>
          <w:tcPr>
            <w:tcW w:w="940" w:type="dxa"/>
            <w:vAlign w:val="bottom"/>
            <w:tcBorders>
              <w:right w:val="single" w:sz="8" w:color="auto"/>
            </w:tcBorders>
          </w:tcPr>
          <w:p>
            <w:pPr>
              <w:jc w:val="right"/>
              <w:ind w:right="50"/>
              <w:spacing w:after="0" w:line="155" w:lineRule="exact"/>
              <w:rPr>
                <w:sz w:val="20"/>
                <w:szCs w:val="20"/>
                <w:color w:val="auto"/>
              </w:rPr>
            </w:pPr>
            <w:r>
              <w:rPr>
                <w:rFonts w:ascii="Arial" w:cs="Arial" w:eastAsia="Arial" w:hAnsi="Arial"/>
                <w:sz w:val="14"/>
                <w:szCs w:val="14"/>
                <w:color w:val="auto"/>
              </w:rPr>
              <w:t>0</w:t>
            </w:r>
          </w:p>
        </w:tc>
        <w:tc>
          <w:tcPr>
            <w:tcW w:w="260" w:type="dxa"/>
            <w:vAlign w:val="bottom"/>
          </w:tcPr>
          <w:p>
            <w:pPr>
              <w:jc w:val="right"/>
              <w:ind w:right="9"/>
              <w:spacing w:after="0" w:line="155" w:lineRule="exact"/>
              <w:rPr>
                <w:sz w:val="20"/>
                <w:szCs w:val="20"/>
                <w:color w:val="auto"/>
              </w:rPr>
            </w:pPr>
            <w:r>
              <w:rPr>
                <w:rFonts w:ascii="Arial" w:cs="Arial" w:eastAsia="Arial" w:hAnsi="Arial"/>
                <w:sz w:val="14"/>
                <w:szCs w:val="14"/>
                <w:color w:val="auto"/>
              </w:rPr>
              <w:t>$</w:t>
            </w:r>
          </w:p>
        </w:tc>
        <w:tc>
          <w:tcPr>
            <w:tcW w:w="1020" w:type="dxa"/>
            <w:vAlign w:val="bottom"/>
            <w:tcBorders>
              <w:right w:val="single" w:sz="8" w:color="auto"/>
            </w:tcBorders>
          </w:tcPr>
          <w:p>
            <w:pPr>
              <w:jc w:val="right"/>
              <w:ind w:right="49"/>
              <w:spacing w:after="0" w:line="155" w:lineRule="exact"/>
              <w:rPr>
                <w:sz w:val="20"/>
                <w:szCs w:val="20"/>
                <w:color w:val="auto"/>
              </w:rPr>
            </w:pPr>
            <w:r>
              <w:rPr>
                <w:rFonts w:ascii="Arial" w:cs="Arial" w:eastAsia="Arial" w:hAnsi="Arial"/>
                <w:sz w:val="14"/>
                <w:szCs w:val="14"/>
                <w:color w:val="auto"/>
              </w:rPr>
              <w:t>61,730</w:t>
            </w:r>
          </w:p>
        </w:tc>
        <w:tc>
          <w:tcPr>
            <w:tcW w:w="220" w:type="dxa"/>
            <w:vAlign w:val="bottom"/>
          </w:tcPr>
          <w:p>
            <w:pPr>
              <w:jc w:val="right"/>
              <w:spacing w:after="0" w:line="155" w:lineRule="exact"/>
              <w:rPr>
                <w:sz w:val="20"/>
                <w:szCs w:val="20"/>
                <w:color w:val="auto"/>
              </w:rPr>
            </w:pPr>
            <w:r>
              <w:rPr>
                <w:rFonts w:ascii="Arial" w:cs="Arial" w:eastAsia="Arial" w:hAnsi="Arial"/>
                <w:sz w:val="14"/>
                <w:szCs w:val="14"/>
                <w:color w:val="auto"/>
              </w:rPr>
              <w:t>$</w:t>
            </w:r>
          </w:p>
        </w:tc>
        <w:tc>
          <w:tcPr>
            <w:tcW w:w="920" w:type="dxa"/>
            <w:vAlign w:val="bottom"/>
            <w:tcBorders>
              <w:right w:val="single" w:sz="8" w:color="auto"/>
            </w:tcBorders>
          </w:tcPr>
          <w:p>
            <w:pPr>
              <w:jc w:val="right"/>
              <w:ind w:right="169"/>
              <w:spacing w:after="0" w:line="155" w:lineRule="exact"/>
              <w:rPr>
                <w:sz w:val="20"/>
                <w:szCs w:val="20"/>
                <w:color w:val="auto"/>
              </w:rPr>
            </w:pPr>
            <w:r>
              <w:rPr>
                <w:rFonts w:ascii="Arial" w:cs="Arial" w:eastAsia="Arial" w:hAnsi="Arial"/>
                <w:sz w:val="14"/>
                <w:szCs w:val="14"/>
                <w:color w:val="auto"/>
              </w:rPr>
              <w:t>907,419</w:t>
            </w:r>
          </w:p>
        </w:tc>
        <w:tc>
          <w:tcPr>
            <w:tcW w:w="0" w:type="dxa"/>
            <w:vAlign w:val="bottom"/>
          </w:tcPr>
          <w:p>
            <w:pPr>
              <w:spacing w:after="0"/>
              <w:rPr>
                <w:sz w:val="1"/>
                <w:szCs w:val="1"/>
                <w:color w:val="auto"/>
              </w:rPr>
            </w:pPr>
          </w:p>
        </w:tc>
      </w:tr>
      <w:tr>
        <w:trPr>
          <w:trHeight w:val="59"/>
        </w:trPr>
        <w:tc>
          <w:tcPr>
            <w:tcW w:w="3220" w:type="dxa"/>
            <w:vAlign w:val="bottom"/>
            <w:tcBorders>
              <w:left w:val="single" w:sz="8" w:color="auto"/>
              <w:right w:val="single" w:sz="8" w:color="auto"/>
            </w:tcBorders>
            <w:vMerge w:val="continue"/>
          </w:tcPr>
          <w:p>
            <w:pPr>
              <w:spacing w:after="0"/>
              <w:rPr>
                <w:sz w:val="5"/>
                <w:szCs w:val="5"/>
                <w:color w:val="auto"/>
              </w:rPr>
            </w:pPr>
          </w:p>
        </w:tc>
        <w:tc>
          <w:tcPr>
            <w:tcW w:w="580" w:type="dxa"/>
            <w:vAlign w:val="bottom"/>
            <w:tcBorders>
              <w:right w:val="single" w:sz="8" w:color="auto"/>
            </w:tcBorders>
            <w:vMerge w:val="restart"/>
            <w:shd w:val="clear" w:color="auto" w:fill="CCEEFF"/>
          </w:tcPr>
          <w:p>
            <w:pPr>
              <w:ind w:left="140"/>
              <w:spacing w:after="0"/>
              <w:rPr>
                <w:sz w:val="20"/>
                <w:szCs w:val="20"/>
                <w:color w:val="auto"/>
              </w:rPr>
            </w:pPr>
            <w:r>
              <w:rPr>
                <w:rFonts w:ascii="Arial" w:cs="Arial" w:eastAsia="Arial" w:hAnsi="Arial"/>
                <w:sz w:val="14"/>
                <w:szCs w:val="14"/>
                <w:color w:val="auto"/>
              </w:rPr>
              <w:t>2014</w:t>
            </w:r>
          </w:p>
        </w:tc>
        <w:tc>
          <w:tcPr>
            <w:tcW w:w="860" w:type="dxa"/>
            <w:vAlign w:val="bottom"/>
            <w:tcBorders>
              <w:right w:val="single" w:sz="8" w:color="auto"/>
            </w:tcBorders>
            <w:vMerge w:val="restart"/>
            <w:shd w:val="clear" w:color="auto" w:fill="CCEEFF"/>
          </w:tcPr>
          <w:p>
            <w:pPr>
              <w:jc w:val="center"/>
              <w:spacing w:after="0"/>
              <w:rPr>
                <w:sz w:val="20"/>
                <w:szCs w:val="20"/>
                <w:color w:val="auto"/>
              </w:rPr>
            </w:pPr>
            <w:r>
              <w:rPr>
                <w:rFonts w:ascii="Arial" w:cs="Arial" w:eastAsia="Arial" w:hAnsi="Arial"/>
                <w:sz w:val="14"/>
                <w:szCs w:val="14"/>
                <w:color w:val="auto"/>
              </w:rPr>
              <w:t>$ 297,665</w:t>
            </w:r>
          </w:p>
        </w:tc>
        <w:tc>
          <w:tcPr>
            <w:tcW w:w="18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00" w:type="dxa"/>
            <w:vAlign w:val="bottom"/>
            <w:tcBorders>
              <w:right w:val="single" w:sz="8" w:color="auto"/>
            </w:tcBorders>
            <w:vMerge w:val="restart"/>
            <w:shd w:val="clear" w:color="auto" w:fill="CCEEFF"/>
          </w:tcPr>
          <w:p>
            <w:pPr>
              <w:jc w:val="right"/>
              <w:ind w:right="69"/>
              <w:spacing w:after="0"/>
              <w:rPr>
                <w:sz w:val="20"/>
                <w:szCs w:val="20"/>
                <w:color w:val="auto"/>
              </w:rPr>
            </w:pPr>
            <w:r>
              <w:rPr>
                <w:rFonts w:ascii="Arial" w:cs="Arial" w:eastAsia="Arial" w:hAnsi="Arial"/>
                <w:sz w:val="14"/>
                <w:szCs w:val="14"/>
                <w:color w:val="auto"/>
              </w:rPr>
              <w:t>315,011</w:t>
            </w:r>
          </w:p>
        </w:tc>
        <w:tc>
          <w:tcPr>
            <w:tcW w:w="16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00" w:type="dxa"/>
            <w:vAlign w:val="bottom"/>
            <w:tcBorders>
              <w:right w:val="single" w:sz="8" w:color="auto"/>
            </w:tcBorders>
            <w:vMerge w:val="restart"/>
            <w:shd w:val="clear" w:color="auto" w:fill="CCEEFF"/>
          </w:tcPr>
          <w:p>
            <w:pPr>
              <w:jc w:val="right"/>
              <w:ind w:right="49"/>
              <w:spacing w:after="0"/>
              <w:rPr>
                <w:sz w:val="20"/>
                <w:szCs w:val="20"/>
                <w:color w:val="auto"/>
              </w:rPr>
            </w:pPr>
            <w:r>
              <w:rPr>
                <w:rFonts w:ascii="Arial" w:cs="Arial" w:eastAsia="Arial" w:hAnsi="Arial"/>
                <w:sz w:val="14"/>
                <w:szCs w:val="14"/>
                <w:color w:val="auto"/>
              </w:rPr>
              <w:t>278,283</w:t>
            </w:r>
          </w:p>
        </w:tc>
        <w:tc>
          <w:tcPr>
            <w:tcW w:w="18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100" w:type="dxa"/>
            <w:vAlign w:val="bottom"/>
            <w:tcBorders>
              <w:right w:val="single" w:sz="8" w:color="auto"/>
            </w:tcBorders>
            <w:vMerge w:val="restart"/>
            <w:shd w:val="clear" w:color="auto" w:fill="CCEEFF"/>
          </w:tcPr>
          <w:p>
            <w:pPr>
              <w:jc w:val="right"/>
              <w:ind w:right="49"/>
              <w:spacing w:after="0"/>
              <w:rPr>
                <w:sz w:val="20"/>
                <w:szCs w:val="20"/>
                <w:color w:val="auto"/>
              </w:rPr>
            </w:pPr>
            <w:r>
              <w:rPr>
                <w:rFonts w:ascii="Arial" w:cs="Arial" w:eastAsia="Arial" w:hAnsi="Arial"/>
                <w:sz w:val="14"/>
                <w:szCs w:val="14"/>
                <w:color w:val="auto"/>
              </w:rPr>
              <w:t>215,015</w:t>
            </w:r>
          </w:p>
        </w:tc>
        <w:tc>
          <w:tcPr>
            <w:tcW w:w="20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40" w:type="dxa"/>
            <w:vAlign w:val="bottom"/>
            <w:tcBorders>
              <w:right w:val="single" w:sz="8" w:color="auto"/>
            </w:tcBorders>
            <w:vMerge w:val="restart"/>
            <w:shd w:val="clear" w:color="auto" w:fill="CCEEFF"/>
          </w:tcPr>
          <w:p>
            <w:pPr>
              <w:jc w:val="right"/>
              <w:ind w:right="50"/>
              <w:spacing w:after="0"/>
              <w:rPr>
                <w:sz w:val="20"/>
                <w:szCs w:val="20"/>
                <w:color w:val="auto"/>
              </w:rPr>
            </w:pPr>
            <w:r>
              <w:rPr>
                <w:rFonts w:ascii="Arial" w:cs="Arial" w:eastAsia="Arial" w:hAnsi="Arial"/>
                <w:sz w:val="14"/>
                <w:szCs w:val="14"/>
                <w:color w:val="auto"/>
              </w:rPr>
              <w:t>0</w:t>
            </w:r>
          </w:p>
        </w:tc>
        <w:tc>
          <w:tcPr>
            <w:tcW w:w="260" w:type="dxa"/>
            <w:vAlign w:val="bottom"/>
            <w:vMerge w:val="restart"/>
            <w:shd w:val="clear" w:color="auto" w:fill="CCEEFF"/>
          </w:tcPr>
          <w:p>
            <w:pPr>
              <w:jc w:val="right"/>
              <w:ind w:right="9"/>
              <w:spacing w:after="0"/>
              <w:rPr>
                <w:sz w:val="20"/>
                <w:szCs w:val="20"/>
                <w:color w:val="auto"/>
              </w:rPr>
            </w:pPr>
            <w:r>
              <w:rPr>
                <w:rFonts w:ascii="Arial" w:cs="Arial" w:eastAsia="Arial" w:hAnsi="Arial"/>
                <w:sz w:val="14"/>
                <w:szCs w:val="14"/>
                <w:color w:val="auto"/>
              </w:rPr>
              <w:t>$</w:t>
            </w:r>
          </w:p>
        </w:tc>
        <w:tc>
          <w:tcPr>
            <w:tcW w:w="1020" w:type="dxa"/>
            <w:vAlign w:val="bottom"/>
            <w:tcBorders>
              <w:right w:val="single" w:sz="8" w:color="auto"/>
            </w:tcBorders>
            <w:vMerge w:val="restart"/>
            <w:shd w:val="clear" w:color="auto" w:fill="CCEEFF"/>
          </w:tcPr>
          <w:p>
            <w:pPr>
              <w:jc w:val="right"/>
              <w:ind w:right="49"/>
              <w:spacing w:after="0"/>
              <w:rPr>
                <w:sz w:val="20"/>
                <w:szCs w:val="20"/>
                <w:color w:val="auto"/>
              </w:rPr>
            </w:pPr>
            <w:r>
              <w:rPr>
                <w:rFonts w:ascii="Arial" w:cs="Arial" w:eastAsia="Arial" w:hAnsi="Arial"/>
                <w:sz w:val="14"/>
                <w:szCs w:val="14"/>
                <w:color w:val="auto"/>
              </w:rPr>
              <w:t>41,747</w:t>
            </w:r>
          </w:p>
        </w:tc>
        <w:tc>
          <w:tcPr>
            <w:tcW w:w="22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20" w:type="dxa"/>
            <w:vAlign w:val="bottom"/>
            <w:tcBorders>
              <w:right w:val="single" w:sz="8" w:color="auto"/>
            </w:tcBorders>
            <w:vMerge w:val="restart"/>
            <w:shd w:val="clear" w:color="auto" w:fill="CCEEFF"/>
          </w:tcPr>
          <w:p>
            <w:pPr>
              <w:jc w:val="right"/>
              <w:ind w:right="169"/>
              <w:spacing w:after="0"/>
              <w:rPr>
                <w:sz w:val="20"/>
                <w:szCs w:val="20"/>
                <w:color w:val="auto"/>
              </w:rPr>
            </w:pPr>
            <w:r>
              <w:rPr>
                <w:rFonts w:ascii="Arial" w:cs="Arial" w:eastAsia="Arial" w:hAnsi="Arial"/>
                <w:sz w:val="14"/>
                <w:szCs w:val="14"/>
                <w:color w:val="auto"/>
              </w:rPr>
              <w:t>1,147,721</w:t>
            </w:r>
          </w:p>
        </w:tc>
        <w:tc>
          <w:tcPr>
            <w:tcW w:w="0" w:type="dxa"/>
            <w:vAlign w:val="bottom"/>
          </w:tcPr>
          <w:p>
            <w:pPr>
              <w:spacing w:after="0"/>
              <w:rPr>
                <w:sz w:val="1"/>
                <w:szCs w:val="1"/>
                <w:color w:val="auto"/>
              </w:rPr>
            </w:pPr>
          </w:p>
        </w:tc>
      </w:tr>
      <w:tr>
        <w:trPr>
          <w:trHeight w:val="103"/>
        </w:trPr>
        <w:tc>
          <w:tcPr>
            <w:tcW w:w="3220" w:type="dxa"/>
            <w:vAlign w:val="bottom"/>
            <w:tcBorders>
              <w:left w:val="single" w:sz="8" w:color="auto"/>
              <w:right w:val="single" w:sz="8" w:color="auto"/>
            </w:tcBorders>
            <w:vMerge w:val="restart"/>
          </w:tcPr>
          <w:p>
            <w:pPr>
              <w:ind w:left="160"/>
              <w:spacing w:after="0"/>
              <w:rPr>
                <w:sz w:val="20"/>
                <w:szCs w:val="20"/>
                <w:color w:val="auto"/>
              </w:rPr>
            </w:pPr>
            <w:r>
              <w:rPr>
                <w:rFonts w:ascii="Arial" w:cs="Arial" w:eastAsia="Arial" w:hAnsi="Arial"/>
                <w:sz w:val="14"/>
                <w:szCs w:val="14"/>
                <w:color w:val="auto"/>
              </w:rPr>
              <w:t>Executive Vice President &amp; Chief Financial</w:t>
            </w:r>
          </w:p>
        </w:tc>
        <w:tc>
          <w:tcPr>
            <w:tcW w:w="580" w:type="dxa"/>
            <w:vAlign w:val="bottom"/>
            <w:tcBorders>
              <w:right w:val="single" w:sz="8" w:color="auto"/>
            </w:tcBorders>
            <w:vMerge w:val="continue"/>
            <w:shd w:val="clear" w:color="auto" w:fill="CCEEFF"/>
          </w:tcPr>
          <w:p>
            <w:pPr>
              <w:spacing w:after="0"/>
              <w:rPr>
                <w:sz w:val="8"/>
                <w:szCs w:val="8"/>
                <w:color w:val="auto"/>
              </w:rPr>
            </w:pPr>
          </w:p>
        </w:tc>
        <w:tc>
          <w:tcPr>
            <w:tcW w:w="860" w:type="dxa"/>
            <w:vAlign w:val="bottom"/>
            <w:tcBorders>
              <w:right w:val="single" w:sz="8" w:color="auto"/>
            </w:tcBorders>
            <w:vMerge w:val="continue"/>
            <w:shd w:val="clear" w:color="auto" w:fill="CCEEFF"/>
          </w:tcPr>
          <w:p>
            <w:pPr>
              <w:spacing w:after="0"/>
              <w:rPr>
                <w:sz w:val="8"/>
                <w:szCs w:val="8"/>
                <w:color w:val="auto"/>
              </w:rPr>
            </w:pPr>
          </w:p>
        </w:tc>
        <w:tc>
          <w:tcPr>
            <w:tcW w:w="180" w:type="dxa"/>
            <w:vAlign w:val="bottom"/>
            <w:vMerge w:val="continue"/>
            <w:shd w:val="clear" w:color="auto" w:fill="CCEEFF"/>
          </w:tcPr>
          <w:p>
            <w:pPr>
              <w:spacing w:after="0"/>
              <w:rPr>
                <w:sz w:val="8"/>
                <w:szCs w:val="8"/>
                <w:color w:val="auto"/>
              </w:rPr>
            </w:pPr>
          </w:p>
        </w:tc>
        <w:tc>
          <w:tcPr>
            <w:tcW w:w="800" w:type="dxa"/>
            <w:vAlign w:val="bottom"/>
            <w:tcBorders>
              <w:right w:val="single" w:sz="8" w:color="auto"/>
            </w:tcBorders>
            <w:vMerge w:val="continue"/>
            <w:shd w:val="clear" w:color="auto" w:fill="CCEEFF"/>
          </w:tcPr>
          <w:p>
            <w:pPr>
              <w:spacing w:after="0"/>
              <w:rPr>
                <w:sz w:val="8"/>
                <w:szCs w:val="8"/>
                <w:color w:val="auto"/>
              </w:rPr>
            </w:pPr>
          </w:p>
        </w:tc>
        <w:tc>
          <w:tcPr>
            <w:tcW w:w="160" w:type="dxa"/>
            <w:vAlign w:val="bottom"/>
            <w:vMerge w:val="continue"/>
            <w:shd w:val="clear" w:color="auto" w:fill="CCEEFF"/>
          </w:tcPr>
          <w:p>
            <w:pPr>
              <w:spacing w:after="0"/>
              <w:rPr>
                <w:sz w:val="8"/>
                <w:szCs w:val="8"/>
                <w:color w:val="auto"/>
              </w:rPr>
            </w:pPr>
          </w:p>
        </w:tc>
        <w:tc>
          <w:tcPr>
            <w:tcW w:w="800" w:type="dxa"/>
            <w:vAlign w:val="bottom"/>
            <w:tcBorders>
              <w:right w:val="single" w:sz="8" w:color="auto"/>
            </w:tcBorders>
            <w:vMerge w:val="continue"/>
            <w:shd w:val="clear" w:color="auto" w:fill="CCEEFF"/>
          </w:tcPr>
          <w:p>
            <w:pPr>
              <w:spacing w:after="0"/>
              <w:rPr>
                <w:sz w:val="8"/>
                <w:szCs w:val="8"/>
                <w:color w:val="auto"/>
              </w:rPr>
            </w:pPr>
          </w:p>
        </w:tc>
        <w:tc>
          <w:tcPr>
            <w:tcW w:w="180" w:type="dxa"/>
            <w:vAlign w:val="bottom"/>
            <w:vMerge w:val="continue"/>
            <w:shd w:val="clear" w:color="auto" w:fill="CCEEFF"/>
          </w:tcPr>
          <w:p>
            <w:pPr>
              <w:spacing w:after="0"/>
              <w:rPr>
                <w:sz w:val="8"/>
                <w:szCs w:val="8"/>
                <w:color w:val="auto"/>
              </w:rPr>
            </w:pPr>
          </w:p>
        </w:tc>
        <w:tc>
          <w:tcPr>
            <w:tcW w:w="1100" w:type="dxa"/>
            <w:vAlign w:val="bottom"/>
            <w:tcBorders>
              <w:right w:val="single" w:sz="8" w:color="auto"/>
            </w:tcBorders>
            <w:vMerge w:val="continue"/>
            <w:shd w:val="clear" w:color="auto" w:fill="CCEEFF"/>
          </w:tcPr>
          <w:p>
            <w:pPr>
              <w:spacing w:after="0"/>
              <w:rPr>
                <w:sz w:val="8"/>
                <w:szCs w:val="8"/>
                <w:color w:val="auto"/>
              </w:rPr>
            </w:pPr>
          </w:p>
        </w:tc>
        <w:tc>
          <w:tcPr>
            <w:tcW w:w="200" w:type="dxa"/>
            <w:vAlign w:val="bottom"/>
            <w:vMerge w:val="continue"/>
            <w:shd w:val="clear" w:color="auto" w:fill="CCEEFF"/>
          </w:tcPr>
          <w:p>
            <w:pPr>
              <w:spacing w:after="0"/>
              <w:rPr>
                <w:sz w:val="8"/>
                <w:szCs w:val="8"/>
                <w:color w:val="auto"/>
              </w:rPr>
            </w:pPr>
          </w:p>
        </w:tc>
        <w:tc>
          <w:tcPr>
            <w:tcW w:w="940" w:type="dxa"/>
            <w:vAlign w:val="bottom"/>
            <w:tcBorders>
              <w:right w:val="single" w:sz="8" w:color="auto"/>
            </w:tcBorders>
            <w:vMerge w:val="continue"/>
            <w:shd w:val="clear" w:color="auto" w:fill="CCEEFF"/>
          </w:tcPr>
          <w:p>
            <w:pPr>
              <w:spacing w:after="0"/>
              <w:rPr>
                <w:sz w:val="8"/>
                <w:szCs w:val="8"/>
                <w:color w:val="auto"/>
              </w:rPr>
            </w:pPr>
          </w:p>
        </w:tc>
        <w:tc>
          <w:tcPr>
            <w:tcW w:w="260" w:type="dxa"/>
            <w:vAlign w:val="bottom"/>
            <w:vMerge w:val="continue"/>
            <w:shd w:val="clear" w:color="auto" w:fill="CCEEFF"/>
          </w:tcPr>
          <w:p>
            <w:pPr>
              <w:spacing w:after="0"/>
              <w:rPr>
                <w:sz w:val="8"/>
                <w:szCs w:val="8"/>
                <w:color w:val="auto"/>
              </w:rPr>
            </w:pPr>
          </w:p>
        </w:tc>
        <w:tc>
          <w:tcPr>
            <w:tcW w:w="1020" w:type="dxa"/>
            <w:vAlign w:val="bottom"/>
            <w:tcBorders>
              <w:right w:val="single" w:sz="8" w:color="auto"/>
            </w:tcBorders>
            <w:vMerge w:val="continue"/>
            <w:shd w:val="clear" w:color="auto" w:fill="CCEEFF"/>
          </w:tcPr>
          <w:p>
            <w:pPr>
              <w:spacing w:after="0"/>
              <w:rPr>
                <w:sz w:val="8"/>
                <w:szCs w:val="8"/>
                <w:color w:val="auto"/>
              </w:rPr>
            </w:pPr>
          </w:p>
        </w:tc>
        <w:tc>
          <w:tcPr>
            <w:tcW w:w="220" w:type="dxa"/>
            <w:vAlign w:val="bottom"/>
            <w:vMerge w:val="continue"/>
            <w:shd w:val="clear" w:color="auto" w:fill="CCEEFF"/>
          </w:tcPr>
          <w:p>
            <w:pPr>
              <w:spacing w:after="0"/>
              <w:rPr>
                <w:sz w:val="8"/>
                <w:szCs w:val="8"/>
                <w:color w:val="auto"/>
              </w:rPr>
            </w:pPr>
          </w:p>
        </w:tc>
        <w:tc>
          <w:tcPr>
            <w:tcW w:w="920" w:type="dxa"/>
            <w:vAlign w:val="bottom"/>
            <w:tcBorders>
              <w:right w:val="single" w:sz="8" w:color="auto"/>
            </w:tcBorders>
            <w:vMerge w:val="continue"/>
            <w:shd w:val="clear" w:color="auto" w:fill="CCEEFF"/>
          </w:tcPr>
          <w:p>
            <w:pPr>
              <w:spacing w:after="0"/>
              <w:rPr>
                <w:sz w:val="8"/>
                <w:szCs w:val="8"/>
                <w:color w:val="auto"/>
              </w:rPr>
            </w:pPr>
          </w:p>
        </w:tc>
        <w:tc>
          <w:tcPr>
            <w:tcW w:w="0" w:type="dxa"/>
            <w:vAlign w:val="bottom"/>
          </w:tcPr>
          <w:p>
            <w:pPr>
              <w:spacing w:after="0"/>
              <w:rPr>
                <w:sz w:val="1"/>
                <w:szCs w:val="1"/>
                <w:color w:val="auto"/>
              </w:rPr>
            </w:pPr>
          </w:p>
        </w:tc>
      </w:tr>
      <w:tr>
        <w:trPr>
          <w:trHeight w:val="59"/>
        </w:trPr>
        <w:tc>
          <w:tcPr>
            <w:tcW w:w="3220" w:type="dxa"/>
            <w:vAlign w:val="bottom"/>
            <w:tcBorders>
              <w:left w:val="single" w:sz="8" w:color="auto"/>
              <w:right w:val="single" w:sz="8" w:color="auto"/>
            </w:tcBorders>
            <w:vMerge w:val="continue"/>
          </w:tcPr>
          <w:p>
            <w:pPr>
              <w:spacing w:after="0"/>
              <w:rPr>
                <w:sz w:val="5"/>
                <w:szCs w:val="5"/>
                <w:color w:val="auto"/>
              </w:rPr>
            </w:pPr>
          </w:p>
        </w:tc>
        <w:tc>
          <w:tcPr>
            <w:tcW w:w="580" w:type="dxa"/>
            <w:vAlign w:val="bottom"/>
            <w:tcBorders>
              <w:right w:val="single" w:sz="8" w:color="auto"/>
            </w:tcBorders>
            <w:vMerge w:val="restart"/>
          </w:tcPr>
          <w:p>
            <w:pPr>
              <w:ind w:left="140"/>
              <w:spacing w:after="0"/>
              <w:rPr>
                <w:sz w:val="20"/>
                <w:szCs w:val="20"/>
                <w:color w:val="auto"/>
              </w:rPr>
            </w:pPr>
            <w:r>
              <w:rPr>
                <w:rFonts w:ascii="Arial" w:cs="Arial" w:eastAsia="Arial" w:hAnsi="Arial"/>
                <w:sz w:val="14"/>
                <w:szCs w:val="14"/>
                <w:color w:val="auto"/>
              </w:rPr>
              <w:t>2013</w:t>
            </w:r>
          </w:p>
        </w:tc>
        <w:tc>
          <w:tcPr>
            <w:tcW w:w="86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4"/>
                <w:szCs w:val="14"/>
                <w:color w:val="auto"/>
              </w:rPr>
              <w:t>$ 214,284</w:t>
            </w:r>
          </w:p>
        </w:tc>
        <w:tc>
          <w:tcPr>
            <w:tcW w:w="180" w:type="dxa"/>
            <w:vAlign w:val="bottom"/>
            <w:vMerge w:val="restart"/>
          </w:tcPr>
          <w:p>
            <w:pPr>
              <w:jc w:val="right"/>
              <w:spacing w:after="0"/>
              <w:rPr>
                <w:sz w:val="20"/>
                <w:szCs w:val="20"/>
                <w:color w:val="auto"/>
              </w:rPr>
            </w:pPr>
            <w:r>
              <w:rPr>
                <w:rFonts w:ascii="Arial" w:cs="Arial" w:eastAsia="Arial" w:hAnsi="Arial"/>
                <w:sz w:val="14"/>
                <w:szCs w:val="14"/>
                <w:color w:val="auto"/>
              </w:rPr>
              <w:t>$</w:t>
            </w:r>
          </w:p>
        </w:tc>
        <w:tc>
          <w:tcPr>
            <w:tcW w:w="800" w:type="dxa"/>
            <w:vAlign w:val="bottom"/>
            <w:tcBorders>
              <w:right w:val="single" w:sz="8" w:color="auto"/>
            </w:tcBorders>
            <w:vMerge w:val="restart"/>
          </w:tcPr>
          <w:p>
            <w:pPr>
              <w:jc w:val="right"/>
              <w:ind w:right="69"/>
              <w:spacing w:after="0"/>
              <w:rPr>
                <w:sz w:val="20"/>
                <w:szCs w:val="20"/>
                <w:color w:val="auto"/>
              </w:rPr>
            </w:pPr>
            <w:r>
              <w:rPr>
                <w:rFonts w:ascii="Arial" w:cs="Arial" w:eastAsia="Arial" w:hAnsi="Arial"/>
                <w:sz w:val="14"/>
                <w:szCs w:val="14"/>
                <w:color w:val="auto"/>
              </w:rPr>
              <w:t>112,540</w:t>
            </w:r>
          </w:p>
        </w:tc>
        <w:tc>
          <w:tcPr>
            <w:tcW w:w="160" w:type="dxa"/>
            <w:vAlign w:val="bottom"/>
            <w:vMerge w:val="restart"/>
          </w:tcPr>
          <w:p>
            <w:pPr>
              <w:jc w:val="right"/>
              <w:spacing w:after="0"/>
              <w:rPr>
                <w:sz w:val="20"/>
                <w:szCs w:val="20"/>
                <w:color w:val="auto"/>
              </w:rPr>
            </w:pPr>
            <w:r>
              <w:rPr>
                <w:rFonts w:ascii="Arial" w:cs="Arial" w:eastAsia="Arial" w:hAnsi="Arial"/>
                <w:sz w:val="14"/>
                <w:szCs w:val="14"/>
                <w:color w:val="auto"/>
              </w:rPr>
              <w:t>$</w:t>
            </w:r>
          </w:p>
        </w:tc>
        <w:tc>
          <w:tcPr>
            <w:tcW w:w="800" w:type="dxa"/>
            <w:vAlign w:val="bottom"/>
            <w:tcBorders>
              <w:right w:val="single" w:sz="8" w:color="auto"/>
            </w:tcBorders>
            <w:vMerge w:val="restart"/>
          </w:tcPr>
          <w:p>
            <w:pPr>
              <w:jc w:val="right"/>
              <w:ind w:right="49"/>
              <w:spacing w:after="0"/>
              <w:rPr>
                <w:sz w:val="20"/>
                <w:szCs w:val="20"/>
                <w:color w:val="auto"/>
              </w:rPr>
            </w:pPr>
            <w:r>
              <w:rPr>
                <w:rFonts w:ascii="Arial" w:cs="Arial" w:eastAsia="Arial" w:hAnsi="Arial"/>
                <w:sz w:val="14"/>
                <w:szCs w:val="14"/>
                <w:color w:val="auto"/>
              </w:rPr>
              <w:t>76,968</w:t>
            </w:r>
          </w:p>
        </w:tc>
        <w:tc>
          <w:tcPr>
            <w:tcW w:w="180" w:type="dxa"/>
            <w:vAlign w:val="bottom"/>
            <w:vMerge w:val="restart"/>
          </w:tcPr>
          <w:p>
            <w:pPr>
              <w:jc w:val="right"/>
              <w:spacing w:after="0"/>
              <w:rPr>
                <w:sz w:val="20"/>
                <w:szCs w:val="20"/>
                <w:color w:val="auto"/>
              </w:rPr>
            </w:pPr>
            <w:r>
              <w:rPr>
                <w:rFonts w:ascii="Arial" w:cs="Arial" w:eastAsia="Arial" w:hAnsi="Arial"/>
                <w:sz w:val="14"/>
                <w:szCs w:val="14"/>
                <w:color w:val="auto"/>
              </w:rPr>
              <w:t>$</w:t>
            </w:r>
          </w:p>
        </w:tc>
        <w:tc>
          <w:tcPr>
            <w:tcW w:w="1100" w:type="dxa"/>
            <w:vAlign w:val="bottom"/>
            <w:tcBorders>
              <w:right w:val="single" w:sz="8" w:color="auto"/>
            </w:tcBorders>
            <w:vMerge w:val="restart"/>
          </w:tcPr>
          <w:p>
            <w:pPr>
              <w:jc w:val="right"/>
              <w:ind w:right="49"/>
              <w:spacing w:after="0"/>
              <w:rPr>
                <w:sz w:val="20"/>
                <w:szCs w:val="20"/>
                <w:color w:val="auto"/>
              </w:rPr>
            </w:pPr>
            <w:r>
              <w:rPr>
                <w:rFonts w:ascii="Arial" w:cs="Arial" w:eastAsia="Arial" w:hAnsi="Arial"/>
                <w:sz w:val="14"/>
                <w:szCs w:val="14"/>
                <w:color w:val="auto"/>
              </w:rPr>
              <w:t>126,647</w:t>
            </w:r>
          </w:p>
        </w:tc>
        <w:tc>
          <w:tcPr>
            <w:tcW w:w="200" w:type="dxa"/>
            <w:vAlign w:val="bottom"/>
            <w:vMerge w:val="restart"/>
          </w:tcPr>
          <w:p>
            <w:pPr>
              <w:jc w:val="right"/>
              <w:spacing w:after="0"/>
              <w:rPr>
                <w:sz w:val="20"/>
                <w:szCs w:val="20"/>
                <w:color w:val="auto"/>
              </w:rPr>
            </w:pPr>
            <w:r>
              <w:rPr>
                <w:rFonts w:ascii="Arial" w:cs="Arial" w:eastAsia="Arial" w:hAnsi="Arial"/>
                <w:sz w:val="14"/>
                <w:szCs w:val="14"/>
                <w:color w:val="auto"/>
              </w:rPr>
              <w:t>$</w:t>
            </w:r>
          </w:p>
        </w:tc>
        <w:tc>
          <w:tcPr>
            <w:tcW w:w="940" w:type="dxa"/>
            <w:vAlign w:val="bottom"/>
            <w:tcBorders>
              <w:right w:val="single" w:sz="8" w:color="auto"/>
            </w:tcBorders>
            <w:vMerge w:val="restart"/>
          </w:tcPr>
          <w:p>
            <w:pPr>
              <w:jc w:val="right"/>
              <w:ind w:right="50"/>
              <w:spacing w:after="0"/>
              <w:rPr>
                <w:sz w:val="20"/>
                <w:szCs w:val="20"/>
                <w:color w:val="auto"/>
              </w:rPr>
            </w:pPr>
            <w:r>
              <w:rPr>
                <w:rFonts w:ascii="Arial" w:cs="Arial" w:eastAsia="Arial" w:hAnsi="Arial"/>
                <w:sz w:val="14"/>
                <w:szCs w:val="14"/>
                <w:color w:val="auto"/>
              </w:rPr>
              <w:t>0</w:t>
            </w:r>
          </w:p>
        </w:tc>
        <w:tc>
          <w:tcPr>
            <w:tcW w:w="260" w:type="dxa"/>
            <w:vAlign w:val="bottom"/>
            <w:vMerge w:val="restart"/>
          </w:tcPr>
          <w:p>
            <w:pPr>
              <w:jc w:val="right"/>
              <w:ind w:right="9"/>
              <w:spacing w:after="0"/>
              <w:rPr>
                <w:sz w:val="20"/>
                <w:szCs w:val="20"/>
                <w:color w:val="auto"/>
              </w:rPr>
            </w:pPr>
            <w:r>
              <w:rPr>
                <w:rFonts w:ascii="Arial" w:cs="Arial" w:eastAsia="Arial" w:hAnsi="Arial"/>
                <w:sz w:val="14"/>
                <w:szCs w:val="14"/>
                <w:color w:val="auto"/>
              </w:rPr>
              <w:t>$</w:t>
            </w:r>
          </w:p>
        </w:tc>
        <w:tc>
          <w:tcPr>
            <w:tcW w:w="1020" w:type="dxa"/>
            <w:vAlign w:val="bottom"/>
            <w:tcBorders>
              <w:right w:val="single" w:sz="8" w:color="auto"/>
            </w:tcBorders>
            <w:vMerge w:val="restart"/>
          </w:tcPr>
          <w:p>
            <w:pPr>
              <w:jc w:val="right"/>
              <w:ind w:right="49"/>
              <w:spacing w:after="0"/>
              <w:rPr>
                <w:sz w:val="20"/>
                <w:szCs w:val="20"/>
                <w:color w:val="auto"/>
              </w:rPr>
            </w:pPr>
            <w:r>
              <w:rPr>
                <w:rFonts w:ascii="Arial" w:cs="Arial" w:eastAsia="Arial" w:hAnsi="Arial"/>
                <w:sz w:val="14"/>
                <w:szCs w:val="14"/>
                <w:color w:val="auto"/>
              </w:rPr>
              <w:t>31,883</w:t>
            </w:r>
          </w:p>
        </w:tc>
        <w:tc>
          <w:tcPr>
            <w:tcW w:w="220" w:type="dxa"/>
            <w:vAlign w:val="bottom"/>
            <w:vMerge w:val="restart"/>
          </w:tcPr>
          <w:p>
            <w:pPr>
              <w:jc w:val="right"/>
              <w:spacing w:after="0"/>
              <w:rPr>
                <w:sz w:val="20"/>
                <w:szCs w:val="20"/>
                <w:color w:val="auto"/>
              </w:rPr>
            </w:pPr>
            <w:r>
              <w:rPr>
                <w:rFonts w:ascii="Arial" w:cs="Arial" w:eastAsia="Arial" w:hAnsi="Arial"/>
                <w:sz w:val="14"/>
                <w:szCs w:val="14"/>
                <w:color w:val="auto"/>
              </w:rPr>
              <w:t>$</w:t>
            </w:r>
          </w:p>
        </w:tc>
        <w:tc>
          <w:tcPr>
            <w:tcW w:w="920" w:type="dxa"/>
            <w:vAlign w:val="bottom"/>
            <w:tcBorders>
              <w:right w:val="single" w:sz="8" w:color="auto"/>
            </w:tcBorders>
            <w:vMerge w:val="restart"/>
          </w:tcPr>
          <w:p>
            <w:pPr>
              <w:jc w:val="right"/>
              <w:ind w:right="169"/>
              <w:spacing w:after="0"/>
              <w:rPr>
                <w:sz w:val="20"/>
                <w:szCs w:val="20"/>
                <w:color w:val="auto"/>
              </w:rPr>
            </w:pPr>
            <w:r>
              <w:rPr>
                <w:rFonts w:ascii="Arial" w:cs="Arial" w:eastAsia="Arial" w:hAnsi="Arial"/>
                <w:sz w:val="14"/>
                <w:szCs w:val="14"/>
                <w:color w:val="auto"/>
              </w:rPr>
              <w:t>562,322</w:t>
            </w:r>
          </w:p>
        </w:tc>
        <w:tc>
          <w:tcPr>
            <w:tcW w:w="0" w:type="dxa"/>
            <w:vAlign w:val="bottom"/>
          </w:tcPr>
          <w:p>
            <w:pPr>
              <w:spacing w:after="0"/>
              <w:rPr>
                <w:sz w:val="1"/>
                <w:szCs w:val="1"/>
                <w:color w:val="auto"/>
              </w:rPr>
            </w:pPr>
          </w:p>
        </w:tc>
      </w:tr>
      <w:tr>
        <w:trPr>
          <w:trHeight w:val="118"/>
        </w:trPr>
        <w:tc>
          <w:tcPr>
            <w:tcW w:w="3220" w:type="dxa"/>
            <w:vAlign w:val="bottom"/>
            <w:tcBorders>
              <w:left w:val="single" w:sz="8" w:color="auto"/>
              <w:right w:val="single" w:sz="8" w:color="auto"/>
            </w:tcBorders>
            <w:vMerge w:val="restart"/>
          </w:tcPr>
          <w:p>
            <w:pPr>
              <w:ind w:left="160"/>
              <w:spacing w:after="0"/>
              <w:rPr>
                <w:sz w:val="20"/>
                <w:szCs w:val="20"/>
                <w:color w:val="auto"/>
              </w:rPr>
            </w:pPr>
            <w:r>
              <w:rPr>
                <w:rFonts w:ascii="Arial" w:cs="Arial" w:eastAsia="Arial" w:hAnsi="Arial"/>
                <w:sz w:val="14"/>
                <w:szCs w:val="14"/>
                <w:color w:val="auto"/>
              </w:rPr>
              <w:t>Officer</w:t>
            </w:r>
          </w:p>
        </w:tc>
        <w:tc>
          <w:tcPr>
            <w:tcW w:w="580" w:type="dxa"/>
            <w:vAlign w:val="bottom"/>
            <w:tcBorders>
              <w:right w:val="single" w:sz="8" w:color="auto"/>
            </w:tcBorders>
            <w:vMerge w:val="continue"/>
          </w:tcPr>
          <w:p>
            <w:pPr>
              <w:spacing w:after="0"/>
              <w:rPr>
                <w:sz w:val="10"/>
                <w:szCs w:val="10"/>
                <w:color w:val="auto"/>
              </w:rPr>
            </w:pPr>
          </w:p>
        </w:tc>
        <w:tc>
          <w:tcPr>
            <w:tcW w:w="860" w:type="dxa"/>
            <w:vAlign w:val="bottom"/>
            <w:tcBorders>
              <w:right w:val="single" w:sz="8" w:color="auto"/>
            </w:tcBorders>
            <w:vMerge w:val="continue"/>
          </w:tcPr>
          <w:p>
            <w:pPr>
              <w:spacing w:after="0"/>
              <w:rPr>
                <w:sz w:val="10"/>
                <w:szCs w:val="10"/>
                <w:color w:val="auto"/>
              </w:rPr>
            </w:pPr>
          </w:p>
        </w:tc>
        <w:tc>
          <w:tcPr>
            <w:tcW w:w="180" w:type="dxa"/>
            <w:vAlign w:val="bottom"/>
            <w:vMerge w:val="continue"/>
          </w:tcPr>
          <w:p>
            <w:pPr>
              <w:spacing w:after="0"/>
              <w:rPr>
                <w:sz w:val="10"/>
                <w:szCs w:val="10"/>
                <w:color w:val="auto"/>
              </w:rPr>
            </w:pPr>
          </w:p>
        </w:tc>
        <w:tc>
          <w:tcPr>
            <w:tcW w:w="800" w:type="dxa"/>
            <w:vAlign w:val="bottom"/>
            <w:tcBorders>
              <w:right w:val="single" w:sz="8" w:color="auto"/>
            </w:tcBorders>
            <w:vMerge w:val="continue"/>
          </w:tcPr>
          <w:p>
            <w:pPr>
              <w:spacing w:after="0"/>
              <w:rPr>
                <w:sz w:val="10"/>
                <w:szCs w:val="10"/>
                <w:color w:val="auto"/>
              </w:rPr>
            </w:pPr>
          </w:p>
        </w:tc>
        <w:tc>
          <w:tcPr>
            <w:tcW w:w="160" w:type="dxa"/>
            <w:vAlign w:val="bottom"/>
            <w:vMerge w:val="continue"/>
          </w:tcPr>
          <w:p>
            <w:pPr>
              <w:spacing w:after="0"/>
              <w:rPr>
                <w:sz w:val="10"/>
                <w:szCs w:val="10"/>
                <w:color w:val="auto"/>
              </w:rPr>
            </w:pPr>
          </w:p>
        </w:tc>
        <w:tc>
          <w:tcPr>
            <w:tcW w:w="800" w:type="dxa"/>
            <w:vAlign w:val="bottom"/>
            <w:tcBorders>
              <w:right w:val="single" w:sz="8" w:color="auto"/>
            </w:tcBorders>
            <w:vMerge w:val="continue"/>
          </w:tcPr>
          <w:p>
            <w:pPr>
              <w:spacing w:after="0"/>
              <w:rPr>
                <w:sz w:val="10"/>
                <w:szCs w:val="10"/>
                <w:color w:val="auto"/>
              </w:rPr>
            </w:pPr>
          </w:p>
        </w:tc>
        <w:tc>
          <w:tcPr>
            <w:tcW w:w="180" w:type="dxa"/>
            <w:vAlign w:val="bottom"/>
            <w:vMerge w:val="continue"/>
          </w:tcPr>
          <w:p>
            <w:pPr>
              <w:spacing w:after="0"/>
              <w:rPr>
                <w:sz w:val="10"/>
                <w:szCs w:val="10"/>
                <w:color w:val="auto"/>
              </w:rPr>
            </w:pPr>
          </w:p>
        </w:tc>
        <w:tc>
          <w:tcPr>
            <w:tcW w:w="1100" w:type="dxa"/>
            <w:vAlign w:val="bottom"/>
            <w:tcBorders>
              <w:right w:val="single" w:sz="8" w:color="auto"/>
            </w:tcBorders>
            <w:vMerge w:val="continue"/>
          </w:tcPr>
          <w:p>
            <w:pPr>
              <w:spacing w:after="0"/>
              <w:rPr>
                <w:sz w:val="10"/>
                <w:szCs w:val="10"/>
                <w:color w:val="auto"/>
              </w:rPr>
            </w:pPr>
          </w:p>
        </w:tc>
        <w:tc>
          <w:tcPr>
            <w:tcW w:w="200" w:type="dxa"/>
            <w:vAlign w:val="bottom"/>
            <w:vMerge w:val="continue"/>
          </w:tcPr>
          <w:p>
            <w:pPr>
              <w:spacing w:after="0"/>
              <w:rPr>
                <w:sz w:val="10"/>
                <w:szCs w:val="10"/>
                <w:color w:val="auto"/>
              </w:rPr>
            </w:pPr>
          </w:p>
        </w:tc>
        <w:tc>
          <w:tcPr>
            <w:tcW w:w="940" w:type="dxa"/>
            <w:vAlign w:val="bottom"/>
            <w:tcBorders>
              <w:right w:val="single" w:sz="8" w:color="auto"/>
            </w:tcBorders>
            <w:vMerge w:val="continue"/>
          </w:tcPr>
          <w:p>
            <w:pPr>
              <w:spacing w:after="0"/>
              <w:rPr>
                <w:sz w:val="10"/>
                <w:szCs w:val="10"/>
                <w:color w:val="auto"/>
              </w:rPr>
            </w:pPr>
          </w:p>
        </w:tc>
        <w:tc>
          <w:tcPr>
            <w:tcW w:w="260" w:type="dxa"/>
            <w:vAlign w:val="bottom"/>
            <w:vMerge w:val="continue"/>
          </w:tcPr>
          <w:p>
            <w:pPr>
              <w:spacing w:after="0"/>
              <w:rPr>
                <w:sz w:val="10"/>
                <w:szCs w:val="10"/>
                <w:color w:val="auto"/>
              </w:rPr>
            </w:pPr>
          </w:p>
        </w:tc>
        <w:tc>
          <w:tcPr>
            <w:tcW w:w="1020" w:type="dxa"/>
            <w:vAlign w:val="bottom"/>
            <w:tcBorders>
              <w:right w:val="single" w:sz="8" w:color="auto"/>
            </w:tcBorders>
            <w:vMerge w:val="continue"/>
          </w:tcPr>
          <w:p>
            <w:pPr>
              <w:spacing w:after="0"/>
              <w:rPr>
                <w:sz w:val="10"/>
                <w:szCs w:val="10"/>
                <w:color w:val="auto"/>
              </w:rPr>
            </w:pPr>
          </w:p>
        </w:tc>
        <w:tc>
          <w:tcPr>
            <w:tcW w:w="220" w:type="dxa"/>
            <w:vAlign w:val="bottom"/>
            <w:vMerge w:val="continue"/>
          </w:tcPr>
          <w:p>
            <w:pPr>
              <w:spacing w:after="0"/>
              <w:rPr>
                <w:sz w:val="10"/>
                <w:szCs w:val="10"/>
                <w:color w:val="auto"/>
              </w:rPr>
            </w:pPr>
          </w:p>
        </w:tc>
        <w:tc>
          <w:tcPr>
            <w:tcW w:w="92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54"/>
        </w:trPr>
        <w:tc>
          <w:tcPr>
            <w:tcW w:w="3220" w:type="dxa"/>
            <w:vAlign w:val="bottom"/>
            <w:tcBorders>
              <w:left w:val="single" w:sz="8" w:color="auto"/>
              <w:right w:val="single" w:sz="8" w:color="auto"/>
            </w:tcBorders>
            <w:vMerge w:val="continue"/>
          </w:tcPr>
          <w:p>
            <w:pPr>
              <w:spacing w:after="0"/>
              <w:rPr>
                <w:sz w:val="4"/>
                <w:szCs w:val="4"/>
                <w:color w:val="auto"/>
              </w:rPr>
            </w:pPr>
          </w:p>
        </w:tc>
        <w:tc>
          <w:tcPr>
            <w:tcW w:w="580" w:type="dxa"/>
            <w:vAlign w:val="bottom"/>
            <w:tcBorders>
              <w:right w:val="single" w:sz="8" w:color="auto"/>
            </w:tcBorders>
          </w:tcPr>
          <w:p>
            <w:pPr>
              <w:spacing w:after="0"/>
              <w:rPr>
                <w:sz w:val="4"/>
                <w:szCs w:val="4"/>
                <w:color w:val="auto"/>
              </w:rPr>
            </w:pPr>
          </w:p>
        </w:tc>
        <w:tc>
          <w:tcPr>
            <w:tcW w:w="860" w:type="dxa"/>
            <w:vAlign w:val="bottom"/>
            <w:tcBorders>
              <w:right w:val="single" w:sz="8" w:color="auto"/>
            </w:tcBorders>
          </w:tcPr>
          <w:p>
            <w:pPr>
              <w:spacing w:after="0"/>
              <w:rPr>
                <w:sz w:val="4"/>
                <w:szCs w:val="4"/>
                <w:color w:val="auto"/>
              </w:rPr>
            </w:pPr>
          </w:p>
        </w:tc>
        <w:tc>
          <w:tcPr>
            <w:tcW w:w="180" w:type="dxa"/>
            <w:vAlign w:val="bottom"/>
          </w:tcPr>
          <w:p>
            <w:pPr>
              <w:spacing w:after="0"/>
              <w:rPr>
                <w:sz w:val="4"/>
                <w:szCs w:val="4"/>
                <w:color w:val="auto"/>
              </w:rPr>
            </w:pPr>
          </w:p>
        </w:tc>
        <w:tc>
          <w:tcPr>
            <w:tcW w:w="800" w:type="dxa"/>
            <w:vAlign w:val="bottom"/>
            <w:tcBorders>
              <w:right w:val="single" w:sz="8" w:color="auto"/>
            </w:tcBorders>
          </w:tcPr>
          <w:p>
            <w:pPr>
              <w:spacing w:after="0"/>
              <w:rPr>
                <w:sz w:val="4"/>
                <w:szCs w:val="4"/>
                <w:color w:val="auto"/>
              </w:rPr>
            </w:pPr>
          </w:p>
        </w:tc>
        <w:tc>
          <w:tcPr>
            <w:tcW w:w="160" w:type="dxa"/>
            <w:vAlign w:val="bottom"/>
          </w:tcPr>
          <w:p>
            <w:pPr>
              <w:spacing w:after="0"/>
              <w:rPr>
                <w:sz w:val="4"/>
                <w:szCs w:val="4"/>
                <w:color w:val="auto"/>
              </w:rPr>
            </w:pPr>
          </w:p>
        </w:tc>
        <w:tc>
          <w:tcPr>
            <w:tcW w:w="800" w:type="dxa"/>
            <w:vAlign w:val="bottom"/>
            <w:tcBorders>
              <w:right w:val="single" w:sz="8" w:color="auto"/>
            </w:tcBorders>
          </w:tcPr>
          <w:p>
            <w:pPr>
              <w:spacing w:after="0"/>
              <w:rPr>
                <w:sz w:val="4"/>
                <w:szCs w:val="4"/>
                <w:color w:val="auto"/>
              </w:rPr>
            </w:pPr>
          </w:p>
        </w:tc>
        <w:tc>
          <w:tcPr>
            <w:tcW w:w="180" w:type="dxa"/>
            <w:vAlign w:val="bottom"/>
          </w:tcPr>
          <w:p>
            <w:pPr>
              <w:spacing w:after="0"/>
              <w:rPr>
                <w:sz w:val="4"/>
                <w:szCs w:val="4"/>
                <w:color w:val="auto"/>
              </w:rPr>
            </w:pPr>
          </w:p>
        </w:tc>
        <w:tc>
          <w:tcPr>
            <w:tcW w:w="1100" w:type="dxa"/>
            <w:vAlign w:val="bottom"/>
            <w:tcBorders>
              <w:right w:val="single" w:sz="8" w:color="auto"/>
            </w:tcBorders>
          </w:tcPr>
          <w:p>
            <w:pPr>
              <w:spacing w:after="0"/>
              <w:rPr>
                <w:sz w:val="4"/>
                <w:szCs w:val="4"/>
                <w:color w:val="auto"/>
              </w:rPr>
            </w:pPr>
          </w:p>
        </w:tc>
        <w:tc>
          <w:tcPr>
            <w:tcW w:w="200" w:type="dxa"/>
            <w:vAlign w:val="bottom"/>
          </w:tcPr>
          <w:p>
            <w:pPr>
              <w:spacing w:after="0"/>
              <w:rPr>
                <w:sz w:val="4"/>
                <w:szCs w:val="4"/>
                <w:color w:val="auto"/>
              </w:rPr>
            </w:pPr>
          </w:p>
        </w:tc>
        <w:tc>
          <w:tcPr>
            <w:tcW w:w="940" w:type="dxa"/>
            <w:vAlign w:val="bottom"/>
            <w:tcBorders>
              <w:right w:val="single" w:sz="8" w:color="auto"/>
            </w:tcBorders>
          </w:tcPr>
          <w:p>
            <w:pPr>
              <w:spacing w:after="0"/>
              <w:rPr>
                <w:sz w:val="4"/>
                <w:szCs w:val="4"/>
                <w:color w:val="auto"/>
              </w:rPr>
            </w:pPr>
          </w:p>
        </w:tc>
        <w:tc>
          <w:tcPr>
            <w:tcW w:w="260" w:type="dxa"/>
            <w:vAlign w:val="bottom"/>
          </w:tcPr>
          <w:p>
            <w:pPr>
              <w:spacing w:after="0"/>
              <w:rPr>
                <w:sz w:val="4"/>
                <w:szCs w:val="4"/>
                <w:color w:val="auto"/>
              </w:rPr>
            </w:pPr>
          </w:p>
        </w:tc>
        <w:tc>
          <w:tcPr>
            <w:tcW w:w="1020" w:type="dxa"/>
            <w:vAlign w:val="bottom"/>
            <w:tcBorders>
              <w:right w:val="single" w:sz="8" w:color="auto"/>
            </w:tcBorders>
          </w:tcPr>
          <w:p>
            <w:pPr>
              <w:spacing w:after="0"/>
              <w:rPr>
                <w:sz w:val="4"/>
                <w:szCs w:val="4"/>
                <w:color w:val="auto"/>
              </w:rPr>
            </w:pPr>
          </w:p>
        </w:tc>
        <w:tc>
          <w:tcPr>
            <w:tcW w:w="220" w:type="dxa"/>
            <w:vAlign w:val="bottom"/>
          </w:tcPr>
          <w:p>
            <w:pPr>
              <w:spacing w:after="0"/>
              <w:rPr>
                <w:sz w:val="4"/>
                <w:szCs w:val="4"/>
                <w:color w:val="auto"/>
              </w:rPr>
            </w:pPr>
          </w:p>
        </w:tc>
        <w:tc>
          <w:tcPr>
            <w:tcW w:w="92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53"/>
        </w:trPr>
        <w:tc>
          <w:tcPr>
            <w:tcW w:w="3220" w:type="dxa"/>
            <w:vAlign w:val="bottom"/>
            <w:tcBorders>
              <w:left w:val="single" w:sz="8" w:color="auto"/>
              <w:bottom w:val="single" w:sz="8" w:color="auto"/>
              <w:right w:val="single" w:sz="8" w:color="auto"/>
            </w:tcBorders>
          </w:tcPr>
          <w:p>
            <w:pPr>
              <w:spacing w:after="0"/>
              <w:rPr>
                <w:sz w:val="4"/>
                <w:szCs w:val="4"/>
                <w:color w:val="auto"/>
              </w:rPr>
            </w:pPr>
          </w:p>
        </w:tc>
        <w:tc>
          <w:tcPr>
            <w:tcW w:w="580" w:type="dxa"/>
            <w:vAlign w:val="bottom"/>
            <w:tcBorders>
              <w:bottom w:val="single" w:sz="8" w:color="auto"/>
              <w:right w:val="single" w:sz="8" w:color="auto"/>
            </w:tcBorders>
          </w:tcPr>
          <w:p>
            <w:pPr>
              <w:spacing w:after="0"/>
              <w:rPr>
                <w:sz w:val="4"/>
                <w:szCs w:val="4"/>
                <w:color w:val="auto"/>
              </w:rPr>
            </w:pPr>
          </w:p>
        </w:tc>
        <w:tc>
          <w:tcPr>
            <w:tcW w:w="860" w:type="dxa"/>
            <w:vAlign w:val="bottom"/>
            <w:tcBorders>
              <w:bottom w:val="single" w:sz="8" w:color="auto"/>
              <w:right w:val="single" w:sz="8" w:color="auto"/>
            </w:tcBorders>
          </w:tcPr>
          <w:p>
            <w:pPr>
              <w:spacing w:after="0"/>
              <w:rPr>
                <w:sz w:val="4"/>
                <w:szCs w:val="4"/>
                <w:color w:val="auto"/>
              </w:rPr>
            </w:pPr>
          </w:p>
        </w:tc>
        <w:tc>
          <w:tcPr>
            <w:tcW w:w="180" w:type="dxa"/>
            <w:vAlign w:val="bottom"/>
            <w:tcBorders>
              <w:bottom w:val="single" w:sz="8" w:color="auto"/>
            </w:tcBorders>
          </w:tcPr>
          <w:p>
            <w:pPr>
              <w:spacing w:after="0"/>
              <w:rPr>
                <w:sz w:val="4"/>
                <w:szCs w:val="4"/>
                <w:color w:val="auto"/>
              </w:rPr>
            </w:pPr>
          </w:p>
        </w:tc>
        <w:tc>
          <w:tcPr>
            <w:tcW w:w="800" w:type="dxa"/>
            <w:vAlign w:val="bottom"/>
            <w:tcBorders>
              <w:bottom w:val="single" w:sz="8" w:color="auto"/>
              <w:right w:val="single" w:sz="8" w:color="auto"/>
            </w:tcBorders>
          </w:tcPr>
          <w:p>
            <w:pPr>
              <w:spacing w:after="0"/>
              <w:rPr>
                <w:sz w:val="4"/>
                <w:szCs w:val="4"/>
                <w:color w:val="auto"/>
              </w:rPr>
            </w:pPr>
          </w:p>
        </w:tc>
        <w:tc>
          <w:tcPr>
            <w:tcW w:w="160" w:type="dxa"/>
            <w:vAlign w:val="bottom"/>
            <w:tcBorders>
              <w:bottom w:val="single" w:sz="8" w:color="auto"/>
            </w:tcBorders>
          </w:tcPr>
          <w:p>
            <w:pPr>
              <w:spacing w:after="0"/>
              <w:rPr>
                <w:sz w:val="4"/>
                <w:szCs w:val="4"/>
                <w:color w:val="auto"/>
              </w:rPr>
            </w:pPr>
          </w:p>
        </w:tc>
        <w:tc>
          <w:tcPr>
            <w:tcW w:w="800" w:type="dxa"/>
            <w:vAlign w:val="bottom"/>
            <w:tcBorders>
              <w:bottom w:val="single" w:sz="8" w:color="auto"/>
              <w:right w:val="single" w:sz="8" w:color="auto"/>
            </w:tcBorders>
          </w:tcPr>
          <w:p>
            <w:pPr>
              <w:spacing w:after="0"/>
              <w:rPr>
                <w:sz w:val="4"/>
                <w:szCs w:val="4"/>
                <w:color w:val="auto"/>
              </w:rPr>
            </w:pPr>
          </w:p>
        </w:tc>
        <w:tc>
          <w:tcPr>
            <w:tcW w:w="180" w:type="dxa"/>
            <w:vAlign w:val="bottom"/>
            <w:tcBorders>
              <w:bottom w:val="single" w:sz="8" w:color="auto"/>
            </w:tcBorders>
          </w:tcPr>
          <w:p>
            <w:pPr>
              <w:spacing w:after="0"/>
              <w:rPr>
                <w:sz w:val="4"/>
                <w:szCs w:val="4"/>
                <w:color w:val="auto"/>
              </w:rPr>
            </w:pPr>
          </w:p>
        </w:tc>
        <w:tc>
          <w:tcPr>
            <w:tcW w:w="1100" w:type="dxa"/>
            <w:vAlign w:val="bottom"/>
            <w:tcBorders>
              <w:bottom w:val="single" w:sz="8" w:color="auto"/>
              <w:right w:val="single" w:sz="8" w:color="auto"/>
            </w:tcBorders>
          </w:tcPr>
          <w:p>
            <w:pPr>
              <w:spacing w:after="0"/>
              <w:rPr>
                <w:sz w:val="4"/>
                <w:szCs w:val="4"/>
                <w:color w:val="auto"/>
              </w:rPr>
            </w:pPr>
          </w:p>
        </w:tc>
        <w:tc>
          <w:tcPr>
            <w:tcW w:w="200" w:type="dxa"/>
            <w:vAlign w:val="bottom"/>
            <w:tcBorders>
              <w:bottom w:val="single" w:sz="8" w:color="auto"/>
            </w:tcBorders>
          </w:tcPr>
          <w:p>
            <w:pPr>
              <w:spacing w:after="0"/>
              <w:rPr>
                <w:sz w:val="4"/>
                <w:szCs w:val="4"/>
                <w:color w:val="auto"/>
              </w:rPr>
            </w:pPr>
          </w:p>
        </w:tc>
        <w:tc>
          <w:tcPr>
            <w:tcW w:w="940" w:type="dxa"/>
            <w:vAlign w:val="bottom"/>
            <w:tcBorders>
              <w:bottom w:val="single" w:sz="8" w:color="auto"/>
              <w:right w:val="single" w:sz="8" w:color="auto"/>
            </w:tcBorders>
          </w:tcPr>
          <w:p>
            <w:pPr>
              <w:spacing w:after="0"/>
              <w:rPr>
                <w:sz w:val="4"/>
                <w:szCs w:val="4"/>
                <w:color w:val="auto"/>
              </w:rPr>
            </w:pPr>
          </w:p>
        </w:tc>
        <w:tc>
          <w:tcPr>
            <w:tcW w:w="260" w:type="dxa"/>
            <w:vAlign w:val="bottom"/>
            <w:tcBorders>
              <w:bottom w:val="single" w:sz="8" w:color="auto"/>
            </w:tcBorders>
          </w:tcPr>
          <w:p>
            <w:pPr>
              <w:spacing w:after="0"/>
              <w:rPr>
                <w:sz w:val="4"/>
                <w:szCs w:val="4"/>
                <w:color w:val="auto"/>
              </w:rPr>
            </w:pPr>
          </w:p>
        </w:tc>
        <w:tc>
          <w:tcPr>
            <w:tcW w:w="1020" w:type="dxa"/>
            <w:vAlign w:val="bottom"/>
            <w:tcBorders>
              <w:bottom w:val="single" w:sz="8" w:color="auto"/>
              <w:right w:val="single" w:sz="8" w:color="auto"/>
            </w:tcBorders>
          </w:tcPr>
          <w:p>
            <w:pPr>
              <w:spacing w:after="0"/>
              <w:rPr>
                <w:sz w:val="4"/>
                <w:szCs w:val="4"/>
                <w:color w:val="auto"/>
              </w:rPr>
            </w:pPr>
          </w:p>
        </w:tc>
        <w:tc>
          <w:tcPr>
            <w:tcW w:w="220" w:type="dxa"/>
            <w:vAlign w:val="bottom"/>
            <w:tcBorders>
              <w:bottom w:val="single" w:sz="8" w:color="auto"/>
            </w:tcBorders>
          </w:tcPr>
          <w:p>
            <w:pPr>
              <w:spacing w:after="0"/>
              <w:rPr>
                <w:sz w:val="4"/>
                <w:szCs w:val="4"/>
                <w:color w:val="auto"/>
              </w:rPr>
            </w:pPr>
          </w:p>
        </w:tc>
        <w:tc>
          <w:tcPr>
            <w:tcW w:w="92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156"/>
        </w:trPr>
        <w:tc>
          <w:tcPr>
            <w:tcW w:w="3220" w:type="dxa"/>
            <w:vAlign w:val="bottom"/>
            <w:tcBorders>
              <w:left w:val="single" w:sz="8" w:color="auto"/>
              <w:right w:val="single" w:sz="8" w:color="auto"/>
            </w:tcBorders>
            <w:vMerge w:val="restart"/>
            <w:shd w:val="clear" w:color="auto" w:fill="CCEEFF"/>
          </w:tcPr>
          <w:p>
            <w:pPr>
              <w:ind w:left="160"/>
              <w:spacing w:after="0"/>
              <w:rPr>
                <w:sz w:val="20"/>
                <w:szCs w:val="20"/>
                <w:color w:val="auto"/>
              </w:rPr>
            </w:pPr>
            <w:r>
              <w:rPr>
                <w:rFonts w:ascii="Arial" w:cs="Arial" w:eastAsia="Arial" w:hAnsi="Arial"/>
                <w:sz w:val="14"/>
                <w:szCs w:val="14"/>
                <w:color w:val="auto"/>
              </w:rPr>
              <w:t>Donald L. Walker</w:t>
            </w:r>
          </w:p>
        </w:tc>
        <w:tc>
          <w:tcPr>
            <w:tcW w:w="580" w:type="dxa"/>
            <w:vAlign w:val="bottom"/>
            <w:tcBorders>
              <w:right w:val="single" w:sz="8" w:color="auto"/>
            </w:tcBorders>
            <w:shd w:val="clear" w:color="auto" w:fill="CCEEFF"/>
          </w:tcPr>
          <w:p>
            <w:pPr>
              <w:ind w:left="140"/>
              <w:spacing w:after="0" w:line="155" w:lineRule="exact"/>
              <w:rPr>
                <w:sz w:val="20"/>
                <w:szCs w:val="20"/>
                <w:color w:val="auto"/>
              </w:rPr>
            </w:pPr>
            <w:r>
              <w:rPr>
                <w:rFonts w:ascii="Arial" w:cs="Arial" w:eastAsia="Arial" w:hAnsi="Arial"/>
                <w:sz w:val="14"/>
                <w:szCs w:val="14"/>
                <w:color w:val="auto"/>
              </w:rPr>
              <w:t>2015</w:t>
            </w:r>
          </w:p>
        </w:tc>
        <w:tc>
          <w:tcPr>
            <w:tcW w:w="860" w:type="dxa"/>
            <w:vAlign w:val="bottom"/>
            <w:tcBorders>
              <w:right w:val="single" w:sz="8" w:color="auto"/>
            </w:tcBorders>
            <w:shd w:val="clear" w:color="auto" w:fill="CCEEFF"/>
          </w:tcPr>
          <w:p>
            <w:pPr>
              <w:jc w:val="center"/>
              <w:spacing w:after="0" w:line="155" w:lineRule="exact"/>
              <w:rPr>
                <w:sz w:val="20"/>
                <w:szCs w:val="20"/>
                <w:color w:val="auto"/>
              </w:rPr>
            </w:pPr>
            <w:r>
              <w:rPr>
                <w:rFonts w:ascii="Arial" w:cs="Arial" w:eastAsia="Arial" w:hAnsi="Arial"/>
                <w:sz w:val="14"/>
                <w:szCs w:val="14"/>
                <w:color w:val="auto"/>
              </w:rPr>
              <w:t>$ 365,040</w:t>
            </w:r>
          </w:p>
        </w:tc>
        <w:tc>
          <w:tcPr>
            <w:tcW w:w="180" w:type="dxa"/>
            <w:vAlign w:val="bottom"/>
            <w:shd w:val="clear" w:color="auto" w:fill="CCEEFF"/>
          </w:tcPr>
          <w:p>
            <w:pPr>
              <w:jc w:val="right"/>
              <w:spacing w:after="0" w:line="155" w:lineRule="exact"/>
              <w:rPr>
                <w:sz w:val="20"/>
                <w:szCs w:val="20"/>
                <w:color w:val="auto"/>
              </w:rPr>
            </w:pPr>
            <w:r>
              <w:rPr>
                <w:rFonts w:ascii="Arial" w:cs="Arial" w:eastAsia="Arial" w:hAnsi="Arial"/>
                <w:sz w:val="14"/>
                <w:szCs w:val="14"/>
                <w:color w:val="auto"/>
              </w:rPr>
              <w:t>$</w:t>
            </w:r>
          </w:p>
        </w:tc>
        <w:tc>
          <w:tcPr>
            <w:tcW w:w="800" w:type="dxa"/>
            <w:vAlign w:val="bottom"/>
            <w:tcBorders>
              <w:right w:val="single" w:sz="8" w:color="auto"/>
            </w:tcBorders>
            <w:shd w:val="clear" w:color="auto" w:fill="CCEEFF"/>
          </w:tcPr>
          <w:p>
            <w:pPr>
              <w:jc w:val="right"/>
              <w:ind w:right="69"/>
              <w:spacing w:after="0" w:line="155" w:lineRule="exact"/>
              <w:rPr>
                <w:sz w:val="20"/>
                <w:szCs w:val="20"/>
                <w:color w:val="auto"/>
              </w:rPr>
            </w:pPr>
            <w:r>
              <w:rPr>
                <w:rFonts w:ascii="Arial" w:cs="Arial" w:eastAsia="Arial" w:hAnsi="Arial"/>
                <w:sz w:val="14"/>
                <w:szCs w:val="14"/>
                <w:color w:val="auto"/>
              </w:rPr>
              <w:t>243,600</w:t>
            </w:r>
          </w:p>
        </w:tc>
        <w:tc>
          <w:tcPr>
            <w:tcW w:w="160" w:type="dxa"/>
            <w:vAlign w:val="bottom"/>
            <w:shd w:val="clear" w:color="auto" w:fill="CCEEFF"/>
          </w:tcPr>
          <w:p>
            <w:pPr>
              <w:jc w:val="right"/>
              <w:spacing w:after="0" w:line="155" w:lineRule="exact"/>
              <w:rPr>
                <w:sz w:val="20"/>
                <w:szCs w:val="20"/>
                <w:color w:val="auto"/>
              </w:rPr>
            </w:pPr>
            <w:r>
              <w:rPr>
                <w:rFonts w:ascii="Arial" w:cs="Arial" w:eastAsia="Arial" w:hAnsi="Arial"/>
                <w:sz w:val="14"/>
                <w:szCs w:val="14"/>
                <w:color w:val="auto"/>
              </w:rPr>
              <w:t>$</w:t>
            </w:r>
          </w:p>
        </w:tc>
        <w:tc>
          <w:tcPr>
            <w:tcW w:w="800" w:type="dxa"/>
            <w:vAlign w:val="bottom"/>
            <w:tcBorders>
              <w:right w:val="single" w:sz="8" w:color="auto"/>
            </w:tcBorders>
            <w:shd w:val="clear" w:color="auto" w:fill="CCEEFF"/>
          </w:tcPr>
          <w:p>
            <w:pPr>
              <w:jc w:val="right"/>
              <w:ind w:right="49"/>
              <w:spacing w:after="0" w:line="155" w:lineRule="exact"/>
              <w:rPr>
                <w:sz w:val="20"/>
                <w:szCs w:val="20"/>
                <w:color w:val="auto"/>
              </w:rPr>
            </w:pPr>
            <w:r>
              <w:rPr>
                <w:rFonts w:ascii="Arial" w:cs="Arial" w:eastAsia="Arial" w:hAnsi="Arial"/>
                <w:sz w:val="14"/>
                <w:szCs w:val="14"/>
                <w:color w:val="auto"/>
              </w:rPr>
              <w:t>108,177</w:t>
            </w:r>
          </w:p>
        </w:tc>
        <w:tc>
          <w:tcPr>
            <w:tcW w:w="180" w:type="dxa"/>
            <w:vAlign w:val="bottom"/>
            <w:shd w:val="clear" w:color="auto" w:fill="CCEEFF"/>
          </w:tcPr>
          <w:p>
            <w:pPr>
              <w:jc w:val="right"/>
              <w:spacing w:after="0" w:line="155" w:lineRule="exact"/>
              <w:rPr>
                <w:sz w:val="20"/>
                <w:szCs w:val="20"/>
                <w:color w:val="auto"/>
              </w:rPr>
            </w:pPr>
            <w:r>
              <w:rPr>
                <w:rFonts w:ascii="Arial" w:cs="Arial" w:eastAsia="Arial" w:hAnsi="Arial"/>
                <w:sz w:val="14"/>
                <w:szCs w:val="14"/>
                <w:color w:val="auto"/>
              </w:rPr>
              <w:t>$</w:t>
            </w:r>
          </w:p>
        </w:tc>
        <w:tc>
          <w:tcPr>
            <w:tcW w:w="1100" w:type="dxa"/>
            <w:vAlign w:val="bottom"/>
            <w:tcBorders>
              <w:right w:val="single" w:sz="8" w:color="auto"/>
            </w:tcBorders>
            <w:shd w:val="clear" w:color="auto" w:fill="CCEEFF"/>
          </w:tcPr>
          <w:p>
            <w:pPr>
              <w:jc w:val="right"/>
              <w:ind w:right="49"/>
              <w:spacing w:after="0" w:line="155" w:lineRule="exact"/>
              <w:rPr>
                <w:sz w:val="20"/>
                <w:szCs w:val="20"/>
                <w:color w:val="auto"/>
              </w:rPr>
            </w:pPr>
            <w:r>
              <w:rPr>
                <w:rFonts w:ascii="Arial" w:cs="Arial" w:eastAsia="Arial" w:hAnsi="Arial"/>
                <w:sz w:val="14"/>
                <w:szCs w:val="14"/>
                <w:color w:val="auto"/>
              </w:rPr>
              <w:t>0</w:t>
            </w:r>
          </w:p>
        </w:tc>
        <w:tc>
          <w:tcPr>
            <w:tcW w:w="200" w:type="dxa"/>
            <w:vAlign w:val="bottom"/>
            <w:shd w:val="clear" w:color="auto" w:fill="CCEEFF"/>
          </w:tcPr>
          <w:p>
            <w:pPr>
              <w:jc w:val="right"/>
              <w:spacing w:after="0" w:line="155" w:lineRule="exact"/>
              <w:rPr>
                <w:sz w:val="20"/>
                <w:szCs w:val="20"/>
                <w:color w:val="auto"/>
              </w:rPr>
            </w:pPr>
            <w:r>
              <w:rPr>
                <w:rFonts w:ascii="Arial" w:cs="Arial" w:eastAsia="Arial" w:hAnsi="Arial"/>
                <w:sz w:val="14"/>
                <w:szCs w:val="14"/>
                <w:color w:val="auto"/>
              </w:rPr>
              <w:t>$</w:t>
            </w:r>
          </w:p>
        </w:tc>
        <w:tc>
          <w:tcPr>
            <w:tcW w:w="940" w:type="dxa"/>
            <w:vAlign w:val="bottom"/>
            <w:tcBorders>
              <w:right w:val="single" w:sz="8" w:color="auto"/>
            </w:tcBorders>
            <w:shd w:val="clear" w:color="auto" w:fill="CCEEFF"/>
          </w:tcPr>
          <w:p>
            <w:pPr>
              <w:jc w:val="right"/>
              <w:ind w:right="50"/>
              <w:spacing w:after="0" w:line="155" w:lineRule="exact"/>
              <w:rPr>
                <w:sz w:val="20"/>
                <w:szCs w:val="20"/>
                <w:color w:val="auto"/>
              </w:rPr>
            </w:pPr>
            <w:r>
              <w:rPr>
                <w:rFonts w:ascii="Arial" w:cs="Arial" w:eastAsia="Arial" w:hAnsi="Arial"/>
                <w:sz w:val="14"/>
                <w:szCs w:val="14"/>
                <w:color w:val="auto"/>
              </w:rPr>
              <w:t>37,000</w:t>
            </w:r>
          </w:p>
        </w:tc>
        <w:tc>
          <w:tcPr>
            <w:tcW w:w="260" w:type="dxa"/>
            <w:vAlign w:val="bottom"/>
            <w:shd w:val="clear" w:color="auto" w:fill="CCEEFF"/>
          </w:tcPr>
          <w:p>
            <w:pPr>
              <w:jc w:val="right"/>
              <w:ind w:right="9"/>
              <w:spacing w:after="0" w:line="155" w:lineRule="exact"/>
              <w:rPr>
                <w:sz w:val="20"/>
                <w:szCs w:val="20"/>
                <w:color w:val="auto"/>
              </w:rPr>
            </w:pPr>
            <w:r>
              <w:rPr>
                <w:rFonts w:ascii="Arial" w:cs="Arial" w:eastAsia="Arial" w:hAnsi="Arial"/>
                <w:sz w:val="14"/>
                <w:szCs w:val="14"/>
                <w:color w:val="auto"/>
              </w:rPr>
              <w:t>$</w:t>
            </w:r>
          </w:p>
        </w:tc>
        <w:tc>
          <w:tcPr>
            <w:tcW w:w="1020" w:type="dxa"/>
            <w:vAlign w:val="bottom"/>
            <w:tcBorders>
              <w:right w:val="single" w:sz="8" w:color="auto"/>
            </w:tcBorders>
            <w:shd w:val="clear" w:color="auto" w:fill="CCEEFF"/>
          </w:tcPr>
          <w:p>
            <w:pPr>
              <w:jc w:val="right"/>
              <w:ind w:right="49"/>
              <w:spacing w:after="0" w:line="155" w:lineRule="exact"/>
              <w:rPr>
                <w:sz w:val="20"/>
                <w:szCs w:val="20"/>
                <w:color w:val="auto"/>
              </w:rPr>
            </w:pPr>
            <w:r>
              <w:rPr>
                <w:rFonts w:ascii="Arial" w:cs="Arial" w:eastAsia="Arial" w:hAnsi="Arial"/>
                <w:sz w:val="14"/>
                <w:szCs w:val="14"/>
                <w:color w:val="auto"/>
              </w:rPr>
              <w:t>37,461</w:t>
            </w:r>
          </w:p>
        </w:tc>
        <w:tc>
          <w:tcPr>
            <w:tcW w:w="220" w:type="dxa"/>
            <w:vAlign w:val="bottom"/>
            <w:shd w:val="clear" w:color="auto" w:fill="CCEEFF"/>
          </w:tcPr>
          <w:p>
            <w:pPr>
              <w:jc w:val="right"/>
              <w:spacing w:after="0" w:line="155" w:lineRule="exact"/>
              <w:rPr>
                <w:sz w:val="20"/>
                <w:szCs w:val="20"/>
                <w:color w:val="auto"/>
              </w:rPr>
            </w:pPr>
            <w:r>
              <w:rPr>
                <w:rFonts w:ascii="Arial" w:cs="Arial" w:eastAsia="Arial" w:hAnsi="Arial"/>
                <w:sz w:val="14"/>
                <w:szCs w:val="14"/>
                <w:color w:val="auto"/>
              </w:rPr>
              <w:t>$</w:t>
            </w:r>
          </w:p>
        </w:tc>
        <w:tc>
          <w:tcPr>
            <w:tcW w:w="920" w:type="dxa"/>
            <w:vAlign w:val="bottom"/>
            <w:tcBorders>
              <w:right w:val="single" w:sz="8" w:color="auto"/>
            </w:tcBorders>
            <w:shd w:val="clear" w:color="auto" w:fill="CCEEFF"/>
          </w:tcPr>
          <w:p>
            <w:pPr>
              <w:jc w:val="right"/>
              <w:ind w:right="169"/>
              <w:spacing w:after="0" w:line="155" w:lineRule="exact"/>
              <w:rPr>
                <w:sz w:val="20"/>
                <w:szCs w:val="20"/>
                <w:color w:val="auto"/>
              </w:rPr>
            </w:pPr>
            <w:r>
              <w:rPr>
                <w:rFonts w:ascii="Arial" w:cs="Arial" w:eastAsia="Arial" w:hAnsi="Arial"/>
                <w:sz w:val="14"/>
                <w:szCs w:val="14"/>
                <w:color w:val="auto"/>
              </w:rPr>
              <w:t>791,278</w:t>
            </w:r>
          </w:p>
        </w:tc>
        <w:tc>
          <w:tcPr>
            <w:tcW w:w="0" w:type="dxa"/>
            <w:vAlign w:val="bottom"/>
          </w:tcPr>
          <w:p>
            <w:pPr>
              <w:spacing w:after="0"/>
              <w:rPr>
                <w:sz w:val="1"/>
                <w:szCs w:val="1"/>
                <w:color w:val="auto"/>
              </w:rPr>
            </w:pPr>
          </w:p>
        </w:tc>
      </w:tr>
      <w:tr>
        <w:trPr>
          <w:trHeight w:val="72"/>
        </w:trPr>
        <w:tc>
          <w:tcPr>
            <w:tcW w:w="3220" w:type="dxa"/>
            <w:vAlign w:val="bottom"/>
            <w:tcBorders>
              <w:left w:val="single" w:sz="8" w:color="auto"/>
              <w:right w:val="single" w:sz="8" w:color="auto"/>
            </w:tcBorders>
            <w:vMerge w:val="continue"/>
            <w:shd w:val="clear" w:color="auto" w:fill="CCEEFF"/>
          </w:tcPr>
          <w:p>
            <w:pPr>
              <w:spacing w:after="0"/>
              <w:rPr>
                <w:sz w:val="6"/>
                <w:szCs w:val="6"/>
                <w:color w:val="auto"/>
              </w:rPr>
            </w:pPr>
          </w:p>
        </w:tc>
        <w:tc>
          <w:tcPr>
            <w:tcW w:w="580" w:type="dxa"/>
            <w:vAlign w:val="bottom"/>
            <w:tcBorders>
              <w:right w:val="single" w:sz="8" w:color="auto"/>
            </w:tcBorders>
            <w:vMerge w:val="restart"/>
          </w:tcPr>
          <w:p>
            <w:pPr>
              <w:ind w:left="140"/>
              <w:spacing w:after="0"/>
              <w:rPr>
                <w:sz w:val="20"/>
                <w:szCs w:val="20"/>
                <w:color w:val="auto"/>
              </w:rPr>
            </w:pPr>
            <w:r>
              <w:rPr>
                <w:rFonts w:ascii="Arial" w:cs="Arial" w:eastAsia="Arial" w:hAnsi="Arial"/>
                <w:sz w:val="14"/>
                <w:szCs w:val="14"/>
                <w:color w:val="auto"/>
              </w:rPr>
              <w:t>2014</w:t>
            </w:r>
          </w:p>
        </w:tc>
        <w:tc>
          <w:tcPr>
            <w:tcW w:w="86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4"/>
                <w:szCs w:val="14"/>
                <w:color w:val="auto"/>
              </w:rPr>
              <w:t>$ 365,040</w:t>
            </w:r>
          </w:p>
        </w:tc>
        <w:tc>
          <w:tcPr>
            <w:tcW w:w="180" w:type="dxa"/>
            <w:vAlign w:val="bottom"/>
            <w:vMerge w:val="restart"/>
          </w:tcPr>
          <w:p>
            <w:pPr>
              <w:jc w:val="right"/>
              <w:spacing w:after="0"/>
              <w:rPr>
                <w:sz w:val="20"/>
                <w:szCs w:val="20"/>
                <w:color w:val="auto"/>
              </w:rPr>
            </w:pPr>
            <w:r>
              <w:rPr>
                <w:rFonts w:ascii="Arial" w:cs="Arial" w:eastAsia="Arial" w:hAnsi="Arial"/>
                <w:sz w:val="14"/>
                <w:szCs w:val="14"/>
                <w:color w:val="auto"/>
              </w:rPr>
              <w:t>$</w:t>
            </w:r>
          </w:p>
        </w:tc>
        <w:tc>
          <w:tcPr>
            <w:tcW w:w="800" w:type="dxa"/>
            <w:vAlign w:val="bottom"/>
            <w:tcBorders>
              <w:right w:val="single" w:sz="8" w:color="auto"/>
            </w:tcBorders>
            <w:vMerge w:val="restart"/>
          </w:tcPr>
          <w:p>
            <w:pPr>
              <w:jc w:val="right"/>
              <w:ind w:right="69"/>
              <w:spacing w:after="0"/>
              <w:rPr>
                <w:sz w:val="20"/>
                <w:szCs w:val="20"/>
                <w:color w:val="auto"/>
              </w:rPr>
            </w:pPr>
            <w:r>
              <w:rPr>
                <w:rFonts w:ascii="Arial" w:cs="Arial" w:eastAsia="Arial" w:hAnsi="Arial"/>
                <w:sz w:val="14"/>
                <w:szCs w:val="14"/>
                <w:color w:val="auto"/>
              </w:rPr>
              <w:t>324,707</w:t>
            </w:r>
          </w:p>
        </w:tc>
        <w:tc>
          <w:tcPr>
            <w:tcW w:w="160" w:type="dxa"/>
            <w:vAlign w:val="bottom"/>
            <w:vMerge w:val="restart"/>
          </w:tcPr>
          <w:p>
            <w:pPr>
              <w:jc w:val="right"/>
              <w:spacing w:after="0"/>
              <w:rPr>
                <w:sz w:val="20"/>
                <w:szCs w:val="20"/>
                <w:color w:val="auto"/>
              </w:rPr>
            </w:pPr>
            <w:r>
              <w:rPr>
                <w:rFonts w:ascii="Arial" w:cs="Arial" w:eastAsia="Arial" w:hAnsi="Arial"/>
                <w:sz w:val="14"/>
                <w:szCs w:val="14"/>
                <w:color w:val="auto"/>
              </w:rPr>
              <w:t>$</w:t>
            </w:r>
          </w:p>
        </w:tc>
        <w:tc>
          <w:tcPr>
            <w:tcW w:w="800" w:type="dxa"/>
            <w:vAlign w:val="bottom"/>
            <w:tcBorders>
              <w:right w:val="single" w:sz="8" w:color="auto"/>
            </w:tcBorders>
            <w:vMerge w:val="restart"/>
          </w:tcPr>
          <w:p>
            <w:pPr>
              <w:jc w:val="right"/>
              <w:ind w:right="49"/>
              <w:spacing w:after="0"/>
              <w:rPr>
                <w:sz w:val="20"/>
                <w:szCs w:val="20"/>
                <w:color w:val="auto"/>
              </w:rPr>
            </w:pPr>
            <w:r>
              <w:rPr>
                <w:rFonts w:ascii="Arial" w:cs="Arial" w:eastAsia="Arial" w:hAnsi="Arial"/>
                <w:sz w:val="14"/>
                <w:szCs w:val="14"/>
                <w:color w:val="auto"/>
              </w:rPr>
              <w:t>248,372</w:t>
            </w:r>
          </w:p>
        </w:tc>
        <w:tc>
          <w:tcPr>
            <w:tcW w:w="180" w:type="dxa"/>
            <w:vAlign w:val="bottom"/>
            <w:vMerge w:val="restart"/>
          </w:tcPr>
          <w:p>
            <w:pPr>
              <w:jc w:val="right"/>
              <w:spacing w:after="0"/>
              <w:rPr>
                <w:sz w:val="20"/>
                <w:szCs w:val="20"/>
                <w:color w:val="auto"/>
              </w:rPr>
            </w:pPr>
            <w:r>
              <w:rPr>
                <w:rFonts w:ascii="Arial" w:cs="Arial" w:eastAsia="Arial" w:hAnsi="Arial"/>
                <w:sz w:val="14"/>
                <w:szCs w:val="14"/>
                <w:color w:val="auto"/>
              </w:rPr>
              <w:t>$</w:t>
            </w:r>
          </w:p>
        </w:tc>
        <w:tc>
          <w:tcPr>
            <w:tcW w:w="1100" w:type="dxa"/>
            <w:vAlign w:val="bottom"/>
            <w:tcBorders>
              <w:right w:val="single" w:sz="8" w:color="auto"/>
            </w:tcBorders>
            <w:vMerge w:val="restart"/>
          </w:tcPr>
          <w:p>
            <w:pPr>
              <w:jc w:val="right"/>
              <w:ind w:right="49"/>
              <w:spacing w:after="0"/>
              <w:rPr>
                <w:sz w:val="20"/>
                <w:szCs w:val="20"/>
                <w:color w:val="auto"/>
              </w:rPr>
            </w:pPr>
            <w:r>
              <w:rPr>
                <w:rFonts w:ascii="Arial" w:cs="Arial" w:eastAsia="Arial" w:hAnsi="Arial"/>
                <w:sz w:val="14"/>
                <w:szCs w:val="14"/>
                <w:color w:val="auto"/>
              </w:rPr>
              <w:t>255,272</w:t>
            </w:r>
          </w:p>
        </w:tc>
        <w:tc>
          <w:tcPr>
            <w:tcW w:w="200" w:type="dxa"/>
            <w:vAlign w:val="bottom"/>
            <w:vMerge w:val="restart"/>
          </w:tcPr>
          <w:p>
            <w:pPr>
              <w:jc w:val="right"/>
              <w:spacing w:after="0"/>
              <w:rPr>
                <w:sz w:val="20"/>
                <w:szCs w:val="20"/>
                <w:color w:val="auto"/>
              </w:rPr>
            </w:pPr>
            <w:r>
              <w:rPr>
                <w:rFonts w:ascii="Arial" w:cs="Arial" w:eastAsia="Arial" w:hAnsi="Arial"/>
                <w:sz w:val="14"/>
                <w:szCs w:val="14"/>
                <w:color w:val="auto"/>
              </w:rPr>
              <w:t>$</w:t>
            </w:r>
          </w:p>
        </w:tc>
        <w:tc>
          <w:tcPr>
            <w:tcW w:w="940" w:type="dxa"/>
            <w:vAlign w:val="bottom"/>
            <w:tcBorders>
              <w:right w:val="single" w:sz="8" w:color="auto"/>
            </w:tcBorders>
            <w:vMerge w:val="restart"/>
          </w:tcPr>
          <w:p>
            <w:pPr>
              <w:jc w:val="right"/>
              <w:ind w:right="50"/>
              <w:spacing w:after="0"/>
              <w:rPr>
                <w:sz w:val="20"/>
                <w:szCs w:val="20"/>
                <w:color w:val="auto"/>
              </w:rPr>
            </w:pPr>
            <w:r>
              <w:rPr>
                <w:rFonts w:ascii="Arial" w:cs="Arial" w:eastAsia="Arial" w:hAnsi="Arial"/>
                <w:sz w:val="14"/>
                <w:szCs w:val="14"/>
                <w:color w:val="auto"/>
              </w:rPr>
              <w:t>997,000</w:t>
            </w:r>
          </w:p>
        </w:tc>
        <w:tc>
          <w:tcPr>
            <w:tcW w:w="260" w:type="dxa"/>
            <w:vAlign w:val="bottom"/>
            <w:vMerge w:val="restart"/>
          </w:tcPr>
          <w:p>
            <w:pPr>
              <w:jc w:val="right"/>
              <w:ind w:right="9"/>
              <w:spacing w:after="0"/>
              <w:rPr>
                <w:sz w:val="20"/>
                <w:szCs w:val="20"/>
                <w:color w:val="auto"/>
              </w:rPr>
            </w:pPr>
            <w:r>
              <w:rPr>
                <w:rFonts w:ascii="Arial" w:cs="Arial" w:eastAsia="Arial" w:hAnsi="Arial"/>
                <w:sz w:val="14"/>
                <w:szCs w:val="14"/>
                <w:color w:val="auto"/>
              </w:rPr>
              <w:t>$</w:t>
            </w:r>
          </w:p>
        </w:tc>
        <w:tc>
          <w:tcPr>
            <w:tcW w:w="1020" w:type="dxa"/>
            <w:vAlign w:val="bottom"/>
            <w:tcBorders>
              <w:right w:val="single" w:sz="8" w:color="auto"/>
            </w:tcBorders>
            <w:vMerge w:val="restart"/>
          </w:tcPr>
          <w:p>
            <w:pPr>
              <w:jc w:val="right"/>
              <w:ind w:right="49"/>
              <w:spacing w:after="0"/>
              <w:rPr>
                <w:sz w:val="20"/>
                <w:szCs w:val="20"/>
                <w:color w:val="auto"/>
              </w:rPr>
            </w:pPr>
            <w:r>
              <w:rPr>
                <w:rFonts w:ascii="Arial" w:cs="Arial" w:eastAsia="Arial" w:hAnsi="Arial"/>
                <w:sz w:val="14"/>
                <w:szCs w:val="14"/>
                <w:color w:val="auto"/>
              </w:rPr>
              <w:t>36,159</w:t>
            </w:r>
          </w:p>
        </w:tc>
        <w:tc>
          <w:tcPr>
            <w:tcW w:w="220" w:type="dxa"/>
            <w:vAlign w:val="bottom"/>
            <w:vMerge w:val="restart"/>
          </w:tcPr>
          <w:p>
            <w:pPr>
              <w:jc w:val="right"/>
              <w:spacing w:after="0"/>
              <w:rPr>
                <w:sz w:val="20"/>
                <w:szCs w:val="20"/>
                <w:color w:val="auto"/>
              </w:rPr>
            </w:pPr>
            <w:r>
              <w:rPr>
                <w:rFonts w:ascii="Arial" w:cs="Arial" w:eastAsia="Arial" w:hAnsi="Arial"/>
                <w:sz w:val="14"/>
                <w:szCs w:val="14"/>
                <w:color w:val="auto"/>
              </w:rPr>
              <w:t>$</w:t>
            </w:r>
          </w:p>
        </w:tc>
        <w:tc>
          <w:tcPr>
            <w:tcW w:w="920" w:type="dxa"/>
            <w:vAlign w:val="bottom"/>
            <w:tcBorders>
              <w:right w:val="single" w:sz="8" w:color="auto"/>
            </w:tcBorders>
            <w:vMerge w:val="restart"/>
          </w:tcPr>
          <w:p>
            <w:pPr>
              <w:jc w:val="right"/>
              <w:ind w:right="169"/>
              <w:spacing w:after="0"/>
              <w:rPr>
                <w:sz w:val="20"/>
                <w:szCs w:val="20"/>
                <w:color w:val="auto"/>
              </w:rPr>
            </w:pPr>
            <w:r>
              <w:rPr>
                <w:rFonts w:ascii="Arial" w:cs="Arial" w:eastAsia="Arial" w:hAnsi="Arial"/>
                <w:sz w:val="14"/>
                <w:szCs w:val="14"/>
                <w:color w:val="auto"/>
              </w:rPr>
              <w:t>2,226,550</w:t>
            </w:r>
          </w:p>
        </w:tc>
        <w:tc>
          <w:tcPr>
            <w:tcW w:w="0" w:type="dxa"/>
            <w:vAlign w:val="bottom"/>
          </w:tcPr>
          <w:p>
            <w:pPr>
              <w:spacing w:after="0"/>
              <w:rPr>
                <w:sz w:val="1"/>
                <w:szCs w:val="1"/>
                <w:color w:val="auto"/>
              </w:rPr>
            </w:pPr>
          </w:p>
        </w:tc>
      </w:tr>
      <w:tr>
        <w:trPr>
          <w:trHeight w:val="90"/>
        </w:trPr>
        <w:tc>
          <w:tcPr>
            <w:tcW w:w="3220" w:type="dxa"/>
            <w:vAlign w:val="bottom"/>
            <w:tcBorders>
              <w:left w:val="single" w:sz="8" w:color="auto"/>
              <w:right w:val="single" w:sz="8" w:color="auto"/>
            </w:tcBorders>
            <w:vMerge w:val="restart"/>
            <w:shd w:val="clear" w:color="auto" w:fill="CCEEFF"/>
          </w:tcPr>
          <w:p>
            <w:pPr>
              <w:ind w:left="160"/>
              <w:spacing w:after="0"/>
              <w:rPr>
                <w:sz w:val="20"/>
                <w:szCs w:val="20"/>
                <w:color w:val="auto"/>
              </w:rPr>
            </w:pPr>
            <w:r>
              <w:rPr>
                <w:rFonts w:ascii="Arial" w:cs="Arial" w:eastAsia="Arial" w:hAnsi="Arial"/>
                <w:sz w:val="14"/>
                <w:szCs w:val="14"/>
                <w:color w:val="auto"/>
              </w:rPr>
              <w:t>Executive VP-HR &amp; Org Advancement</w:t>
            </w:r>
          </w:p>
        </w:tc>
        <w:tc>
          <w:tcPr>
            <w:tcW w:w="580" w:type="dxa"/>
            <w:vAlign w:val="bottom"/>
            <w:tcBorders>
              <w:right w:val="single" w:sz="8" w:color="auto"/>
            </w:tcBorders>
            <w:vMerge w:val="continue"/>
          </w:tcPr>
          <w:p>
            <w:pPr>
              <w:spacing w:after="0"/>
              <w:rPr>
                <w:sz w:val="7"/>
                <w:szCs w:val="7"/>
                <w:color w:val="auto"/>
              </w:rPr>
            </w:pPr>
          </w:p>
        </w:tc>
        <w:tc>
          <w:tcPr>
            <w:tcW w:w="860" w:type="dxa"/>
            <w:vAlign w:val="bottom"/>
            <w:tcBorders>
              <w:right w:val="single" w:sz="8" w:color="auto"/>
            </w:tcBorders>
            <w:vMerge w:val="continue"/>
          </w:tcPr>
          <w:p>
            <w:pPr>
              <w:spacing w:after="0"/>
              <w:rPr>
                <w:sz w:val="7"/>
                <w:szCs w:val="7"/>
                <w:color w:val="auto"/>
              </w:rPr>
            </w:pPr>
          </w:p>
        </w:tc>
        <w:tc>
          <w:tcPr>
            <w:tcW w:w="180" w:type="dxa"/>
            <w:vAlign w:val="bottom"/>
            <w:vMerge w:val="continue"/>
          </w:tcPr>
          <w:p>
            <w:pPr>
              <w:spacing w:after="0"/>
              <w:rPr>
                <w:sz w:val="7"/>
                <w:szCs w:val="7"/>
                <w:color w:val="auto"/>
              </w:rPr>
            </w:pPr>
          </w:p>
        </w:tc>
        <w:tc>
          <w:tcPr>
            <w:tcW w:w="800" w:type="dxa"/>
            <w:vAlign w:val="bottom"/>
            <w:tcBorders>
              <w:right w:val="single" w:sz="8" w:color="auto"/>
            </w:tcBorders>
            <w:vMerge w:val="continue"/>
          </w:tcPr>
          <w:p>
            <w:pPr>
              <w:spacing w:after="0"/>
              <w:rPr>
                <w:sz w:val="7"/>
                <w:szCs w:val="7"/>
                <w:color w:val="auto"/>
              </w:rPr>
            </w:pPr>
          </w:p>
        </w:tc>
        <w:tc>
          <w:tcPr>
            <w:tcW w:w="160" w:type="dxa"/>
            <w:vAlign w:val="bottom"/>
            <w:vMerge w:val="continue"/>
          </w:tcPr>
          <w:p>
            <w:pPr>
              <w:spacing w:after="0"/>
              <w:rPr>
                <w:sz w:val="7"/>
                <w:szCs w:val="7"/>
                <w:color w:val="auto"/>
              </w:rPr>
            </w:pPr>
          </w:p>
        </w:tc>
        <w:tc>
          <w:tcPr>
            <w:tcW w:w="800" w:type="dxa"/>
            <w:vAlign w:val="bottom"/>
            <w:tcBorders>
              <w:right w:val="single" w:sz="8" w:color="auto"/>
            </w:tcBorders>
            <w:vMerge w:val="continue"/>
          </w:tcPr>
          <w:p>
            <w:pPr>
              <w:spacing w:after="0"/>
              <w:rPr>
                <w:sz w:val="7"/>
                <w:szCs w:val="7"/>
                <w:color w:val="auto"/>
              </w:rPr>
            </w:pPr>
          </w:p>
        </w:tc>
        <w:tc>
          <w:tcPr>
            <w:tcW w:w="180" w:type="dxa"/>
            <w:vAlign w:val="bottom"/>
            <w:vMerge w:val="continue"/>
          </w:tcPr>
          <w:p>
            <w:pPr>
              <w:spacing w:after="0"/>
              <w:rPr>
                <w:sz w:val="7"/>
                <w:szCs w:val="7"/>
                <w:color w:val="auto"/>
              </w:rPr>
            </w:pPr>
          </w:p>
        </w:tc>
        <w:tc>
          <w:tcPr>
            <w:tcW w:w="1100" w:type="dxa"/>
            <w:vAlign w:val="bottom"/>
            <w:tcBorders>
              <w:right w:val="single" w:sz="8" w:color="auto"/>
            </w:tcBorders>
            <w:vMerge w:val="continue"/>
          </w:tcPr>
          <w:p>
            <w:pPr>
              <w:spacing w:after="0"/>
              <w:rPr>
                <w:sz w:val="7"/>
                <w:szCs w:val="7"/>
                <w:color w:val="auto"/>
              </w:rPr>
            </w:pPr>
          </w:p>
        </w:tc>
        <w:tc>
          <w:tcPr>
            <w:tcW w:w="200" w:type="dxa"/>
            <w:vAlign w:val="bottom"/>
            <w:vMerge w:val="continue"/>
          </w:tcPr>
          <w:p>
            <w:pPr>
              <w:spacing w:after="0"/>
              <w:rPr>
                <w:sz w:val="7"/>
                <w:szCs w:val="7"/>
                <w:color w:val="auto"/>
              </w:rPr>
            </w:pPr>
          </w:p>
        </w:tc>
        <w:tc>
          <w:tcPr>
            <w:tcW w:w="940" w:type="dxa"/>
            <w:vAlign w:val="bottom"/>
            <w:tcBorders>
              <w:right w:val="single" w:sz="8" w:color="auto"/>
            </w:tcBorders>
            <w:vMerge w:val="continue"/>
          </w:tcPr>
          <w:p>
            <w:pPr>
              <w:spacing w:after="0"/>
              <w:rPr>
                <w:sz w:val="7"/>
                <w:szCs w:val="7"/>
                <w:color w:val="auto"/>
              </w:rPr>
            </w:pPr>
          </w:p>
        </w:tc>
        <w:tc>
          <w:tcPr>
            <w:tcW w:w="260" w:type="dxa"/>
            <w:vAlign w:val="bottom"/>
            <w:vMerge w:val="continue"/>
          </w:tcPr>
          <w:p>
            <w:pPr>
              <w:spacing w:after="0"/>
              <w:rPr>
                <w:sz w:val="7"/>
                <w:szCs w:val="7"/>
                <w:color w:val="auto"/>
              </w:rPr>
            </w:pPr>
          </w:p>
        </w:tc>
        <w:tc>
          <w:tcPr>
            <w:tcW w:w="1020" w:type="dxa"/>
            <w:vAlign w:val="bottom"/>
            <w:tcBorders>
              <w:right w:val="single" w:sz="8" w:color="auto"/>
            </w:tcBorders>
            <w:vMerge w:val="continue"/>
          </w:tcPr>
          <w:p>
            <w:pPr>
              <w:spacing w:after="0"/>
              <w:rPr>
                <w:sz w:val="7"/>
                <w:szCs w:val="7"/>
                <w:color w:val="auto"/>
              </w:rPr>
            </w:pPr>
          </w:p>
        </w:tc>
        <w:tc>
          <w:tcPr>
            <w:tcW w:w="220" w:type="dxa"/>
            <w:vAlign w:val="bottom"/>
            <w:vMerge w:val="continue"/>
          </w:tcPr>
          <w:p>
            <w:pPr>
              <w:spacing w:after="0"/>
              <w:rPr>
                <w:sz w:val="7"/>
                <w:szCs w:val="7"/>
                <w:color w:val="auto"/>
              </w:rPr>
            </w:pPr>
          </w:p>
        </w:tc>
        <w:tc>
          <w:tcPr>
            <w:tcW w:w="92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3"/>
        </w:trPr>
        <w:tc>
          <w:tcPr>
            <w:tcW w:w="3220" w:type="dxa"/>
            <w:vAlign w:val="bottom"/>
            <w:tcBorders>
              <w:left w:val="single" w:sz="8" w:color="auto"/>
              <w:right w:val="single" w:sz="8" w:color="auto"/>
            </w:tcBorders>
            <w:vMerge w:val="continue"/>
            <w:shd w:val="clear" w:color="auto" w:fill="CCEEFF"/>
          </w:tcPr>
          <w:p>
            <w:pPr>
              <w:spacing w:after="0"/>
              <w:rPr>
                <w:sz w:val="7"/>
                <w:szCs w:val="7"/>
                <w:color w:val="auto"/>
              </w:rPr>
            </w:pPr>
          </w:p>
        </w:tc>
        <w:tc>
          <w:tcPr>
            <w:tcW w:w="580" w:type="dxa"/>
            <w:vAlign w:val="bottom"/>
            <w:tcBorders>
              <w:right w:val="single" w:sz="8" w:color="auto"/>
            </w:tcBorders>
            <w:vMerge w:val="restart"/>
            <w:shd w:val="clear" w:color="auto" w:fill="CCEEFF"/>
          </w:tcPr>
          <w:p>
            <w:pPr>
              <w:ind w:left="140"/>
              <w:spacing w:after="0"/>
              <w:rPr>
                <w:sz w:val="20"/>
                <w:szCs w:val="20"/>
                <w:color w:val="auto"/>
              </w:rPr>
            </w:pPr>
            <w:r>
              <w:rPr>
                <w:rFonts w:ascii="Arial" w:cs="Arial" w:eastAsia="Arial" w:hAnsi="Arial"/>
                <w:sz w:val="14"/>
                <w:szCs w:val="14"/>
                <w:color w:val="auto"/>
              </w:rPr>
              <w:t>2013</w:t>
            </w:r>
          </w:p>
        </w:tc>
        <w:tc>
          <w:tcPr>
            <w:tcW w:w="860" w:type="dxa"/>
            <w:vAlign w:val="bottom"/>
            <w:tcBorders>
              <w:right w:val="single" w:sz="8" w:color="auto"/>
            </w:tcBorders>
            <w:vMerge w:val="restart"/>
            <w:shd w:val="clear" w:color="auto" w:fill="CCEEFF"/>
          </w:tcPr>
          <w:p>
            <w:pPr>
              <w:jc w:val="center"/>
              <w:spacing w:after="0"/>
              <w:rPr>
                <w:sz w:val="20"/>
                <w:szCs w:val="20"/>
                <w:color w:val="auto"/>
              </w:rPr>
            </w:pPr>
            <w:r>
              <w:rPr>
                <w:rFonts w:ascii="Arial" w:cs="Arial" w:eastAsia="Arial" w:hAnsi="Arial"/>
                <w:sz w:val="14"/>
                <w:szCs w:val="14"/>
                <w:color w:val="auto"/>
              </w:rPr>
              <w:t>$ 362,700</w:t>
            </w:r>
          </w:p>
        </w:tc>
        <w:tc>
          <w:tcPr>
            <w:tcW w:w="18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00" w:type="dxa"/>
            <w:vAlign w:val="bottom"/>
            <w:tcBorders>
              <w:right w:val="single" w:sz="8" w:color="auto"/>
            </w:tcBorders>
            <w:vMerge w:val="restart"/>
            <w:shd w:val="clear" w:color="auto" w:fill="CCEEFF"/>
          </w:tcPr>
          <w:p>
            <w:pPr>
              <w:jc w:val="right"/>
              <w:ind w:right="69"/>
              <w:spacing w:after="0"/>
              <w:rPr>
                <w:sz w:val="20"/>
                <w:szCs w:val="20"/>
                <w:color w:val="auto"/>
              </w:rPr>
            </w:pPr>
            <w:r>
              <w:rPr>
                <w:rFonts w:ascii="Arial" w:cs="Arial" w:eastAsia="Arial" w:hAnsi="Arial"/>
                <w:sz w:val="14"/>
                <w:szCs w:val="14"/>
                <w:color w:val="auto"/>
              </w:rPr>
              <w:t>635,851</w:t>
            </w:r>
          </w:p>
        </w:tc>
        <w:tc>
          <w:tcPr>
            <w:tcW w:w="16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00" w:type="dxa"/>
            <w:vAlign w:val="bottom"/>
            <w:tcBorders>
              <w:right w:val="single" w:sz="8" w:color="auto"/>
            </w:tcBorders>
            <w:vMerge w:val="restart"/>
            <w:shd w:val="clear" w:color="auto" w:fill="CCEEFF"/>
          </w:tcPr>
          <w:p>
            <w:pPr>
              <w:jc w:val="right"/>
              <w:ind w:right="49"/>
              <w:spacing w:after="0"/>
              <w:rPr>
                <w:sz w:val="20"/>
                <w:szCs w:val="20"/>
                <w:color w:val="auto"/>
              </w:rPr>
            </w:pPr>
            <w:r>
              <w:rPr>
                <w:rFonts w:ascii="Arial" w:cs="Arial" w:eastAsia="Arial" w:hAnsi="Arial"/>
                <w:sz w:val="14"/>
                <w:szCs w:val="14"/>
                <w:color w:val="auto"/>
              </w:rPr>
              <w:t>186,006</w:t>
            </w:r>
          </w:p>
        </w:tc>
        <w:tc>
          <w:tcPr>
            <w:tcW w:w="18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100" w:type="dxa"/>
            <w:vAlign w:val="bottom"/>
            <w:tcBorders>
              <w:right w:val="single" w:sz="8" w:color="auto"/>
            </w:tcBorders>
            <w:vMerge w:val="restart"/>
            <w:shd w:val="clear" w:color="auto" w:fill="CCEEFF"/>
          </w:tcPr>
          <w:p>
            <w:pPr>
              <w:jc w:val="right"/>
              <w:ind w:right="49"/>
              <w:spacing w:after="0"/>
              <w:rPr>
                <w:sz w:val="20"/>
                <w:szCs w:val="20"/>
                <w:color w:val="auto"/>
              </w:rPr>
            </w:pPr>
            <w:r>
              <w:rPr>
                <w:rFonts w:ascii="Arial" w:cs="Arial" w:eastAsia="Arial" w:hAnsi="Arial"/>
                <w:sz w:val="14"/>
                <w:szCs w:val="14"/>
                <w:color w:val="auto"/>
              </w:rPr>
              <w:t>388,873</w:t>
            </w:r>
          </w:p>
        </w:tc>
        <w:tc>
          <w:tcPr>
            <w:tcW w:w="20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40" w:type="dxa"/>
            <w:vAlign w:val="bottom"/>
            <w:tcBorders>
              <w:right w:val="single" w:sz="8" w:color="auto"/>
            </w:tcBorders>
            <w:vMerge w:val="restart"/>
            <w:shd w:val="clear" w:color="auto" w:fill="CCEEFF"/>
          </w:tcPr>
          <w:p>
            <w:pPr>
              <w:jc w:val="right"/>
              <w:ind w:right="50"/>
              <w:spacing w:after="0"/>
              <w:rPr>
                <w:sz w:val="20"/>
                <w:szCs w:val="20"/>
                <w:color w:val="auto"/>
              </w:rPr>
            </w:pPr>
            <w:r>
              <w:rPr>
                <w:rFonts w:ascii="Arial" w:cs="Arial" w:eastAsia="Arial" w:hAnsi="Arial"/>
                <w:sz w:val="14"/>
                <w:szCs w:val="14"/>
                <w:color w:val="auto"/>
              </w:rPr>
              <w:t>0</w:t>
            </w:r>
          </w:p>
        </w:tc>
        <w:tc>
          <w:tcPr>
            <w:tcW w:w="260" w:type="dxa"/>
            <w:vAlign w:val="bottom"/>
            <w:vMerge w:val="restart"/>
            <w:shd w:val="clear" w:color="auto" w:fill="CCEEFF"/>
          </w:tcPr>
          <w:p>
            <w:pPr>
              <w:jc w:val="right"/>
              <w:ind w:right="9"/>
              <w:spacing w:after="0"/>
              <w:rPr>
                <w:sz w:val="20"/>
                <w:szCs w:val="20"/>
                <w:color w:val="auto"/>
              </w:rPr>
            </w:pPr>
            <w:r>
              <w:rPr>
                <w:rFonts w:ascii="Arial" w:cs="Arial" w:eastAsia="Arial" w:hAnsi="Arial"/>
                <w:sz w:val="14"/>
                <w:szCs w:val="14"/>
                <w:color w:val="auto"/>
              </w:rPr>
              <w:t>$</w:t>
            </w:r>
          </w:p>
        </w:tc>
        <w:tc>
          <w:tcPr>
            <w:tcW w:w="1020" w:type="dxa"/>
            <w:vAlign w:val="bottom"/>
            <w:tcBorders>
              <w:right w:val="single" w:sz="8" w:color="auto"/>
            </w:tcBorders>
            <w:vMerge w:val="restart"/>
            <w:shd w:val="clear" w:color="auto" w:fill="CCEEFF"/>
          </w:tcPr>
          <w:p>
            <w:pPr>
              <w:jc w:val="right"/>
              <w:ind w:right="49"/>
              <w:spacing w:after="0"/>
              <w:rPr>
                <w:sz w:val="20"/>
                <w:szCs w:val="20"/>
                <w:color w:val="auto"/>
              </w:rPr>
            </w:pPr>
            <w:r>
              <w:rPr>
                <w:rFonts w:ascii="Arial" w:cs="Arial" w:eastAsia="Arial" w:hAnsi="Arial"/>
                <w:sz w:val="14"/>
                <w:szCs w:val="14"/>
                <w:color w:val="auto"/>
              </w:rPr>
              <w:t>36,604</w:t>
            </w:r>
          </w:p>
        </w:tc>
        <w:tc>
          <w:tcPr>
            <w:tcW w:w="22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20" w:type="dxa"/>
            <w:vAlign w:val="bottom"/>
            <w:tcBorders>
              <w:right w:val="single" w:sz="8" w:color="auto"/>
            </w:tcBorders>
            <w:vMerge w:val="restart"/>
            <w:shd w:val="clear" w:color="auto" w:fill="CCEEFF"/>
          </w:tcPr>
          <w:p>
            <w:pPr>
              <w:jc w:val="right"/>
              <w:ind w:right="169"/>
              <w:spacing w:after="0"/>
              <w:rPr>
                <w:sz w:val="20"/>
                <w:szCs w:val="20"/>
                <w:color w:val="auto"/>
              </w:rPr>
            </w:pPr>
            <w:r>
              <w:rPr>
                <w:rFonts w:ascii="Arial" w:cs="Arial" w:eastAsia="Arial" w:hAnsi="Arial"/>
                <w:sz w:val="14"/>
                <w:szCs w:val="14"/>
                <w:color w:val="auto"/>
              </w:rPr>
              <w:t>1,610,034</w:t>
            </w:r>
          </w:p>
        </w:tc>
        <w:tc>
          <w:tcPr>
            <w:tcW w:w="0" w:type="dxa"/>
            <w:vAlign w:val="bottom"/>
          </w:tcPr>
          <w:p>
            <w:pPr>
              <w:spacing w:after="0"/>
              <w:rPr>
                <w:sz w:val="1"/>
                <w:szCs w:val="1"/>
                <w:color w:val="auto"/>
              </w:rPr>
            </w:pPr>
          </w:p>
        </w:tc>
      </w:tr>
      <w:tr>
        <w:trPr>
          <w:trHeight w:val="80"/>
        </w:trPr>
        <w:tc>
          <w:tcPr>
            <w:tcW w:w="3220" w:type="dxa"/>
            <w:vAlign w:val="bottom"/>
            <w:tcBorders>
              <w:left w:val="single" w:sz="8" w:color="auto"/>
              <w:bottom w:val="single" w:sz="8" w:color="auto"/>
              <w:right w:val="single" w:sz="8" w:color="auto"/>
            </w:tcBorders>
            <w:shd w:val="clear" w:color="auto" w:fill="CCEEFF"/>
          </w:tcPr>
          <w:p>
            <w:pPr>
              <w:spacing w:after="0"/>
              <w:rPr>
                <w:sz w:val="6"/>
                <w:szCs w:val="6"/>
                <w:color w:val="auto"/>
              </w:rPr>
            </w:pPr>
          </w:p>
        </w:tc>
        <w:tc>
          <w:tcPr>
            <w:tcW w:w="580" w:type="dxa"/>
            <w:vAlign w:val="bottom"/>
            <w:tcBorders>
              <w:bottom w:val="single" w:sz="8" w:color="auto"/>
              <w:right w:val="single" w:sz="8" w:color="auto"/>
            </w:tcBorders>
            <w:vMerge w:val="continue"/>
            <w:shd w:val="clear" w:color="auto" w:fill="CCEEFF"/>
          </w:tcPr>
          <w:p>
            <w:pPr>
              <w:spacing w:after="0"/>
              <w:rPr>
                <w:sz w:val="6"/>
                <w:szCs w:val="6"/>
                <w:color w:val="auto"/>
              </w:rPr>
            </w:pPr>
          </w:p>
        </w:tc>
        <w:tc>
          <w:tcPr>
            <w:tcW w:w="860" w:type="dxa"/>
            <w:vAlign w:val="bottom"/>
            <w:tcBorders>
              <w:bottom w:val="single" w:sz="8" w:color="auto"/>
              <w:right w:val="single" w:sz="8" w:color="auto"/>
            </w:tcBorders>
            <w:vMerge w:val="continue"/>
            <w:shd w:val="clear" w:color="auto" w:fill="CCEEFF"/>
          </w:tcPr>
          <w:p>
            <w:pPr>
              <w:spacing w:after="0"/>
              <w:rPr>
                <w:sz w:val="6"/>
                <w:szCs w:val="6"/>
                <w:color w:val="auto"/>
              </w:rPr>
            </w:pPr>
          </w:p>
        </w:tc>
        <w:tc>
          <w:tcPr>
            <w:tcW w:w="180" w:type="dxa"/>
            <w:vAlign w:val="bottom"/>
            <w:tcBorders>
              <w:bottom w:val="single" w:sz="8" w:color="auto"/>
            </w:tcBorders>
            <w:vMerge w:val="continue"/>
            <w:shd w:val="clear" w:color="auto" w:fill="CCEEFF"/>
          </w:tcPr>
          <w:p>
            <w:pPr>
              <w:spacing w:after="0"/>
              <w:rPr>
                <w:sz w:val="6"/>
                <w:szCs w:val="6"/>
                <w:color w:val="auto"/>
              </w:rPr>
            </w:pPr>
          </w:p>
        </w:tc>
        <w:tc>
          <w:tcPr>
            <w:tcW w:w="800" w:type="dxa"/>
            <w:vAlign w:val="bottom"/>
            <w:tcBorders>
              <w:bottom w:val="single" w:sz="8" w:color="auto"/>
              <w:right w:val="single" w:sz="8" w:color="auto"/>
            </w:tcBorders>
            <w:vMerge w:val="continue"/>
            <w:shd w:val="clear" w:color="auto" w:fill="CCEEFF"/>
          </w:tcPr>
          <w:p>
            <w:pPr>
              <w:spacing w:after="0"/>
              <w:rPr>
                <w:sz w:val="6"/>
                <w:szCs w:val="6"/>
                <w:color w:val="auto"/>
              </w:rPr>
            </w:pPr>
          </w:p>
        </w:tc>
        <w:tc>
          <w:tcPr>
            <w:tcW w:w="160" w:type="dxa"/>
            <w:vAlign w:val="bottom"/>
            <w:tcBorders>
              <w:bottom w:val="single" w:sz="8" w:color="auto"/>
            </w:tcBorders>
            <w:vMerge w:val="continue"/>
            <w:shd w:val="clear" w:color="auto" w:fill="CCEEFF"/>
          </w:tcPr>
          <w:p>
            <w:pPr>
              <w:spacing w:after="0"/>
              <w:rPr>
                <w:sz w:val="6"/>
                <w:szCs w:val="6"/>
                <w:color w:val="auto"/>
              </w:rPr>
            </w:pPr>
          </w:p>
        </w:tc>
        <w:tc>
          <w:tcPr>
            <w:tcW w:w="800" w:type="dxa"/>
            <w:vAlign w:val="bottom"/>
            <w:tcBorders>
              <w:bottom w:val="single" w:sz="8" w:color="auto"/>
              <w:right w:val="single" w:sz="8" w:color="auto"/>
            </w:tcBorders>
            <w:vMerge w:val="continue"/>
            <w:shd w:val="clear" w:color="auto" w:fill="CCEEFF"/>
          </w:tcPr>
          <w:p>
            <w:pPr>
              <w:spacing w:after="0"/>
              <w:rPr>
                <w:sz w:val="6"/>
                <w:szCs w:val="6"/>
                <w:color w:val="auto"/>
              </w:rPr>
            </w:pPr>
          </w:p>
        </w:tc>
        <w:tc>
          <w:tcPr>
            <w:tcW w:w="180" w:type="dxa"/>
            <w:vAlign w:val="bottom"/>
            <w:tcBorders>
              <w:bottom w:val="single" w:sz="8" w:color="auto"/>
            </w:tcBorders>
            <w:vMerge w:val="continue"/>
            <w:shd w:val="clear" w:color="auto" w:fill="CCEEFF"/>
          </w:tcPr>
          <w:p>
            <w:pPr>
              <w:spacing w:after="0"/>
              <w:rPr>
                <w:sz w:val="6"/>
                <w:szCs w:val="6"/>
                <w:color w:val="auto"/>
              </w:rPr>
            </w:pPr>
          </w:p>
        </w:tc>
        <w:tc>
          <w:tcPr>
            <w:tcW w:w="1100" w:type="dxa"/>
            <w:vAlign w:val="bottom"/>
            <w:tcBorders>
              <w:bottom w:val="single" w:sz="8" w:color="auto"/>
              <w:right w:val="single" w:sz="8" w:color="auto"/>
            </w:tcBorders>
            <w:vMerge w:val="continue"/>
            <w:shd w:val="clear" w:color="auto" w:fill="CCEEFF"/>
          </w:tcPr>
          <w:p>
            <w:pPr>
              <w:spacing w:after="0"/>
              <w:rPr>
                <w:sz w:val="6"/>
                <w:szCs w:val="6"/>
                <w:color w:val="auto"/>
              </w:rPr>
            </w:pPr>
          </w:p>
        </w:tc>
        <w:tc>
          <w:tcPr>
            <w:tcW w:w="200" w:type="dxa"/>
            <w:vAlign w:val="bottom"/>
            <w:tcBorders>
              <w:bottom w:val="single" w:sz="8" w:color="auto"/>
            </w:tcBorders>
            <w:vMerge w:val="continue"/>
            <w:shd w:val="clear" w:color="auto" w:fill="CCEEFF"/>
          </w:tcPr>
          <w:p>
            <w:pPr>
              <w:spacing w:after="0"/>
              <w:rPr>
                <w:sz w:val="6"/>
                <w:szCs w:val="6"/>
                <w:color w:val="auto"/>
              </w:rPr>
            </w:pPr>
          </w:p>
        </w:tc>
        <w:tc>
          <w:tcPr>
            <w:tcW w:w="940" w:type="dxa"/>
            <w:vAlign w:val="bottom"/>
            <w:tcBorders>
              <w:bottom w:val="single" w:sz="8" w:color="auto"/>
              <w:right w:val="single" w:sz="8" w:color="auto"/>
            </w:tcBorders>
            <w:vMerge w:val="continue"/>
            <w:shd w:val="clear" w:color="auto" w:fill="CCEEFF"/>
          </w:tcPr>
          <w:p>
            <w:pPr>
              <w:spacing w:after="0"/>
              <w:rPr>
                <w:sz w:val="6"/>
                <w:szCs w:val="6"/>
                <w:color w:val="auto"/>
              </w:rPr>
            </w:pPr>
          </w:p>
        </w:tc>
        <w:tc>
          <w:tcPr>
            <w:tcW w:w="260" w:type="dxa"/>
            <w:vAlign w:val="bottom"/>
            <w:tcBorders>
              <w:bottom w:val="single" w:sz="8" w:color="auto"/>
            </w:tcBorders>
            <w:vMerge w:val="continue"/>
            <w:shd w:val="clear" w:color="auto" w:fill="CCEEFF"/>
          </w:tcPr>
          <w:p>
            <w:pPr>
              <w:spacing w:after="0"/>
              <w:rPr>
                <w:sz w:val="6"/>
                <w:szCs w:val="6"/>
                <w:color w:val="auto"/>
              </w:rPr>
            </w:pPr>
          </w:p>
        </w:tc>
        <w:tc>
          <w:tcPr>
            <w:tcW w:w="1020" w:type="dxa"/>
            <w:vAlign w:val="bottom"/>
            <w:tcBorders>
              <w:bottom w:val="single" w:sz="8" w:color="auto"/>
              <w:right w:val="single" w:sz="8" w:color="auto"/>
            </w:tcBorders>
            <w:vMerge w:val="continue"/>
            <w:shd w:val="clear" w:color="auto" w:fill="CCEEFF"/>
          </w:tcPr>
          <w:p>
            <w:pPr>
              <w:spacing w:after="0"/>
              <w:rPr>
                <w:sz w:val="6"/>
                <w:szCs w:val="6"/>
                <w:color w:val="auto"/>
              </w:rPr>
            </w:pPr>
          </w:p>
        </w:tc>
        <w:tc>
          <w:tcPr>
            <w:tcW w:w="220" w:type="dxa"/>
            <w:vAlign w:val="bottom"/>
            <w:tcBorders>
              <w:bottom w:val="single" w:sz="8" w:color="auto"/>
            </w:tcBorders>
            <w:vMerge w:val="continue"/>
            <w:shd w:val="clear" w:color="auto" w:fill="CCEEFF"/>
          </w:tcPr>
          <w:p>
            <w:pPr>
              <w:spacing w:after="0"/>
              <w:rPr>
                <w:sz w:val="6"/>
                <w:szCs w:val="6"/>
                <w:color w:val="auto"/>
              </w:rPr>
            </w:pPr>
          </w:p>
        </w:tc>
        <w:tc>
          <w:tcPr>
            <w:tcW w:w="920" w:type="dxa"/>
            <w:vAlign w:val="bottom"/>
            <w:tcBorders>
              <w:bottom w:val="single" w:sz="8" w:color="auto"/>
              <w:right w:val="single" w:sz="8" w:color="auto"/>
            </w:tcBorders>
            <w:vMerge w:val="continue"/>
            <w:shd w:val="clear" w:color="auto" w:fill="CCEEFF"/>
          </w:tcPr>
          <w:p>
            <w:pPr>
              <w:spacing w:after="0"/>
              <w:rPr>
                <w:sz w:val="6"/>
                <w:szCs w:val="6"/>
                <w:color w:val="auto"/>
              </w:rPr>
            </w:pPr>
          </w:p>
        </w:tc>
        <w:tc>
          <w:tcPr>
            <w:tcW w:w="0" w:type="dxa"/>
            <w:vAlign w:val="bottom"/>
          </w:tcPr>
          <w:p>
            <w:pPr>
              <w:spacing w:after="0"/>
              <w:rPr>
                <w:sz w:val="1"/>
                <w:szCs w:val="1"/>
                <w:color w:val="auto"/>
              </w:rPr>
            </w:pPr>
          </w:p>
        </w:tc>
      </w:tr>
      <w:tr>
        <w:trPr>
          <w:trHeight w:val="156"/>
        </w:trPr>
        <w:tc>
          <w:tcPr>
            <w:tcW w:w="3220" w:type="dxa"/>
            <w:vAlign w:val="bottom"/>
            <w:tcBorders>
              <w:left w:val="single" w:sz="8" w:color="auto"/>
              <w:right w:val="single" w:sz="8" w:color="auto"/>
            </w:tcBorders>
            <w:vMerge w:val="restart"/>
          </w:tcPr>
          <w:p>
            <w:pPr>
              <w:ind w:left="160"/>
              <w:spacing w:after="0" w:line="228" w:lineRule="exact"/>
              <w:rPr>
                <w:sz w:val="20"/>
                <w:szCs w:val="20"/>
                <w:color w:val="auto"/>
              </w:rPr>
            </w:pPr>
            <w:r>
              <w:rPr>
                <w:rFonts w:ascii="Arial" w:cs="Arial" w:eastAsia="Arial" w:hAnsi="Arial"/>
                <w:sz w:val="14"/>
                <w:szCs w:val="14"/>
                <w:color w:val="auto"/>
              </w:rPr>
              <w:t>Frank A. DiPiero</w:t>
            </w:r>
            <w:r>
              <w:rPr>
                <w:rFonts w:ascii="Arial" w:cs="Arial" w:eastAsia="Arial" w:hAnsi="Arial"/>
                <w:sz w:val="24"/>
                <w:szCs w:val="24"/>
                <w:color w:val="auto"/>
                <w:vertAlign w:val="superscript"/>
              </w:rPr>
              <w:t>(6)</w:t>
            </w:r>
          </w:p>
        </w:tc>
        <w:tc>
          <w:tcPr>
            <w:tcW w:w="580" w:type="dxa"/>
            <w:vAlign w:val="bottom"/>
            <w:tcBorders>
              <w:right w:val="single" w:sz="8" w:color="auto"/>
            </w:tcBorders>
          </w:tcPr>
          <w:p>
            <w:pPr>
              <w:ind w:left="140"/>
              <w:spacing w:after="0" w:line="155" w:lineRule="exact"/>
              <w:rPr>
                <w:sz w:val="20"/>
                <w:szCs w:val="20"/>
                <w:color w:val="auto"/>
              </w:rPr>
            </w:pPr>
            <w:r>
              <w:rPr>
                <w:rFonts w:ascii="Arial" w:cs="Arial" w:eastAsia="Arial" w:hAnsi="Arial"/>
                <w:sz w:val="14"/>
                <w:szCs w:val="14"/>
                <w:color w:val="auto"/>
              </w:rPr>
              <w:t>2015</w:t>
            </w:r>
          </w:p>
        </w:tc>
        <w:tc>
          <w:tcPr>
            <w:tcW w:w="860" w:type="dxa"/>
            <w:vAlign w:val="bottom"/>
            <w:tcBorders>
              <w:right w:val="single" w:sz="8" w:color="auto"/>
            </w:tcBorders>
          </w:tcPr>
          <w:p>
            <w:pPr>
              <w:jc w:val="center"/>
              <w:spacing w:after="0" w:line="155" w:lineRule="exact"/>
              <w:rPr>
                <w:sz w:val="20"/>
                <w:szCs w:val="20"/>
                <w:color w:val="auto"/>
              </w:rPr>
            </w:pPr>
            <w:r>
              <w:rPr>
                <w:rFonts w:ascii="Arial" w:cs="Arial" w:eastAsia="Arial" w:hAnsi="Arial"/>
                <w:sz w:val="14"/>
                <w:szCs w:val="14"/>
                <w:color w:val="auto"/>
              </w:rPr>
              <w:t>$ 358,754</w:t>
            </w:r>
          </w:p>
        </w:tc>
        <w:tc>
          <w:tcPr>
            <w:tcW w:w="180" w:type="dxa"/>
            <w:vAlign w:val="bottom"/>
          </w:tcPr>
          <w:p>
            <w:pPr>
              <w:jc w:val="right"/>
              <w:spacing w:after="0" w:line="155" w:lineRule="exact"/>
              <w:rPr>
                <w:sz w:val="20"/>
                <w:szCs w:val="20"/>
                <w:color w:val="auto"/>
              </w:rPr>
            </w:pPr>
            <w:r>
              <w:rPr>
                <w:rFonts w:ascii="Arial" w:cs="Arial" w:eastAsia="Arial" w:hAnsi="Arial"/>
                <w:sz w:val="14"/>
                <w:szCs w:val="14"/>
                <w:color w:val="auto"/>
              </w:rPr>
              <w:t>$</w:t>
            </w:r>
          </w:p>
        </w:tc>
        <w:tc>
          <w:tcPr>
            <w:tcW w:w="800" w:type="dxa"/>
            <w:vAlign w:val="bottom"/>
            <w:tcBorders>
              <w:right w:val="single" w:sz="8" w:color="auto"/>
            </w:tcBorders>
          </w:tcPr>
          <w:p>
            <w:pPr>
              <w:jc w:val="right"/>
              <w:ind w:right="69"/>
              <w:spacing w:after="0" w:line="155" w:lineRule="exact"/>
              <w:rPr>
                <w:sz w:val="20"/>
                <w:szCs w:val="20"/>
                <w:color w:val="auto"/>
              </w:rPr>
            </w:pPr>
            <w:r>
              <w:rPr>
                <w:rFonts w:ascii="Arial" w:cs="Arial" w:eastAsia="Arial" w:hAnsi="Arial"/>
                <w:sz w:val="14"/>
                <w:szCs w:val="14"/>
                <w:color w:val="auto"/>
              </w:rPr>
              <w:t>203,000</w:t>
            </w:r>
          </w:p>
        </w:tc>
        <w:tc>
          <w:tcPr>
            <w:tcW w:w="160" w:type="dxa"/>
            <w:vAlign w:val="bottom"/>
          </w:tcPr>
          <w:p>
            <w:pPr>
              <w:jc w:val="right"/>
              <w:spacing w:after="0" w:line="155" w:lineRule="exact"/>
              <w:rPr>
                <w:sz w:val="20"/>
                <w:szCs w:val="20"/>
                <w:color w:val="auto"/>
              </w:rPr>
            </w:pPr>
            <w:r>
              <w:rPr>
                <w:rFonts w:ascii="Arial" w:cs="Arial" w:eastAsia="Arial" w:hAnsi="Arial"/>
                <w:sz w:val="14"/>
                <w:szCs w:val="14"/>
                <w:color w:val="auto"/>
              </w:rPr>
              <w:t>$</w:t>
            </w:r>
          </w:p>
        </w:tc>
        <w:tc>
          <w:tcPr>
            <w:tcW w:w="800" w:type="dxa"/>
            <w:vAlign w:val="bottom"/>
            <w:tcBorders>
              <w:right w:val="single" w:sz="8" w:color="auto"/>
            </w:tcBorders>
          </w:tcPr>
          <w:p>
            <w:pPr>
              <w:jc w:val="right"/>
              <w:ind w:right="49"/>
              <w:spacing w:after="0" w:line="155" w:lineRule="exact"/>
              <w:rPr>
                <w:sz w:val="20"/>
                <w:szCs w:val="20"/>
                <w:color w:val="auto"/>
              </w:rPr>
            </w:pPr>
            <w:r>
              <w:rPr>
                <w:rFonts w:ascii="Arial" w:cs="Arial" w:eastAsia="Arial" w:hAnsi="Arial"/>
                <w:sz w:val="14"/>
                <w:szCs w:val="14"/>
                <w:color w:val="auto"/>
              </w:rPr>
              <w:t>90,990</w:t>
            </w:r>
          </w:p>
        </w:tc>
        <w:tc>
          <w:tcPr>
            <w:tcW w:w="180" w:type="dxa"/>
            <w:vAlign w:val="bottom"/>
          </w:tcPr>
          <w:p>
            <w:pPr>
              <w:jc w:val="right"/>
              <w:spacing w:after="0" w:line="155" w:lineRule="exact"/>
              <w:rPr>
                <w:sz w:val="20"/>
                <w:szCs w:val="20"/>
                <w:color w:val="auto"/>
              </w:rPr>
            </w:pPr>
            <w:r>
              <w:rPr>
                <w:rFonts w:ascii="Arial" w:cs="Arial" w:eastAsia="Arial" w:hAnsi="Arial"/>
                <w:sz w:val="14"/>
                <w:szCs w:val="14"/>
                <w:color w:val="auto"/>
              </w:rPr>
              <w:t>$</w:t>
            </w:r>
          </w:p>
        </w:tc>
        <w:tc>
          <w:tcPr>
            <w:tcW w:w="1100" w:type="dxa"/>
            <w:vAlign w:val="bottom"/>
            <w:tcBorders>
              <w:right w:val="single" w:sz="8" w:color="auto"/>
            </w:tcBorders>
          </w:tcPr>
          <w:p>
            <w:pPr>
              <w:jc w:val="right"/>
              <w:ind w:right="49"/>
              <w:spacing w:after="0" w:line="155" w:lineRule="exact"/>
              <w:rPr>
                <w:sz w:val="20"/>
                <w:szCs w:val="20"/>
                <w:color w:val="auto"/>
              </w:rPr>
            </w:pPr>
            <w:r>
              <w:rPr>
                <w:rFonts w:ascii="Arial" w:cs="Arial" w:eastAsia="Arial" w:hAnsi="Arial"/>
                <w:sz w:val="14"/>
                <w:szCs w:val="14"/>
                <w:color w:val="auto"/>
              </w:rPr>
              <w:t>0</w:t>
            </w:r>
          </w:p>
        </w:tc>
        <w:tc>
          <w:tcPr>
            <w:tcW w:w="200" w:type="dxa"/>
            <w:vAlign w:val="bottom"/>
          </w:tcPr>
          <w:p>
            <w:pPr>
              <w:jc w:val="right"/>
              <w:spacing w:after="0" w:line="155" w:lineRule="exact"/>
              <w:rPr>
                <w:sz w:val="20"/>
                <w:szCs w:val="20"/>
                <w:color w:val="auto"/>
              </w:rPr>
            </w:pPr>
            <w:r>
              <w:rPr>
                <w:rFonts w:ascii="Arial" w:cs="Arial" w:eastAsia="Arial" w:hAnsi="Arial"/>
                <w:sz w:val="14"/>
                <w:szCs w:val="14"/>
                <w:color w:val="auto"/>
              </w:rPr>
              <w:t>$</w:t>
            </w:r>
          </w:p>
        </w:tc>
        <w:tc>
          <w:tcPr>
            <w:tcW w:w="940" w:type="dxa"/>
            <w:vAlign w:val="bottom"/>
            <w:tcBorders>
              <w:right w:val="single" w:sz="8" w:color="auto"/>
            </w:tcBorders>
          </w:tcPr>
          <w:p>
            <w:pPr>
              <w:jc w:val="right"/>
              <w:ind w:right="50"/>
              <w:spacing w:after="0" w:line="155" w:lineRule="exact"/>
              <w:rPr>
                <w:sz w:val="20"/>
                <w:szCs w:val="20"/>
                <w:color w:val="auto"/>
              </w:rPr>
            </w:pPr>
            <w:r>
              <w:rPr>
                <w:rFonts w:ascii="Arial" w:cs="Arial" w:eastAsia="Arial" w:hAnsi="Arial"/>
                <w:sz w:val="14"/>
                <w:szCs w:val="14"/>
                <w:color w:val="auto"/>
              </w:rPr>
              <w:t>0</w:t>
            </w:r>
          </w:p>
        </w:tc>
        <w:tc>
          <w:tcPr>
            <w:tcW w:w="260" w:type="dxa"/>
            <w:vAlign w:val="bottom"/>
          </w:tcPr>
          <w:p>
            <w:pPr>
              <w:jc w:val="right"/>
              <w:ind w:right="9"/>
              <w:spacing w:after="0" w:line="155" w:lineRule="exact"/>
              <w:rPr>
                <w:sz w:val="20"/>
                <w:szCs w:val="20"/>
                <w:color w:val="auto"/>
              </w:rPr>
            </w:pPr>
            <w:r>
              <w:rPr>
                <w:rFonts w:ascii="Arial" w:cs="Arial" w:eastAsia="Arial" w:hAnsi="Arial"/>
                <w:sz w:val="14"/>
                <w:szCs w:val="14"/>
                <w:color w:val="auto"/>
              </w:rPr>
              <w:t>$</w:t>
            </w:r>
          </w:p>
        </w:tc>
        <w:tc>
          <w:tcPr>
            <w:tcW w:w="1020" w:type="dxa"/>
            <w:vAlign w:val="bottom"/>
            <w:tcBorders>
              <w:right w:val="single" w:sz="8" w:color="auto"/>
            </w:tcBorders>
          </w:tcPr>
          <w:p>
            <w:pPr>
              <w:jc w:val="right"/>
              <w:ind w:right="49"/>
              <w:spacing w:after="0" w:line="155" w:lineRule="exact"/>
              <w:rPr>
                <w:sz w:val="20"/>
                <w:szCs w:val="20"/>
                <w:color w:val="auto"/>
              </w:rPr>
            </w:pPr>
            <w:r>
              <w:rPr>
                <w:rFonts w:ascii="Arial" w:cs="Arial" w:eastAsia="Arial" w:hAnsi="Arial"/>
                <w:sz w:val="14"/>
                <w:szCs w:val="14"/>
                <w:color w:val="auto"/>
              </w:rPr>
              <w:t>50,621</w:t>
            </w:r>
          </w:p>
        </w:tc>
        <w:tc>
          <w:tcPr>
            <w:tcW w:w="220" w:type="dxa"/>
            <w:vAlign w:val="bottom"/>
          </w:tcPr>
          <w:p>
            <w:pPr>
              <w:jc w:val="right"/>
              <w:spacing w:after="0" w:line="155" w:lineRule="exact"/>
              <w:rPr>
                <w:sz w:val="20"/>
                <w:szCs w:val="20"/>
                <w:color w:val="auto"/>
              </w:rPr>
            </w:pPr>
            <w:r>
              <w:rPr>
                <w:rFonts w:ascii="Arial" w:cs="Arial" w:eastAsia="Arial" w:hAnsi="Arial"/>
                <w:sz w:val="14"/>
                <w:szCs w:val="14"/>
                <w:color w:val="auto"/>
              </w:rPr>
              <w:t>$</w:t>
            </w:r>
          </w:p>
        </w:tc>
        <w:tc>
          <w:tcPr>
            <w:tcW w:w="920" w:type="dxa"/>
            <w:vAlign w:val="bottom"/>
            <w:tcBorders>
              <w:right w:val="single" w:sz="8" w:color="auto"/>
            </w:tcBorders>
          </w:tcPr>
          <w:p>
            <w:pPr>
              <w:jc w:val="right"/>
              <w:ind w:right="169"/>
              <w:spacing w:after="0" w:line="155" w:lineRule="exact"/>
              <w:rPr>
                <w:sz w:val="20"/>
                <w:szCs w:val="20"/>
                <w:color w:val="auto"/>
              </w:rPr>
            </w:pPr>
            <w:r>
              <w:rPr>
                <w:rFonts w:ascii="Arial" w:cs="Arial" w:eastAsia="Arial" w:hAnsi="Arial"/>
                <w:sz w:val="14"/>
                <w:szCs w:val="14"/>
                <w:color w:val="auto"/>
              </w:rPr>
              <w:t>703,365</w:t>
            </w:r>
          </w:p>
        </w:tc>
        <w:tc>
          <w:tcPr>
            <w:tcW w:w="0" w:type="dxa"/>
            <w:vAlign w:val="bottom"/>
          </w:tcPr>
          <w:p>
            <w:pPr>
              <w:spacing w:after="0"/>
              <w:rPr>
                <w:sz w:val="1"/>
                <w:szCs w:val="1"/>
                <w:color w:val="auto"/>
              </w:rPr>
            </w:pPr>
          </w:p>
        </w:tc>
      </w:tr>
      <w:tr>
        <w:trPr>
          <w:trHeight w:val="72"/>
        </w:trPr>
        <w:tc>
          <w:tcPr>
            <w:tcW w:w="3220" w:type="dxa"/>
            <w:vAlign w:val="bottom"/>
            <w:tcBorders>
              <w:left w:val="single" w:sz="8" w:color="auto"/>
              <w:right w:val="single" w:sz="8" w:color="auto"/>
            </w:tcBorders>
            <w:vMerge w:val="continue"/>
          </w:tcPr>
          <w:p>
            <w:pPr>
              <w:spacing w:after="0"/>
              <w:rPr>
                <w:sz w:val="6"/>
                <w:szCs w:val="6"/>
                <w:color w:val="auto"/>
              </w:rPr>
            </w:pPr>
          </w:p>
        </w:tc>
        <w:tc>
          <w:tcPr>
            <w:tcW w:w="580" w:type="dxa"/>
            <w:vAlign w:val="bottom"/>
            <w:tcBorders>
              <w:right w:val="single" w:sz="8" w:color="auto"/>
            </w:tcBorders>
            <w:vMerge w:val="restart"/>
            <w:shd w:val="clear" w:color="auto" w:fill="CCEEFF"/>
          </w:tcPr>
          <w:p>
            <w:pPr>
              <w:ind w:left="140"/>
              <w:spacing w:after="0"/>
              <w:rPr>
                <w:sz w:val="20"/>
                <w:szCs w:val="20"/>
                <w:color w:val="auto"/>
              </w:rPr>
            </w:pPr>
            <w:r>
              <w:rPr>
                <w:rFonts w:ascii="Arial" w:cs="Arial" w:eastAsia="Arial" w:hAnsi="Arial"/>
                <w:sz w:val="14"/>
                <w:szCs w:val="14"/>
                <w:color w:val="auto"/>
              </w:rPr>
              <w:t>2014</w:t>
            </w:r>
          </w:p>
        </w:tc>
        <w:tc>
          <w:tcPr>
            <w:tcW w:w="860" w:type="dxa"/>
            <w:vAlign w:val="bottom"/>
            <w:tcBorders>
              <w:right w:val="single" w:sz="8" w:color="auto"/>
            </w:tcBorders>
            <w:vMerge w:val="restart"/>
            <w:shd w:val="clear" w:color="auto" w:fill="CCEEFF"/>
          </w:tcPr>
          <w:p>
            <w:pPr>
              <w:jc w:val="center"/>
              <w:spacing w:after="0"/>
              <w:rPr>
                <w:sz w:val="20"/>
                <w:szCs w:val="20"/>
                <w:color w:val="auto"/>
              </w:rPr>
            </w:pPr>
            <w:r>
              <w:rPr>
                <w:rFonts w:ascii="Arial" w:cs="Arial" w:eastAsia="Arial" w:hAnsi="Arial"/>
                <w:sz w:val="14"/>
                <w:szCs w:val="14"/>
                <w:color w:val="auto"/>
              </w:rPr>
              <w:t>$ 313,545</w:t>
            </w:r>
          </w:p>
        </w:tc>
        <w:tc>
          <w:tcPr>
            <w:tcW w:w="18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00" w:type="dxa"/>
            <w:vAlign w:val="bottom"/>
            <w:tcBorders>
              <w:right w:val="single" w:sz="8" w:color="auto"/>
            </w:tcBorders>
            <w:vMerge w:val="restart"/>
            <w:shd w:val="clear" w:color="auto" w:fill="CCEEFF"/>
          </w:tcPr>
          <w:p>
            <w:pPr>
              <w:jc w:val="right"/>
              <w:ind w:right="69"/>
              <w:spacing w:after="0"/>
              <w:rPr>
                <w:sz w:val="20"/>
                <w:szCs w:val="20"/>
                <w:color w:val="auto"/>
              </w:rPr>
            </w:pPr>
            <w:r>
              <w:rPr>
                <w:rFonts w:ascii="Arial" w:cs="Arial" w:eastAsia="Arial" w:hAnsi="Arial"/>
                <w:sz w:val="14"/>
                <w:szCs w:val="14"/>
                <w:color w:val="auto"/>
              </w:rPr>
              <w:t>156,672</w:t>
            </w:r>
          </w:p>
        </w:tc>
        <w:tc>
          <w:tcPr>
            <w:tcW w:w="16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00" w:type="dxa"/>
            <w:vAlign w:val="bottom"/>
            <w:tcBorders>
              <w:right w:val="single" w:sz="8" w:color="auto"/>
            </w:tcBorders>
            <w:vMerge w:val="restart"/>
            <w:shd w:val="clear" w:color="auto" w:fill="CCEEFF"/>
          </w:tcPr>
          <w:p>
            <w:pPr>
              <w:jc w:val="right"/>
              <w:ind w:right="49"/>
              <w:spacing w:after="0"/>
              <w:rPr>
                <w:sz w:val="20"/>
                <w:szCs w:val="20"/>
                <w:color w:val="auto"/>
              </w:rPr>
            </w:pPr>
            <w:r>
              <w:rPr>
                <w:rFonts w:ascii="Arial" w:cs="Arial" w:eastAsia="Arial" w:hAnsi="Arial"/>
                <w:sz w:val="14"/>
                <w:szCs w:val="14"/>
                <w:color w:val="auto"/>
              </w:rPr>
              <w:t>151,641</w:t>
            </w:r>
          </w:p>
        </w:tc>
        <w:tc>
          <w:tcPr>
            <w:tcW w:w="18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100" w:type="dxa"/>
            <w:vAlign w:val="bottom"/>
            <w:tcBorders>
              <w:right w:val="single" w:sz="8" w:color="auto"/>
            </w:tcBorders>
            <w:vMerge w:val="restart"/>
            <w:shd w:val="clear" w:color="auto" w:fill="CCEEFF"/>
          </w:tcPr>
          <w:p>
            <w:pPr>
              <w:jc w:val="right"/>
              <w:ind w:right="49"/>
              <w:spacing w:after="0"/>
              <w:rPr>
                <w:sz w:val="20"/>
                <w:szCs w:val="20"/>
                <w:color w:val="auto"/>
              </w:rPr>
            </w:pPr>
            <w:r>
              <w:rPr>
                <w:rFonts w:ascii="Arial" w:cs="Arial" w:eastAsia="Arial" w:hAnsi="Arial"/>
                <w:sz w:val="14"/>
                <w:szCs w:val="14"/>
                <w:color w:val="auto"/>
              </w:rPr>
              <w:t>206,423</w:t>
            </w:r>
          </w:p>
        </w:tc>
        <w:tc>
          <w:tcPr>
            <w:tcW w:w="20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40" w:type="dxa"/>
            <w:vAlign w:val="bottom"/>
            <w:tcBorders>
              <w:right w:val="single" w:sz="8" w:color="auto"/>
            </w:tcBorders>
            <w:vMerge w:val="restart"/>
            <w:shd w:val="clear" w:color="auto" w:fill="CCEEFF"/>
          </w:tcPr>
          <w:p>
            <w:pPr>
              <w:jc w:val="right"/>
              <w:ind w:right="50"/>
              <w:spacing w:after="0"/>
              <w:rPr>
                <w:sz w:val="20"/>
                <w:szCs w:val="20"/>
                <w:color w:val="auto"/>
              </w:rPr>
            </w:pPr>
            <w:r>
              <w:rPr>
                <w:rFonts w:ascii="Arial" w:cs="Arial" w:eastAsia="Arial" w:hAnsi="Arial"/>
                <w:sz w:val="14"/>
                <w:szCs w:val="14"/>
                <w:color w:val="auto"/>
              </w:rPr>
              <w:t>0</w:t>
            </w:r>
          </w:p>
        </w:tc>
        <w:tc>
          <w:tcPr>
            <w:tcW w:w="260" w:type="dxa"/>
            <w:vAlign w:val="bottom"/>
            <w:vMerge w:val="restart"/>
            <w:shd w:val="clear" w:color="auto" w:fill="CCEEFF"/>
          </w:tcPr>
          <w:p>
            <w:pPr>
              <w:jc w:val="right"/>
              <w:ind w:right="9"/>
              <w:spacing w:after="0"/>
              <w:rPr>
                <w:sz w:val="20"/>
                <w:szCs w:val="20"/>
                <w:color w:val="auto"/>
              </w:rPr>
            </w:pPr>
            <w:r>
              <w:rPr>
                <w:rFonts w:ascii="Arial" w:cs="Arial" w:eastAsia="Arial" w:hAnsi="Arial"/>
                <w:sz w:val="14"/>
                <w:szCs w:val="14"/>
                <w:color w:val="auto"/>
              </w:rPr>
              <w:t>$</w:t>
            </w:r>
          </w:p>
        </w:tc>
        <w:tc>
          <w:tcPr>
            <w:tcW w:w="1020" w:type="dxa"/>
            <w:vAlign w:val="bottom"/>
            <w:tcBorders>
              <w:right w:val="single" w:sz="8" w:color="auto"/>
            </w:tcBorders>
            <w:vMerge w:val="restart"/>
            <w:shd w:val="clear" w:color="auto" w:fill="CCEEFF"/>
          </w:tcPr>
          <w:p>
            <w:pPr>
              <w:jc w:val="right"/>
              <w:ind w:right="49"/>
              <w:spacing w:after="0"/>
              <w:rPr>
                <w:sz w:val="20"/>
                <w:szCs w:val="20"/>
                <w:color w:val="auto"/>
              </w:rPr>
            </w:pPr>
            <w:r>
              <w:rPr>
                <w:rFonts w:ascii="Arial" w:cs="Arial" w:eastAsia="Arial" w:hAnsi="Arial"/>
                <w:sz w:val="14"/>
                <w:szCs w:val="14"/>
                <w:color w:val="auto"/>
              </w:rPr>
              <w:t>20,769</w:t>
            </w:r>
          </w:p>
        </w:tc>
        <w:tc>
          <w:tcPr>
            <w:tcW w:w="22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20" w:type="dxa"/>
            <w:vAlign w:val="bottom"/>
            <w:tcBorders>
              <w:right w:val="single" w:sz="8" w:color="auto"/>
            </w:tcBorders>
            <w:vMerge w:val="restart"/>
            <w:shd w:val="clear" w:color="auto" w:fill="CCEEFF"/>
          </w:tcPr>
          <w:p>
            <w:pPr>
              <w:jc w:val="right"/>
              <w:ind w:right="169"/>
              <w:spacing w:after="0"/>
              <w:rPr>
                <w:sz w:val="20"/>
                <w:szCs w:val="20"/>
                <w:color w:val="auto"/>
              </w:rPr>
            </w:pPr>
            <w:r>
              <w:rPr>
                <w:rFonts w:ascii="Arial" w:cs="Arial" w:eastAsia="Arial" w:hAnsi="Arial"/>
                <w:sz w:val="14"/>
                <w:szCs w:val="14"/>
                <w:color w:val="auto"/>
              </w:rPr>
              <w:t>849,050</w:t>
            </w:r>
          </w:p>
        </w:tc>
        <w:tc>
          <w:tcPr>
            <w:tcW w:w="0" w:type="dxa"/>
            <w:vAlign w:val="bottom"/>
          </w:tcPr>
          <w:p>
            <w:pPr>
              <w:spacing w:after="0"/>
              <w:rPr>
                <w:sz w:val="1"/>
                <w:szCs w:val="1"/>
                <w:color w:val="auto"/>
              </w:rPr>
            </w:pPr>
          </w:p>
        </w:tc>
      </w:tr>
      <w:tr>
        <w:trPr>
          <w:trHeight w:val="90"/>
        </w:trPr>
        <w:tc>
          <w:tcPr>
            <w:tcW w:w="3220" w:type="dxa"/>
            <w:vAlign w:val="bottom"/>
            <w:tcBorders>
              <w:left w:val="single" w:sz="8" w:color="auto"/>
              <w:right w:val="single" w:sz="8" w:color="auto"/>
            </w:tcBorders>
            <w:vMerge w:val="restart"/>
          </w:tcPr>
          <w:p>
            <w:pPr>
              <w:ind w:left="160"/>
              <w:spacing w:after="0"/>
              <w:rPr>
                <w:sz w:val="20"/>
                <w:szCs w:val="20"/>
                <w:color w:val="auto"/>
              </w:rPr>
            </w:pPr>
            <w:r>
              <w:rPr>
                <w:rFonts w:ascii="Arial" w:cs="Arial" w:eastAsia="Arial" w:hAnsi="Arial"/>
                <w:sz w:val="14"/>
                <w:szCs w:val="14"/>
                <w:color w:val="auto"/>
              </w:rPr>
              <w:t>Executive Vice President, General Counsel and</w:t>
            </w:r>
          </w:p>
        </w:tc>
        <w:tc>
          <w:tcPr>
            <w:tcW w:w="580" w:type="dxa"/>
            <w:vAlign w:val="bottom"/>
            <w:tcBorders>
              <w:right w:val="single" w:sz="8" w:color="auto"/>
            </w:tcBorders>
            <w:vMerge w:val="continue"/>
            <w:shd w:val="clear" w:color="auto" w:fill="CCEEFF"/>
          </w:tcPr>
          <w:p>
            <w:pPr>
              <w:spacing w:after="0"/>
              <w:rPr>
                <w:sz w:val="7"/>
                <w:szCs w:val="7"/>
                <w:color w:val="auto"/>
              </w:rPr>
            </w:pPr>
          </w:p>
        </w:tc>
        <w:tc>
          <w:tcPr>
            <w:tcW w:w="860" w:type="dxa"/>
            <w:vAlign w:val="bottom"/>
            <w:tcBorders>
              <w:right w:val="single" w:sz="8" w:color="auto"/>
            </w:tcBorders>
            <w:vMerge w:val="continue"/>
            <w:shd w:val="clear" w:color="auto" w:fill="CCEEFF"/>
          </w:tcPr>
          <w:p>
            <w:pPr>
              <w:spacing w:after="0"/>
              <w:rPr>
                <w:sz w:val="7"/>
                <w:szCs w:val="7"/>
                <w:color w:val="auto"/>
              </w:rPr>
            </w:pPr>
          </w:p>
        </w:tc>
        <w:tc>
          <w:tcPr>
            <w:tcW w:w="180" w:type="dxa"/>
            <w:vAlign w:val="bottom"/>
            <w:vMerge w:val="continue"/>
            <w:shd w:val="clear" w:color="auto" w:fill="CCEEFF"/>
          </w:tcPr>
          <w:p>
            <w:pPr>
              <w:spacing w:after="0"/>
              <w:rPr>
                <w:sz w:val="7"/>
                <w:szCs w:val="7"/>
                <w:color w:val="auto"/>
              </w:rPr>
            </w:pPr>
          </w:p>
        </w:tc>
        <w:tc>
          <w:tcPr>
            <w:tcW w:w="800" w:type="dxa"/>
            <w:vAlign w:val="bottom"/>
            <w:tcBorders>
              <w:right w:val="single" w:sz="8" w:color="auto"/>
            </w:tcBorders>
            <w:vMerge w:val="continue"/>
            <w:shd w:val="clear" w:color="auto" w:fill="CCEEFF"/>
          </w:tcPr>
          <w:p>
            <w:pPr>
              <w:spacing w:after="0"/>
              <w:rPr>
                <w:sz w:val="7"/>
                <w:szCs w:val="7"/>
                <w:color w:val="auto"/>
              </w:rPr>
            </w:pPr>
          </w:p>
        </w:tc>
        <w:tc>
          <w:tcPr>
            <w:tcW w:w="160" w:type="dxa"/>
            <w:vAlign w:val="bottom"/>
            <w:vMerge w:val="continue"/>
            <w:shd w:val="clear" w:color="auto" w:fill="CCEEFF"/>
          </w:tcPr>
          <w:p>
            <w:pPr>
              <w:spacing w:after="0"/>
              <w:rPr>
                <w:sz w:val="7"/>
                <w:szCs w:val="7"/>
                <w:color w:val="auto"/>
              </w:rPr>
            </w:pPr>
          </w:p>
        </w:tc>
        <w:tc>
          <w:tcPr>
            <w:tcW w:w="800" w:type="dxa"/>
            <w:vAlign w:val="bottom"/>
            <w:tcBorders>
              <w:right w:val="single" w:sz="8" w:color="auto"/>
            </w:tcBorders>
            <w:vMerge w:val="continue"/>
            <w:shd w:val="clear" w:color="auto" w:fill="CCEEFF"/>
          </w:tcPr>
          <w:p>
            <w:pPr>
              <w:spacing w:after="0"/>
              <w:rPr>
                <w:sz w:val="7"/>
                <w:szCs w:val="7"/>
                <w:color w:val="auto"/>
              </w:rPr>
            </w:pPr>
          </w:p>
        </w:tc>
        <w:tc>
          <w:tcPr>
            <w:tcW w:w="180" w:type="dxa"/>
            <w:vAlign w:val="bottom"/>
            <w:vMerge w:val="continue"/>
            <w:shd w:val="clear" w:color="auto" w:fill="CCEEFF"/>
          </w:tcPr>
          <w:p>
            <w:pPr>
              <w:spacing w:after="0"/>
              <w:rPr>
                <w:sz w:val="7"/>
                <w:szCs w:val="7"/>
                <w:color w:val="auto"/>
              </w:rPr>
            </w:pPr>
          </w:p>
        </w:tc>
        <w:tc>
          <w:tcPr>
            <w:tcW w:w="1100" w:type="dxa"/>
            <w:vAlign w:val="bottom"/>
            <w:tcBorders>
              <w:right w:val="single" w:sz="8" w:color="auto"/>
            </w:tcBorders>
            <w:vMerge w:val="continue"/>
            <w:shd w:val="clear" w:color="auto" w:fill="CCEEFF"/>
          </w:tcPr>
          <w:p>
            <w:pPr>
              <w:spacing w:after="0"/>
              <w:rPr>
                <w:sz w:val="7"/>
                <w:szCs w:val="7"/>
                <w:color w:val="auto"/>
              </w:rPr>
            </w:pPr>
          </w:p>
        </w:tc>
        <w:tc>
          <w:tcPr>
            <w:tcW w:w="200" w:type="dxa"/>
            <w:vAlign w:val="bottom"/>
            <w:vMerge w:val="continue"/>
            <w:shd w:val="clear" w:color="auto" w:fill="CCEEFF"/>
          </w:tcPr>
          <w:p>
            <w:pPr>
              <w:spacing w:after="0"/>
              <w:rPr>
                <w:sz w:val="7"/>
                <w:szCs w:val="7"/>
                <w:color w:val="auto"/>
              </w:rPr>
            </w:pPr>
          </w:p>
        </w:tc>
        <w:tc>
          <w:tcPr>
            <w:tcW w:w="940" w:type="dxa"/>
            <w:vAlign w:val="bottom"/>
            <w:tcBorders>
              <w:right w:val="single" w:sz="8" w:color="auto"/>
            </w:tcBorders>
            <w:vMerge w:val="continue"/>
            <w:shd w:val="clear" w:color="auto" w:fill="CCEEFF"/>
          </w:tcPr>
          <w:p>
            <w:pPr>
              <w:spacing w:after="0"/>
              <w:rPr>
                <w:sz w:val="7"/>
                <w:szCs w:val="7"/>
                <w:color w:val="auto"/>
              </w:rPr>
            </w:pPr>
          </w:p>
        </w:tc>
        <w:tc>
          <w:tcPr>
            <w:tcW w:w="260" w:type="dxa"/>
            <w:vAlign w:val="bottom"/>
            <w:vMerge w:val="continue"/>
            <w:shd w:val="clear" w:color="auto" w:fill="CCEEFF"/>
          </w:tcPr>
          <w:p>
            <w:pPr>
              <w:spacing w:after="0"/>
              <w:rPr>
                <w:sz w:val="7"/>
                <w:szCs w:val="7"/>
                <w:color w:val="auto"/>
              </w:rPr>
            </w:pPr>
          </w:p>
        </w:tc>
        <w:tc>
          <w:tcPr>
            <w:tcW w:w="1020" w:type="dxa"/>
            <w:vAlign w:val="bottom"/>
            <w:tcBorders>
              <w:right w:val="single" w:sz="8" w:color="auto"/>
            </w:tcBorders>
            <w:vMerge w:val="continue"/>
            <w:shd w:val="clear" w:color="auto" w:fill="CCEEFF"/>
          </w:tcPr>
          <w:p>
            <w:pPr>
              <w:spacing w:after="0"/>
              <w:rPr>
                <w:sz w:val="7"/>
                <w:szCs w:val="7"/>
                <w:color w:val="auto"/>
              </w:rPr>
            </w:pPr>
          </w:p>
        </w:tc>
        <w:tc>
          <w:tcPr>
            <w:tcW w:w="220" w:type="dxa"/>
            <w:vAlign w:val="bottom"/>
            <w:vMerge w:val="continue"/>
            <w:shd w:val="clear" w:color="auto" w:fill="CCEEFF"/>
          </w:tcPr>
          <w:p>
            <w:pPr>
              <w:spacing w:after="0"/>
              <w:rPr>
                <w:sz w:val="7"/>
                <w:szCs w:val="7"/>
                <w:color w:val="auto"/>
              </w:rPr>
            </w:pPr>
          </w:p>
        </w:tc>
        <w:tc>
          <w:tcPr>
            <w:tcW w:w="920" w:type="dxa"/>
            <w:vAlign w:val="bottom"/>
            <w:tcBorders>
              <w:right w:val="single" w:sz="8" w:color="auto"/>
            </w:tcBorders>
            <w:vMerge w:val="continue"/>
            <w:shd w:val="clear" w:color="auto" w:fill="CCEEFF"/>
          </w:tcPr>
          <w:p>
            <w:pPr>
              <w:spacing w:after="0"/>
              <w:rPr>
                <w:sz w:val="7"/>
                <w:szCs w:val="7"/>
                <w:color w:val="auto"/>
              </w:rPr>
            </w:pPr>
          </w:p>
        </w:tc>
        <w:tc>
          <w:tcPr>
            <w:tcW w:w="0" w:type="dxa"/>
            <w:vAlign w:val="bottom"/>
          </w:tcPr>
          <w:p>
            <w:pPr>
              <w:spacing w:after="0"/>
              <w:rPr>
                <w:sz w:val="1"/>
                <w:szCs w:val="1"/>
                <w:color w:val="auto"/>
              </w:rPr>
            </w:pPr>
          </w:p>
        </w:tc>
      </w:tr>
      <w:tr>
        <w:trPr>
          <w:trHeight w:val="72"/>
        </w:trPr>
        <w:tc>
          <w:tcPr>
            <w:tcW w:w="3220" w:type="dxa"/>
            <w:vAlign w:val="bottom"/>
            <w:tcBorders>
              <w:left w:val="single" w:sz="8" w:color="auto"/>
              <w:right w:val="single" w:sz="8" w:color="auto"/>
            </w:tcBorders>
            <w:vMerge w:val="continue"/>
          </w:tcPr>
          <w:p>
            <w:pPr>
              <w:spacing w:after="0"/>
              <w:rPr>
                <w:sz w:val="6"/>
                <w:szCs w:val="6"/>
                <w:color w:val="auto"/>
              </w:rPr>
            </w:pPr>
          </w:p>
        </w:tc>
        <w:tc>
          <w:tcPr>
            <w:tcW w:w="580" w:type="dxa"/>
            <w:vAlign w:val="bottom"/>
            <w:tcBorders>
              <w:right w:val="single" w:sz="8" w:color="auto"/>
            </w:tcBorders>
          </w:tcPr>
          <w:p>
            <w:pPr>
              <w:spacing w:after="0"/>
              <w:rPr>
                <w:sz w:val="6"/>
                <w:szCs w:val="6"/>
                <w:color w:val="auto"/>
              </w:rPr>
            </w:pPr>
          </w:p>
        </w:tc>
        <w:tc>
          <w:tcPr>
            <w:tcW w:w="860" w:type="dxa"/>
            <w:vAlign w:val="bottom"/>
            <w:tcBorders>
              <w:right w:val="single" w:sz="8" w:color="auto"/>
            </w:tcBorders>
          </w:tcPr>
          <w:p>
            <w:pPr>
              <w:spacing w:after="0"/>
              <w:rPr>
                <w:sz w:val="6"/>
                <w:szCs w:val="6"/>
                <w:color w:val="auto"/>
              </w:rPr>
            </w:pPr>
          </w:p>
        </w:tc>
        <w:tc>
          <w:tcPr>
            <w:tcW w:w="180" w:type="dxa"/>
            <w:vAlign w:val="bottom"/>
          </w:tcPr>
          <w:p>
            <w:pPr>
              <w:spacing w:after="0"/>
              <w:rPr>
                <w:sz w:val="6"/>
                <w:szCs w:val="6"/>
                <w:color w:val="auto"/>
              </w:rPr>
            </w:pPr>
          </w:p>
        </w:tc>
        <w:tc>
          <w:tcPr>
            <w:tcW w:w="800" w:type="dxa"/>
            <w:vAlign w:val="bottom"/>
            <w:tcBorders>
              <w:right w:val="single" w:sz="8" w:color="auto"/>
            </w:tcBorders>
          </w:tcPr>
          <w:p>
            <w:pPr>
              <w:spacing w:after="0"/>
              <w:rPr>
                <w:sz w:val="6"/>
                <w:szCs w:val="6"/>
                <w:color w:val="auto"/>
              </w:rPr>
            </w:pPr>
          </w:p>
        </w:tc>
        <w:tc>
          <w:tcPr>
            <w:tcW w:w="160" w:type="dxa"/>
            <w:vAlign w:val="bottom"/>
          </w:tcPr>
          <w:p>
            <w:pPr>
              <w:spacing w:after="0"/>
              <w:rPr>
                <w:sz w:val="6"/>
                <w:szCs w:val="6"/>
                <w:color w:val="auto"/>
              </w:rPr>
            </w:pPr>
          </w:p>
        </w:tc>
        <w:tc>
          <w:tcPr>
            <w:tcW w:w="800" w:type="dxa"/>
            <w:vAlign w:val="bottom"/>
            <w:tcBorders>
              <w:right w:val="single" w:sz="8" w:color="auto"/>
            </w:tcBorders>
          </w:tcPr>
          <w:p>
            <w:pPr>
              <w:spacing w:after="0"/>
              <w:rPr>
                <w:sz w:val="6"/>
                <w:szCs w:val="6"/>
                <w:color w:val="auto"/>
              </w:rPr>
            </w:pPr>
          </w:p>
        </w:tc>
        <w:tc>
          <w:tcPr>
            <w:tcW w:w="180" w:type="dxa"/>
            <w:vAlign w:val="bottom"/>
          </w:tcPr>
          <w:p>
            <w:pPr>
              <w:spacing w:after="0"/>
              <w:rPr>
                <w:sz w:val="6"/>
                <w:szCs w:val="6"/>
                <w:color w:val="auto"/>
              </w:rPr>
            </w:pPr>
          </w:p>
        </w:tc>
        <w:tc>
          <w:tcPr>
            <w:tcW w:w="1100" w:type="dxa"/>
            <w:vAlign w:val="bottom"/>
            <w:tcBorders>
              <w:right w:val="single" w:sz="8" w:color="auto"/>
            </w:tcBorders>
          </w:tcPr>
          <w:p>
            <w:pPr>
              <w:spacing w:after="0"/>
              <w:rPr>
                <w:sz w:val="6"/>
                <w:szCs w:val="6"/>
                <w:color w:val="auto"/>
              </w:rPr>
            </w:pPr>
          </w:p>
        </w:tc>
        <w:tc>
          <w:tcPr>
            <w:tcW w:w="200" w:type="dxa"/>
            <w:vAlign w:val="bottom"/>
          </w:tcPr>
          <w:p>
            <w:pPr>
              <w:spacing w:after="0"/>
              <w:rPr>
                <w:sz w:val="6"/>
                <w:szCs w:val="6"/>
                <w:color w:val="auto"/>
              </w:rPr>
            </w:pPr>
          </w:p>
        </w:tc>
        <w:tc>
          <w:tcPr>
            <w:tcW w:w="940" w:type="dxa"/>
            <w:vAlign w:val="bottom"/>
            <w:tcBorders>
              <w:right w:val="single" w:sz="8" w:color="auto"/>
            </w:tcBorders>
          </w:tcPr>
          <w:p>
            <w:pPr>
              <w:spacing w:after="0"/>
              <w:rPr>
                <w:sz w:val="6"/>
                <w:szCs w:val="6"/>
                <w:color w:val="auto"/>
              </w:rPr>
            </w:pPr>
          </w:p>
        </w:tc>
        <w:tc>
          <w:tcPr>
            <w:tcW w:w="260" w:type="dxa"/>
            <w:vAlign w:val="bottom"/>
          </w:tcPr>
          <w:p>
            <w:pPr>
              <w:spacing w:after="0"/>
              <w:rPr>
                <w:sz w:val="6"/>
                <w:szCs w:val="6"/>
                <w:color w:val="auto"/>
              </w:rPr>
            </w:pPr>
          </w:p>
        </w:tc>
        <w:tc>
          <w:tcPr>
            <w:tcW w:w="1020" w:type="dxa"/>
            <w:vAlign w:val="bottom"/>
            <w:tcBorders>
              <w:right w:val="single" w:sz="8" w:color="auto"/>
            </w:tcBorders>
          </w:tcPr>
          <w:p>
            <w:pPr>
              <w:spacing w:after="0"/>
              <w:rPr>
                <w:sz w:val="6"/>
                <w:szCs w:val="6"/>
                <w:color w:val="auto"/>
              </w:rPr>
            </w:pPr>
          </w:p>
        </w:tc>
        <w:tc>
          <w:tcPr>
            <w:tcW w:w="220" w:type="dxa"/>
            <w:vAlign w:val="bottom"/>
          </w:tcPr>
          <w:p>
            <w:pPr>
              <w:spacing w:after="0"/>
              <w:rPr>
                <w:sz w:val="6"/>
                <w:szCs w:val="6"/>
                <w:color w:val="auto"/>
              </w:rPr>
            </w:pPr>
          </w:p>
        </w:tc>
        <w:tc>
          <w:tcPr>
            <w:tcW w:w="920" w:type="dxa"/>
            <w:vAlign w:val="bottom"/>
            <w:tcBorders>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90"/>
        </w:trPr>
        <w:tc>
          <w:tcPr>
            <w:tcW w:w="3220" w:type="dxa"/>
            <w:vAlign w:val="bottom"/>
            <w:tcBorders>
              <w:left w:val="single" w:sz="8" w:color="auto"/>
              <w:right w:val="single" w:sz="8" w:color="auto"/>
            </w:tcBorders>
            <w:vMerge w:val="restart"/>
          </w:tcPr>
          <w:p>
            <w:pPr>
              <w:ind w:left="160"/>
              <w:spacing w:after="0"/>
              <w:rPr>
                <w:sz w:val="20"/>
                <w:szCs w:val="20"/>
                <w:color w:val="auto"/>
              </w:rPr>
            </w:pPr>
            <w:r>
              <w:rPr>
                <w:rFonts w:ascii="Arial" w:cs="Arial" w:eastAsia="Arial" w:hAnsi="Arial"/>
                <w:sz w:val="14"/>
                <w:szCs w:val="14"/>
                <w:color w:val="auto"/>
              </w:rPr>
              <w:t>Secretary</w:t>
            </w:r>
          </w:p>
        </w:tc>
        <w:tc>
          <w:tcPr>
            <w:tcW w:w="580" w:type="dxa"/>
            <w:vAlign w:val="bottom"/>
            <w:tcBorders>
              <w:right w:val="single" w:sz="8" w:color="auto"/>
            </w:tcBorders>
          </w:tcPr>
          <w:p>
            <w:pPr>
              <w:spacing w:after="0"/>
              <w:rPr>
                <w:sz w:val="7"/>
                <w:szCs w:val="7"/>
                <w:color w:val="auto"/>
              </w:rPr>
            </w:pPr>
          </w:p>
        </w:tc>
        <w:tc>
          <w:tcPr>
            <w:tcW w:w="860" w:type="dxa"/>
            <w:vAlign w:val="bottom"/>
            <w:tcBorders>
              <w:right w:val="single" w:sz="8" w:color="auto"/>
            </w:tcBorders>
          </w:tcPr>
          <w:p>
            <w:pPr>
              <w:spacing w:after="0"/>
              <w:rPr>
                <w:sz w:val="7"/>
                <w:szCs w:val="7"/>
                <w:color w:val="auto"/>
              </w:rPr>
            </w:pPr>
          </w:p>
        </w:tc>
        <w:tc>
          <w:tcPr>
            <w:tcW w:w="180" w:type="dxa"/>
            <w:vAlign w:val="bottom"/>
          </w:tcPr>
          <w:p>
            <w:pPr>
              <w:spacing w:after="0"/>
              <w:rPr>
                <w:sz w:val="7"/>
                <w:szCs w:val="7"/>
                <w:color w:val="auto"/>
              </w:rPr>
            </w:pPr>
          </w:p>
        </w:tc>
        <w:tc>
          <w:tcPr>
            <w:tcW w:w="800" w:type="dxa"/>
            <w:vAlign w:val="bottom"/>
            <w:tcBorders>
              <w:right w:val="single" w:sz="8" w:color="auto"/>
            </w:tcBorders>
          </w:tcPr>
          <w:p>
            <w:pPr>
              <w:spacing w:after="0"/>
              <w:rPr>
                <w:sz w:val="7"/>
                <w:szCs w:val="7"/>
                <w:color w:val="auto"/>
              </w:rPr>
            </w:pPr>
          </w:p>
        </w:tc>
        <w:tc>
          <w:tcPr>
            <w:tcW w:w="160" w:type="dxa"/>
            <w:vAlign w:val="bottom"/>
          </w:tcPr>
          <w:p>
            <w:pPr>
              <w:spacing w:after="0"/>
              <w:rPr>
                <w:sz w:val="7"/>
                <w:szCs w:val="7"/>
                <w:color w:val="auto"/>
              </w:rPr>
            </w:pPr>
          </w:p>
        </w:tc>
        <w:tc>
          <w:tcPr>
            <w:tcW w:w="800" w:type="dxa"/>
            <w:vAlign w:val="bottom"/>
            <w:tcBorders>
              <w:right w:val="single" w:sz="8" w:color="auto"/>
            </w:tcBorders>
          </w:tcPr>
          <w:p>
            <w:pPr>
              <w:spacing w:after="0"/>
              <w:rPr>
                <w:sz w:val="7"/>
                <w:szCs w:val="7"/>
                <w:color w:val="auto"/>
              </w:rPr>
            </w:pPr>
          </w:p>
        </w:tc>
        <w:tc>
          <w:tcPr>
            <w:tcW w:w="180" w:type="dxa"/>
            <w:vAlign w:val="bottom"/>
          </w:tcPr>
          <w:p>
            <w:pPr>
              <w:spacing w:after="0"/>
              <w:rPr>
                <w:sz w:val="7"/>
                <w:szCs w:val="7"/>
                <w:color w:val="auto"/>
              </w:rPr>
            </w:pPr>
          </w:p>
        </w:tc>
        <w:tc>
          <w:tcPr>
            <w:tcW w:w="1100" w:type="dxa"/>
            <w:vAlign w:val="bottom"/>
            <w:tcBorders>
              <w:right w:val="single" w:sz="8" w:color="auto"/>
            </w:tcBorders>
          </w:tcPr>
          <w:p>
            <w:pPr>
              <w:spacing w:after="0"/>
              <w:rPr>
                <w:sz w:val="7"/>
                <w:szCs w:val="7"/>
                <w:color w:val="auto"/>
              </w:rPr>
            </w:pPr>
          </w:p>
        </w:tc>
        <w:tc>
          <w:tcPr>
            <w:tcW w:w="200" w:type="dxa"/>
            <w:vAlign w:val="bottom"/>
          </w:tcPr>
          <w:p>
            <w:pPr>
              <w:spacing w:after="0"/>
              <w:rPr>
                <w:sz w:val="7"/>
                <w:szCs w:val="7"/>
                <w:color w:val="auto"/>
              </w:rPr>
            </w:pPr>
          </w:p>
        </w:tc>
        <w:tc>
          <w:tcPr>
            <w:tcW w:w="940" w:type="dxa"/>
            <w:vAlign w:val="bottom"/>
            <w:tcBorders>
              <w:right w:val="single" w:sz="8" w:color="auto"/>
            </w:tcBorders>
          </w:tcPr>
          <w:p>
            <w:pPr>
              <w:spacing w:after="0"/>
              <w:rPr>
                <w:sz w:val="7"/>
                <w:szCs w:val="7"/>
                <w:color w:val="auto"/>
              </w:rPr>
            </w:pPr>
          </w:p>
        </w:tc>
        <w:tc>
          <w:tcPr>
            <w:tcW w:w="260" w:type="dxa"/>
            <w:vAlign w:val="bottom"/>
          </w:tcPr>
          <w:p>
            <w:pPr>
              <w:spacing w:after="0"/>
              <w:rPr>
                <w:sz w:val="7"/>
                <w:szCs w:val="7"/>
                <w:color w:val="auto"/>
              </w:rPr>
            </w:pPr>
          </w:p>
        </w:tc>
        <w:tc>
          <w:tcPr>
            <w:tcW w:w="1020" w:type="dxa"/>
            <w:vAlign w:val="bottom"/>
            <w:tcBorders>
              <w:right w:val="single" w:sz="8" w:color="auto"/>
            </w:tcBorders>
          </w:tcPr>
          <w:p>
            <w:pPr>
              <w:spacing w:after="0"/>
              <w:rPr>
                <w:sz w:val="7"/>
                <w:szCs w:val="7"/>
                <w:color w:val="auto"/>
              </w:rPr>
            </w:pPr>
          </w:p>
        </w:tc>
        <w:tc>
          <w:tcPr>
            <w:tcW w:w="220" w:type="dxa"/>
            <w:vAlign w:val="bottom"/>
          </w:tcPr>
          <w:p>
            <w:pPr>
              <w:spacing w:after="0"/>
              <w:rPr>
                <w:sz w:val="7"/>
                <w:szCs w:val="7"/>
                <w:color w:val="auto"/>
              </w:rPr>
            </w:pPr>
          </w:p>
        </w:tc>
        <w:tc>
          <w:tcPr>
            <w:tcW w:w="92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83"/>
        </w:trPr>
        <w:tc>
          <w:tcPr>
            <w:tcW w:w="3220" w:type="dxa"/>
            <w:vAlign w:val="bottom"/>
            <w:tcBorders>
              <w:left w:val="single" w:sz="8" w:color="auto"/>
              <w:right w:val="single" w:sz="8" w:color="auto"/>
            </w:tcBorders>
            <w:vMerge w:val="continue"/>
          </w:tcPr>
          <w:p>
            <w:pPr>
              <w:spacing w:after="0"/>
              <w:rPr>
                <w:sz w:val="7"/>
                <w:szCs w:val="7"/>
                <w:color w:val="auto"/>
              </w:rPr>
            </w:pPr>
          </w:p>
        </w:tc>
        <w:tc>
          <w:tcPr>
            <w:tcW w:w="580" w:type="dxa"/>
            <w:vAlign w:val="bottom"/>
            <w:tcBorders>
              <w:right w:val="single" w:sz="8" w:color="auto"/>
            </w:tcBorders>
            <w:shd w:val="clear" w:color="auto" w:fill="CCEEFF"/>
          </w:tcPr>
          <w:p>
            <w:pPr>
              <w:spacing w:after="0"/>
              <w:rPr>
                <w:sz w:val="7"/>
                <w:szCs w:val="7"/>
                <w:color w:val="auto"/>
              </w:rPr>
            </w:pPr>
          </w:p>
        </w:tc>
        <w:tc>
          <w:tcPr>
            <w:tcW w:w="860" w:type="dxa"/>
            <w:vAlign w:val="bottom"/>
            <w:tcBorders>
              <w:right w:val="single" w:sz="8" w:color="auto"/>
            </w:tcBorders>
            <w:shd w:val="clear" w:color="auto" w:fill="CCEEFF"/>
          </w:tcPr>
          <w:p>
            <w:pPr>
              <w:spacing w:after="0"/>
              <w:rPr>
                <w:sz w:val="7"/>
                <w:szCs w:val="7"/>
                <w:color w:val="auto"/>
              </w:rPr>
            </w:pPr>
          </w:p>
        </w:tc>
        <w:tc>
          <w:tcPr>
            <w:tcW w:w="180" w:type="dxa"/>
            <w:vAlign w:val="bottom"/>
            <w:shd w:val="clear" w:color="auto" w:fill="CCEEFF"/>
          </w:tcPr>
          <w:p>
            <w:pPr>
              <w:spacing w:after="0"/>
              <w:rPr>
                <w:sz w:val="7"/>
                <w:szCs w:val="7"/>
                <w:color w:val="auto"/>
              </w:rPr>
            </w:pPr>
          </w:p>
        </w:tc>
        <w:tc>
          <w:tcPr>
            <w:tcW w:w="800" w:type="dxa"/>
            <w:vAlign w:val="bottom"/>
            <w:tcBorders>
              <w:right w:val="single" w:sz="8" w:color="auto"/>
            </w:tcBorders>
            <w:shd w:val="clear" w:color="auto" w:fill="CCEEFF"/>
          </w:tcPr>
          <w:p>
            <w:pPr>
              <w:spacing w:after="0"/>
              <w:rPr>
                <w:sz w:val="7"/>
                <w:szCs w:val="7"/>
                <w:color w:val="auto"/>
              </w:rPr>
            </w:pPr>
          </w:p>
        </w:tc>
        <w:tc>
          <w:tcPr>
            <w:tcW w:w="160" w:type="dxa"/>
            <w:vAlign w:val="bottom"/>
            <w:shd w:val="clear" w:color="auto" w:fill="CCEEFF"/>
          </w:tcPr>
          <w:p>
            <w:pPr>
              <w:spacing w:after="0"/>
              <w:rPr>
                <w:sz w:val="7"/>
                <w:szCs w:val="7"/>
                <w:color w:val="auto"/>
              </w:rPr>
            </w:pPr>
          </w:p>
        </w:tc>
        <w:tc>
          <w:tcPr>
            <w:tcW w:w="800" w:type="dxa"/>
            <w:vAlign w:val="bottom"/>
            <w:tcBorders>
              <w:right w:val="single" w:sz="8" w:color="auto"/>
            </w:tcBorders>
            <w:shd w:val="clear" w:color="auto" w:fill="CCEEFF"/>
          </w:tcPr>
          <w:p>
            <w:pPr>
              <w:spacing w:after="0"/>
              <w:rPr>
                <w:sz w:val="7"/>
                <w:szCs w:val="7"/>
                <w:color w:val="auto"/>
              </w:rPr>
            </w:pPr>
          </w:p>
        </w:tc>
        <w:tc>
          <w:tcPr>
            <w:tcW w:w="180" w:type="dxa"/>
            <w:vAlign w:val="bottom"/>
            <w:shd w:val="clear" w:color="auto" w:fill="CCEEFF"/>
          </w:tcPr>
          <w:p>
            <w:pPr>
              <w:spacing w:after="0"/>
              <w:rPr>
                <w:sz w:val="7"/>
                <w:szCs w:val="7"/>
                <w:color w:val="auto"/>
              </w:rPr>
            </w:pPr>
          </w:p>
        </w:tc>
        <w:tc>
          <w:tcPr>
            <w:tcW w:w="1100" w:type="dxa"/>
            <w:vAlign w:val="bottom"/>
            <w:tcBorders>
              <w:right w:val="single" w:sz="8" w:color="auto"/>
            </w:tcBorders>
            <w:shd w:val="clear" w:color="auto" w:fill="CCEEFF"/>
          </w:tcPr>
          <w:p>
            <w:pPr>
              <w:spacing w:after="0"/>
              <w:rPr>
                <w:sz w:val="7"/>
                <w:szCs w:val="7"/>
                <w:color w:val="auto"/>
              </w:rPr>
            </w:pPr>
          </w:p>
        </w:tc>
        <w:tc>
          <w:tcPr>
            <w:tcW w:w="200" w:type="dxa"/>
            <w:vAlign w:val="bottom"/>
            <w:shd w:val="clear" w:color="auto" w:fill="CCEEFF"/>
          </w:tcPr>
          <w:p>
            <w:pPr>
              <w:spacing w:after="0"/>
              <w:rPr>
                <w:sz w:val="7"/>
                <w:szCs w:val="7"/>
                <w:color w:val="auto"/>
              </w:rPr>
            </w:pPr>
          </w:p>
        </w:tc>
        <w:tc>
          <w:tcPr>
            <w:tcW w:w="940" w:type="dxa"/>
            <w:vAlign w:val="bottom"/>
            <w:tcBorders>
              <w:right w:val="single" w:sz="8" w:color="auto"/>
            </w:tcBorders>
            <w:shd w:val="clear" w:color="auto" w:fill="CCEEFF"/>
          </w:tcPr>
          <w:p>
            <w:pPr>
              <w:spacing w:after="0"/>
              <w:rPr>
                <w:sz w:val="7"/>
                <w:szCs w:val="7"/>
                <w:color w:val="auto"/>
              </w:rPr>
            </w:pPr>
          </w:p>
        </w:tc>
        <w:tc>
          <w:tcPr>
            <w:tcW w:w="260" w:type="dxa"/>
            <w:vAlign w:val="bottom"/>
            <w:shd w:val="clear" w:color="auto" w:fill="CCEEFF"/>
          </w:tcPr>
          <w:p>
            <w:pPr>
              <w:spacing w:after="0"/>
              <w:rPr>
                <w:sz w:val="7"/>
                <w:szCs w:val="7"/>
                <w:color w:val="auto"/>
              </w:rPr>
            </w:pPr>
          </w:p>
        </w:tc>
        <w:tc>
          <w:tcPr>
            <w:tcW w:w="1020" w:type="dxa"/>
            <w:vAlign w:val="bottom"/>
            <w:tcBorders>
              <w:right w:val="single" w:sz="8" w:color="auto"/>
            </w:tcBorders>
            <w:shd w:val="clear" w:color="auto" w:fill="CCEEFF"/>
          </w:tcPr>
          <w:p>
            <w:pPr>
              <w:spacing w:after="0"/>
              <w:rPr>
                <w:sz w:val="7"/>
                <w:szCs w:val="7"/>
                <w:color w:val="auto"/>
              </w:rPr>
            </w:pPr>
          </w:p>
        </w:tc>
        <w:tc>
          <w:tcPr>
            <w:tcW w:w="220" w:type="dxa"/>
            <w:vAlign w:val="bottom"/>
            <w:shd w:val="clear" w:color="auto" w:fill="CCEEFF"/>
          </w:tcPr>
          <w:p>
            <w:pPr>
              <w:spacing w:after="0"/>
              <w:rPr>
                <w:sz w:val="7"/>
                <w:szCs w:val="7"/>
                <w:color w:val="auto"/>
              </w:rPr>
            </w:pPr>
          </w:p>
        </w:tc>
        <w:tc>
          <w:tcPr>
            <w:tcW w:w="920" w:type="dxa"/>
            <w:vAlign w:val="bottom"/>
            <w:tcBorders>
              <w:right w:val="single" w:sz="8" w:color="auto"/>
            </w:tcBorders>
            <w:shd w:val="clear" w:color="auto" w:fill="CCEEFF"/>
          </w:tcPr>
          <w:p>
            <w:pPr>
              <w:spacing w:after="0"/>
              <w:rPr>
                <w:sz w:val="7"/>
                <w:szCs w:val="7"/>
                <w:color w:val="auto"/>
              </w:rPr>
            </w:pPr>
          </w:p>
        </w:tc>
        <w:tc>
          <w:tcPr>
            <w:tcW w:w="0" w:type="dxa"/>
            <w:vAlign w:val="bottom"/>
          </w:tcPr>
          <w:p>
            <w:pPr>
              <w:spacing w:after="0"/>
              <w:rPr>
                <w:sz w:val="1"/>
                <w:szCs w:val="1"/>
                <w:color w:val="auto"/>
              </w:rPr>
            </w:pPr>
          </w:p>
        </w:tc>
      </w:tr>
      <w:tr>
        <w:trPr>
          <w:trHeight w:val="80"/>
        </w:trPr>
        <w:tc>
          <w:tcPr>
            <w:tcW w:w="3220" w:type="dxa"/>
            <w:vAlign w:val="bottom"/>
            <w:tcBorders>
              <w:left w:val="single" w:sz="8" w:color="auto"/>
              <w:bottom w:val="single" w:sz="8" w:color="auto"/>
              <w:right w:val="single" w:sz="8" w:color="auto"/>
            </w:tcBorders>
          </w:tcPr>
          <w:p>
            <w:pPr>
              <w:spacing w:after="0"/>
              <w:rPr>
                <w:sz w:val="6"/>
                <w:szCs w:val="6"/>
                <w:color w:val="auto"/>
              </w:rPr>
            </w:pPr>
          </w:p>
        </w:tc>
        <w:tc>
          <w:tcPr>
            <w:tcW w:w="580" w:type="dxa"/>
            <w:vAlign w:val="bottom"/>
            <w:tcBorders>
              <w:bottom w:val="single" w:sz="8" w:color="auto"/>
              <w:right w:val="single" w:sz="8" w:color="auto"/>
            </w:tcBorders>
            <w:shd w:val="clear" w:color="auto" w:fill="CCEEFF"/>
          </w:tcPr>
          <w:p>
            <w:pPr>
              <w:spacing w:after="0"/>
              <w:rPr>
                <w:sz w:val="6"/>
                <w:szCs w:val="6"/>
                <w:color w:val="auto"/>
              </w:rPr>
            </w:pPr>
          </w:p>
        </w:tc>
        <w:tc>
          <w:tcPr>
            <w:tcW w:w="860" w:type="dxa"/>
            <w:vAlign w:val="bottom"/>
            <w:tcBorders>
              <w:bottom w:val="single" w:sz="8" w:color="auto"/>
              <w:right w:val="single" w:sz="8" w:color="auto"/>
            </w:tcBorders>
            <w:shd w:val="clear" w:color="auto" w:fill="CCEEFF"/>
          </w:tcPr>
          <w:p>
            <w:pPr>
              <w:spacing w:after="0"/>
              <w:rPr>
                <w:sz w:val="6"/>
                <w:szCs w:val="6"/>
                <w:color w:val="auto"/>
              </w:rPr>
            </w:pPr>
          </w:p>
        </w:tc>
        <w:tc>
          <w:tcPr>
            <w:tcW w:w="180" w:type="dxa"/>
            <w:vAlign w:val="bottom"/>
            <w:tcBorders>
              <w:bottom w:val="single" w:sz="8" w:color="auto"/>
            </w:tcBorders>
            <w:shd w:val="clear" w:color="auto" w:fill="CCEEFF"/>
          </w:tcPr>
          <w:p>
            <w:pPr>
              <w:spacing w:after="0"/>
              <w:rPr>
                <w:sz w:val="6"/>
                <w:szCs w:val="6"/>
                <w:color w:val="auto"/>
              </w:rPr>
            </w:pPr>
          </w:p>
        </w:tc>
        <w:tc>
          <w:tcPr>
            <w:tcW w:w="800" w:type="dxa"/>
            <w:vAlign w:val="bottom"/>
            <w:tcBorders>
              <w:bottom w:val="single" w:sz="8" w:color="auto"/>
              <w:right w:val="single" w:sz="8" w:color="auto"/>
            </w:tcBorders>
            <w:shd w:val="clear" w:color="auto" w:fill="CCEEFF"/>
          </w:tcPr>
          <w:p>
            <w:pPr>
              <w:spacing w:after="0"/>
              <w:rPr>
                <w:sz w:val="6"/>
                <w:szCs w:val="6"/>
                <w:color w:val="auto"/>
              </w:rPr>
            </w:pPr>
          </w:p>
        </w:tc>
        <w:tc>
          <w:tcPr>
            <w:tcW w:w="160" w:type="dxa"/>
            <w:vAlign w:val="bottom"/>
            <w:tcBorders>
              <w:bottom w:val="single" w:sz="8" w:color="auto"/>
            </w:tcBorders>
            <w:shd w:val="clear" w:color="auto" w:fill="CCEEFF"/>
          </w:tcPr>
          <w:p>
            <w:pPr>
              <w:spacing w:after="0"/>
              <w:rPr>
                <w:sz w:val="6"/>
                <w:szCs w:val="6"/>
                <w:color w:val="auto"/>
              </w:rPr>
            </w:pPr>
          </w:p>
        </w:tc>
        <w:tc>
          <w:tcPr>
            <w:tcW w:w="800" w:type="dxa"/>
            <w:vAlign w:val="bottom"/>
            <w:tcBorders>
              <w:bottom w:val="single" w:sz="8" w:color="auto"/>
              <w:right w:val="single" w:sz="8" w:color="auto"/>
            </w:tcBorders>
            <w:shd w:val="clear" w:color="auto" w:fill="CCEEFF"/>
          </w:tcPr>
          <w:p>
            <w:pPr>
              <w:spacing w:after="0"/>
              <w:rPr>
                <w:sz w:val="6"/>
                <w:szCs w:val="6"/>
                <w:color w:val="auto"/>
              </w:rPr>
            </w:pPr>
          </w:p>
        </w:tc>
        <w:tc>
          <w:tcPr>
            <w:tcW w:w="180" w:type="dxa"/>
            <w:vAlign w:val="bottom"/>
            <w:tcBorders>
              <w:bottom w:val="single" w:sz="8" w:color="auto"/>
            </w:tcBorders>
            <w:shd w:val="clear" w:color="auto" w:fill="CCEEFF"/>
          </w:tcPr>
          <w:p>
            <w:pPr>
              <w:spacing w:after="0"/>
              <w:rPr>
                <w:sz w:val="6"/>
                <w:szCs w:val="6"/>
                <w:color w:val="auto"/>
              </w:rPr>
            </w:pPr>
          </w:p>
        </w:tc>
        <w:tc>
          <w:tcPr>
            <w:tcW w:w="1100" w:type="dxa"/>
            <w:vAlign w:val="bottom"/>
            <w:tcBorders>
              <w:bottom w:val="single" w:sz="8" w:color="auto"/>
              <w:right w:val="single" w:sz="8" w:color="auto"/>
            </w:tcBorders>
            <w:shd w:val="clear" w:color="auto" w:fill="CCEEFF"/>
          </w:tcPr>
          <w:p>
            <w:pPr>
              <w:spacing w:after="0"/>
              <w:rPr>
                <w:sz w:val="6"/>
                <w:szCs w:val="6"/>
                <w:color w:val="auto"/>
              </w:rPr>
            </w:pPr>
          </w:p>
        </w:tc>
        <w:tc>
          <w:tcPr>
            <w:tcW w:w="200" w:type="dxa"/>
            <w:vAlign w:val="bottom"/>
            <w:tcBorders>
              <w:bottom w:val="single" w:sz="8" w:color="auto"/>
            </w:tcBorders>
            <w:shd w:val="clear" w:color="auto" w:fill="CCEEFF"/>
          </w:tcPr>
          <w:p>
            <w:pPr>
              <w:spacing w:after="0"/>
              <w:rPr>
                <w:sz w:val="6"/>
                <w:szCs w:val="6"/>
                <w:color w:val="auto"/>
              </w:rPr>
            </w:pPr>
          </w:p>
        </w:tc>
        <w:tc>
          <w:tcPr>
            <w:tcW w:w="940" w:type="dxa"/>
            <w:vAlign w:val="bottom"/>
            <w:tcBorders>
              <w:bottom w:val="single" w:sz="8" w:color="auto"/>
              <w:right w:val="single" w:sz="8" w:color="auto"/>
            </w:tcBorders>
            <w:shd w:val="clear" w:color="auto" w:fill="CCEEFF"/>
          </w:tcPr>
          <w:p>
            <w:pPr>
              <w:spacing w:after="0"/>
              <w:rPr>
                <w:sz w:val="6"/>
                <w:szCs w:val="6"/>
                <w:color w:val="auto"/>
              </w:rPr>
            </w:pPr>
          </w:p>
        </w:tc>
        <w:tc>
          <w:tcPr>
            <w:tcW w:w="260" w:type="dxa"/>
            <w:vAlign w:val="bottom"/>
            <w:tcBorders>
              <w:bottom w:val="single" w:sz="8" w:color="auto"/>
            </w:tcBorders>
            <w:shd w:val="clear" w:color="auto" w:fill="CCEEFF"/>
          </w:tcPr>
          <w:p>
            <w:pPr>
              <w:spacing w:after="0"/>
              <w:rPr>
                <w:sz w:val="6"/>
                <w:szCs w:val="6"/>
                <w:color w:val="auto"/>
              </w:rPr>
            </w:pPr>
          </w:p>
        </w:tc>
        <w:tc>
          <w:tcPr>
            <w:tcW w:w="1020" w:type="dxa"/>
            <w:vAlign w:val="bottom"/>
            <w:tcBorders>
              <w:bottom w:val="single" w:sz="8" w:color="auto"/>
              <w:right w:val="single" w:sz="8" w:color="auto"/>
            </w:tcBorders>
            <w:shd w:val="clear" w:color="auto" w:fill="CCEEFF"/>
          </w:tcPr>
          <w:p>
            <w:pPr>
              <w:spacing w:after="0"/>
              <w:rPr>
                <w:sz w:val="6"/>
                <w:szCs w:val="6"/>
                <w:color w:val="auto"/>
              </w:rPr>
            </w:pPr>
          </w:p>
        </w:tc>
        <w:tc>
          <w:tcPr>
            <w:tcW w:w="220" w:type="dxa"/>
            <w:vAlign w:val="bottom"/>
            <w:tcBorders>
              <w:bottom w:val="single" w:sz="8" w:color="auto"/>
            </w:tcBorders>
            <w:shd w:val="clear" w:color="auto" w:fill="CCEEFF"/>
          </w:tcPr>
          <w:p>
            <w:pPr>
              <w:spacing w:after="0"/>
              <w:rPr>
                <w:sz w:val="6"/>
                <w:szCs w:val="6"/>
                <w:color w:val="auto"/>
              </w:rPr>
            </w:pPr>
          </w:p>
        </w:tc>
        <w:tc>
          <w:tcPr>
            <w:tcW w:w="920" w:type="dxa"/>
            <w:vAlign w:val="bottom"/>
            <w:tcBorders>
              <w:bottom w:val="single" w:sz="8" w:color="auto"/>
              <w:right w:val="single" w:sz="8" w:color="auto"/>
            </w:tcBorders>
            <w:shd w:val="clear" w:color="auto" w:fill="CCEEFF"/>
          </w:tcPr>
          <w:p>
            <w:pPr>
              <w:spacing w:after="0"/>
              <w:rPr>
                <w:sz w:val="6"/>
                <w:szCs w:val="6"/>
                <w:color w:val="auto"/>
              </w:rPr>
            </w:pPr>
          </w:p>
        </w:tc>
        <w:tc>
          <w:tcPr>
            <w:tcW w:w="0" w:type="dxa"/>
            <w:vAlign w:val="bottom"/>
          </w:tcPr>
          <w:p>
            <w:pPr>
              <w:spacing w:after="0"/>
              <w:rPr>
                <w:sz w:val="1"/>
                <w:szCs w:val="1"/>
                <w:color w:val="auto"/>
              </w:rPr>
            </w:pPr>
          </w:p>
        </w:tc>
      </w:tr>
    </w:tbl>
    <w:p>
      <w:pPr>
        <w:spacing w:after="0" w:line="204" w:lineRule="exact"/>
        <w:rPr>
          <w:sz w:val="20"/>
          <w:szCs w:val="20"/>
          <w:color w:val="auto"/>
        </w:rPr>
      </w:pPr>
    </w:p>
    <w:p>
      <w:pPr>
        <w:ind w:left="460" w:hanging="452"/>
        <w:spacing w:after="0"/>
        <w:tabs>
          <w:tab w:leader="none" w:pos="460" w:val="left"/>
        </w:tabs>
        <w:numPr>
          <w:ilvl w:val="0"/>
          <w:numId w:val="23"/>
        </w:numPr>
        <w:rPr>
          <w:rFonts w:ascii="Arial" w:cs="Arial" w:eastAsia="Arial" w:hAnsi="Arial"/>
          <w:sz w:val="15"/>
          <w:szCs w:val="15"/>
          <w:color w:val="auto"/>
        </w:rPr>
      </w:pPr>
      <w:r>
        <w:rPr>
          <w:rFonts w:ascii="Arial" w:cs="Arial" w:eastAsia="Arial" w:hAnsi="Arial"/>
          <w:sz w:val="17"/>
          <w:szCs w:val="17"/>
          <w:color w:val="auto"/>
        </w:rPr>
        <w:t>The amounts shown in this column represent, for 2015, the grant date fair value (calculated in accordance with FASB ASC Topic 718) of</w:t>
      </w:r>
    </w:p>
    <w:p>
      <w:pPr>
        <w:ind w:left="460" w:right="100"/>
        <w:spacing w:after="0" w:line="234" w:lineRule="auto"/>
        <w:rPr>
          <w:rFonts w:ascii="Arial" w:cs="Arial" w:eastAsia="Arial" w:hAnsi="Arial"/>
          <w:sz w:val="15"/>
          <w:szCs w:val="15"/>
          <w:color w:val="auto"/>
        </w:rPr>
      </w:pPr>
      <w:r>
        <w:rPr>
          <w:rFonts w:ascii="Arial" w:cs="Arial" w:eastAsia="Arial" w:hAnsi="Arial"/>
          <w:sz w:val="17"/>
          <w:szCs w:val="17"/>
          <w:color w:val="auto"/>
        </w:rPr>
        <w:t>(a) restricted stock units granted to Messrs. Holding, Walker and DiPiero on January 29, 2015 (disregarding in each case estimates for forfeitures) and (b) performance shares (subject to being earned based upon achievement of the established performance objectives) granted to Messrs. Timken, Holding, Walker and DiPiero on January 29, 2015, assuming target achievement of the established performance objectives which was the probable outcome on the grant date. The restricted stock units will vest in full on January 29, 2018, provided that the named executive officer remains continuously employed by the Company through that date. The performance shares granted in 2015 were awarded to track performance for the 2015 to 2017 cycle. With respect to the performance shares, should performance equal or exceed the maximum goals for these 2015 performance shares, the grant date fair value for such awards would be as follows: Mr. Timken – $3,253,800; Mr. Holding – $321,900; Mr. Walker – $234,900; and Mr. DiPiero – $195,750. Based on assessment of ownership levels at the time of grant, the settlement for the performance shares will be in cash for Messrs. Timken and Walker and in stock for Messrs. Holding and DiPiero. The settlement for the restricted stock units granted to the NEOs will be in stock.</w:t>
      </w:r>
    </w:p>
    <w:p>
      <w:pPr>
        <w:spacing w:after="0" w:line="200" w:lineRule="exact"/>
        <w:rPr>
          <w:rFonts w:ascii="Arial" w:cs="Arial" w:eastAsia="Arial" w:hAnsi="Arial"/>
          <w:sz w:val="15"/>
          <w:szCs w:val="15"/>
          <w:color w:val="auto"/>
        </w:rPr>
      </w:pPr>
    </w:p>
    <w:p>
      <w:pPr>
        <w:jc w:val="both"/>
        <w:ind w:left="460" w:right="60" w:hanging="452"/>
        <w:spacing w:after="0" w:line="236" w:lineRule="auto"/>
        <w:tabs>
          <w:tab w:leader="none" w:pos="460" w:val="left"/>
        </w:tabs>
        <w:numPr>
          <w:ilvl w:val="0"/>
          <w:numId w:val="23"/>
        </w:numPr>
        <w:rPr>
          <w:rFonts w:ascii="Arial" w:cs="Arial" w:eastAsia="Arial" w:hAnsi="Arial"/>
          <w:sz w:val="15"/>
          <w:szCs w:val="15"/>
          <w:color w:val="auto"/>
        </w:rPr>
      </w:pPr>
      <w:r>
        <w:rPr>
          <w:rFonts w:ascii="Arial" w:cs="Arial" w:eastAsia="Arial" w:hAnsi="Arial"/>
          <w:sz w:val="17"/>
          <w:szCs w:val="17"/>
          <w:color w:val="auto"/>
        </w:rPr>
        <w:t>The amounts shown in this column represent, for each year, the grant date fair value of nonqualified stock options (calculated in accordance with FASB ASC Topic 718) using the Black-Scholes model. All stock options vest at a rate of 25% per year. Assumptions used to determine the value of these nonqualified stock options are described in Note 10 of the Notes to Consolidated Financial Statements included in our Annual Report on Form 10-K for the year ended December 31, 2015.</w:t>
      </w:r>
    </w:p>
    <w:p>
      <w:pPr>
        <w:spacing w:after="0" w:line="203" w:lineRule="exact"/>
        <w:rPr>
          <w:rFonts w:ascii="Arial" w:cs="Arial" w:eastAsia="Arial" w:hAnsi="Arial"/>
          <w:sz w:val="15"/>
          <w:szCs w:val="15"/>
          <w:color w:val="auto"/>
        </w:rPr>
      </w:pPr>
    </w:p>
    <w:p>
      <w:pPr>
        <w:ind w:left="460" w:right="120" w:hanging="452"/>
        <w:spacing w:after="0" w:line="243" w:lineRule="auto"/>
        <w:tabs>
          <w:tab w:leader="none" w:pos="460" w:val="left"/>
        </w:tabs>
        <w:numPr>
          <w:ilvl w:val="0"/>
          <w:numId w:val="23"/>
        </w:numPr>
        <w:rPr>
          <w:rFonts w:ascii="Arial" w:cs="Arial" w:eastAsia="Arial" w:hAnsi="Arial"/>
          <w:sz w:val="15"/>
          <w:szCs w:val="15"/>
          <w:color w:val="auto"/>
        </w:rPr>
      </w:pPr>
      <w:r>
        <w:rPr>
          <w:rFonts w:ascii="Arial" w:cs="Arial" w:eastAsia="Arial" w:hAnsi="Arial"/>
          <w:sz w:val="17"/>
          <w:szCs w:val="17"/>
          <w:color w:val="auto"/>
        </w:rPr>
        <w:t>The amounts shown in this column for 2015 represent cash payouts earned under the TimkenSteel Senior Executive Management Performance Plan. Because Company performance fell below threshold in 2015, no</w:t>
      </w:r>
    </w:p>
    <w:p>
      <w:pPr>
        <w:spacing w:after="0" w:line="142" w:lineRule="exact"/>
        <w:rPr>
          <w:sz w:val="20"/>
          <w:szCs w:val="20"/>
          <w:color w:val="auto"/>
        </w:rPr>
      </w:pPr>
    </w:p>
    <w:p>
      <w:pPr>
        <w:spacing w:after="0"/>
        <w:rPr>
          <w:sz w:val="20"/>
          <w:szCs w:val="20"/>
          <w:color w:val="auto"/>
        </w:rPr>
      </w:pPr>
      <w:r>
        <w:rPr>
          <w:rFonts w:ascii="Arial" w:cs="Arial" w:eastAsia="Arial" w:hAnsi="Arial"/>
          <w:sz w:val="14"/>
          <w:szCs w:val="14"/>
          <w:color w:val="auto"/>
        </w:rPr>
        <w:t>44</w:t>
      </w:r>
    </w:p>
    <w:p>
      <w:pPr>
        <w:sectPr>
          <w:pgSz w:w="11900" w:h="16838" w:orient="portrait"/>
          <w:cols w:equalWidth="0" w:num="1">
            <w:col w:w="11440"/>
          </w:cols>
          <w:pgMar w:left="240" w:top="459" w:right="219" w:bottom="1440" w:gutter="0" w:footer="0" w:header="0"/>
        </w:sectPr>
      </w:pPr>
    </w:p>
    <w:bookmarkStart w:id="50" w:name="page51"/>
    <w:bookmarkEnd w:id="5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54">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2715260</wp:posOffset>
            </wp:positionH>
            <wp:positionV relativeFrom="paragraph">
              <wp:posOffset>205740</wp:posOffset>
            </wp:positionV>
            <wp:extent cx="1826895" cy="205740"/>
            <wp:wrapNone/>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55">
                      <a:extLst>
                        <a:ext uri="{28A0092B-C50C-407E-A947-70E740481C1C}"/>
                      </a:extLst>
                    </a:blip>
                    <a:srcRect/>
                    <a:stretch>
                      <a:fillRect/>
                    </a:stretch>
                  </pic:blipFill>
                  <pic:spPr bwMode="auto">
                    <a:xfrm>
                      <a:off x="0" y="0"/>
                      <a:ext cx="1826895" cy="20574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70" w:lineRule="exact"/>
        <w:rPr>
          <w:sz w:val="20"/>
          <w:szCs w:val="20"/>
          <w:color w:val="auto"/>
        </w:rPr>
      </w:pPr>
    </w:p>
    <w:p>
      <w:pPr>
        <w:ind w:left="460" w:right="640"/>
        <w:spacing w:after="0" w:line="243" w:lineRule="auto"/>
        <w:rPr>
          <w:sz w:val="20"/>
          <w:szCs w:val="20"/>
          <w:color w:val="auto"/>
        </w:rPr>
      </w:pPr>
      <w:r>
        <w:rPr>
          <w:rFonts w:ascii="Arial" w:cs="Arial" w:eastAsia="Arial" w:hAnsi="Arial"/>
          <w:sz w:val="17"/>
          <w:szCs w:val="17"/>
          <w:color w:val="auto"/>
        </w:rPr>
        <w:t>payouts were earned for 2015. For additional information, see “2015 Annual Performance Award Decisions” on pages 35-36 of this Proxy Statement.</w:t>
      </w:r>
    </w:p>
    <w:p>
      <w:pPr>
        <w:spacing w:after="0" w:line="198" w:lineRule="exact"/>
        <w:rPr>
          <w:sz w:val="20"/>
          <w:szCs w:val="20"/>
          <w:color w:val="auto"/>
        </w:rPr>
      </w:pPr>
    </w:p>
    <w:p>
      <w:pPr>
        <w:ind w:left="460" w:right="20" w:hanging="452"/>
        <w:spacing w:after="0" w:line="235" w:lineRule="auto"/>
        <w:tabs>
          <w:tab w:leader="none" w:pos="460" w:val="left"/>
        </w:tabs>
        <w:numPr>
          <w:ilvl w:val="0"/>
          <w:numId w:val="24"/>
        </w:numPr>
        <w:rPr>
          <w:rFonts w:ascii="Arial" w:cs="Arial" w:eastAsia="Arial" w:hAnsi="Arial"/>
          <w:sz w:val="15"/>
          <w:szCs w:val="15"/>
          <w:color w:val="auto"/>
        </w:rPr>
      </w:pPr>
      <w:r>
        <w:rPr>
          <w:rFonts w:ascii="Arial" w:cs="Arial" w:eastAsia="Arial" w:hAnsi="Arial"/>
          <w:sz w:val="17"/>
          <w:szCs w:val="17"/>
          <w:color w:val="auto"/>
        </w:rPr>
        <w:t>The amounts shown in this column for 2015 represent the difference between the amounts shown in the 2015 Pension Benefits Table on page 51 as of December 31, 2015, and those amounts calculated as of December 31, 2014. The amounts were calculated using the same assumptions, except that the calculations as of December 31, 2015, utilize a discount rate of 4.73% while a discount rate of 4.24% was used for the calculation as of December 31, 2014. For Mr. Timken, the change in pension value was negative, and therefore the entry in the table above is shown as $0. The actual negative change in pension value for Mr. Timken is $(597,000). The positive change in pension value of $37,000 for Mr. Walker in 2015 was due to an increase in the discount rate for 2015. Messrs. Holding and DiPiero are not eligible for Company-paid pension benefits.</w:t>
      </w:r>
    </w:p>
    <w:p>
      <w:pPr>
        <w:spacing w:after="0" w:line="202" w:lineRule="exact"/>
        <w:rPr>
          <w:rFonts w:ascii="Arial" w:cs="Arial" w:eastAsia="Arial" w:hAnsi="Arial"/>
          <w:sz w:val="15"/>
          <w:szCs w:val="15"/>
          <w:color w:val="auto"/>
        </w:rPr>
      </w:pPr>
    </w:p>
    <w:p>
      <w:pPr>
        <w:ind w:left="460" w:right="140"/>
        <w:spacing w:after="0" w:line="238" w:lineRule="auto"/>
        <w:rPr>
          <w:rFonts w:ascii="Arial" w:cs="Arial" w:eastAsia="Arial" w:hAnsi="Arial"/>
          <w:sz w:val="15"/>
          <w:szCs w:val="15"/>
          <w:color w:val="auto"/>
        </w:rPr>
      </w:pPr>
      <w:r>
        <w:rPr>
          <w:rFonts w:ascii="Arial" w:cs="Arial" w:eastAsia="Arial" w:hAnsi="Arial"/>
          <w:sz w:val="17"/>
          <w:szCs w:val="17"/>
          <w:color w:val="auto"/>
        </w:rPr>
        <w:t>Liabilities were determined assuming no probability of termination, retirement, death or disability before age 62 (the earliest age unreduced pension benefits are payable from the plans). None of the NEOs earned above-market earnings in a deferred compensation plan. For additional information, see “Pension Benefits” beginning on page 50 of this Proxy Statement.</w:t>
      </w:r>
    </w:p>
    <w:p>
      <w:pPr>
        <w:spacing w:after="0" w:line="201" w:lineRule="exact"/>
        <w:rPr>
          <w:rFonts w:ascii="Arial" w:cs="Arial" w:eastAsia="Arial" w:hAnsi="Arial"/>
          <w:sz w:val="15"/>
          <w:szCs w:val="15"/>
          <w:color w:val="auto"/>
        </w:rPr>
      </w:pPr>
    </w:p>
    <w:p>
      <w:pPr>
        <w:ind w:left="460" w:hanging="452"/>
        <w:spacing w:after="0"/>
        <w:tabs>
          <w:tab w:leader="none" w:pos="460" w:val="left"/>
        </w:tabs>
        <w:numPr>
          <w:ilvl w:val="0"/>
          <w:numId w:val="24"/>
        </w:numPr>
        <w:rPr>
          <w:rFonts w:ascii="Arial" w:cs="Arial" w:eastAsia="Arial" w:hAnsi="Arial"/>
          <w:sz w:val="15"/>
          <w:szCs w:val="15"/>
          <w:color w:val="auto"/>
        </w:rPr>
      </w:pPr>
      <w:r>
        <w:rPr>
          <w:rFonts w:ascii="Arial" w:cs="Arial" w:eastAsia="Arial" w:hAnsi="Arial"/>
          <w:sz w:val="17"/>
          <w:szCs w:val="17"/>
          <w:color w:val="auto"/>
        </w:rPr>
        <w:t>The amounts shown in this column for 2015 are broken down in detail in the following table:</w:t>
      </w:r>
    </w:p>
    <w:p>
      <w:pPr>
        <w:spacing w:after="0" w:line="223" w:lineRule="exact"/>
        <w:rPr>
          <w:sz w:val="20"/>
          <w:szCs w:val="20"/>
          <w:color w:val="auto"/>
        </w:rPr>
      </w:pPr>
    </w:p>
    <w:tbl>
      <w:tblPr>
        <w:tblLayout w:type="fixed"/>
        <w:tblInd w:w="470" w:type="dxa"/>
        <w:tblCellMar>
          <w:top w:w="0" w:type="dxa"/>
          <w:left w:w="0" w:type="dxa"/>
          <w:bottom w:w="0" w:type="dxa"/>
          <w:right w:w="0" w:type="dxa"/>
        </w:tblCellMar>
      </w:tblPr>
      <w:tr>
        <w:trPr>
          <w:trHeight w:val="127"/>
        </w:trPr>
        <w:tc>
          <w:tcPr>
            <w:tcW w:w="2600" w:type="dxa"/>
            <w:vAlign w:val="bottom"/>
            <w:tcBorders>
              <w:top w:val="single" w:sz="8" w:color="auto"/>
              <w:left w:val="single" w:sz="8" w:color="auto"/>
              <w:right w:val="single" w:sz="8" w:color="auto"/>
            </w:tcBorders>
          </w:tcPr>
          <w:p>
            <w:pPr>
              <w:spacing w:after="0"/>
              <w:rPr>
                <w:sz w:val="11"/>
                <w:szCs w:val="11"/>
                <w:color w:val="auto"/>
              </w:rPr>
            </w:pPr>
          </w:p>
        </w:tc>
        <w:tc>
          <w:tcPr>
            <w:tcW w:w="160" w:type="dxa"/>
            <w:vAlign w:val="bottom"/>
            <w:tcBorders>
              <w:top w:val="single" w:sz="8" w:color="auto"/>
            </w:tcBorders>
          </w:tcPr>
          <w:p>
            <w:pPr>
              <w:spacing w:after="0"/>
              <w:rPr>
                <w:sz w:val="11"/>
                <w:szCs w:val="11"/>
                <w:color w:val="auto"/>
              </w:rPr>
            </w:pPr>
          </w:p>
        </w:tc>
        <w:tc>
          <w:tcPr>
            <w:tcW w:w="800" w:type="dxa"/>
            <w:vAlign w:val="bottom"/>
            <w:tcBorders>
              <w:top w:val="single" w:sz="8" w:color="auto"/>
              <w:right w:val="single" w:sz="8" w:color="auto"/>
            </w:tcBorders>
          </w:tcPr>
          <w:p>
            <w:pPr>
              <w:spacing w:after="0"/>
              <w:rPr>
                <w:sz w:val="11"/>
                <w:szCs w:val="11"/>
                <w:color w:val="auto"/>
              </w:rPr>
            </w:pPr>
          </w:p>
        </w:tc>
        <w:tc>
          <w:tcPr>
            <w:tcW w:w="160" w:type="dxa"/>
            <w:vAlign w:val="bottom"/>
            <w:tcBorders>
              <w:top w:val="single" w:sz="8" w:color="auto"/>
            </w:tcBorders>
          </w:tcPr>
          <w:p>
            <w:pPr>
              <w:spacing w:after="0"/>
              <w:rPr>
                <w:sz w:val="11"/>
                <w:szCs w:val="11"/>
                <w:color w:val="auto"/>
              </w:rPr>
            </w:pPr>
          </w:p>
        </w:tc>
        <w:tc>
          <w:tcPr>
            <w:tcW w:w="800" w:type="dxa"/>
            <w:vAlign w:val="bottom"/>
            <w:tcBorders>
              <w:top w:val="single" w:sz="8" w:color="auto"/>
              <w:right w:val="single" w:sz="8" w:color="auto"/>
            </w:tcBorders>
          </w:tcPr>
          <w:p>
            <w:pPr>
              <w:spacing w:after="0"/>
              <w:rPr>
                <w:sz w:val="11"/>
                <w:szCs w:val="11"/>
                <w:color w:val="auto"/>
              </w:rPr>
            </w:pPr>
          </w:p>
        </w:tc>
        <w:tc>
          <w:tcPr>
            <w:tcW w:w="160" w:type="dxa"/>
            <w:vAlign w:val="bottom"/>
            <w:tcBorders>
              <w:top w:val="single" w:sz="8" w:color="auto"/>
            </w:tcBorders>
          </w:tcPr>
          <w:p>
            <w:pPr>
              <w:spacing w:after="0"/>
              <w:rPr>
                <w:sz w:val="11"/>
                <w:szCs w:val="11"/>
                <w:color w:val="auto"/>
              </w:rPr>
            </w:pPr>
          </w:p>
        </w:tc>
        <w:tc>
          <w:tcPr>
            <w:tcW w:w="660" w:type="dxa"/>
            <w:vAlign w:val="bottom"/>
            <w:tcBorders>
              <w:top w:val="single" w:sz="8" w:color="auto"/>
              <w:right w:val="single" w:sz="8" w:color="auto"/>
            </w:tcBorders>
          </w:tcPr>
          <w:p>
            <w:pPr>
              <w:spacing w:after="0"/>
              <w:rPr>
                <w:sz w:val="11"/>
                <w:szCs w:val="11"/>
                <w:color w:val="auto"/>
              </w:rPr>
            </w:pPr>
          </w:p>
        </w:tc>
        <w:tc>
          <w:tcPr>
            <w:tcW w:w="260" w:type="dxa"/>
            <w:vAlign w:val="bottom"/>
            <w:tcBorders>
              <w:top w:val="single" w:sz="8" w:color="auto"/>
            </w:tcBorders>
          </w:tcPr>
          <w:p>
            <w:pPr>
              <w:spacing w:after="0"/>
              <w:rPr>
                <w:sz w:val="11"/>
                <w:szCs w:val="11"/>
                <w:color w:val="auto"/>
              </w:rPr>
            </w:pPr>
          </w:p>
        </w:tc>
        <w:tc>
          <w:tcPr>
            <w:tcW w:w="580" w:type="dxa"/>
            <w:vAlign w:val="bottom"/>
            <w:tcBorders>
              <w:top w:val="single" w:sz="8" w:color="auto"/>
              <w:right w:val="single" w:sz="8" w:color="auto"/>
            </w:tcBorders>
          </w:tcPr>
          <w:p>
            <w:pPr>
              <w:spacing w:after="0"/>
              <w:rPr>
                <w:sz w:val="11"/>
                <w:szCs w:val="11"/>
                <w:color w:val="auto"/>
              </w:rPr>
            </w:pPr>
          </w:p>
        </w:tc>
        <w:tc>
          <w:tcPr>
            <w:tcW w:w="140" w:type="dxa"/>
            <w:vAlign w:val="bottom"/>
            <w:tcBorders>
              <w:top w:val="single" w:sz="8" w:color="auto"/>
            </w:tcBorders>
          </w:tcPr>
          <w:p>
            <w:pPr>
              <w:spacing w:after="0"/>
              <w:rPr>
                <w:sz w:val="11"/>
                <w:szCs w:val="11"/>
                <w:color w:val="auto"/>
              </w:rPr>
            </w:pPr>
          </w:p>
        </w:tc>
        <w:tc>
          <w:tcPr>
            <w:tcW w:w="760" w:type="dxa"/>
            <w:vAlign w:val="bottom"/>
            <w:tcBorders>
              <w:top w:val="single" w:sz="8" w:color="auto"/>
              <w:right w:val="single" w:sz="8" w:color="auto"/>
            </w:tcBorders>
          </w:tcPr>
          <w:p>
            <w:pPr>
              <w:spacing w:after="0"/>
              <w:rPr>
                <w:sz w:val="11"/>
                <w:szCs w:val="11"/>
                <w:color w:val="auto"/>
              </w:rPr>
            </w:pPr>
          </w:p>
        </w:tc>
        <w:tc>
          <w:tcPr>
            <w:tcW w:w="240" w:type="dxa"/>
            <w:vAlign w:val="bottom"/>
            <w:tcBorders>
              <w:top w:val="single" w:sz="8" w:color="auto"/>
            </w:tcBorders>
          </w:tcPr>
          <w:p>
            <w:pPr>
              <w:spacing w:after="0"/>
              <w:rPr>
                <w:sz w:val="11"/>
                <w:szCs w:val="11"/>
                <w:color w:val="auto"/>
              </w:rPr>
            </w:pPr>
          </w:p>
        </w:tc>
        <w:tc>
          <w:tcPr>
            <w:tcW w:w="460" w:type="dxa"/>
            <w:vAlign w:val="bottom"/>
            <w:tcBorders>
              <w:top w:val="single" w:sz="8" w:color="auto"/>
              <w:right w:val="single" w:sz="8" w:color="auto"/>
            </w:tcBorders>
          </w:tcPr>
          <w:p>
            <w:pPr>
              <w:spacing w:after="0"/>
              <w:rPr>
                <w:sz w:val="11"/>
                <w:szCs w:val="11"/>
                <w:color w:val="auto"/>
              </w:rPr>
            </w:pPr>
          </w:p>
        </w:tc>
        <w:tc>
          <w:tcPr>
            <w:tcW w:w="160" w:type="dxa"/>
            <w:vAlign w:val="bottom"/>
            <w:tcBorders>
              <w:top w:val="single" w:sz="8" w:color="auto"/>
            </w:tcBorders>
          </w:tcPr>
          <w:p>
            <w:pPr>
              <w:spacing w:after="0"/>
              <w:rPr>
                <w:sz w:val="11"/>
                <w:szCs w:val="11"/>
                <w:color w:val="auto"/>
              </w:rPr>
            </w:pPr>
          </w:p>
        </w:tc>
        <w:tc>
          <w:tcPr>
            <w:tcW w:w="720" w:type="dxa"/>
            <w:vAlign w:val="bottom"/>
            <w:tcBorders>
              <w:top w:val="single" w:sz="8" w:color="auto"/>
              <w:right w:val="single" w:sz="8" w:color="auto"/>
            </w:tcBorders>
          </w:tcPr>
          <w:p>
            <w:pPr>
              <w:spacing w:after="0"/>
              <w:rPr>
                <w:sz w:val="11"/>
                <w:szCs w:val="11"/>
                <w:color w:val="auto"/>
              </w:rPr>
            </w:pPr>
          </w:p>
        </w:tc>
        <w:tc>
          <w:tcPr>
            <w:tcW w:w="240" w:type="dxa"/>
            <w:vAlign w:val="bottom"/>
            <w:tcBorders>
              <w:top w:val="single" w:sz="8" w:color="auto"/>
            </w:tcBorders>
          </w:tcPr>
          <w:p>
            <w:pPr>
              <w:spacing w:after="0"/>
              <w:rPr>
                <w:sz w:val="11"/>
                <w:szCs w:val="11"/>
                <w:color w:val="auto"/>
              </w:rPr>
            </w:pPr>
          </w:p>
        </w:tc>
        <w:tc>
          <w:tcPr>
            <w:tcW w:w="480" w:type="dxa"/>
            <w:vAlign w:val="bottom"/>
            <w:tcBorders>
              <w:top w:val="single" w:sz="8" w:color="auto"/>
              <w:right w:val="single" w:sz="8" w:color="auto"/>
            </w:tcBorders>
          </w:tcPr>
          <w:p>
            <w:pPr>
              <w:spacing w:after="0"/>
              <w:rPr>
                <w:sz w:val="11"/>
                <w:szCs w:val="11"/>
                <w:color w:val="auto"/>
              </w:rPr>
            </w:pPr>
          </w:p>
        </w:tc>
        <w:tc>
          <w:tcPr>
            <w:tcW w:w="160" w:type="dxa"/>
            <w:vAlign w:val="bottom"/>
            <w:tcBorders>
              <w:top w:val="single" w:sz="8" w:color="auto"/>
            </w:tcBorders>
          </w:tcPr>
          <w:p>
            <w:pPr>
              <w:spacing w:after="0"/>
              <w:rPr>
                <w:sz w:val="11"/>
                <w:szCs w:val="11"/>
                <w:color w:val="auto"/>
              </w:rPr>
            </w:pPr>
          </w:p>
        </w:tc>
        <w:tc>
          <w:tcPr>
            <w:tcW w:w="680" w:type="dxa"/>
            <w:vAlign w:val="bottom"/>
            <w:tcBorders>
              <w:top w:val="single" w:sz="8" w:color="auto"/>
              <w:right w:val="single" w:sz="8" w:color="auto"/>
            </w:tcBorders>
          </w:tcPr>
          <w:p>
            <w:pPr>
              <w:jc w:val="center"/>
              <w:ind w:right="173"/>
              <w:spacing w:after="0" w:line="127" w:lineRule="exact"/>
              <w:rPr>
                <w:sz w:val="20"/>
                <w:szCs w:val="20"/>
                <w:color w:val="auto"/>
              </w:rPr>
            </w:pPr>
            <w:r>
              <w:rPr>
                <w:rFonts w:ascii="Arial" w:cs="Arial" w:eastAsia="Arial" w:hAnsi="Arial"/>
                <w:sz w:val="13"/>
                <w:szCs w:val="13"/>
                <w:b w:val="1"/>
                <w:bCs w:val="1"/>
                <w:color w:val="auto"/>
                <w:w w:val="89"/>
              </w:rPr>
              <w:t>Tax</w:t>
            </w:r>
          </w:p>
        </w:tc>
        <w:tc>
          <w:tcPr>
            <w:tcW w:w="760" w:type="dxa"/>
            <w:vAlign w:val="bottom"/>
            <w:tcBorders>
              <w:top w:val="single" w:sz="8" w:color="auto"/>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600" w:type="dxa"/>
            <w:vAlign w:val="bottom"/>
            <w:tcBorders>
              <w:left w:val="single" w:sz="8" w:color="auto"/>
              <w:right w:val="single" w:sz="8" w:color="auto"/>
            </w:tcBorders>
          </w:tcPr>
          <w:p>
            <w:pPr>
              <w:spacing w:after="0"/>
              <w:rPr>
                <w:sz w:val="11"/>
                <w:szCs w:val="11"/>
                <w:color w:val="auto"/>
              </w:rPr>
            </w:pPr>
          </w:p>
        </w:tc>
        <w:tc>
          <w:tcPr>
            <w:tcW w:w="160" w:type="dxa"/>
            <w:vAlign w:val="bottom"/>
          </w:tcPr>
          <w:p>
            <w:pPr>
              <w:spacing w:after="0"/>
              <w:rPr>
                <w:sz w:val="11"/>
                <w:szCs w:val="11"/>
                <w:color w:val="auto"/>
              </w:rPr>
            </w:pPr>
          </w:p>
        </w:tc>
        <w:tc>
          <w:tcPr>
            <w:tcW w:w="800" w:type="dxa"/>
            <w:vAlign w:val="bottom"/>
            <w:tcBorders>
              <w:right w:val="single" w:sz="8" w:color="auto"/>
            </w:tcBorders>
          </w:tcPr>
          <w:p>
            <w:pPr>
              <w:spacing w:after="0"/>
              <w:rPr>
                <w:sz w:val="11"/>
                <w:szCs w:val="11"/>
                <w:color w:val="auto"/>
              </w:rPr>
            </w:pPr>
          </w:p>
        </w:tc>
        <w:tc>
          <w:tcPr>
            <w:tcW w:w="160" w:type="dxa"/>
            <w:vAlign w:val="bottom"/>
          </w:tcPr>
          <w:p>
            <w:pPr>
              <w:spacing w:after="0"/>
              <w:rPr>
                <w:sz w:val="11"/>
                <w:szCs w:val="11"/>
                <w:color w:val="auto"/>
              </w:rPr>
            </w:pPr>
          </w:p>
        </w:tc>
        <w:tc>
          <w:tcPr>
            <w:tcW w:w="800" w:type="dxa"/>
            <w:vAlign w:val="bottom"/>
            <w:tcBorders>
              <w:right w:val="single" w:sz="8" w:color="auto"/>
            </w:tcBorders>
          </w:tcPr>
          <w:p>
            <w:pPr>
              <w:spacing w:after="0"/>
              <w:rPr>
                <w:sz w:val="11"/>
                <w:szCs w:val="11"/>
                <w:color w:val="auto"/>
              </w:rPr>
            </w:pPr>
          </w:p>
        </w:tc>
        <w:tc>
          <w:tcPr>
            <w:tcW w:w="160" w:type="dxa"/>
            <w:vAlign w:val="bottom"/>
          </w:tcPr>
          <w:p>
            <w:pPr>
              <w:spacing w:after="0"/>
              <w:rPr>
                <w:sz w:val="11"/>
                <w:szCs w:val="11"/>
                <w:color w:val="auto"/>
              </w:rPr>
            </w:pPr>
          </w:p>
        </w:tc>
        <w:tc>
          <w:tcPr>
            <w:tcW w:w="660" w:type="dxa"/>
            <w:vAlign w:val="bottom"/>
            <w:tcBorders>
              <w:right w:val="single" w:sz="8" w:color="auto"/>
            </w:tcBorders>
          </w:tcPr>
          <w:p>
            <w:pPr>
              <w:spacing w:after="0"/>
              <w:rPr>
                <w:sz w:val="11"/>
                <w:szCs w:val="11"/>
                <w:color w:val="auto"/>
              </w:rPr>
            </w:pPr>
          </w:p>
        </w:tc>
        <w:tc>
          <w:tcPr>
            <w:tcW w:w="260" w:type="dxa"/>
            <w:vAlign w:val="bottom"/>
          </w:tcPr>
          <w:p>
            <w:pPr>
              <w:spacing w:after="0"/>
              <w:rPr>
                <w:sz w:val="11"/>
                <w:szCs w:val="11"/>
                <w:color w:val="auto"/>
              </w:rPr>
            </w:pPr>
          </w:p>
        </w:tc>
        <w:tc>
          <w:tcPr>
            <w:tcW w:w="580" w:type="dxa"/>
            <w:vAlign w:val="bottom"/>
            <w:tcBorders>
              <w:right w:val="single" w:sz="8" w:color="auto"/>
            </w:tcBorders>
          </w:tcPr>
          <w:p>
            <w:pPr>
              <w:spacing w:after="0"/>
              <w:rPr>
                <w:sz w:val="11"/>
                <w:szCs w:val="11"/>
                <w:color w:val="auto"/>
              </w:rPr>
            </w:pPr>
          </w:p>
        </w:tc>
        <w:tc>
          <w:tcPr>
            <w:tcW w:w="140" w:type="dxa"/>
            <w:vAlign w:val="bottom"/>
          </w:tcPr>
          <w:p>
            <w:pPr>
              <w:spacing w:after="0"/>
              <w:rPr>
                <w:sz w:val="11"/>
                <w:szCs w:val="11"/>
                <w:color w:val="auto"/>
              </w:rPr>
            </w:pPr>
          </w:p>
        </w:tc>
        <w:tc>
          <w:tcPr>
            <w:tcW w:w="760" w:type="dxa"/>
            <w:vAlign w:val="bottom"/>
            <w:tcBorders>
              <w:right w:val="single" w:sz="8" w:color="auto"/>
            </w:tcBorders>
          </w:tcPr>
          <w:p>
            <w:pPr>
              <w:spacing w:after="0"/>
              <w:rPr>
                <w:sz w:val="11"/>
                <w:szCs w:val="11"/>
                <w:color w:val="auto"/>
              </w:rPr>
            </w:pPr>
          </w:p>
        </w:tc>
        <w:tc>
          <w:tcPr>
            <w:tcW w:w="240" w:type="dxa"/>
            <w:vAlign w:val="bottom"/>
          </w:tcPr>
          <w:p>
            <w:pPr>
              <w:spacing w:after="0"/>
              <w:rPr>
                <w:sz w:val="11"/>
                <w:szCs w:val="11"/>
                <w:color w:val="auto"/>
              </w:rPr>
            </w:pPr>
          </w:p>
        </w:tc>
        <w:tc>
          <w:tcPr>
            <w:tcW w:w="460" w:type="dxa"/>
            <w:vAlign w:val="bottom"/>
            <w:tcBorders>
              <w:right w:val="single" w:sz="8" w:color="auto"/>
            </w:tcBorders>
          </w:tcPr>
          <w:p>
            <w:pPr>
              <w:spacing w:after="0"/>
              <w:rPr>
                <w:sz w:val="11"/>
                <w:szCs w:val="11"/>
                <w:color w:val="auto"/>
              </w:rPr>
            </w:pPr>
          </w:p>
        </w:tc>
        <w:tc>
          <w:tcPr>
            <w:tcW w:w="160" w:type="dxa"/>
            <w:vAlign w:val="bottom"/>
          </w:tcPr>
          <w:p>
            <w:pPr>
              <w:spacing w:after="0"/>
              <w:rPr>
                <w:sz w:val="11"/>
                <w:szCs w:val="11"/>
                <w:color w:val="auto"/>
              </w:rPr>
            </w:pPr>
          </w:p>
        </w:tc>
        <w:tc>
          <w:tcPr>
            <w:tcW w:w="720" w:type="dxa"/>
            <w:vAlign w:val="bottom"/>
            <w:tcBorders>
              <w:right w:val="single" w:sz="8" w:color="auto"/>
            </w:tcBorders>
          </w:tcPr>
          <w:p>
            <w:pPr>
              <w:spacing w:after="0"/>
              <w:rPr>
                <w:sz w:val="11"/>
                <w:szCs w:val="11"/>
                <w:color w:val="auto"/>
              </w:rPr>
            </w:pPr>
          </w:p>
        </w:tc>
        <w:tc>
          <w:tcPr>
            <w:tcW w:w="240" w:type="dxa"/>
            <w:vAlign w:val="bottom"/>
          </w:tcPr>
          <w:p>
            <w:pPr>
              <w:spacing w:after="0"/>
              <w:rPr>
                <w:sz w:val="11"/>
                <w:szCs w:val="11"/>
                <w:color w:val="auto"/>
              </w:rPr>
            </w:pPr>
          </w:p>
        </w:tc>
        <w:tc>
          <w:tcPr>
            <w:tcW w:w="480" w:type="dxa"/>
            <w:vAlign w:val="bottom"/>
            <w:tcBorders>
              <w:right w:val="single" w:sz="8" w:color="auto"/>
            </w:tcBorders>
          </w:tcPr>
          <w:p>
            <w:pPr>
              <w:spacing w:after="0"/>
              <w:rPr>
                <w:sz w:val="11"/>
                <w:szCs w:val="11"/>
                <w:color w:val="auto"/>
              </w:rPr>
            </w:pPr>
          </w:p>
        </w:tc>
        <w:tc>
          <w:tcPr>
            <w:tcW w:w="160" w:type="dxa"/>
            <w:vAlign w:val="bottom"/>
          </w:tcPr>
          <w:p>
            <w:pPr>
              <w:spacing w:after="0"/>
              <w:rPr>
                <w:sz w:val="11"/>
                <w:szCs w:val="11"/>
                <w:color w:val="auto"/>
              </w:rPr>
            </w:pPr>
          </w:p>
        </w:tc>
        <w:tc>
          <w:tcPr>
            <w:tcW w:w="680" w:type="dxa"/>
            <w:vAlign w:val="bottom"/>
            <w:tcBorders>
              <w:right w:val="single" w:sz="8" w:color="auto"/>
            </w:tcBorders>
          </w:tcPr>
          <w:p>
            <w:pPr>
              <w:jc w:val="center"/>
              <w:ind w:right="173"/>
              <w:spacing w:after="0" w:line="135" w:lineRule="exact"/>
              <w:rPr>
                <w:sz w:val="20"/>
                <w:szCs w:val="20"/>
                <w:color w:val="auto"/>
              </w:rPr>
            </w:pPr>
            <w:r>
              <w:rPr>
                <w:rFonts w:ascii="Arial" w:cs="Arial" w:eastAsia="Arial" w:hAnsi="Arial"/>
                <w:sz w:val="13"/>
                <w:szCs w:val="13"/>
                <w:b w:val="1"/>
                <w:bCs w:val="1"/>
                <w:color w:val="auto"/>
                <w:w w:val="95"/>
              </w:rPr>
              <w:t>Gross-</w:t>
            </w:r>
          </w:p>
        </w:tc>
        <w:tc>
          <w:tcPr>
            <w:tcW w:w="76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600" w:type="dxa"/>
            <w:vAlign w:val="bottom"/>
            <w:tcBorders>
              <w:left w:val="single" w:sz="8" w:color="auto"/>
              <w:right w:val="single" w:sz="8" w:color="auto"/>
            </w:tcBorders>
          </w:tcPr>
          <w:p>
            <w:pPr>
              <w:spacing w:after="0"/>
              <w:rPr>
                <w:sz w:val="11"/>
                <w:szCs w:val="11"/>
                <w:color w:val="auto"/>
              </w:rPr>
            </w:pPr>
          </w:p>
        </w:tc>
        <w:tc>
          <w:tcPr>
            <w:tcW w:w="160" w:type="dxa"/>
            <w:vAlign w:val="bottom"/>
          </w:tcPr>
          <w:p>
            <w:pPr>
              <w:spacing w:after="0"/>
              <w:rPr>
                <w:sz w:val="11"/>
                <w:szCs w:val="11"/>
                <w:color w:val="auto"/>
              </w:rPr>
            </w:pPr>
          </w:p>
        </w:tc>
        <w:tc>
          <w:tcPr>
            <w:tcW w:w="800" w:type="dxa"/>
            <w:vAlign w:val="bottom"/>
            <w:tcBorders>
              <w:right w:val="single" w:sz="8" w:color="auto"/>
            </w:tcBorders>
          </w:tcPr>
          <w:p>
            <w:pPr>
              <w:spacing w:after="0"/>
              <w:rPr>
                <w:sz w:val="11"/>
                <w:szCs w:val="11"/>
                <w:color w:val="auto"/>
              </w:rPr>
            </w:pPr>
          </w:p>
        </w:tc>
        <w:tc>
          <w:tcPr>
            <w:tcW w:w="160" w:type="dxa"/>
            <w:vAlign w:val="bottom"/>
          </w:tcPr>
          <w:p>
            <w:pPr>
              <w:spacing w:after="0"/>
              <w:rPr>
                <w:sz w:val="11"/>
                <w:szCs w:val="11"/>
                <w:color w:val="auto"/>
              </w:rPr>
            </w:pPr>
          </w:p>
        </w:tc>
        <w:tc>
          <w:tcPr>
            <w:tcW w:w="800" w:type="dxa"/>
            <w:vAlign w:val="bottom"/>
            <w:tcBorders>
              <w:right w:val="single" w:sz="8" w:color="auto"/>
            </w:tcBorders>
          </w:tcPr>
          <w:p>
            <w:pPr>
              <w:spacing w:after="0"/>
              <w:rPr>
                <w:sz w:val="11"/>
                <w:szCs w:val="11"/>
                <w:color w:val="auto"/>
              </w:rPr>
            </w:pPr>
          </w:p>
        </w:tc>
        <w:tc>
          <w:tcPr>
            <w:tcW w:w="160" w:type="dxa"/>
            <w:vAlign w:val="bottom"/>
          </w:tcPr>
          <w:p>
            <w:pPr>
              <w:spacing w:after="0"/>
              <w:rPr>
                <w:sz w:val="11"/>
                <w:szCs w:val="11"/>
                <w:color w:val="auto"/>
              </w:rPr>
            </w:pPr>
          </w:p>
        </w:tc>
        <w:tc>
          <w:tcPr>
            <w:tcW w:w="660" w:type="dxa"/>
            <w:vAlign w:val="bottom"/>
            <w:tcBorders>
              <w:right w:val="single" w:sz="8" w:color="auto"/>
            </w:tcBorders>
          </w:tcPr>
          <w:p>
            <w:pPr>
              <w:spacing w:after="0"/>
              <w:rPr>
                <w:sz w:val="11"/>
                <w:szCs w:val="11"/>
                <w:color w:val="auto"/>
              </w:rPr>
            </w:pPr>
          </w:p>
        </w:tc>
        <w:tc>
          <w:tcPr>
            <w:tcW w:w="260" w:type="dxa"/>
            <w:vAlign w:val="bottom"/>
          </w:tcPr>
          <w:p>
            <w:pPr>
              <w:spacing w:after="0"/>
              <w:rPr>
                <w:sz w:val="11"/>
                <w:szCs w:val="11"/>
                <w:color w:val="auto"/>
              </w:rPr>
            </w:pPr>
          </w:p>
        </w:tc>
        <w:tc>
          <w:tcPr>
            <w:tcW w:w="580" w:type="dxa"/>
            <w:vAlign w:val="bottom"/>
            <w:tcBorders>
              <w:right w:val="single" w:sz="8" w:color="auto"/>
            </w:tcBorders>
          </w:tcPr>
          <w:p>
            <w:pPr>
              <w:spacing w:after="0"/>
              <w:rPr>
                <w:sz w:val="11"/>
                <w:szCs w:val="11"/>
                <w:color w:val="auto"/>
              </w:rPr>
            </w:pPr>
          </w:p>
        </w:tc>
        <w:tc>
          <w:tcPr>
            <w:tcW w:w="140" w:type="dxa"/>
            <w:vAlign w:val="bottom"/>
          </w:tcPr>
          <w:p>
            <w:pPr>
              <w:spacing w:after="0"/>
              <w:rPr>
                <w:sz w:val="11"/>
                <w:szCs w:val="11"/>
                <w:color w:val="auto"/>
              </w:rPr>
            </w:pPr>
          </w:p>
        </w:tc>
        <w:tc>
          <w:tcPr>
            <w:tcW w:w="760" w:type="dxa"/>
            <w:vAlign w:val="bottom"/>
            <w:tcBorders>
              <w:right w:val="single" w:sz="8" w:color="auto"/>
            </w:tcBorders>
          </w:tcPr>
          <w:p>
            <w:pPr>
              <w:spacing w:after="0"/>
              <w:rPr>
                <w:sz w:val="11"/>
                <w:szCs w:val="11"/>
                <w:color w:val="auto"/>
              </w:rPr>
            </w:pPr>
          </w:p>
        </w:tc>
        <w:tc>
          <w:tcPr>
            <w:tcW w:w="240" w:type="dxa"/>
            <w:vAlign w:val="bottom"/>
          </w:tcPr>
          <w:p>
            <w:pPr>
              <w:spacing w:after="0"/>
              <w:rPr>
                <w:sz w:val="11"/>
                <w:szCs w:val="11"/>
                <w:color w:val="auto"/>
              </w:rPr>
            </w:pPr>
          </w:p>
        </w:tc>
        <w:tc>
          <w:tcPr>
            <w:tcW w:w="460" w:type="dxa"/>
            <w:vAlign w:val="bottom"/>
            <w:tcBorders>
              <w:right w:val="single" w:sz="8" w:color="auto"/>
            </w:tcBorders>
          </w:tcPr>
          <w:p>
            <w:pPr>
              <w:spacing w:after="0"/>
              <w:rPr>
                <w:sz w:val="11"/>
                <w:szCs w:val="11"/>
                <w:color w:val="auto"/>
              </w:rPr>
            </w:pPr>
          </w:p>
        </w:tc>
        <w:tc>
          <w:tcPr>
            <w:tcW w:w="160" w:type="dxa"/>
            <w:vAlign w:val="bottom"/>
          </w:tcPr>
          <w:p>
            <w:pPr>
              <w:spacing w:after="0"/>
              <w:rPr>
                <w:sz w:val="11"/>
                <w:szCs w:val="11"/>
                <w:color w:val="auto"/>
              </w:rPr>
            </w:pPr>
          </w:p>
        </w:tc>
        <w:tc>
          <w:tcPr>
            <w:tcW w:w="720" w:type="dxa"/>
            <w:vAlign w:val="bottom"/>
            <w:tcBorders>
              <w:right w:val="single" w:sz="8" w:color="auto"/>
            </w:tcBorders>
          </w:tcPr>
          <w:p>
            <w:pPr>
              <w:spacing w:after="0"/>
              <w:rPr>
                <w:sz w:val="11"/>
                <w:szCs w:val="11"/>
                <w:color w:val="auto"/>
              </w:rPr>
            </w:pPr>
          </w:p>
        </w:tc>
        <w:tc>
          <w:tcPr>
            <w:tcW w:w="240" w:type="dxa"/>
            <w:vAlign w:val="bottom"/>
          </w:tcPr>
          <w:p>
            <w:pPr>
              <w:spacing w:after="0"/>
              <w:rPr>
                <w:sz w:val="11"/>
                <w:szCs w:val="11"/>
                <w:color w:val="auto"/>
              </w:rPr>
            </w:pPr>
          </w:p>
        </w:tc>
        <w:tc>
          <w:tcPr>
            <w:tcW w:w="480" w:type="dxa"/>
            <w:vAlign w:val="bottom"/>
            <w:tcBorders>
              <w:right w:val="single" w:sz="8" w:color="auto"/>
            </w:tcBorders>
          </w:tcPr>
          <w:p>
            <w:pPr>
              <w:spacing w:after="0"/>
              <w:rPr>
                <w:sz w:val="11"/>
                <w:szCs w:val="11"/>
                <w:color w:val="auto"/>
              </w:rPr>
            </w:pPr>
          </w:p>
        </w:tc>
        <w:tc>
          <w:tcPr>
            <w:tcW w:w="160" w:type="dxa"/>
            <w:vAlign w:val="bottom"/>
          </w:tcPr>
          <w:p>
            <w:pPr>
              <w:spacing w:after="0"/>
              <w:rPr>
                <w:sz w:val="11"/>
                <w:szCs w:val="11"/>
                <w:color w:val="auto"/>
              </w:rPr>
            </w:pPr>
          </w:p>
        </w:tc>
        <w:tc>
          <w:tcPr>
            <w:tcW w:w="680" w:type="dxa"/>
            <w:vAlign w:val="bottom"/>
            <w:tcBorders>
              <w:right w:val="single" w:sz="8" w:color="auto"/>
            </w:tcBorders>
          </w:tcPr>
          <w:p>
            <w:pPr>
              <w:jc w:val="center"/>
              <w:ind w:right="173"/>
              <w:spacing w:after="0" w:line="135" w:lineRule="exact"/>
              <w:rPr>
                <w:sz w:val="20"/>
                <w:szCs w:val="20"/>
                <w:color w:val="auto"/>
              </w:rPr>
            </w:pPr>
            <w:r>
              <w:rPr>
                <w:rFonts w:ascii="Arial" w:cs="Arial" w:eastAsia="Arial" w:hAnsi="Arial"/>
                <w:sz w:val="13"/>
                <w:szCs w:val="13"/>
                <w:b w:val="1"/>
                <w:bCs w:val="1"/>
                <w:color w:val="auto"/>
                <w:w w:val="96"/>
              </w:rPr>
              <w:t>Ups for</w:t>
            </w:r>
          </w:p>
        </w:tc>
        <w:tc>
          <w:tcPr>
            <w:tcW w:w="76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600" w:type="dxa"/>
            <w:vAlign w:val="bottom"/>
            <w:tcBorders>
              <w:left w:val="single" w:sz="8" w:color="auto"/>
              <w:right w:val="single" w:sz="8" w:color="auto"/>
            </w:tcBorders>
          </w:tcPr>
          <w:p>
            <w:pPr>
              <w:spacing w:after="0"/>
              <w:rPr>
                <w:sz w:val="11"/>
                <w:szCs w:val="11"/>
                <w:color w:val="auto"/>
              </w:rPr>
            </w:pPr>
          </w:p>
        </w:tc>
        <w:tc>
          <w:tcPr>
            <w:tcW w:w="160" w:type="dxa"/>
            <w:vAlign w:val="bottom"/>
          </w:tcPr>
          <w:p>
            <w:pPr>
              <w:spacing w:after="0"/>
              <w:rPr>
                <w:sz w:val="11"/>
                <w:szCs w:val="11"/>
                <w:color w:val="auto"/>
              </w:rPr>
            </w:pPr>
          </w:p>
        </w:tc>
        <w:tc>
          <w:tcPr>
            <w:tcW w:w="800" w:type="dxa"/>
            <w:vAlign w:val="bottom"/>
            <w:tcBorders>
              <w:right w:val="single" w:sz="8" w:color="auto"/>
            </w:tcBorders>
          </w:tcPr>
          <w:p>
            <w:pPr>
              <w:spacing w:after="0"/>
              <w:rPr>
                <w:sz w:val="11"/>
                <w:szCs w:val="11"/>
                <w:color w:val="auto"/>
              </w:rPr>
            </w:pPr>
          </w:p>
        </w:tc>
        <w:tc>
          <w:tcPr>
            <w:tcW w:w="160" w:type="dxa"/>
            <w:vAlign w:val="bottom"/>
          </w:tcPr>
          <w:p>
            <w:pPr>
              <w:spacing w:after="0"/>
              <w:rPr>
                <w:sz w:val="11"/>
                <w:szCs w:val="11"/>
                <w:color w:val="auto"/>
              </w:rPr>
            </w:pPr>
          </w:p>
        </w:tc>
        <w:tc>
          <w:tcPr>
            <w:tcW w:w="800" w:type="dxa"/>
            <w:vAlign w:val="bottom"/>
            <w:tcBorders>
              <w:right w:val="single" w:sz="8" w:color="auto"/>
            </w:tcBorders>
          </w:tcPr>
          <w:p>
            <w:pPr>
              <w:spacing w:after="0"/>
              <w:rPr>
                <w:sz w:val="11"/>
                <w:szCs w:val="11"/>
                <w:color w:val="auto"/>
              </w:rPr>
            </w:pPr>
          </w:p>
        </w:tc>
        <w:tc>
          <w:tcPr>
            <w:tcW w:w="160" w:type="dxa"/>
            <w:vAlign w:val="bottom"/>
          </w:tcPr>
          <w:p>
            <w:pPr>
              <w:spacing w:after="0"/>
              <w:rPr>
                <w:sz w:val="11"/>
                <w:szCs w:val="11"/>
                <w:color w:val="auto"/>
              </w:rPr>
            </w:pPr>
          </w:p>
        </w:tc>
        <w:tc>
          <w:tcPr>
            <w:tcW w:w="660" w:type="dxa"/>
            <w:vAlign w:val="bottom"/>
            <w:tcBorders>
              <w:right w:val="single" w:sz="8" w:color="auto"/>
            </w:tcBorders>
          </w:tcPr>
          <w:p>
            <w:pPr>
              <w:spacing w:after="0"/>
              <w:rPr>
                <w:sz w:val="11"/>
                <w:szCs w:val="11"/>
                <w:color w:val="auto"/>
              </w:rPr>
            </w:pPr>
          </w:p>
        </w:tc>
        <w:tc>
          <w:tcPr>
            <w:tcW w:w="260" w:type="dxa"/>
            <w:vAlign w:val="bottom"/>
          </w:tcPr>
          <w:p>
            <w:pPr>
              <w:spacing w:after="0"/>
              <w:rPr>
                <w:sz w:val="11"/>
                <w:szCs w:val="11"/>
                <w:color w:val="auto"/>
              </w:rPr>
            </w:pPr>
          </w:p>
        </w:tc>
        <w:tc>
          <w:tcPr>
            <w:tcW w:w="580" w:type="dxa"/>
            <w:vAlign w:val="bottom"/>
            <w:tcBorders>
              <w:right w:val="single" w:sz="8" w:color="auto"/>
            </w:tcBorders>
          </w:tcPr>
          <w:p>
            <w:pPr>
              <w:spacing w:after="0"/>
              <w:rPr>
                <w:sz w:val="11"/>
                <w:szCs w:val="11"/>
                <w:color w:val="auto"/>
              </w:rPr>
            </w:pPr>
          </w:p>
        </w:tc>
        <w:tc>
          <w:tcPr>
            <w:tcW w:w="140" w:type="dxa"/>
            <w:vAlign w:val="bottom"/>
          </w:tcPr>
          <w:p>
            <w:pPr>
              <w:spacing w:after="0"/>
              <w:rPr>
                <w:sz w:val="11"/>
                <w:szCs w:val="11"/>
                <w:color w:val="auto"/>
              </w:rPr>
            </w:pPr>
          </w:p>
        </w:tc>
        <w:tc>
          <w:tcPr>
            <w:tcW w:w="760" w:type="dxa"/>
            <w:vAlign w:val="bottom"/>
            <w:tcBorders>
              <w:right w:val="single" w:sz="8" w:color="auto"/>
            </w:tcBorders>
          </w:tcPr>
          <w:p>
            <w:pPr>
              <w:spacing w:after="0"/>
              <w:rPr>
                <w:sz w:val="11"/>
                <w:szCs w:val="11"/>
                <w:color w:val="auto"/>
              </w:rPr>
            </w:pPr>
          </w:p>
        </w:tc>
        <w:tc>
          <w:tcPr>
            <w:tcW w:w="240" w:type="dxa"/>
            <w:vAlign w:val="bottom"/>
          </w:tcPr>
          <w:p>
            <w:pPr>
              <w:spacing w:after="0"/>
              <w:rPr>
                <w:sz w:val="11"/>
                <w:szCs w:val="11"/>
                <w:color w:val="auto"/>
              </w:rPr>
            </w:pPr>
          </w:p>
        </w:tc>
        <w:tc>
          <w:tcPr>
            <w:tcW w:w="460" w:type="dxa"/>
            <w:vAlign w:val="bottom"/>
            <w:tcBorders>
              <w:right w:val="single" w:sz="8" w:color="auto"/>
            </w:tcBorders>
          </w:tcPr>
          <w:p>
            <w:pPr>
              <w:spacing w:after="0"/>
              <w:rPr>
                <w:sz w:val="11"/>
                <w:szCs w:val="11"/>
                <w:color w:val="auto"/>
              </w:rPr>
            </w:pPr>
          </w:p>
        </w:tc>
        <w:tc>
          <w:tcPr>
            <w:tcW w:w="160" w:type="dxa"/>
            <w:vAlign w:val="bottom"/>
          </w:tcPr>
          <w:p>
            <w:pPr>
              <w:spacing w:after="0"/>
              <w:rPr>
                <w:sz w:val="11"/>
                <w:szCs w:val="11"/>
                <w:color w:val="auto"/>
              </w:rPr>
            </w:pPr>
          </w:p>
        </w:tc>
        <w:tc>
          <w:tcPr>
            <w:tcW w:w="720" w:type="dxa"/>
            <w:vAlign w:val="bottom"/>
            <w:tcBorders>
              <w:right w:val="single" w:sz="8" w:color="auto"/>
            </w:tcBorders>
          </w:tcPr>
          <w:p>
            <w:pPr>
              <w:spacing w:after="0"/>
              <w:rPr>
                <w:sz w:val="11"/>
                <w:szCs w:val="11"/>
                <w:color w:val="auto"/>
              </w:rPr>
            </w:pPr>
          </w:p>
        </w:tc>
        <w:tc>
          <w:tcPr>
            <w:tcW w:w="240" w:type="dxa"/>
            <w:vAlign w:val="bottom"/>
          </w:tcPr>
          <w:p>
            <w:pPr>
              <w:spacing w:after="0"/>
              <w:rPr>
                <w:sz w:val="11"/>
                <w:szCs w:val="11"/>
                <w:color w:val="auto"/>
              </w:rPr>
            </w:pPr>
          </w:p>
        </w:tc>
        <w:tc>
          <w:tcPr>
            <w:tcW w:w="480" w:type="dxa"/>
            <w:vAlign w:val="bottom"/>
            <w:tcBorders>
              <w:right w:val="single" w:sz="8" w:color="auto"/>
            </w:tcBorders>
          </w:tcPr>
          <w:p>
            <w:pPr>
              <w:spacing w:after="0"/>
              <w:rPr>
                <w:sz w:val="11"/>
                <w:szCs w:val="11"/>
                <w:color w:val="auto"/>
              </w:rPr>
            </w:pPr>
          </w:p>
        </w:tc>
        <w:tc>
          <w:tcPr>
            <w:tcW w:w="160" w:type="dxa"/>
            <w:vAlign w:val="bottom"/>
          </w:tcPr>
          <w:p>
            <w:pPr>
              <w:spacing w:after="0"/>
              <w:rPr>
                <w:sz w:val="11"/>
                <w:szCs w:val="11"/>
                <w:color w:val="auto"/>
              </w:rPr>
            </w:pPr>
          </w:p>
        </w:tc>
        <w:tc>
          <w:tcPr>
            <w:tcW w:w="680" w:type="dxa"/>
            <w:vAlign w:val="bottom"/>
            <w:tcBorders>
              <w:right w:val="single" w:sz="8" w:color="auto"/>
            </w:tcBorders>
          </w:tcPr>
          <w:p>
            <w:pPr>
              <w:jc w:val="center"/>
              <w:ind w:right="153"/>
              <w:spacing w:after="0" w:line="135" w:lineRule="exact"/>
              <w:rPr>
                <w:sz w:val="20"/>
                <w:szCs w:val="20"/>
                <w:color w:val="auto"/>
              </w:rPr>
            </w:pPr>
            <w:r>
              <w:rPr>
                <w:rFonts w:ascii="Arial" w:cs="Arial" w:eastAsia="Arial" w:hAnsi="Arial"/>
                <w:sz w:val="13"/>
                <w:szCs w:val="13"/>
                <w:b w:val="1"/>
                <w:bCs w:val="1"/>
                <w:color w:val="auto"/>
                <w:w w:val="94"/>
              </w:rPr>
              <w:t>Life</w:t>
            </w:r>
          </w:p>
        </w:tc>
        <w:tc>
          <w:tcPr>
            <w:tcW w:w="76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600" w:type="dxa"/>
            <w:vAlign w:val="bottom"/>
            <w:tcBorders>
              <w:left w:val="single" w:sz="8" w:color="auto"/>
              <w:right w:val="single" w:sz="8" w:color="auto"/>
            </w:tcBorders>
          </w:tcPr>
          <w:p>
            <w:pPr>
              <w:spacing w:after="0"/>
              <w:rPr>
                <w:sz w:val="11"/>
                <w:szCs w:val="11"/>
                <w:color w:val="auto"/>
              </w:rPr>
            </w:pPr>
          </w:p>
        </w:tc>
        <w:tc>
          <w:tcPr>
            <w:tcW w:w="160" w:type="dxa"/>
            <w:vAlign w:val="bottom"/>
          </w:tcPr>
          <w:p>
            <w:pPr>
              <w:spacing w:after="0"/>
              <w:rPr>
                <w:sz w:val="11"/>
                <w:szCs w:val="11"/>
                <w:color w:val="auto"/>
              </w:rPr>
            </w:pPr>
          </w:p>
        </w:tc>
        <w:tc>
          <w:tcPr>
            <w:tcW w:w="800" w:type="dxa"/>
            <w:vAlign w:val="bottom"/>
            <w:tcBorders>
              <w:right w:val="single" w:sz="8" w:color="auto"/>
            </w:tcBorders>
          </w:tcPr>
          <w:p>
            <w:pPr>
              <w:spacing w:after="0"/>
              <w:rPr>
                <w:sz w:val="11"/>
                <w:szCs w:val="11"/>
                <w:color w:val="auto"/>
              </w:rPr>
            </w:pPr>
          </w:p>
        </w:tc>
        <w:tc>
          <w:tcPr>
            <w:tcW w:w="160" w:type="dxa"/>
            <w:vAlign w:val="bottom"/>
          </w:tcPr>
          <w:p>
            <w:pPr>
              <w:spacing w:after="0"/>
              <w:rPr>
                <w:sz w:val="11"/>
                <w:szCs w:val="11"/>
                <w:color w:val="auto"/>
              </w:rPr>
            </w:pPr>
          </w:p>
        </w:tc>
        <w:tc>
          <w:tcPr>
            <w:tcW w:w="800" w:type="dxa"/>
            <w:vAlign w:val="bottom"/>
            <w:tcBorders>
              <w:right w:val="single" w:sz="8" w:color="auto"/>
            </w:tcBorders>
          </w:tcPr>
          <w:p>
            <w:pPr>
              <w:spacing w:after="0"/>
              <w:rPr>
                <w:sz w:val="11"/>
                <w:szCs w:val="11"/>
                <w:color w:val="auto"/>
              </w:rPr>
            </w:pPr>
          </w:p>
        </w:tc>
        <w:tc>
          <w:tcPr>
            <w:tcW w:w="160" w:type="dxa"/>
            <w:vAlign w:val="bottom"/>
          </w:tcPr>
          <w:p>
            <w:pPr>
              <w:spacing w:after="0"/>
              <w:rPr>
                <w:sz w:val="11"/>
                <w:szCs w:val="11"/>
                <w:color w:val="auto"/>
              </w:rPr>
            </w:pPr>
          </w:p>
        </w:tc>
        <w:tc>
          <w:tcPr>
            <w:tcW w:w="660" w:type="dxa"/>
            <w:vAlign w:val="bottom"/>
            <w:tcBorders>
              <w:right w:val="single" w:sz="8" w:color="auto"/>
            </w:tcBorders>
          </w:tcPr>
          <w:p>
            <w:pPr>
              <w:spacing w:after="0"/>
              <w:rPr>
                <w:sz w:val="11"/>
                <w:szCs w:val="11"/>
                <w:color w:val="auto"/>
              </w:rPr>
            </w:pPr>
          </w:p>
        </w:tc>
        <w:tc>
          <w:tcPr>
            <w:tcW w:w="260" w:type="dxa"/>
            <w:vAlign w:val="bottom"/>
          </w:tcPr>
          <w:p>
            <w:pPr>
              <w:spacing w:after="0"/>
              <w:rPr>
                <w:sz w:val="11"/>
                <w:szCs w:val="11"/>
                <w:color w:val="auto"/>
              </w:rPr>
            </w:pPr>
          </w:p>
        </w:tc>
        <w:tc>
          <w:tcPr>
            <w:tcW w:w="580" w:type="dxa"/>
            <w:vAlign w:val="bottom"/>
            <w:tcBorders>
              <w:right w:val="single" w:sz="8" w:color="auto"/>
            </w:tcBorders>
          </w:tcPr>
          <w:p>
            <w:pPr>
              <w:spacing w:after="0"/>
              <w:rPr>
                <w:sz w:val="11"/>
                <w:szCs w:val="11"/>
                <w:color w:val="auto"/>
              </w:rPr>
            </w:pPr>
          </w:p>
        </w:tc>
        <w:tc>
          <w:tcPr>
            <w:tcW w:w="140" w:type="dxa"/>
            <w:vAlign w:val="bottom"/>
          </w:tcPr>
          <w:p>
            <w:pPr>
              <w:spacing w:after="0"/>
              <w:rPr>
                <w:sz w:val="11"/>
                <w:szCs w:val="11"/>
                <w:color w:val="auto"/>
              </w:rPr>
            </w:pPr>
          </w:p>
        </w:tc>
        <w:tc>
          <w:tcPr>
            <w:tcW w:w="760" w:type="dxa"/>
            <w:vAlign w:val="bottom"/>
            <w:tcBorders>
              <w:right w:val="single" w:sz="8" w:color="auto"/>
            </w:tcBorders>
          </w:tcPr>
          <w:p>
            <w:pPr>
              <w:spacing w:after="0"/>
              <w:rPr>
                <w:sz w:val="11"/>
                <w:szCs w:val="11"/>
                <w:color w:val="auto"/>
              </w:rPr>
            </w:pPr>
          </w:p>
        </w:tc>
        <w:tc>
          <w:tcPr>
            <w:tcW w:w="240" w:type="dxa"/>
            <w:vAlign w:val="bottom"/>
          </w:tcPr>
          <w:p>
            <w:pPr>
              <w:spacing w:after="0"/>
              <w:rPr>
                <w:sz w:val="11"/>
                <w:szCs w:val="11"/>
                <w:color w:val="auto"/>
              </w:rPr>
            </w:pPr>
          </w:p>
        </w:tc>
        <w:tc>
          <w:tcPr>
            <w:tcW w:w="460" w:type="dxa"/>
            <w:vAlign w:val="bottom"/>
            <w:tcBorders>
              <w:right w:val="single" w:sz="8" w:color="auto"/>
            </w:tcBorders>
          </w:tcPr>
          <w:p>
            <w:pPr>
              <w:spacing w:after="0"/>
              <w:rPr>
                <w:sz w:val="11"/>
                <w:szCs w:val="11"/>
                <w:color w:val="auto"/>
              </w:rPr>
            </w:pPr>
          </w:p>
        </w:tc>
        <w:tc>
          <w:tcPr>
            <w:tcW w:w="160" w:type="dxa"/>
            <w:vAlign w:val="bottom"/>
          </w:tcPr>
          <w:p>
            <w:pPr>
              <w:spacing w:after="0"/>
              <w:rPr>
                <w:sz w:val="11"/>
                <w:szCs w:val="11"/>
                <w:color w:val="auto"/>
              </w:rPr>
            </w:pPr>
          </w:p>
        </w:tc>
        <w:tc>
          <w:tcPr>
            <w:tcW w:w="720" w:type="dxa"/>
            <w:vAlign w:val="bottom"/>
            <w:tcBorders>
              <w:right w:val="single" w:sz="8" w:color="auto"/>
            </w:tcBorders>
          </w:tcPr>
          <w:p>
            <w:pPr>
              <w:spacing w:after="0"/>
              <w:rPr>
                <w:sz w:val="11"/>
                <w:szCs w:val="11"/>
                <w:color w:val="auto"/>
              </w:rPr>
            </w:pPr>
          </w:p>
        </w:tc>
        <w:tc>
          <w:tcPr>
            <w:tcW w:w="240" w:type="dxa"/>
            <w:vAlign w:val="bottom"/>
          </w:tcPr>
          <w:p>
            <w:pPr>
              <w:spacing w:after="0"/>
              <w:rPr>
                <w:sz w:val="11"/>
                <w:szCs w:val="11"/>
                <w:color w:val="auto"/>
              </w:rPr>
            </w:pPr>
          </w:p>
        </w:tc>
        <w:tc>
          <w:tcPr>
            <w:tcW w:w="480" w:type="dxa"/>
            <w:vAlign w:val="bottom"/>
            <w:tcBorders>
              <w:right w:val="single" w:sz="8" w:color="auto"/>
            </w:tcBorders>
          </w:tcPr>
          <w:p>
            <w:pPr>
              <w:spacing w:after="0"/>
              <w:rPr>
                <w:sz w:val="11"/>
                <w:szCs w:val="11"/>
                <w:color w:val="auto"/>
              </w:rPr>
            </w:pPr>
          </w:p>
        </w:tc>
        <w:tc>
          <w:tcPr>
            <w:tcW w:w="840" w:type="dxa"/>
            <w:vAlign w:val="bottom"/>
            <w:tcBorders>
              <w:right w:val="single" w:sz="8" w:color="auto"/>
            </w:tcBorders>
            <w:gridSpan w:val="2"/>
          </w:tcPr>
          <w:p>
            <w:pPr>
              <w:ind w:left="60"/>
              <w:spacing w:after="0" w:line="135" w:lineRule="exact"/>
              <w:rPr>
                <w:sz w:val="20"/>
                <w:szCs w:val="20"/>
                <w:color w:val="auto"/>
              </w:rPr>
            </w:pPr>
            <w:r>
              <w:rPr>
                <w:rFonts w:ascii="Arial" w:cs="Arial" w:eastAsia="Arial" w:hAnsi="Arial"/>
                <w:sz w:val="13"/>
                <w:szCs w:val="13"/>
                <w:b w:val="1"/>
                <w:bCs w:val="1"/>
                <w:color w:val="auto"/>
              </w:rPr>
              <w:t>Insurance,</w:t>
            </w:r>
          </w:p>
        </w:tc>
        <w:tc>
          <w:tcPr>
            <w:tcW w:w="76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600" w:type="dxa"/>
            <w:vAlign w:val="bottom"/>
            <w:tcBorders>
              <w:left w:val="single" w:sz="8" w:color="auto"/>
              <w:right w:val="single" w:sz="8" w:color="auto"/>
            </w:tcBorders>
          </w:tcPr>
          <w:p>
            <w:pPr>
              <w:spacing w:after="0"/>
              <w:rPr>
                <w:sz w:val="11"/>
                <w:szCs w:val="11"/>
                <w:color w:val="auto"/>
              </w:rPr>
            </w:pPr>
          </w:p>
        </w:tc>
        <w:tc>
          <w:tcPr>
            <w:tcW w:w="160" w:type="dxa"/>
            <w:vAlign w:val="bottom"/>
          </w:tcPr>
          <w:p>
            <w:pPr>
              <w:spacing w:after="0"/>
              <w:rPr>
                <w:sz w:val="11"/>
                <w:szCs w:val="11"/>
                <w:color w:val="auto"/>
              </w:rPr>
            </w:pPr>
          </w:p>
        </w:tc>
        <w:tc>
          <w:tcPr>
            <w:tcW w:w="800" w:type="dxa"/>
            <w:vAlign w:val="bottom"/>
            <w:tcBorders>
              <w:right w:val="single" w:sz="8" w:color="auto"/>
            </w:tcBorders>
          </w:tcPr>
          <w:p>
            <w:pPr>
              <w:jc w:val="center"/>
              <w:ind w:right="133"/>
              <w:spacing w:after="0" w:line="135" w:lineRule="exact"/>
              <w:rPr>
                <w:sz w:val="20"/>
                <w:szCs w:val="20"/>
                <w:color w:val="auto"/>
              </w:rPr>
            </w:pPr>
            <w:r>
              <w:rPr>
                <w:rFonts w:ascii="Arial" w:cs="Arial" w:eastAsia="Arial" w:hAnsi="Arial"/>
                <w:sz w:val="13"/>
                <w:szCs w:val="13"/>
                <w:b w:val="1"/>
                <w:bCs w:val="1"/>
                <w:color w:val="auto"/>
                <w:w w:val="99"/>
              </w:rPr>
              <w:t>Annual</w:t>
            </w:r>
          </w:p>
        </w:tc>
        <w:tc>
          <w:tcPr>
            <w:tcW w:w="160" w:type="dxa"/>
            <w:vAlign w:val="bottom"/>
          </w:tcPr>
          <w:p>
            <w:pPr>
              <w:spacing w:after="0"/>
              <w:rPr>
                <w:sz w:val="11"/>
                <w:szCs w:val="11"/>
                <w:color w:val="auto"/>
              </w:rPr>
            </w:pPr>
          </w:p>
        </w:tc>
        <w:tc>
          <w:tcPr>
            <w:tcW w:w="800" w:type="dxa"/>
            <w:vAlign w:val="bottom"/>
            <w:tcBorders>
              <w:right w:val="single" w:sz="8" w:color="auto"/>
            </w:tcBorders>
            <w:vMerge w:val="restart"/>
          </w:tcPr>
          <w:p>
            <w:pPr>
              <w:jc w:val="center"/>
              <w:ind w:right="133"/>
              <w:spacing w:after="0"/>
              <w:rPr>
                <w:sz w:val="20"/>
                <w:szCs w:val="20"/>
                <w:color w:val="auto"/>
              </w:rPr>
            </w:pPr>
            <w:r>
              <w:rPr>
                <w:rFonts w:ascii="Arial" w:cs="Arial" w:eastAsia="Arial" w:hAnsi="Arial"/>
                <w:sz w:val="13"/>
                <w:szCs w:val="13"/>
                <w:b w:val="1"/>
                <w:bCs w:val="1"/>
                <w:color w:val="auto"/>
                <w:w w:val="99"/>
              </w:rPr>
              <w:t>Annual</w:t>
            </w:r>
          </w:p>
        </w:tc>
        <w:tc>
          <w:tcPr>
            <w:tcW w:w="160" w:type="dxa"/>
            <w:vAlign w:val="bottom"/>
          </w:tcPr>
          <w:p>
            <w:pPr>
              <w:spacing w:after="0"/>
              <w:rPr>
                <w:sz w:val="11"/>
                <w:szCs w:val="11"/>
                <w:color w:val="auto"/>
              </w:rPr>
            </w:pPr>
          </w:p>
        </w:tc>
        <w:tc>
          <w:tcPr>
            <w:tcW w:w="660" w:type="dxa"/>
            <w:vAlign w:val="bottom"/>
            <w:tcBorders>
              <w:right w:val="single" w:sz="8" w:color="auto"/>
            </w:tcBorders>
            <w:vMerge w:val="restart"/>
          </w:tcPr>
          <w:p>
            <w:pPr>
              <w:jc w:val="center"/>
              <w:ind w:right="132"/>
              <w:spacing w:after="0"/>
              <w:rPr>
                <w:sz w:val="20"/>
                <w:szCs w:val="20"/>
                <w:color w:val="auto"/>
              </w:rPr>
            </w:pPr>
            <w:r>
              <w:rPr>
                <w:rFonts w:ascii="Arial" w:cs="Arial" w:eastAsia="Arial" w:hAnsi="Arial"/>
                <w:sz w:val="13"/>
                <w:szCs w:val="13"/>
                <w:b w:val="1"/>
                <w:bCs w:val="1"/>
                <w:color w:val="auto"/>
                <w:w w:val="95"/>
              </w:rPr>
              <w:t>Annual</w:t>
            </w:r>
          </w:p>
        </w:tc>
        <w:tc>
          <w:tcPr>
            <w:tcW w:w="260" w:type="dxa"/>
            <w:vAlign w:val="bottom"/>
          </w:tcPr>
          <w:p>
            <w:pPr>
              <w:spacing w:after="0"/>
              <w:rPr>
                <w:sz w:val="11"/>
                <w:szCs w:val="11"/>
                <w:color w:val="auto"/>
              </w:rPr>
            </w:pPr>
          </w:p>
        </w:tc>
        <w:tc>
          <w:tcPr>
            <w:tcW w:w="580" w:type="dxa"/>
            <w:vAlign w:val="bottom"/>
            <w:tcBorders>
              <w:right w:val="single" w:sz="8" w:color="auto"/>
            </w:tcBorders>
          </w:tcPr>
          <w:p>
            <w:pPr>
              <w:spacing w:after="0"/>
              <w:rPr>
                <w:sz w:val="11"/>
                <w:szCs w:val="11"/>
                <w:color w:val="auto"/>
              </w:rPr>
            </w:pPr>
          </w:p>
        </w:tc>
        <w:tc>
          <w:tcPr>
            <w:tcW w:w="140" w:type="dxa"/>
            <w:vAlign w:val="bottom"/>
          </w:tcPr>
          <w:p>
            <w:pPr>
              <w:spacing w:after="0"/>
              <w:rPr>
                <w:sz w:val="11"/>
                <w:szCs w:val="11"/>
                <w:color w:val="auto"/>
              </w:rPr>
            </w:pPr>
          </w:p>
        </w:tc>
        <w:tc>
          <w:tcPr>
            <w:tcW w:w="760" w:type="dxa"/>
            <w:vAlign w:val="bottom"/>
            <w:tcBorders>
              <w:right w:val="single" w:sz="8" w:color="auto"/>
            </w:tcBorders>
          </w:tcPr>
          <w:p>
            <w:pPr>
              <w:spacing w:after="0"/>
              <w:rPr>
                <w:sz w:val="11"/>
                <w:szCs w:val="11"/>
                <w:color w:val="auto"/>
              </w:rPr>
            </w:pPr>
          </w:p>
        </w:tc>
        <w:tc>
          <w:tcPr>
            <w:tcW w:w="240" w:type="dxa"/>
            <w:vAlign w:val="bottom"/>
          </w:tcPr>
          <w:p>
            <w:pPr>
              <w:spacing w:after="0"/>
              <w:rPr>
                <w:sz w:val="11"/>
                <w:szCs w:val="11"/>
                <w:color w:val="auto"/>
              </w:rPr>
            </w:pPr>
          </w:p>
        </w:tc>
        <w:tc>
          <w:tcPr>
            <w:tcW w:w="460" w:type="dxa"/>
            <w:vAlign w:val="bottom"/>
            <w:tcBorders>
              <w:right w:val="single" w:sz="8" w:color="auto"/>
            </w:tcBorders>
          </w:tcPr>
          <w:p>
            <w:pPr>
              <w:spacing w:after="0"/>
              <w:rPr>
                <w:sz w:val="11"/>
                <w:szCs w:val="11"/>
                <w:color w:val="auto"/>
              </w:rPr>
            </w:pPr>
          </w:p>
        </w:tc>
        <w:tc>
          <w:tcPr>
            <w:tcW w:w="880" w:type="dxa"/>
            <w:vAlign w:val="bottom"/>
            <w:tcBorders>
              <w:right w:val="single" w:sz="8" w:color="auto"/>
            </w:tcBorders>
            <w:gridSpan w:val="2"/>
          </w:tcPr>
          <w:p>
            <w:pPr>
              <w:jc w:val="center"/>
              <w:spacing w:after="0" w:line="135" w:lineRule="exact"/>
              <w:rPr>
                <w:sz w:val="20"/>
                <w:szCs w:val="20"/>
                <w:color w:val="auto"/>
              </w:rPr>
            </w:pPr>
            <w:r>
              <w:rPr>
                <w:rFonts w:ascii="Arial" w:cs="Arial" w:eastAsia="Arial" w:hAnsi="Arial"/>
                <w:sz w:val="13"/>
                <w:szCs w:val="13"/>
                <w:b w:val="1"/>
                <w:bCs w:val="1"/>
                <w:color w:val="auto"/>
                <w:w w:val="98"/>
              </w:rPr>
              <w:t>Personal</w:t>
            </w:r>
          </w:p>
        </w:tc>
        <w:tc>
          <w:tcPr>
            <w:tcW w:w="240" w:type="dxa"/>
            <w:vAlign w:val="bottom"/>
          </w:tcPr>
          <w:p>
            <w:pPr>
              <w:spacing w:after="0"/>
              <w:rPr>
                <w:sz w:val="11"/>
                <w:szCs w:val="11"/>
                <w:color w:val="auto"/>
              </w:rPr>
            </w:pPr>
          </w:p>
        </w:tc>
        <w:tc>
          <w:tcPr>
            <w:tcW w:w="480" w:type="dxa"/>
            <w:vAlign w:val="bottom"/>
            <w:tcBorders>
              <w:right w:val="single" w:sz="8" w:color="auto"/>
            </w:tcBorders>
          </w:tcPr>
          <w:p>
            <w:pPr>
              <w:spacing w:after="0"/>
              <w:rPr>
                <w:sz w:val="11"/>
                <w:szCs w:val="11"/>
                <w:color w:val="auto"/>
              </w:rPr>
            </w:pPr>
          </w:p>
        </w:tc>
        <w:tc>
          <w:tcPr>
            <w:tcW w:w="840" w:type="dxa"/>
            <w:vAlign w:val="bottom"/>
            <w:tcBorders>
              <w:right w:val="single" w:sz="8" w:color="auto"/>
            </w:tcBorders>
            <w:gridSpan w:val="2"/>
          </w:tcPr>
          <w:p>
            <w:pPr>
              <w:jc w:val="center"/>
              <w:spacing w:after="0" w:line="135" w:lineRule="exact"/>
              <w:rPr>
                <w:sz w:val="20"/>
                <w:szCs w:val="20"/>
                <w:color w:val="auto"/>
              </w:rPr>
            </w:pPr>
            <w:r>
              <w:rPr>
                <w:rFonts w:ascii="Arial" w:cs="Arial" w:eastAsia="Arial" w:hAnsi="Arial"/>
                <w:sz w:val="13"/>
                <w:szCs w:val="13"/>
                <w:b w:val="1"/>
                <w:bCs w:val="1"/>
                <w:color w:val="auto"/>
                <w:w w:val="95"/>
              </w:rPr>
              <w:t>Financial</w:t>
            </w:r>
          </w:p>
        </w:tc>
        <w:tc>
          <w:tcPr>
            <w:tcW w:w="76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2600" w:type="dxa"/>
            <w:vAlign w:val="bottom"/>
            <w:tcBorders>
              <w:left w:val="single" w:sz="8" w:color="auto"/>
              <w:right w:val="single" w:sz="8" w:color="auto"/>
            </w:tcBorders>
          </w:tcPr>
          <w:p>
            <w:pPr>
              <w:spacing w:after="0"/>
              <w:rPr>
                <w:sz w:val="11"/>
                <w:szCs w:val="11"/>
                <w:color w:val="auto"/>
              </w:rPr>
            </w:pPr>
          </w:p>
        </w:tc>
        <w:tc>
          <w:tcPr>
            <w:tcW w:w="160" w:type="dxa"/>
            <w:vAlign w:val="bottom"/>
          </w:tcPr>
          <w:p>
            <w:pPr>
              <w:spacing w:after="0"/>
              <w:rPr>
                <w:sz w:val="11"/>
                <w:szCs w:val="11"/>
                <w:color w:val="auto"/>
              </w:rPr>
            </w:pPr>
          </w:p>
        </w:tc>
        <w:tc>
          <w:tcPr>
            <w:tcW w:w="800" w:type="dxa"/>
            <w:vAlign w:val="bottom"/>
            <w:tcBorders>
              <w:right w:val="single" w:sz="8" w:color="auto"/>
            </w:tcBorders>
          </w:tcPr>
          <w:p>
            <w:pPr>
              <w:jc w:val="center"/>
              <w:ind w:right="133"/>
              <w:spacing w:after="0" w:line="130" w:lineRule="exact"/>
              <w:rPr>
                <w:sz w:val="20"/>
                <w:szCs w:val="20"/>
                <w:color w:val="auto"/>
              </w:rPr>
            </w:pPr>
            <w:r>
              <w:rPr>
                <w:rFonts w:ascii="Arial" w:cs="Arial" w:eastAsia="Arial" w:hAnsi="Arial"/>
                <w:sz w:val="13"/>
                <w:szCs w:val="13"/>
                <w:b w:val="1"/>
                <w:bCs w:val="1"/>
                <w:color w:val="auto"/>
                <w:w w:val="94"/>
              </w:rPr>
              <w:t>Company</w:t>
            </w:r>
          </w:p>
        </w:tc>
        <w:tc>
          <w:tcPr>
            <w:tcW w:w="160" w:type="dxa"/>
            <w:vAlign w:val="bottom"/>
          </w:tcPr>
          <w:p>
            <w:pPr>
              <w:spacing w:after="0"/>
              <w:rPr>
                <w:sz w:val="11"/>
                <w:szCs w:val="11"/>
                <w:color w:val="auto"/>
              </w:rPr>
            </w:pPr>
          </w:p>
        </w:tc>
        <w:tc>
          <w:tcPr>
            <w:tcW w:w="800" w:type="dxa"/>
            <w:vAlign w:val="bottom"/>
            <w:tcBorders>
              <w:right w:val="single" w:sz="8" w:color="auto"/>
            </w:tcBorders>
            <w:vMerge w:val="continue"/>
          </w:tcPr>
          <w:p>
            <w:pPr>
              <w:spacing w:after="0"/>
              <w:rPr>
                <w:sz w:val="11"/>
                <w:szCs w:val="11"/>
                <w:color w:val="auto"/>
              </w:rPr>
            </w:pPr>
          </w:p>
        </w:tc>
        <w:tc>
          <w:tcPr>
            <w:tcW w:w="160" w:type="dxa"/>
            <w:vAlign w:val="bottom"/>
          </w:tcPr>
          <w:p>
            <w:pPr>
              <w:spacing w:after="0"/>
              <w:rPr>
                <w:sz w:val="11"/>
                <w:szCs w:val="11"/>
                <w:color w:val="auto"/>
              </w:rPr>
            </w:pPr>
          </w:p>
        </w:tc>
        <w:tc>
          <w:tcPr>
            <w:tcW w:w="660" w:type="dxa"/>
            <w:vAlign w:val="bottom"/>
            <w:tcBorders>
              <w:right w:val="single" w:sz="8" w:color="auto"/>
            </w:tcBorders>
            <w:vMerge w:val="continue"/>
          </w:tcPr>
          <w:p>
            <w:pPr>
              <w:spacing w:after="0"/>
              <w:rPr>
                <w:sz w:val="11"/>
                <w:szCs w:val="11"/>
                <w:color w:val="auto"/>
              </w:rPr>
            </w:pPr>
          </w:p>
        </w:tc>
        <w:tc>
          <w:tcPr>
            <w:tcW w:w="260" w:type="dxa"/>
            <w:vAlign w:val="bottom"/>
          </w:tcPr>
          <w:p>
            <w:pPr>
              <w:spacing w:after="0"/>
              <w:rPr>
                <w:sz w:val="11"/>
                <w:szCs w:val="11"/>
                <w:color w:val="auto"/>
              </w:rPr>
            </w:pPr>
          </w:p>
        </w:tc>
        <w:tc>
          <w:tcPr>
            <w:tcW w:w="580" w:type="dxa"/>
            <w:vAlign w:val="bottom"/>
            <w:tcBorders>
              <w:right w:val="single" w:sz="8" w:color="auto"/>
            </w:tcBorders>
          </w:tcPr>
          <w:p>
            <w:pPr>
              <w:spacing w:after="0"/>
              <w:rPr>
                <w:sz w:val="11"/>
                <w:szCs w:val="11"/>
                <w:color w:val="auto"/>
              </w:rPr>
            </w:pPr>
          </w:p>
        </w:tc>
        <w:tc>
          <w:tcPr>
            <w:tcW w:w="140" w:type="dxa"/>
            <w:vAlign w:val="bottom"/>
          </w:tcPr>
          <w:p>
            <w:pPr>
              <w:spacing w:after="0"/>
              <w:rPr>
                <w:sz w:val="11"/>
                <w:szCs w:val="11"/>
                <w:color w:val="auto"/>
              </w:rPr>
            </w:pPr>
          </w:p>
        </w:tc>
        <w:tc>
          <w:tcPr>
            <w:tcW w:w="760" w:type="dxa"/>
            <w:vAlign w:val="bottom"/>
            <w:tcBorders>
              <w:right w:val="single" w:sz="8" w:color="auto"/>
            </w:tcBorders>
          </w:tcPr>
          <w:p>
            <w:pPr>
              <w:spacing w:after="0"/>
              <w:rPr>
                <w:sz w:val="11"/>
                <w:szCs w:val="11"/>
                <w:color w:val="auto"/>
              </w:rPr>
            </w:pPr>
          </w:p>
        </w:tc>
        <w:tc>
          <w:tcPr>
            <w:tcW w:w="240" w:type="dxa"/>
            <w:vAlign w:val="bottom"/>
          </w:tcPr>
          <w:p>
            <w:pPr>
              <w:spacing w:after="0"/>
              <w:rPr>
                <w:sz w:val="11"/>
                <w:szCs w:val="11"/>
                <w:color w:val="auto"/>
              </w:rPr>
            </w:pPr>
          </w:p>
        </w:tc>
        <w:tc>
          <w:tcPr>
            <w:tcW w:w="460" w:type="dxa"/>
            <w:vAlign w:val="bottom"/>
            <w:tcBorders>
              <w:right w:val="single" w:sz="8" w:color="auto"/>
            </w:tcBorders>
          </w:tcPr>
          <w:p>
            <w:pPr>
              <w:spacing w:after="0"/>
              <w:rPr>
                <w:sz w:val="11"/>
                <w:szCs w:val="11"/>
                <w:color w:val="auto"/>
              </w:rPr>
            </w:pPr>
          </w:p>
        </w:tc>
        <w:tc>
          <w:tcPr>
            <w:tcW w:w="160" w:type="dxa"/>
            <w:vAlign w:val="bottom"/>
          </w:tcPr>
          <w:p>
            <w:pPr>
              <w:spacing w:after="0"/>
              <w:rPr>
                <w:sz w:val="11"/>
                <w:szCs w:val="11"/>
                <w:color w:val="auto"/>
              </w:rPr>
            </w:pPr>
          </w:p>
        </w:tc>
        <w:tc>
          <w:tcPr>
            <w:tcW w:w="720" w:type="dxa"/>
            <w:vAlign w:val="bottom"/>
            <w:tcBorders>
              <w:right w:val="single" w:sz="8" w:color="auto"/>
            </w:tcBorders>
          </w:tcPr>
          <w:p>
            <w:pPr>
              <w:jc w:val="center"/>
              <w:ind w:right="153"/>
              <w:spacing w:after="0" w:line="130" w:lineRule="exact"/>
              <w:rPr>
                <w:sz w:val="20"/>
                <w:szCs w:val="20"/>
                <w:color w:val="auto"/>
              </w:rPr>
            </w:pPr>
            <w:r>
              <w:rPr>
                <w:rFonts w:ascii="Arial" w:cs="Arial" w:eastAsia="Arial" w:hAnsi="Arial"/>
                <w:sz w:val="13"/>
                <w:szCs w:val="13"/>
                <w:b w:val="1"/>
                <w:bCs w:val="1"/>
                <w:color w:val="auto"/>
                <w:w w:val="95"/>
              </w:rPr>
              <w:t>Use of</w:t>
            </w:r>
          </w:p>
        </w:tc>
        <w:tc>
          <w:tcPr>
            <w:tcW w:w="240" w:type="dxa"/>
            <w:vAlign w:val="bottom"/>
          </w:tcPr>
          <w:p>
            <w:pPr>
              <w:spacing w:after="0"/>
              <w:rPr>
                <w:sz w:val="11"/>
                <w:szCs w:val="11"/>
                <w:color w:val="auto"/>
              </w:rPr>
            </w:pPr>
          </w:p>
        </w:tc>
        <w:tc>
          <w:tcPr>
            <w:tcW w:w="480" w:type="dxa"/>
            <w:vAlign w:val="bottom"/>
            <w:tcBorders>
              <w:right w:val="single" w:sz="8" w:color="auto"/>
            </w:tcBorders>
          </w:tcPr>
          <w:p>
            <w:pPr>
              <w:spacing w:after="0"/>
              <w:rPr>
                <w:sz w:val="11"/>
                <w:szCs w:val="11"/>
                <w:color w:val="auto"/>
              </w:rPr>
            </w:pPr>
          </w:p>
        </w:tc>
        <w:tc>
          <w:tcPr>
            <w:tcW w:w="840" w:type="dxa"/>
            <w:vAlign w:val="bottom"/>
            <w:tcBorders>
              <w:right w:val="single" w:sz="8" w:color="auto"/>
            </w:tcBorders>
            <w:gridSpan w:val="2"/>
          </w:tcPr>
          <w:p>
            <w:pPr>
              <w:jc w:val="center"/>
              <w:ind w:right="13"/>
              <w:spacing w:after="0" w:line="130" w:lineRule="exact"/>
              <w:rPr>
                <w:sz w:val="20"/>
                <w:szCs w:val="20"/>
                <w:color w:val="auto"/>
              </w:rPr>
            </w:pPr>
            <w:r>
              <w:rPr>
                <w:rFonts w:ascii="Arial" w:cs="Arial" w:eastAsia="Arial" w:hAnsi="Arial"/>
                <w:sz w:val="13"/>
                <w:szCs w:val="13"/>
                <w:b w:val="1"/>
                <w:bCs w:val="1"/>
                <w:color w:val="auto"/>
                <w:w w:val="95"/>
              </w:rPr>
              <w:t>Planning,</w:t>
            </w:r>
          </w:p>
        </w:tc>
        <w:tc>
          <w:tcPr>
            <w:tcW w:w="76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600" w:type="dxa"/>
            <w:vAlign w:val="bottom"/>
            <w:tcBorders>
              <w:left w:val="single" w:sz="8" w:color="auto"/>
              <w:right w:val="single" w:sz="8" w:color="auto"/>
            </w:tcBorders>
          </w:tcPr>
          <w:p>
            <w:pPr>
              <w:spacing w:after="0"/>
              <w:rPr>
                <w:sz w:val="11"/>
                <w:szCs w:val="11"/>
                <w:color w:val="auto"/>
              </w:rPr>
            </w:pPr>
          </w:p>
        </w:tc>
        <w:tc>
          <w:tcPr>
            <w:tcW w:w="960" w:type="dxa"/>
            <w:vAlign w:val="bottom"/>
            <w:tcBorders>
              <w:right w:val="single" w:sz="8" w:color="auto"/>
            </w:tcBorders>
            <w:gridSpan w:val="2"/>
          </w:tcPr>
          <w:p>
            <w:pPr>
              <w:ind w:left="80"/>
              <w:spacing w:after="0" w:line="135" w:lineRule="exact"/>
              <w:rPr>
                <w:sz w:val="20"/>
                <w:szCs w:val="20"/>
                <w:color w:val="auto"/>
              </w:rPr>
            </w:pPr>
            <w:r>
              <w:rPr>
                <w:rFonts w:ascii="Arial" w:cs="Arial" w:eastAsia="Arial" w:hAnsi="Arial"/>
                <w:sz w:val="13"/>
                <w:szCs w:val="13"/>
                <w:b w:val="1"/>
                <w:bCs w:val="1"/>
                <w:color w:val="auto"/>
              </w:rPr>
              <w:t>Contribution</w:t>
            </w:r>
          </w:p>
        </w:tc>
        <w:tc>
          <w:tcPr>
            <w:tcW w:w="160" w:type="dxa"/>
            <w:vAlign w:val="bottom"/>
          </w:tcPr>
          <w:p>
            <w:pPr>
              <w:spacing w:after="0"/>
              <w:rPr>
                <w:sz w:val="11"/>
                <w:szCs w:val="11"/>
                <w:color w:val="auto"/>
              </w:rPr>
            </w:pPr>
          </w:p>
        </w:tc>
        <w:tc>
          <w:tcPr>
            <w:tcW w:w="800" w:type="dxa"/>
            <w:vAlign w:val="bottom"/>
            <w:tcBorders>
              <w:right w:val="single" w:sz="8" w:color="auto"/>
            </w:tcBorders>
          </w:tcPr>
          <w:p>
            <w:pPr>
              <w:jc w:val="center"/>
              <w:ind w:right="133"/>
              <w:spacing w:after="0" w:line="135" w:lineRule="exact"/>
              <w:rPr>
                <w:sz w:val="20"/>
                <w:szCs w:val="20"/>
                <w:color w:val="auto"/>
              </w:rPr>
            </w:pPr>
            <w:r>
              <w:rPr>
                <w:rFonts w:ascii="Arial" w:cs="Arial" w:eastAsia="Arial" w:hAnsi="Arial"/>
                <w:sz w:val="13"/>
                <w:szCs w:val="13"/>
                <w:b w:val="1"/>
                <w:bCs w:val="1"/>
                <w:color w:val="auto"/>
                <w:w w:val="94"/>
              </w:rPr>
              <w:t>Company</w:t>
            </w:r>
          </w:p>
        </w:tc>
        <w:tc>
          <w:tcPr>
            <w:tcW w:w="160" w:type="dxa"/>
            <w:vAlign w:val="bottom"/>
          </w:tcPr>
          <w:p>
            <w:pPr>
              <w:spacing w:after="0"/>
              <w:rPr>
                <w:sz w:val="11"/>
                <w:szCs w:val="11"/>
                <w:color w:val="auto"/>
              </w:rPr>
            </w:pPr>
          </w:p>
        </w:tc>
        <w:tc>
          <w:tcPr>
            <w:tcW w:w="660" w:type="dxa"/>
            <w:vAlign w:val="bottom"/>
            <w:tcBorders>
              <w:right w:val="single" w:sz="8" w:color="auto"/>
            </w:tcBorders>
          </w:tcPr>
          <w:p>
            <w:pPr>
              <w:jc w:val="center"/>
              <w:ind w:right="132"/>
              <w:spacing w:after="0" w:line="135" w:lineRule="exact"/>
              <w:rPr>
                <w:sz w:val="20"/>
                <w:szCs w:val="20"/>
                <w:color w:val="auto"/>
              </w:rPr>
            </w:pPr>
            <w:r>
              <w:rPr>
                <w:rFonts w:ascii="Arial" w:cs="Arial" w:eastAsia="Arial" w:hAnsi="Arial"/>
                <w:sz w:val="13"/>
                <w:szCs w:val="13"/>
                <w:b w:val="1"/>
                <w:bCs w:val="1"/>
                <w:color w:val="auto"/>
                <w:w w:val="94"/>
              </w:rPr>
              <w:t>Life</w:t>
            </w:r>
          </w:p>
        </w:tc>
        <w:tc>
          <w:tcPr>
            <w:tcW w:w="260" w:type="dxa"/>
            <w:vAlign w:val="bottom"/>
          </w:tcPr>
          <w:p>
            <w:pPr>
              <w:spacing w:after="0"/>
              <w:rPr>
                <w:sz w:val="11"/>
                <w:szCs w:val="11"/>
                <w:color w:val="auto"/>
              </w:rPr>
            </w:pPr>
          </w:p>
        </w:tc>
        <w:tc>
          <w:tcPr>
            <w:tcW w:w="580" w:type="dxa"/>
            <w:vAlign w:val="bottom"/>
            <w:tcBorders>
              <w:right w:val="single" w:sz="8" w:color="auto"/>
            </w:tcBorders>
          </w:tcPr>
          <w:p>
            <w:pPr>
              <w:spacing w:after="0"/>
              <w:rPr>
                <w:sz w:val="11"/>
                <w:szCs w:val="11"/>
                <w:color w:val="auto"/>
              </w:rPr>
            </w:pPr>
          </w:p>
        </w:tc>
        <w:tc>
          <w:tcPr>
            <w:tcW w:w="140" w:type="dxa"/>
            <w:vAlign w:val="bottom"/>
          </w:tcPr>
          <w:p>
            <w:pPr>
              <w:spacing w:after="0"/>
              <w:rPr>
                <w:sz w:val="11"/>
                <w:szCs w:val="11"/>
                <w:color w:val="auto"/>
              </w:rPr>
            </w:pPr>
          </w:p>
        </w:tc>
        <w:tc>
          <w:tcPr>
            <w:tcW w:w="760" w:type="dxa"/>
            <w:vAlign w:val="bottom"/>
            <w:tcBorders>
              <w:right w:val="single" w:sz="8" w:color="auto"/>
            </w:tcBorders>
          </w:tcPr>
          <w:p>
            <w:pPr>
              <w:spacing w:after="0"/>
              <w:rPr>
                <w:sz w:val="11"/>
                <w:szCs w:val="11"/>
                <w:color w:val="auto"/>
              </w:rPr>
            </w:pPr>
          </w:p>
        </w:tc>
        <w:tc>
          <w:tcPr>
            <w:tcW w:w="240" w:type="dxa"/>
            <w:vAlign w:val="bottom"/>
          </w:tcPr>
          <w:p>
            <w:pPr>
              <w:spacing w:after="0"/>
              <w:rPr>
                <w:sz w:val="11"/>
                <w:szCs w:val="11"/>
                <w:color w:val="auto"/>
              </w:rPr>
            </w:pPr>
          </w:p>
        </w:tc>
        <w:tc>
          <w:tcPr>
            <w:tcW w:w="460" w:type="dxa"/>
            <w:vAlign w:val="bottom"/>
            <w:tcBorders>
              <w:right w:val="single" w:sz="8" w:color="auto"/>
            </w:tcBorders>
          </w:tcPr>
          <w:p>
            <w:pPr>
              <w:spacing w:after="0"/>
              <w:rPr>
                <w:sz w:val="11"/>
                <w:szCs w:val="11"/>
                <w:color w:val="auto"/>
              </w:rPr>
            </w:pPr>
          </w:p>
        </w:tc>
        <w:tc>
          <w:tcPr>
            <w:tcW w:w="880" w:type="dxa"/>
            <w:vAlign w:val="bottom"/>
            <w:tcBorders>
              <w:right w:val="single" w:sz="8" w:color="auto"/>
            </w:tcBorders>
            <w:gridSpan w:val="2"/>
          </w:tcPr>
          <w:p>
            <w:pPr>
              <w:jc w:val="center"/>
              <w:spacing w:after="0" w:line="135" w:lineRule="exact"/>
              <w:rPr>
                <w:sz w:val="20"/>
                <w:szCs w:val="20"/>
                <w:color w:val="auto"/>
              </w:rPr>
            </w:pPr>
            <w:r>
              <w:rPr>
                <w:rFonts w:ascii="Arial" w:cs="Arial" w:eastAsia="Arial" w:hAnsi="Arial"/>
                <w:sz w:val="13"/>
                <w:szCs w:val="13"/>
                <w:b w:val="1"/>
                <w:bCs w:val="1"/>
                <w:color w:val="auto"/>
                <w:w w:val="94"/>
              </w:rPr>
              <w:t>Company’s</w:t>
            </w:r>
          </w:p>
        </w:tc>
        <w:tc>
          <w:tcPr>
            <w:tcW w:w="240" w:type="dxa"/>
            <w:vAlign w:val="bottom"/>
          </w:tcPr>
          <w:p>
            <w:pPr>
              <w:spacing w:after="0"/>
              <w:rPr>
                <w:sz w:val="11"/>
                <w:szCs w:val="11"/>
                <w:color w:val="auto"/>
              </w:rPr>
            </w:pPr>
          </w:p>
        </w:tc>
        <w:tc>
          <w:tcPr>
            <w:tcW w:w="480" w:type="dxa"/>
            <w:vAlign w:val="bottom"/>
            <w:tcBorders>
              <w:right w:val="single" w:sz="8" w:color="auto"/>
            </w:tcBorders>
          </w:tcPr>
          <w:p>
            <w:pPr>
              <w:spacing w:after="0"/>
              <w:rPr>
                <w:sz w:val="11"/>
                <w:szCs w:val="11"/>
                <w:color w:val="auto"/>
              </w:rPr>
            </w:pPr>
          </w:p>
        </w:tc>
        <w:tc>
          <w:tcPr>
            <w:tcW w:w="160" w:type="dxa"/>
            <w:vAlign w:val="bottom"/>
          </w:tcPr>
          <w:p>
            <w:pPr>
              <w:spacing w:after="0"/>
              <w:rPr>
                <w:sz w:val="11"/>
                <w:szCs w:val="11"/>
                <w:color w:val="auto"/>
              </w:rPr>
            </w:pPr>
          </w:p>
        </w:tc>
        <w:tc>
          <w:tcPr>
            <w:tcW w:w="680" w:type="dxa"/>
            <w:vAlign w:val="bottom"/>
            <w:tcBorders>
              <w:right w:val="single" w:sz="8" w:color="auto"/>
            </w:tcBorders>
          </w:tcPr>
          <w:p>
            <w:pPr>
              <w:jc w:val="center"/>
              <w:ind w:right="173"/>
              <w:spacing w:after="0" w:line="135" w:lineRule="exact"/>
              <w:rPr>
                <w:sz w:val="20"/>
                <w:szCs w:val="20"/>
                <w:color w:val="auto"/>
              </w:rPr>
            </w:pPr>
            <w:r>
              <w:rPr>
                <w:rFonts w:ascii="Arial" w:cs="Arial" w:eastAsia="Arial" w:hAnsi="Arial"/>
                <w:sz w:val="13"/>
                <w:szCs w:val="13"/>
                <w:b w:val="1"/>
                <w:bCs w:val="1"/>
                <w:color w:val="auto"/>
                <w:w w:val="99"/>
              </w:rPr>
              <w:t>Home</w:t>
            </w:r>
          </w:p>
        </w:tc>
        <w:tc>
          <w:tcPr>
            <w:tcW w:w="76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600" w:type="dxa"/>
            <w:vAlign w:val="bottom"/>
            <w:tcBorders>
              <w:left w:val="single" w:sz="8" w:color="auto"/>
              <w:right w:val="single" w:sz="8" w:color="auto"/>
            </w:tcBorders>
          </w:tcPr>
          <w:p>
            <w:pPr>
              <w:spacing w:after="0"/>
              <w:rPr>
                <w:sz w:val="11"/>
                <w:szCs w:val="11"/>
                <w:color w:val="auto"/>
              </w:rPr>
            </w:pPr>
          </w:p>
        </w:tc>
        <w:tc>
          <w:tcPr>
            <w:tcW w:w="960" w:type="dxa"/>
            <w:vAlign w:val="bottom"/>
            <w:tcBorders>
              <w:right w:val="single" w:sz="8" w:color="auto"/>
            </w:tcBorders>
            <w:gridSpan w:val="2"/>
          </w:tcPr>
          <w:p>
            <w:pPr>
              <w:jc w:val="center"/>
              <w:spacing w:after="0" w:line="135" w:lineRule="exact"/>
              <w:rPr>
                <w:sz w:val="20"/>
                <w:szCs w:val="20"/>
                <w:color w:val="auto"/>
              </w:rPr>
            </w:pPr>
            <w:r>
              <w:rPr>
                <w:rFonts w:ascii="Arial" w:cs="Arial" w:eastAsia="Arial" w:hAnsi="Arial"/>
                <w:sz w:val="13"/>
                <w:szCs w:val="13"/>
                <w:b w:val="1"/>
                <w:bCs w:val="1"/>
                <w:color w:val="auto"/>
                <w:w w:val="94"/>
              </w:rPr>
              <w:t>to SIP Plan</w:t>
            </w:r>
          </w:p>
        </w:tc>
        <w:tc>
          <w:tcPr>
            <w:tcW w:w="960" w:type="dxa"/>
            <w:vAlign w:val="bottom"/>
            <w:tcBorders>
              <w:right w:val="single" w:sz="8" w:color="auto"/>
            </w:tcBorders>
            <w:gridSpan w:val="2"/>
          </w:tcPr>
          <w:p>
            <w:pPr>
              <w:ind w:left="80"/>
              <w:spacing w:after="0" w:line="135" w:lineRule="exact"/>
              <w:rPr>
                <w:sz w:val="20"/>
                <w:szCs w:val="20"/>
                <w:color w:val="auto"/>
              </w:rPr>
            </w:pPr>
            <w:r>
              <w:rPr>
                <w:rFonts w:ascii="Arial" w:cs="Arial" w:eastAsia="Arial" w:hAnsi="Arial"/>
                <w:sz w:val="13"/>
                <w:szCs w:val="13"/>
                <w:b w:val="1"/>
                <w:bCs w:val="1"/>
                <w:color w:val="auto"/>
              </w:rPr>
              <w:t>Contribution</w:t>
            </w:r>
          </w:p>
        </w:tc>
        <w:tc>
          <w:tcPr>
            <w:tcW w:w="820" w:type="dxa"/>
            <w:vAlign w:val="bottom"/>
            <w:tcBorders>
              <w:right w:val="single" w:sz="8" w:color="auto"/>
            </w:tcBorders>
            <w:gridSpan w:val="2"/>
          </w:tcPr>
          <w:p>
            <w:pPr>
              <w:ind w:left="100"/>
              <w:spacing w:after="0" w:line="135" w:lineRule="exact"/>
              <w:rPr>
                <w:sz w:val="20"/>
                <w:szCs w:val="20"/>
                <w:color w:val="auto"/>
              </w:rPr>
            </w:pPr>
            <w:r>
              <w:rPr>
                <w:rFonts w:ascii="Arial" w:cs="Arial" w:eastAsia="Arial" w:hAnsi="Arial"/>
                <w:sz w:val="13"/>
                <w:szCs w:val="13"/>
                <w:b w:val="1"/>
                <w:bCs w:val="1"/>
                <w:color w:val="auto"/>
              </w:rPr>
              <w:t>Insurance</w:t>
            </w:r>
          </w:p>
        </w:tc>
        <w:tc>
          <w:tcPr>
            <w:tcW w:w="840" w:type="dxa"/>
            <w:vAlign w:val="bottom"/>
            <w:tcBorders>
              <w:right w:val="single" w:sz="8" w:color="auto"/>
            </w:tcBorders>
            <w:gridSpan w:val="2"/>
          </w:tcPr>
          <w:p>
            <w:pPr>
              <w:ind w:left="100"/>
              <w:spacing w:after="0" w:line="135" w:lineRule="exact"/>
              <w:rPr>
                <w:sz w:val="20"/>
                <w:szCs w:val="20"/>
                <w:color w:val="auto"/>
              </w:rPr>
            </w:pPr>
            <w:r>
              <w:rPr>
                <w:rFonts w:ascii="Arial" w:cs="Arial" w:eastAsia="Arial" w:hAnsi="Arial"/>
                <w:sz w:val="13"/>
                <w:szCs w:val="13"/>
                <w:b w:val="1"/>
                <w:bCs w:val="1"/>
                <w:color w:val="auto"/>
              </w:rPr>
              <w:t>Executive</w:t>
            </w:r>
          </w:p>
        </w:tc>
        <w:tc>
          <w:tcPr>
            <w:tcW w:w="140" w:type="dxa"/>
            <w:vAlign w:val="bottom"/>
          </w:tcPr>
          <w:p>
            <w:pPr>
              <w:spacing w:after="0"/>
              <w:rPr>
                <w:sz w:val="11"/>
                <w:szCs w:val="11"/>
                <w:color w:val="auto"/>
              </w:rPr>
            </w:pPr>
          </w:p>
        </w:tc>
        <w:tc>
          <w:tcPr>
            <w:tcW w:w="760" w:type="dxa"/>
            <w:vAlign w:val="bottom"/>
            <w:tcBorders>
              <w:right w:val="single" w:sz="8" w:color="auto"/>
            </w:tcBorders>
          </w:tcPr>
          <w:p>
            <w:pPr>
              <w:jc w:val="center"/>
              <w:ind w:right="132"/>
              <w:spacing w:after="0" w:line="135" w:lineRule="exact"/>
              <w:rPr>
                <w:sz w:val="20"/>
                <w:szCs w:val="20"/>
                <w:color w:val="auto"/>
              </w:rPr>
            </w:pPr>
            <w:r>
              <w:rPr>
                <w:rFonts w:ascii="Arial" w:cs="Arial" w:eastAsia="Arial" w:hAnsi="Arial"/>
                <w:sz w:val="13"/>
                <w:szCs w:val="13"/>
                <w:b w:val="1"/>
                <w:bCs w:val="1"/>
                <w:color w:val="auto"/>
                <w:w w:val="99"/>
              </w:rPr>
              <w:t>Financial</w:t>
            </w:r>
          </w:p>
        </w:tc>
        <w:tc>
          <w:tcPr>
            <w:tcW w:w="240" w:type="dxa"/>
            <w:vAlign w:val="bottom"/>
          </w:tcPr>
          <w:p>
            <w:pPr>
              <w:spacing w:after="0"/>
              <w:rPr>
                <w:sz w:val="11"/>
                <w:szCs w:val="11"/>
                <w:color w:val="auto"/>
              </w:rPr>
            </w:pPr>
          </w:p>
        </w:tc>
        <w:tc>
          <w:tcPr>
            <w:tcW w:w="460" w:type="dxa"/>
            <w:vAlign w:val="bottom"/>
            <w:tcBorders>
              <w:right w:val="single" w:sz="8" w:color="auto"/>
            </w:tcBorders>
          </w:tcPr>
          <w:p>
            <w:pPr>
              <w:spacing w:after="0"/>
              <w:rPr>
                <w:sz w:val="11"/>
                <w:szCs w:val="11"/>
                <w:color w:val="auto"/>
              </w:rPr>
            </w:pPr>
          </w:p>
        </w:tc>
        <w:tc>
          <w:tcPr>
            <w:tcW w:w="160" w:type="dxa"/>
            <w:vAlign w:val="bottom"/>
          </w:tcPr>
          <w:p>
            <w:pPr>
              <w:spacing w:after="0"/>
              <w:rPr>
                <w:sz w:val="11"/>
                <w:szCs w:val="11"/>
                <w:color w:val="auto"/>
              </w:rPr>
            </w:pPr>
          </w:p>
        </w:tc>
        <w:tc>
          <w:tcPr>
            <w:tcW w:w="720" w:type="dxa"/>
            <w:vAlign w:val="bottom"/>
            <w:tcBorders>
              <w:right w:val="single" w:sz="8" w:color="auto"/>
            </w:tcBorders>
          </w:tcPr>
          <w:p>
            <w:pPr>
              <w:jc w:val="center"/>
              <w:ind w:right="133"/>
              <w:spacing w:after="0" w:line="135" w:lineRule="exact"/>
              <w:rPr>
                <w:sz w:val="20"/>
                <w:szCs w:val="20"/>
                <w:color w:val="auto"/>
              </w:rPr>
            </w:pPr>
            <w:r>
              <w:rPr>
                <w:rFonts w:ascii="Arial" w:cs="Arial" w:eastAsia="Arial" w:hAnsi="Arial"/>
                <w:sz w:val="13"/>
                <w:szCs w:val="13"/>
                <w:b w:val="1"/>
                <w:bCs w:val="1"/>
                <w:color w:val="auto"/>
                <w:w w:val="96"/>
              </w:rPr>
              <w:t>Country</w:t>
            </w:r>
          </w:p>
        </w:tc>
        <w:tc>
          <w:tcPr>
            <w:tcW w:w="240" w:type="dxa"/>
            <w:vAlign w:val="bottom"/>
          </w:tcPr>
          <w:p>
            <w:pPr>
              <w:spacing w:after="0"/>
              <w:rPr>
                <w:sz w:val="11"/>
                <w:szCs w:val="11"/>
                <w:color w:val="auto"/>
              </w:rPr>
            </w:pPr>
          </w:p>
        </w:tc>
        <w:tc>
          <w:tcPr>
            <w:tcW w:w="480" w:type="dxa"/>
            <w:vAlign w:val="bottom"/>
            <w:tcBorders>
              <w:right w:val="single" w:sz="8" w:color="auto"/>
            </w:tcBorders>
          </w:tcPr>
          <w:p>
            <w:pPr>
              <w:spacing w:after="0"/>
              <w:rPr>
                <w:sz w:val="11"/>
                <w:szCs w:val="11"/>
                <w:color w:val="auto"/>
              </w:rPr>
            </w:pPr>
          </w:p>
        </w:tc>
        <w:tc>
          <w:tcPr>
            <w:tcW w:w="840" w:type="dxa"/>
            <w:vAlign w:val="bottom"/>
            <w:tcBorders>
              <w:right w:val="single" w:sz="8" w:color="auto"/>
            </w:tcBorders>
            <w:gridSpan w:val="2"/>
          </w:tcPr>
          <w:p>
            <w:pPr>
              <w:jc w:val="center"/>
              <w:spacing w:after="0" w:line="135" w:lineRule="exact"/>
              <w:rPr>
                <w:sz w:val="20"/>
                <w:szCs w:val="20"/>
                <w:color w:val="auto"/>
              </w:rPr>
            </w:pPr>
            <w:r>
              <w:rPr>
                <w:rFonts w:ascii="Arial" w:cs="Arial" w:eastAsia="Arial" w:hAnsi="Arial"/>
                <w:sz w:val="13"/>
                <w:szCs w:val="13"/>
                <w:b w:val="1"/>
                <w:bCs w:val="1"/>
                <w:color w:val="auto"/>
                <w:w w:val="97"/>
              </w:rPr>
              <w:t>Security</w:t>
            </w:r>
          </w:p>
        </w:tc>
        <w:tc>
          <w:tcPr>
            <w:tcW w:w="76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600" w:type="dxa"/>
            <w:vAlign w:val="bottom"/>
            <w:tcBorders>
              <w:left w:val="single" w:sz="8" w:color="auto"/>
              <w:right w:val="single" w:sz="8" w:color="auto"/>
            </w:tcBorders>
          </w:tcPr>
          <w:p>
            <w:pPr>
              <w:spacing w:after="0"/>
              <w:rPr>
                <w:sz w:val="11"/>
                <w:szCs w:val="11"/>
                <w:color w:val="auto"/>
              </w:rPr>
            </w:pPr>
          </w:p>
        </w:tc>
        <w:tc>
          <w:tcPr>
            <w:tcW w:w="160" w:type="dxa"/>
            <w:vAlign w:val="bottom"/>
          </w:tcPr>
          <w:p>
            <w:pPr>
              <w:spacing w:after="0"/>
              <w:rPr>
                <w:sz w:val="11"/>
                <w:szCs w:val="11"/>
                <w:color w:val="auto"/>
              </w:rPr>
            </w:pPr>
          </w:p>
        </w:tc>
        <w:tc>
          <w:tcPr>
            <w:tcW w:w="800" w:type="dxa"/>
            <w:vAlign w:val="bottom"/>
            <w:tcBorders>
              <w:right w:val="single" w:sz="8" w:color="auto"/>
            </w:tcBorders>
          </w:tcPr>
          <w:p>
            <w:pPr>
              <w:jc w:val="center"/>
              <w:ind w:right="133"/>
              <w:spacing w:after="0" w:line="135" w:lineRule="exact"/>
              <w:rPr>
                <w:sz w:val="20"/>
                <w:szCs w:val="20"/>
                <w:color w:val="auto"/>
              </w:rPr>
            </w:pPr>
            <w:r>
              <w:rPr>
                <w:rFonts w:ascii="Arial" w:cs="Arial" w:eastAsia="Arial" w:hAnsi="Arial"/>
                <w:sz w:val="13"/>
                <w:szCs w:val="13"/>
                <w:b w:val="1"/>
                <w:bCs w:val="1"/>
                <w:color w:val="auto"/>
                <w:w w:val="99"/>
              </w:rPr>
              <w:t>and Core</w:t>
            </w:r>
          </w:p>
        </w:tc>
        <w:tc>
          <w:tcPr>
            <w:tcW w:w="960" w:type="dxa"/>
            <w:vAlign w:val="bottom"/>
            <w:tcBorders>
              <w:right w:val="single" w:sz="8" w:color="auto"/>
            </w:tcBorders>
            <w:gridSpan w:val="2"/>
          </w:tcPr>
          <w:p>
            <w:pPr>
              <w:jc w:val="center"/>
              <w:spacing w:after="0" w:line="135" w:lineRule="exact"/>
              <w:rPr>
                <w:sz w:val="20"/>
                <w:szCs w:val="20"/>
                <w:color w:val="auto"/>
              </w:rPr>
            </w:pPr>
            <w:r>
              <w:rPr>
                <w:rFonts w:ascii="Arial" w:cs="Arial" w:eastAsia="Arial" w:hAnsi="Arial"/>
                <w:sz w:val="13"/>
                <w:szCs w:val="13"/>
                <w:b w:val="1"/>
                <w:bCs w:val="1"/>
                <w:color w:val="auto"/>
                <w:w w:val="95"/>
              </w:rPr>
              <w:t>to Post-Tax</w:t>
            </w:r>
          </w:p>
        </w:tc>
        <w:tc>
          <w:tcPr>
            <w:tcW w:w="820" w:type="dxa"/>
            <w:vAlign w:val="bottom"/>
            <w:tcBorders>
              <w:right w:val="single" w:sz="8" w:color="auto"/>
            </w:tcBorders>
            <w:gridSpan w:val="2"/>
          </w:tcPr>
          <w:p>
            <w:pPr>
              <w:jc w:val="center"/>
              <w:spacing w:after="0" w:line="135" w:lineRule="exact"/>
              <w:rPr>
                <w:sz w:val="20"/>
                <w:szCs w:val="20"/>
                <w:color w:val="auto"/>
              </w:rPr>
            </w:pPr>
            <w:r>
              <w:rPr>
                <w:rFonts w:ascii="Arial" w:cs="Arial" w:eastAsia="Arial" w:hAnsi="Arial"/>
                <w:sz w:val="13"/>
                <w:szCs w:val="13"/>
                <w:b w:val="1"/>
                <w:bCs w:val="1"/>
                <w:color w:val="auto"/>
                <w:w w:val="96"/>
              </w:rPr>
              <w:t>Premium</w:t>
            </w:r>
          </w:p>
        </w:tc>
        <w:tc>
          <w:tcPr>
            <w:tcW w:w="840" w:type="dxa"/>
            <w:vAlign w:val="bottom"/>
            <w:tcBorders>
              <w:right w:val="single" w:sz="8" w:color="auto"/>
            </w:tcBorders>
            <w:gridSpan w:val="2"/>
          </w:tcPr>
          <w:p>
            <w:pPr>
              <w:ind w:left="100"/>
              <w:spacing w:after="0" w:line="135" w:lineRule="exact"/>
              <w:rPr>
                <w:sz w:val="20"/>
                <w:szCs w:val="20"/>
                <w:color w:val="auto"/>
              </w:rPr>
            </w:pPr>
            <w:r>
              <w:rPr>
                <w:rFonts w:ascii="Arial" w:cs="Arial" w:eastAsia="Arial" w:hAnsi="Arial"/>
                <w:sz w:val="13"/>
                <w:szCs w:val="13"/>
                <w:b w:val="1"/>
                <w:bCs w:val="1"/>
                <w:color w:val="auto"/>
              </w:rPr>
              <w:t>Physicals</w:t>
            </w:r>
          </w:p>
        </w:tc>
        <w:tc>
          <w:tcPr>
            <w:tcW w:w="140" w:type="dxa"/>
            <w:vAlign w:val="bottom"/>
          </w:tcPr>
          <w:p>
            <w:pPr>
              <w:spacing w:after="0"/>
              <w:rPr>
                <w:sz w:val="11"/>
                <w:szCs w:val="11"/>
                <w:color w:val="auto"/>
              </w:rPr>
            </w:pPr>
          </w:p>
        </w:tc>
        <w:tc>
          <w:tcPr>
            <w:tcW w:w="760" w:type="dxa"/>
            <w:vAlign w:val="bottom"/>
            <w:tcBorders>
              <w:right w:val="single" w:sz="8" w:color="auto"/>
            </w:tcBorders>
          </w:tcPr>
          <w:p>
            <w:pPr>
              <w:jc w:val="center"/>
              <w:ind w:right="132"/>
              <w:spacing w:after="0" w:line="135" w:lineRule="exact"/>
              <w:rPr>
                <w:sz w:val="20"/>
                <w:szCs w:val="20"/>
                <w:color w:val="auto"/>
              </w:rPr>
            </w:pPr>
            <w:r>
              <w:rPr>
                <w:rFonts w:ascii="Arial" w:cs="Arial" w:eastAsia="Arial" w:hAnsi="Arial"/>
                <w:sz w:val="13"/>
                <w:szCs w:val="13"/>
                <w:b w:val="1"/>
                <w:bCs w:val="1"/>
                <w:color w:val="auto"/>
                <w:w w:val="94"/>
              </w:rPr>
              <w:t>Planning</w:t>
            </w:r>
          </w:p>
        </w:tc>
        <w:tc>
          <w:tcPr>
            <w:tcW w:w="240" w:type="dxa"/>
            <w:vAlign w:val="bottom"/>
          </w:tcPr>
          <w:p>
            <w:pPr>
              <w:spacing w:after="0"/>
              <w:rPr>
                <w:sz w:val="11"/>
                <w:szCs w:val="11"/>
                <w:color w:val="auto"/>
              </w:rPr>
            </w:pPr>
          </w:p>
        </w:tc>
        <w:tc>
          <w:tcPr>
            <w:tcW w:w="460" w:type="dxa"/>
            <w:vAlign w:val="bottom"/>
            <w:tcBorders>
              <w:right w:val="single" w:sz="8" w:color="auto"/>
            </w:tcBorders>
          </w:tcPr>
          <w:p>
            <w:pPr>
              <w:spacing w:after="0"/>
              <w:rPr>
                <w:sz w:val="11"/>
                <w:szCs w:val="11"/>
                <w:color w:val="auto"/>
              </w:rPr>
            </w:pPr>
          </w:p>
        </w:tc>
        <w:tc>
          <w:tcPr>
            <w:tcW w:w="160" w:type="dxa"/>
            <w:vAlign w:val="bottom"/>
          </w:tcPr>
          <w:p>
            <w:pPr>
              <w:spacing w:after="0"/>
              <w:rPr>
                <w:sz w:val="11"/>
                <w:szCs w:val="11"/>
                <w:color w:val="auto"/>
              </w:rPr>
            </w:pPr>
          </w:p>
        </w:tc>
        <w:tc>
          <w:tcPr>
            <w:tcW w:w="720" w:type="dxa"/>
            <w:vAlign w:val="bottom"/>
            <w:tcBorders>
              <w:right w:val="single" w:sz="8" w:color="auto"/>
            </w:tcBorders>
          </w:tcPr>
          <w:p>
            <w:pPr>
              <w:jc w:val="center"/>
              <w:ind w:right="133"/>
              <w:spacing w:after="0" w:line="135" w:lineRule="exact"/>
              <w:rPr>
                <w:sz w:val="20"/>
                <w:szCs w:val="20"/>
                <w:color w:val="auto"/>
              </w:rPr>
            </w:pPr>
            <w:r>
              <w:rPr>
                <w:rFonts w:ascii="Arial" w:cs="Arial" w:eastAsia="Arial" w:hAnsi="Arial"/>
                <w:sz w:val="13"/>
                <w:szCs w:val="13"/>
                <w:b w:val="1"/>
                <w:bCs w:val="1"/>
                <w:color w:val="auto"/>
                <w:w w:val="96"/>
              </w:rPr>
              <w:t>Club</w:t>
            </w:r>
          </w:p>
        </w:tc>
        <w:tc>
          <w:tcPr>
            <w:tcW w:w="240" w:type="dxa"/>
            <w:vAlign w:val="bottom"/>
          </w:tcPr>
          <w:p>
            <w:pPr>
              <w:spacing w:after="0"/>
              <w:rPr>
                <w:sz w:val="11"/>
                <w:szCs w:val="11"/>
                <w:color w:val="auto"/>
              </w:rPr>
            </w:pPr>
          </w:p>
        </w:tc>
        <w:tc>
          <w:tcPr>
            <w:tcW w:w="480" w:type="dxa"/>
            <w:vAlign w:val="bottom"/>
            <w:tcBorders>
              <w:right w:val="single" w:sz="8" w:color="auto"/>
            </w:tcBorders>
          </w:tcPr>
          <w:p>
            <w:pPr>
              <w:spacing w:after="0"/>
              <w:rPr>
                <w:sz w:val="11"/>
                <w:szCs w:val="11"/>
                <w:color w:val="auto"/>
              </w:rPr>
            </w:pPr>
          </w:p>
        </w:tc>
        <w:tc>
          <w:tcPr>
            <w:tcW w:w="160" w:type="dxa"/>
            <w:vAlign w:val="bottom"/>
          </w:tcPr>
          <w:p>
            <w:pPr>
              <w:spacing w:after="0"/>
              <w:rPr>
                <w:sz w:val="11"/>
                <w:szCs w:val="11"/>
                <w:color w:val="auto"/>
              </w:rPr>
            </w:pPr>
          </w:p>
        </w:tc>
        <w:tc>
          <w:tcPr>
            <w:tcW w:w="680" w:type="dxa"/>
            <w:vAlign w:val="bottom"/>
            <w:tcBorders>
              <w:right w:val="single" w:sz="8" w:color="auto"/>
            </w:tcBorders>
          </w:tcPr>
          <w:p>
            <w:pPr>
              <w:jc w:val="center"/>
              <w:ind w:right="153"/>
              <w:spacing w:after="0" w:line="135" w:lineRule="exact"/>
              <w:rPr>
                <w:sz w:val="20"/>
                <w:szCs w:val="20"/>
                <w:color w:val="auto"/>
              </w:rPr>
            </w:pPr>
            <w:r>
              <w:rPr>
                <w:rFonts w:ascii="Arial" w:cs="Arial" w:eastAsia="Arial" w:hAnsi="Arial"/>
                <w:sz w:val="13"/>
                <w:szCs w:val="13"/>
                <w:b w:val="1"/>
                <w:bCs w:val="1"/>
                <w:color w:val="auto"/>
                <w:w w:val="94"/>
              </w:rPr>
              <w:t>and</w:t>
            </w:r>
          </w:p>
        </w:tc>
        <w:tc>
          <w:tcPr>
            <w:tcW w:w="76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600" w:type="dxa"/>
            <w:vAlign w:val="bottom"/>
            <w:tcBorders>
              <w:left w:val="single" w:sz="8" w:color="auto"/>
              <w:right w:val="single" w:sz="8" w:color="auto"/>
            </w:tcBorders>
          </w:tcPr>
          <w:p>
            <w:pPr>
              <w:spacing w:after="0"/>
              <w:rPr>
                <w:sz w:val="11"/>
                <w:szCs w:val="11"/>
                <w:color w:val="auto"/>
              </w:rPr>
            </w:pPr>
          </w:p>
        </w:tc>
        <w:tc>
          <w:tcPr>
            <w:tcW w:w="160" w:type="dxa"/>
            <w:vAlign w:val="bottom"/>
          </w:tcPr>
          <w:p>
            <w:pPr>
              <w:spacing w:after="0"/>
              <w:rPr>
                <w:sz w:val="11"/>
                <w:szCs w:val="11"/>
                <w:color w:val="auto"/>
              </w:rPr>
            </w:pPr>
          </w:p>
        </w:tc>
        <w:tc>
          <w:tcPr>
            <w:tcW w:w="800" w:type="dxa"/>
            <w:vAlign w:val="bottom"/>
            <w:tcBorders>
              <w:right w:val="single" w:sz="8" w:color="auto"/>
            </w:tcBorders>
          </w:tcPr>
          <w:p>
            <w:pPr>
              <w:jc w:val="center"/>
              <w:ind w:right="133"/>
              <w:spacing w:after="0" w:line="135" w:lineRule="exact"/>
              <w:rPr>
                <w:sz w:val="20"/>
                <w:szCs w:val="20"/>
                <w:color w:val="auto"/>
              </w:rPr>
            </w:pPr>
            <w:r>
              <w:rPr>
                <w:rFonts w:ascii="Arial" w:cs="Arial" w:eastAsia="Arial" w:hAnsi="Arial"/>
                <w:sz w:val="13"/>
                <w:szCs w:val="13"/>
                <w:b w:val="1"/>
                <w:bCs w:val="1"/>
                <w:color w:val="auto"/>
              </w:rPr>
              <w:t>DC</w:t>
            </w:r>
          </w:p>
        </w:tc>
        <w:tc>
          <w:tcPr>
            <w:tcW w:w="160" w:type="dxa"/>
            <w:vAlign w:val="bottom"/>
          </w:tcPr>
          <w:p>
            <w:pPr>
              <w:spacing w:after="0"/>
              <w:rPr>
                <w:sz w:val="11"/>
                <w:szCs w:val="11"/>
                <w:color w:val="auto"/>
              </w:rPr>
            </w:pPr>
          </w:p>
        </w:tc>
        <w:tc>
          <w:tcPr>
            <w:tcW w:w="800" w:type="dxa"/>
            <w:vAlign w:val="bottom"/>
            <w:tcBorders>
              <w:right w:val="single" w:sz="8" w:color="auto"/>
            </w:tcBorders>
          </w:tcPr>
          <w:p>
            <w:pPr>
              <w:jc w:val="center"/>
              <w:ind w:right="133"/>
              <w:spacing w:after="0" w:line="135" w:lineRule="exact"/>
              <w:rPr>
                <w:sz w:val="20"/>
                <w:szCs w:val="20"/>
                <w:color w:val="auto"/>
              </w:rPr>
            </w:pPr>
            <w:r>
              <w:rPr>
                <w:rFonts w:ascii="Arial" w:cs="Arial" w:eastAsia="Arial" w:hAnsi="Arial"/>
                <w:sz w:val="13"/>
                <w:szCs w:val="13"/>
                <w:b w:val="1"/>
                <w:bCs w:val="1"/>
                <w:color w:val="auto"/>
                <w:w w:val="96"/>
              </w:rPr>
              <w:t>Savings</w:t>
            </w:r>
          </w:p>
        </w:tc>
        <w:tc>
          <w:tcPr>
            <w:tcW w:w="820" w:type="dxa"/>
            <w:vAlign w:val="bottom"/>
            <w:tcBorders>
              <w:right w:val="single" w:sz="8" w:color="auto"/>
            </w:tcBorders>
            <w:gridSpan w:val="2"/>
          </w:tcPr>
          <w:p>
            <w:pPr>
              <w:ind w:left="80"/>
              <w:spacing w:after="0" w:line="135" w:lineRule="exact"/>
              <w:rPr>
                <w:sz w:val="20"/>
                <w:szCs w:val="20"/>
                <w:color w:val="auto"/>
              </w:rPr>
            </w:pPr>
            <w:r>
              <w:rPr>
                <w:rFonts w:ascii="Arial" w:cs="Arial" w:eastAsia="Arial" w:hAnsi="Arial"/>
                <w:sz w:val="13"/>
                <w:szCs w:val="13"/>
                <w:b w:val="1"/>
                <w:bCs w:val="1"/>
                <w:color w:val="auto"/>
              </w:rPr>
              <w:t>(Company</w:t>
            </w:r>
          </w:p>
        </w:tc>
        <w:tc>
          <w:tcPr>
            <w:tcW w:w="840" w:type="dxa"/>
            <w:vAlign w:val="bottom"/>
            <w:tcBorders>
              <w:right w:val="single" w:sz="8" w:color="auto"/>
            </w:tcBorders>
            <w:gridSpan w:val="2"/>
          </w:tcPr>
          <w:p>
            <w:pPr>
              <w:ind w:left="80"/>
              <w:spacing w:after="0" w:line="135" w:lineRule="exact"/>
              <w:rPr>
                <w:sz w:val="20"/>
                <w:szCs w:val="20"/>
                <w:color w:val="auto"/>
              </w:rPr>
            </w:pPr>
            <w:r>
              <w:rPr>
                <w:rFonts w:ascii="Arial" w:cs="Arial" w:eastAsia="Arial" w:hAnsi="Arial"/>
                <w:sz w:val="13"/>
                <w:szCs w:val="13"/>
                <w:b w:val="1"/>
                <w:bCs w:val="1"/>
                <w:color w:val="auto"/>
              </w:rPr>
              <w:t>(Company</w:t>
            </w:r>
          </w:p>
        </w:tc>
        <w:tc>
          <w:tcPr>
            <w:tcW w:w="900" w:type="dxa"/>
            <w:vAlign w:val="bottom"/>
            <w:tcBorders>
              <w:right w:val="single" w:sz="8" w:color="auto"/>
            </w:tcBorders>
            <w:gridSpan w:val="2"/>
          </w:tcPr>
          <w:p>
            <w:pPr>
              <w:ind w:left="80"/>
              <w:spacing w:after="0" w:line="135" w:lineRule="exact"/>
              <w:rPr>
                <w:sz w:val="20"/>
                <w:szCs w:val="20"/>
                <w:color w:val="auto"/>
              </w:rPr>
            </w:pPr>
            <w:r>
              <w:rPr>
                <w:rFonts w:ascii="Arial" w:cs="Arial" w:eastAsia="Arial" w:hAnsi="Arial"/>
                <w:sz w:val="13"/>
                <w:szCs w:val="13"/>
                <w:b w:val="1"/>
                <w:bCs w:val="1"/>
                <w:color w:val="auto"/>
              </w:rPr>
              <w:t>Reimburse-</w:t>
            </w:r>
          </w:p>
        </w:tc>
        <w:tc>
          <w:tcPr>
            <w:tcW w:w="700" w:type="dxa"/>
            <w:vAlign w:val="bottom"/>
            <w:tcBorders>
              <w:right w:val="single" w:sz="8" w:color="auto"/>
            </w:tcBorders>
            <w:gridSpan w:val="2"/>
          </w:tcPr>
          <w:p>
            <w:pPr>
              <w:ind w:left="140"/>
              <w:spacing w:after="0" w:line="135" w:lineRule="exact"/>
              <w:rPr>
                <w:sz w:val="20"/>
                <w:szCs w:val="20"/>
                <w:color w:val="auto"/>
              </w:rPr>
            </w:pPr>
            <w:r>
              <w:rPr>
                <w:rFonts w:ascii="Arial" w:cs="Arial" w:eastAsia="Arial" w:hAnsi="Arial"/>
                <w:sz w:val="13"/>
                <w:szCs w:val="13"/>
                <w:b w:val="1"/>
                <w:bCs w:val="1"/>
                <w:color w:val="auto"/>
              </w:rPr>
              <w:t>Home</w:t>
            </w:r>
          </w:p>
        </w:tc>
        <w:tc>
          <w:tcPr>
            <w:tcW w:w="880" w:type="dxa"/>
            <w:vAlign w:val="bottom"/>
            <w:tcBorders>
              <w:right w:val="single" w:sz="8" w:color="auto"/>
            </w:tcBorders>
            <w:gridSpan w:val="2"/>
          </w:tcPr>
          <w:p>
            <w:pPr>
              <w:jc w:val="center"/>
              <w:spacing w:after="0" w:line="135" w:lineRule="exact"/>
              <w:rPr>
                <w:sz w:val="20"/>
                <w:szCs w:val="20"/>
                <w:color w:val="auto"/>
              </w:rPr>
            </w:pPr>
            <w:r>
              <w:rPr>
                <w:rFonts w:ascii="Arial" w:cs="Arial" w:eastAsia="Arial" w:hAnsi="Arial"/>
                <w:sz w:val="13"/>
                <w:szCs w:val="13"/>
                <w:b w:val="1"/>
                <w:bCs w:val="1"/>
                <w:color w:val="auto"/>
                <w:w w:val="99"/>
              </w:rPr>
              <w:t>Member-</w:t>
            </w:r>
          </w:p>
        </w:tc>
        <w:tc>
          <w:tcPr>
            <w:tcW w:w="720" w:type="dxa"/>
            <w:vAlign w:val="bottom"/>
            <w:tcBorders>
              <w:right w:val="single" w:sz="8" w:color="auto"/>
            </w:tcBorders>
            <w:gridSpan w:val="2"/>
          </w:tcPr>
          <w:p>
            <w:pPr>
              <w:ind w:left="80"/>
              <w:spacing w:after="0" w:line="135" w:lineRule="exact"/>
              <w:rPr>
                <w:sz w:val="20"/>
                <w:szCs w:val="20"/>
                <w:color w:val="auto"/>
              </w:rPr>
            </w:pPr>
            <w:r>
              <w:rPr>
                <w:rFonts w:ascii="Arial" w:cs="Arial" w:eastAsia="Arial" w:hAnsi="Arial"/>
                <w:sz w:val="13"/>
                <w:szCs w:val="13"/>
                <w:b w:val="1"/>
                <w:bCs w:val="1"/>
                <w:color w:val="auto"/>
              </w:rPr>
              <w:t>Spousal</w:t>
            </w:r>
          </w:p>
        </w:tc>
        <w:tc>
          <w:tcPr>
            <w:tcW w:w="840" w:type="dxa"/>
            <w:vAlign w:val="bottom"/>
            <w:tcBorders>
              <w:right w:val="single" w:sz="8" w:color="auto"/>
            </w:tcBorders>
            <w:gridSpan w:val="2"/>
          </w:tcPr>
          <w:p>
            <w:pPr>
              <w:jc w:val="center"/>
              <w:ind w:right="13"/>
              <w:spacing w:after="0" w:line="135" w:lineRule="exact"/>
              <w:rPr>
                <w:sz w:val="20"/>
                <w:szCs w:val="20"/>
                <w:color w:val="auto"/>
              </w:rPr>
            </w:pPr>
            <w:r>
              <w:rPr>
                <w:rFonts w:ascii="Arial" w:cs="Arial" w:eastAsia="Arial" w:hAnsi="Arial"/>
                <w:sz w:val="13"/>
                <w:szCs w:val="13"/>
                <w:b w:val="1"/>
                <w:bCs w:val="1"/>
                <w:color w:val="auto"/>
                <w:w w:val="94"/>
              </w:rPr>
              <w:t>Spousal</w:t>
            </w:r>
          </w:p>
        </w:tc>
        <w:tc>
          <w:tcPr>
            <w:tcW w:w="76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62"/>
        </w:trPr>
        <w:tc>
          <w:tcPr>
            <w:tcW w:w="2600" w:type="dxa"/>
            <w:vAlign w:val="bottom"/>
            <w:tcBorders>
              <w:left w:val="single" w:sz="8" w:color="auto"/>
              <w:bottom w:val="single" w:sz="8" w:color="auto"/>
              <w:right w:val="single" w:sz="8" w:color="auto"/>
            </w:tcBorders>
          </w:tcPr>
          <w:p>
            <w:pPr>
              <w:ind w:left="160"/>
              <w:spacing w:after="0"/>
              <w:rPr>
                <w:sz w:val="20"/>
                <w:szCs w:val="20"/>
                <w:color w:val="auto"/>
              </w:rPr>
            </w:pPr>
            <w:r>
              <w:rPr>
                <w:rFonts w:ascii="Arial" w:cs="Arial" w:eastAsia="Arial" w:hAnsi="Arial"/>
                <w:sz w:val="13"/>
                <w:szCs w:val="13"/>
                <w:b w:val="1"/>
                <w:bCs w:val="1"/>
                <w:color w:val="auto"/>
              </w:rPr>
              <w:t>Name</w:t>
            </w:r>
          </w:p>
        </w:tc>
        <w:tc>
          <w:tcPr>
            <w:tcW w:w="960" w:type="dxa"/>
            <w:vAlign w:val="bottom"/>
            <w:tcBorders>
              <w:bottom w:val="single" w:sz="8" w:color="auto"/>
              <w:right w:val="single" w:sz="8" w:color="auto"/>
            </w:tcBorders>
            <w:gridSpan w:val="2"/>
          </w:tcPr>
          <w:p>
            <w:pPr>
              <w:jc w:val="center"/>
              <w:spacing w:after="0"/>
              <w:rPr>
                <w:sz w:val="20"/>
                <w:szCs w:val="20"/>
                <w:color w:val="auto"/>
              </w:rPr>
            </w:pPr>
            <w:r>
              <w:rPr>
                <w:rFonts w:ascii="Arial" w:cs="Arial" w:eastAsia="Arial" w:hAnsi="Arial"/>
                <w:sz w:val="13"/>
                <w:szCs w:val="13"/>
                <w:b w:val="1"/>
                <w:bCs w:val="1"/>
                <w:color w:val="auto"/>
                <w:w w:val="97"/>
              </w:rPr>
              <w:t>Program</w:t>
            </w:r>
            <w:r>
              <w:rPr>
                <w:rFonts w:ascii="Arial" w:cs="Arial" w:eastAsia="Arial" w:hAnsi="Arial"/>
                <w:sz w:val="10"/>
                <w:szCs w:val="10"/>
                <w:b w:val="1"/>
                <w:bCs w:val="1"/>
                <w:color w:val="auto"/>
                <w:w w:val="97"/>
              </w:rPr>
              <w:t>(a)</w:t>
            </w:r>
          </w:p>
        </w:tc>
        <w:tc>
          <w:tcPr>
            <w:tcW w:w="160" w:type="dxa"/>
            <w:vAlign w:val="bottom"/>
            <w:tcBorders>
              <w:bottom w:val="single" w:sz="8" w:color="auto"/>
            </w:tcBorders>
          </w:tcPr>
          <w:p>
            <w:pPr>
              <w:spacing w:after="0"/>
              <w:rPr>
                <w:sz w:val="14"/>
                <w:szCs w:val="14"/>
                <w:color w:val="auto"/>
              </w:rPr>
            </w:pPr>
          </w:p>
        </w:tc>
        <w:tc>
          <w:tcPr>
            <w:tcW w:w="800" w:type="dxa"/>
            <w:vAlign w:val="bottom"/>
            <w:tcBorders>
              <w:bottom w:val="single" w:sz="8" w:color="auto"/>
              <w:right w:val="single" w:sz="8" w:color="auto"/>
            </w:tcBorders>
          </w:tcPr>
          <w:p>
            <w:pPr>
              <w:jc w:val="center"/>
              <w:ind w:right="133"/>
              <w:spacing w:after="0"/>
              <w:rPr>
                <w:sz w:val="20"/>
                <w:szCs w:val="20"/>
                <w:color w:val="auto"/>
              </w:rPr>
            </w:pPr>
            <w:r>
              <w:rPr>
                <w:rFonts w:ascii="Arial" w:cs="Arial" w:eastAsia="Arial" w:hAnsi="Arial"/>
                <w:sz w:val="13"/>
                <w:szCs w:val="13"/>
                <w:b w:val="1"/>
                <w:bCs w:val="1"/>
                <w:color w:val="auto"/>
                <w:w w:val="98"/>
              </w:rPr>
              <w:t>Benefit</w:t>
            </w:r>
            <w:r>
              <w:rPr>
                <w:rFonts w:ascii="Arial" w:cs="Arial" w:eastAsia="Arial" w:hAnsi="Arial"/>
                <w:sz w:val="10"/>
                <w:szCs w:val="10"/>
                <w:b w:val="1"/>
                <w:bCs w:val="1"/>
                <w:color w:val="auto"/>
                <w:w w:val="98"/>
              </w:rPr>
              <w:t>(b)</w:t>
            </w:r>
          </w:p>
        </w:tc>
        <w:tc>
          <w:tcPr>
            <w:tcW w:w="160" w:type="dxa"/>
            <w:vAlign w:val="bottom"/>
            <w:tcBorders>
              <w:bottom w:val="single" w:sz="8" w:color="auto"/>
            </w:tcBorders>
          </w:tcPr>
          <w:p>
            <w:pPr>
              <w:spacing w:after="0"/>
              <w:rPr>
                <w:sz w:val="14"/>
                <w:szCs w:val="14"/>
                <w:color w:val="auto"/>
              </w:rPr>
            </w:pPr>
          </w:p>
        </w:tc>
        <w:tc>
          <w:tcPr>
            <w:tcW w:w="660" w:type="dxa"/>
            <w:vAlign w:val="bottom"/>
            <w:tcBorders>
              <w:bottom w:val="single" w:sz="8" w:color="auto"/>
              <w:right w:val="single" w:sz="8" w:color="auto"/>
            </w:tcBorders>
          </w:tcPr>
          <w:p>
            <w:pPr>
              <w:jc w:val="center"/>
              <w:ind w:right="132"/>
              <w:spacing w:after="0"/>
              <w:rPr>
                <w:sz w:val="20"/>
                <w:szCs w:val="20"/>
                <w:color w:val="auto"/>
              </w:rPr>
            </w:pPr>
            <w:r>
              <w:rPr>
                <w:rFonts w:ascii="Arial" w:cs="Arial" w:eastAsia="Arial" w:hAnsi="Arial"/>
                <w:sz w:val="13"/>
                <w:szCs w:val="13"/>
                <w:b w:val="1"/>
                <w:bCs w:val="1"/>
                <w:color w:val="auto"/>
                <w:w w:val="94"/>
              </w:rPr>
              <w:t>Paid)</w:t>
            </w:r>
          </w:p>
        </w:tc>
        <w:tc>
          <w:tcPr>
            <w:tcW w:w="840" w:type="dxa"/>
            <w:vAlign w:val="bottom"/>
            <w:tcBorders>
              <w:bottom w:val="single" w:sz="8" w:color="auto"/>
              <w:right w:val="single" w:sz="8" w:color="auto"/>
            </w:tcBorders>
            <w:gridSpan w:val="2"/>
          </w:tcPr>
          <w:p>
            <w:pPr>
              <w:ind w:left="100"/>
              <w:spacing w:after="0"/>
              <w:rPr>
                <w:sz w:val="20"/>
                <w:szCs w:val="20"/>
                <w:color w:val="auto"/>
              </w:rPr>
            </w:pPr>
            <w:r>
              <w:rPr>
                <w:rFonts w:ascii="Arial" w:cs="Arial" w:eastAsia="Arial" w:hAnsi="Arial"/>
                <w:sz w:val="13"/>
                <w:szCs w:val="13"/>
                <w:b w:val="1"/>
                <w:bCs w:val="1"/>
                <w:color w:val="auto"/>
              </w:rPr>
              <w:t>Required)</w:t>
            </w:r>
          </w:p>
        </w:tc>
        <w:tc>
          <w:tcPr>
            <w:tcW w:w="140" w:type="dxa"/>
            <w:vAlign w:val="bottom"/>
            <w:tcBorders>
              <w:bottom w:val="single" w:sz="8" w:color="auto"/>
            </w:tcBorders>
          </w:tcPr>
          <w:p>
            <w:pPr>
              <w:spacing w:after="0"/>
              <w:rPr>
                <w:sz w:val="14"/>
                <w:szCs w:val="14"/>
                <w:color w:val="auto"/>
              </w:rPr>
            </w:pPr>
          </w:p>
        </w:tc>
        <w:tc>
          <w:tcPr>
            <w:tcW w:w="760" w:type="dxa"/>
            <w:vAlign w:val="bottom"/>
            <w:tcBorders>
              <w:bottom w:val="single" w:sz="8" w:color="auto"/>
              <w:right w:val="single" w:sz="8" w:color="auto"/>
            </w:tcBorders>
          </w:tcPr>
          <w:p>
            <w:pPr>
              <w:jc w:val="center"/>
              <w:ind w:right="152"/>
              <w:spacing w:after="0"/>
              <w:rPr>
                <w:sz w:val="20"/>
                <w:szCs w:val="20"/>
                <w:color w:val="auto"/>
              </w:rPr>
            </w:pPr>
            <w:r>
              <w:rPr>
                <w:rFonts w:ascii="Arial" w:cs="Arial" w:eastAsia="Arial" w:hAnsi="Arial"/>
                <w:sz w:val="13"/>
                <w:szCs w:val="13"/>
                <w:b w:val="1"/>
                <w:bCs w:val="1"/>
                <w:color w:val="auto"/>
                <w:w w:val="96"/>
              </w:rPr>
              <w:t>ment</w:t>
            </w:r>
          </w:p>
        </w:tc>
        <w:tc>
          <w:tcPr>
            <w:tcW w:w="700" w:type="dxa"/>
            <w:vAlign w:val="bottom"/>
            <w:tcBorders>
              <w:bottom w:val="single" w:sz="8" w:color="auto"/>
              <w:right w:val="single" w:sz="8" w:color="auto"/>
            </w:tcBorders>
            <w:gridSpan w:val="2"/>
          </w:tcPr>
          <w:p>
            <w:pPr>
              <w:ind w:left="80"/>
              <w:spacing w:after="0"/>
              <w:rPr>
                <w:sz w:val="20"/>
                <w:szCs w:val="20"/>
                <w:color w:val="auto"/>
              </w:rPr>
            </w:pPr>
            <w:r>
              <w:rPr>
                <w:rFonts w:ascii="Arial" w:cs="Arial" w:eastAsia="Arial" w:hAnsi="Arial"/>
                <w:sz w:val="13"/>
                <w:szCs w:val="13"/>
                <w:b w:val="1"/>
                <w:bCs w:val="1"/>
                <w:color w:val="auto"/>
              </w:rPr>
              <w:t>Security</w:t>
            </w:r>
          </w:p>
        </w:tc>
        <w:tc>
          <w:tcPr>
            <w:tcW w:w="160" w:type="dxa"/>
            <w:vAlign w:val="bottom"/>
            <w:tcBorders>
              <w:bottom w:val="single" w:sz="8" w:color="auto"/>
            </w:tcBorders>
          </w:tcPr>
          <w:p>
            <w:pPr>
              <w:spacing w:after="0"/>
              <w:rPr>
                <w:sz w:val="14"/>
                <w:szCs w:val="14"/>
                <w:color w:val="auto"/>
              </w:rPr>
            </w:pPr>
          </w:p>
        </w:tc>
        <w:tc>
          <w:tcPr>
            <w:tcW w:w="720" w:type="dxa"/>
            <w:vAlign w:val="bottom"/>
            <w:tcBorders>
              <w:bottom w:val="single" w:sz="8" w:color="auto"/>
              <w:right w:val="single" w:sz="8" w:color="auto"/>
            </w:tcBorders>
          </w:tcPr>
          <w:p>
            <w:pPr>
              <w:jc w:val="center"/>
              <w:ind w:right="153"/>
              <w:spacing w:after="0"/>
              <w:rPr>
                <w:sz w:val="20"/>
                <w:szCs w:val="20"/>
                <w:color w:val="auto"/>
              </w:rPr>
            </w:pPr>
            <w:r>
              <w:rPr>
                <w:rFonts w:ascii="Arial" w:cs="Arial" w:eastAsia="Arial" w:hAnsi="Arial"/>
                <w:sz w:val="13"/>
                <w:szCs w:val="13"/>
                <w:b w:val="1"/>
                <w:bCs w:val="1"/>
                <w:color w:val="auto"/>
                <w:w w:val="99"/>
              </w:rPr>
              <w:t>ships</w:t>
            </w:r>
            <w:r>
              <w:rPr>
                <w:rFonts w:ascii="Arial" w:cs="Arial" w:eastAsia="Arial" w:hAnsi="Arial"/>
                <w:sz w:val="10"/>
                <w:szCs w:val="10"/>
                <w:b w:val="1"/>
                <w:bCs w:val="1"/>
                <w:color w:val="auto"/>
                <w:w w:val="99"/>
              </w:rPr>
              <w:t>(c)</w:t>
            </w:r>
          </w:p>
        </w:tc>
        <w:tc>
          <w:tcPr>
            <w:tcW w:w="720" w:type="dxa"/>
            <w:vAlign w:val="bottom"/>
            <w:tcBorders>
              <w:bottom w:val="single" w:sz="8" w:color="auto"/>
              <w:right w:val="single" w:sz="8" w:color="auto"/>
            </w:tcBorders>
            <w:gridSpan w:val="2"/>
          </w:tcPr>
          <w:p>
            <w:pPr>
              <w:ind w:left="80"/>
              <w:spacing w:after="0"/>
              <w:rPr>
                <w:sz w:val="20"/>
                <w:szCs w:val="20"/>
                <w:color w:val="auto"/>
              </w:rPr>
            </w:pPr>
            <w:r>
              <w:rPr>
                <w:rFonts w:ascii="Arial" w:cs="Arial" w:eastAsia="Arial" w:hAnsi="Arial"/>
                <w:sz w:val="13"/>
                <w:szCs w:val="13"/>
                <w:b w:val="1"/>
                <w:bCs w:val="1"/>
                <w:color w:val="auto"/>
              </w:rPr>
              <w:t>Travel</w:t>
            </w:r>
            <w:r>
              <w:rPr>
                <w:rFonts w:ascii="Arial" w:cs="Arial" w:eastAsia="Arial" w:hAnsi="Arial"/>
                <w:sz w:val="10"/>
                <w:szCs w:val="10"/>
                <w:b w:val="1"/>
                <w:bCs w:val="1"/>
                <w:color w:val="auto"/>
              </w:rPr>
              <w:t>(d)</w:t>
            </w:r>
          </w:p>
        </w:tc>
        <w:tc>
          <w:tcPr>
            <w:tcW w:w="840" w:type="dxa"/>
            <w:vAlign w:val="bottom"/>
            <w:tcBorders>
              <w:bottom w:val="single" w:sz="8" w:color="auto"/>
              <w:right w:val="single" w:sz="8" w:color="auto"/>
            </w:tcBorders>
            <w:gridSpan w:val="2"/>
          </w:tcPr>
          <w:p>
            <w:pPr>
              <w:jc w:val="center"/>
              <w:spacing w:after="0"/>
              <w:rPr>
                <w:sz w:val="20"/>
                <w:szCs w:val="20"/>
                <w:color w:val="auto"/>
              </w:rPr>
            </w:pPr>
            <w:r>
              <w:rPr>
                <w:rFonts w:ascii="Arial" w:cs="Arial" w:eastAsia="Arial" w:hAnsi="Arial"/>
                <w:sz w:val="13"/>
                <w:szCs w:val="13"/>
                <w:b w:val="1"/>
                <w:bCs w:val="1"/>
                <w:color w:val="auto"/>
                <w:w w:val="98"/>
              </w:rPr>
              <w:t>Travel</w:t>
            </w:r>
            <w:r>
              <w:rPr>
                <w:rFonts w:ascii="Arial" w:cs="Arial" w:eastAsia="Arial" w:hAnsi="Arial"/>
                <w:sz w:val="10"/>
                <w:szCs w:val="10"/>
                <w:b w:val="1"/>
                <w:bCs w:val="1"/>
                <w:color w:val="auto"/>
                <w:w w:val="98"/>
              </w:rPr>
              <w:t>(e)</w:t>
            </w:r>
          </w:p>
        </w:tc>
        <w:tc>
          <w:tcPr>
            <w:tcW w:w="760" w:type="dxa"/>
            <w:vAlign w:val="bottom"/>
            <w:tcBorders>
              <w:bottom w:val="single" w:sz="8" w:color="auto"/>
              <w:right w:val="single" w:sz="8" w:color="auto"/>
            </w:tcBorders>
          </w:tcPr>
          <w:p>
            <w:pPr>
              <w:ind w:left="60"/>
              <w:spacing w:after="0"/>
              <w:rPr>
                <w:sz w:val="20"/>
                <w:szCs w:val="20"/>
                <w:color w:val="auto"/>
              </w:rPr>
            </w:pPr>
            <w:r>
              <w:rPr>
                <w:rFonts w:ascii="Arial" w:cs="Arial" w:eastAsia="Arial" w:hAnsi="Arial"/>
                <w:sz w:val="13"/>
                <w:szCs w:val="13"/>
                <w:b w:val="1"/>
                <w:bCs w:val="1"/>
                <w:color w:val="auto"/>
              </w:rPr>
              <w:t>Other</w:t>
            </w:r>
            <w:r>
              <w:rPr>
                <w:rFonts w:ascii="Arial" w:cs="Arial" w:eastAsia="Arial" w:hAnsi="Arial"/>
                <w:sz w:val="10"/>
                <w:szCs w:val="10"/>
                <w:b w:val="1"/>
                <w:bCs w:val="1"/>
                <w:color w:val="auto"/>
              </w:rPr>
              <w:t>(f)</w:t>
            </w:r>
          </w:p>
        </w:tc>
        <w:tc>
          <w:tcPr>
            <w:tcW w:w="0" w:type="dxa"/>
            <w:vAlign w:val="bottom"/>
          </w:tcPr>
          <w:p>
            <w:pPr>
              <w:spacing w:after="0"/>
              <w:rPr>
                <w:sz w:val="1"/>
                <w:szCs w:val="1"/>
                <w:color w:val="auto"/>
              </w:rPr>
            </w:pPr>
          </w:p>
        </w:tc>
      </w:tr>
      <w:tr>
        <w:trPr>
          <w:trHeight w:val="156"/>
        </w:trPr>
        <w:tc>
          <w:tcPr>
            <w:tcW w:w="2600" w:type="dxa"/>
            <w:vAlign w:val="bottom"/>
            <w:tcBorders>
              <w:left w:val="single" w:sz="8" w:color="auto"/>
              <w:bottom w:val="single" w:sz="8" w:color="auto"/>
              <w:right w:val="single" w:sz="8" w:color="auto"/>
            </w:tcBorders>
            <w:shd w:val="clear" w:color="auto" w:fill="CCEEFF"/>
          </w:tcPr>
          <w:p>
            <w:pPr>
              <w:ind w:left="160"/>
              <w:spacing w:after="0" w:line="155" w:lineRule="exact"/>
              <w:rPr>
                <w:sz w:val="20"/>
                <w:szCs w:val="20"/>
                <w:color w:val="auto"/>
              </w:rPr>
            </w:pPr>
            <w:r>
              <w:rPr>
                <w:rFonts w:ascii="Arial" w:cs="Arial" w:eastAsia="Arial" w:hAnsi="Arial"/>
                <w:sz w:val="14"/>
                <w:szCs w:val="14"/>
                <w:color w:val="auto"/>
              </w:rPr>
              <w:t>Ward J. Timken, Jr.</w:t>
            </w:r>
          </w:p>
        </w:tc>
        <w:tc>
          <w:tcPr>
            <w:tcW w:w="160" w:type="dxa"/>
            <w:vAlign w:val="bottom"/>
            <w:tcBorders>
              <w:bottom w:val="single" w:sz="8" w:color="auto"/>
            </w:tcBorders>
            <w:shd w:val="clear" w:color="auto" w:fill="CCEEFF"/>
          </w:tcPr>
          <w:p>
            <w:pPr>
              <w:ind w:left="80"/>
              <w:spacing w:after="0" w:line="155" w:lineRule="exact"/>
              <w:rPr>
                <w:sz w:val="20"/>
                <w:szCs w:val="20"/>
                <w:color w:val="auto"/>
              </w:rPr>
            </w:pPr>
            <w:r>
              <w:rPr>
                <w:rFonts w:ascii="Arial" w:cs="Arial" w:eastAsia="Arial" w:hAnsi="Arial"/>
                <w:sz w:val="14"/>
                <w:szCs w:val="14"/>
                <w:color w:val="auto"/>
                <w:w w:val="76"/>
              </w:rPr>
              <w:t>$</w:t>
            </w:r>
          </w:p>
        </w:tc>
        <w:tc>
          <w:tcPr>
            <w:tcW w:w="800" w:type="dxa"/>
            <w:vAlign w:val="bottom"/>
            <w:tcBorders>
              <w:bottom w:val="single" w:sz="8" w:color="auto"/>
              <w:right w:val="single" w:sz="8" w:color="auto"/>
            </w:tcBorders>
            <w:shd w:val="clear" w:color="auto" w:fill="CCEEFF"/>
          </w:tcPr>
          <w:p>
            <w:pPr>
              <w:jc w:val="right"/>
              <w:ind w:right="53"/>
              <w:spacing w:after="0" w:line="155" w:lineRule="exact"/>
              <w:rPr>
                <w:sz w:val="20"/>
                <w:szCs w:val="20"/>
                <w:color w:val="auto"/>
              </w:rPr>
            </w:pPr>
            <w:r>
              <w:rPr>
                <w:rFonts w:ascii="Arial" w:cs="Arial" w:eastAsia="Arial" w:hAnsi="Arial"/>
                <w:sz w:val="14"/>
                <w:szCs w:val="14"/>
                <w:color w:val="auto"/>
              </w:rPr>
              <w:t>22,525</w:t>
            </w:r>
          </w:p>
        </w:tc>
        <w:tc>
          <w:tcPr>
            <w:tcW w:w="160" w:type="dxa"/>
            <w:vAlign w:val="bottom"/>
            <w:tcBorders>
              <w:bottom w:val="single" w:sz="8" w:color="auto"/>
            </w:tcBorders>
            <w:shd w:val="clear" w:color="auto" w:fill="CCEEFF"/>
          </w:tcPr>
          <w:p>
            <w:pPr>
              <w:ind w:left="80"/>
              <w:spacing w:after="0" w:line="155" w:lineRule="exact"/>
              <w:rPr>
                <w:sz w:val="20"/>
                <w:szCs w:val="20"/>
                <w:color w:val="auto"/>
              </w:rPr>
            </w:pPr>
            <w:r>
              <w:rPr>
                <w:rFonts w:ascii="Arial" w:cs="Arial" w:eastAsia="Arial" w:hAnsi="Arial"/>
                <w:sz w:val="14"/>
                <w:szCs w:val="14"/>
                <w:color w:val="auto"/>
                <w:w w:val="76"/>
              </w:rPr>
              <w:t>$</w:t>
            </w:r>
          </w:p>
        </w:tc>
        <w:tc>
          <w:tcPr>
            <w:tcW w:w="800" w:type="dxa"/>
            <w:vAlign w:val="bottom"/>
            <w:tcBorders>
              <w:bottom w:val="single" w:sz="8" w:color="auto"/>
              <w:right w:val="single" w:sz="8" w:color="auto"/>
            </w:tcBorders>
            <w:shd w:val="clear" w:color="auto" w:fill="CCEEFF"/>
          </w:tcPr>
          <w:p>
            <w:pPr>
              <w:jc w:val="right"/>
              <w:ind w:right="53"/>
              <w:spacing w:after="0" w:line="155" w:lineRule="exact"/>
              <w:rPr>
                <w:sz w:val="20"/>
                <w:szCs w:val="20"/>
                <w:color w:val="auto"/>
              </w:rPr>
            </w:pPr>
            <w:r>
              <w:rPr>
                <w:rFonts w:ascii="Arial" w:cs="Arial" w:eastAsia="Arial" w:hAnsi="Arial"/>
                <w:sz w:val="14"/>
                <w:szCs w:val="14"/>
                <w:color w:val="auto"/>
              </w:rPr>
              <w:t>153,873</w:t>
            </w:r>
          </w:p>
        </w:tc>
        <w:tc>
          <w:tcPr>
            <w:tcW w:w="160" w:type="dxa"/>
            <w:vAlign w:val="bottom"/>
            <w:tcBorders>
              <w:bottom w:val="single" w:sz="8" w:color="auto"/>
            </w:tcBorders>
            <w:shd w:val="clear" w:color="auto" w:fill="CCEEFF"/>
          </w:tcPr>
          <w:p>
            <w:pPr>
              <w:ind w:left="80"/>
              <w:spacing w:after="0" w:line="155" w:lineRule="exact"/>
              <w:rPr>
                <w:sz w:val="20"/>
                <w:szCs w:val="20"/>
                <w:color w:val="auto"/>
              </w:rPr>
            </w:pPr>
            <w:r>
              <w:rPr>
                <w:rFonts w:ascii="Arial" w:cs="Arial" w:eastAsia="Arial" w:hAnsi="Arial"/>
                <w:sz w:val="14"/>
                <w:szCs w:val="14"/>
                <w:color w:val="auto"/>
                <w:w w:val="76"/>
              </w:rPr>
              <w:t>$</w:t>
            </w:r>
          </w:p>
        </w:tc>
        <w:tc>
          <w:tcPr>
            <w:tcW w:w="660" w:type="dxa"/>
            <w:vAlign w:val="bottom"/>
            <w:tcBorders>
              <w:bottom w:val="single" w:sz="8" w:color="auto"/>
              <w:right w:val="single" w:sz="8" w:color="auto"/>
            </w:tcBorders>
            <w:shd w:val="clear" w:color="auto" w:fill="CCEEFF"/>
          </w:tcPr>
          <w:p>
            <w:pPr>
              <w:jc w:val="right"/>
              <w:ind w:right="52"/>
              <w:spacing w:after="0" w:line="155" w:lineRule="exact"/>
              <w:rPr>
                <w:sz w:val="20"/>
                <w:szCs w:val="20"/>
                <w:color w:val="auto"/>
              </w:rPr>
            </w:pPr>
            <w:r>
              <w:rPr>
                <w:rFonts w:ascii="Arial" w:cs="Arial" w:eastAsia="Arial" w:hAnsi="Arial"/>
                <w:sz w:val="14"/>
                <w:szCs w:val="14"/>
                <w:color w:val="auto"/>
              </w:rPr>
              <w:t>2,937</w:t>
            </w:r>
          </w:p>
        </w:tc>
        <w:tc>
          <w:tcPr>
            <w:tcW w:w="260" w:type="dxa"/>
            <w:vAlign w:val="bottom"/>
            <w:tcBorders>
              <w:bottom w:val="single" w:sz="8" w:color="auto"/>
            </w:tcBorders>
            <w:shd w:val="clear" w:color="auto" w:fill="CCEEFF"/>
          </w:tcPr>
          <w:p>
            <w:pPr>
              <w:ind w:left="80"/>
              <w:spacing w:after="0" w:line="155" w:lineRule="exact"/>
              <w:rPr>
                <w:sz w:val="20"/>
                <w:szCs w:val="20"/>
                <w:color w:val="auto"/>
              </w:rPr>
            </w:pPr>
            <w:r>
              <w:rPr>
                <w:rFonts w:ascii="Arial" w:cs="Arial" w:eastAsia="Arial" w:hAnsi="Arial"/>
                <w:sz w:val="14"/>
                <w:szCs w:val="14"/>
                <w:color w:val="auto"/>
              </w:rPr>
              <w:t>$</w:t>
            </w:r>
          </w:p>
        </w:tc>
        <w:tc>
          <w:tcPr>
            <w:tcW w:w="580" w:type="dxa"/>
            <w:vAlign w:val="bottom"/>
            <w:tcBorders>
              <w:bottom w:val="single" w:sz="8" w:color="auto"/>
              <w:right w:val="single" w:sz="8" w:color="auto"/>
            </w:tcBorders>
            <w:shd w:val="clear" w:color="auto" w:fill="CCEEFF"/>
          </w:tcPr>
          <w:p>
            <w:pPr>
              <w:jc w:val="right"/>
              <w:ind w:right="68"/>
              <w:spacing w:after="0" w:line="155" w:lineRule="exact"/>
              <w:rPr>
                <w:sz w:val="20"/>
                <w:szCs w:val="20"/>
                <w:color w:val="auto"/>
              </w:rPr>
            </w:pPr>
            <w:r>
              <w:rPr>
                <w:rFonts w:ascii="Arial" w:cs="Arial" w:eastAsia="Arial" w:hAnsi="Arial"/>
                <w:sz w:val="14"/>
                <w:szCs w:val="14"/>
                <w:color w:val="auto"/>
              </w:rPr>
              <w:t>1,340</w:t>
            </w:r>
          </w:p>
        </w:tc>
        <w:tc>
          <w:tcPr>
            <w:tcW w:w="140" w:type="dxa"/>
            <w:vAlign w:val="bottom"/>
            <w:tcBorders>
              <w:bottom w:val="single" w:sz="8" w:color="auto"/>
            </w:tcBorders>
            <w:shd w:val="clear" w:color="auto" w:fill="CCEEFF"/>
          </w:tcPr>
          <w:p>
            <w:pPr>
              <w:ind w:left="60"/>
              <w:spacing w:after="0" w:line="155" w:lineRule="exact"/>
              <w:rPr>
                <w:sz w:val="20"/>
                <w:szCs w:val="20"/>
                <w:color w:val="auto"/>
              </w:rPr>
            </w:pPr>
            <w:r>
              <w:rPr>
                <w:rFonts w:ascii="Arial" w:cs="Arial" w:eastAsia="Arial" w:hAnsi="Arial"/>
                <w:sz w:val="14"/>
                <w:szCs w:val="14"/>
                <w:color w:val="auto"/>
                <w:w w:val="76"/>
              </w:rPr>
              <w:t>$</w:t>
            </w:r>
          </w:p>
        </w:tc>
        <w:tc>
          <w:tcPr>
            <w:tcW w:w="760" w:type="dxa"/>
            <w:vAlign w:val="bottom"/>
            <w:tcBorders>
              <w:bottom w:val="single" w:sz="8" w:color="auto"/>
              <w:right w:val="single" w:sz="8" w:color="auto"/>
            </w:tcBorders>
            <w:shd w:val="clear" w:color="auto" w:fill="CCEEFF"/>
          </w:tcPr>
          <w:p>
            <w:pPr>
              <w:jc w:val="right"/>
              <w:ind w:right="72"/>
              <w:spacing w:after="0" w:line="155" w:lineRule="exact"/>
              <w:rPr>
                <w:sz w:val="20"/>
                <w:szCs w:val="20"/>
                <w:color w:val="auto"/>
              </w:rPr>
            </w:pPr>
            <w:r>
              <w:rPr>
                <w:rFonts w:ascii="Arial" w:cs="Arial" w:eastAsia="Arial" w:hAnsi="Arial"/>
                <w:sz w:val="14"/>
                <w:szCs w:val="14"/>
                <w:color w:val="auto"/>
              </w:rPr>
              <w:t>10,000</w:t>
            </w:r>
          </w:p>
        </w:tc>
        <w:tc>
          <w:tcPr>
            <w:tcW w:w="240" w:type="dxa"/>
            <w:vAlign w:val="bottom"/>
            <w:tcBorders>
              <w:bottom w:val="single" w:sz="8" w:color="auto"/>
            </w:tcBorders>
            <w:shd w:val="clear" w:color="auto" w:fill="CCEEFF"/>
          </w:tcPr>
          <w:p>
            <w:pPr>
              <w:ind w:left="80"/>
              <w:spacing w:after="0" w:line="155" w:lineRule="exact"/>
              <w:rPr>
                <w:sz w:val="20"/>
                <w:szCs w:val="20"/>
                <w:color w:val="auto"/>
              </w:rPr>
            </w:pPr>
            <w:r>
              <w:rPr>
                <w:rFonts w:ascii="Arial" w:cs="Arial" w:eastAsia="Arial" w:hAnsi="Arial"/>
                <w:sz w:val="14"/>
                <w:szCs w:val="14"/>
                <w:color w:val="auto"/>
              </w:rPr>
              <w:t>$</w:t>
            </w:r>
          </w:p>
        </w:tc>
        <w:tc>
          <w:tcPr>
            <w:tcW w:w="460" w:type="dxa"/>
            <w:vAlign w:val="bottom"/>
            <w:tcBorders>
              <w:bottom w:val="single" w:sz="8" w:color="auto"/>
              <w:right w:val="single" w:sz="8" w:color="auto"/>
            </w:tcBorders>
            <w:shd w:val="clear" w:color="auto" w:fill="CCEEFF"/>
          </w:tcPr>
          <w:p>
            <w:pPr>
              <w:jc w:val="right"/>
              <w:ind w:right="48"/>
              <w:spacing w:after="0" w:line="155" w:lineRule="exact"/>
              <w:rPr>
                <w:sz w:val="20"/>
                <w:szCs w:val="20"/>
                <w:color w:val="auto"/>
              </w:rPr>
            </w:pPr>
            <w:r>
              <w:rPr>
                <w:rFonts w:ascii="Arial" w:cs="Arial" w:eastAsia="Arial" w:hAnsi="Arial"/>
                <w:sz w:val="14"/>
                <w:szCs w:val="14"/>
                <w:color w:val="auto"/>
              </w:rPr>
              <w:t>525</w:t>
            </w:r>
          </w:p>
        </w:tc>
        <w:tc>
          <w:tcPr>
            <w:tcW w:w="160" w:type="dxa"/>
            <w:vAlign w:val="bottom"/>
            <w:tcBorders>
              <w:bottom w:val="single" w:sz="8" w:color="auto"/>
            </w:tcBorders>
            <w:shd w:val="clear" w:color="auto" w:fill="CCEEFF"/>
          </w:tcPr>
          <w:p>
            <w:pPr>
              <w:jc w:val="right"/>
              <w:spacing w:after="0" w:line="155" w:lineRule="exact"/>
              <w:rPr>
                <w:sz w:val="20"/>
                <w:szCs w:val="20"/>
                <w:color w:val="auto"/>
              </w:rPr>
            </w:pPr>
            <w:r>
              <w:rPr>
                <w:rFonts w:ascii="Arial" w:cs="Arial" w:eastAsia="Arial" w:hAnsi="Arial"/>
                <w:sz w:val="14"/>
                <w:szCs w:val="14"/>
                <w:color w:val="auto"/>
              </w:rPr>
              <w:t>$</w:t>
            </w:r>
          </w:p>
        </w:tc>
        <w:tc>
          <w:tcPr>
            <w:tcW w:w="720" w:type="dxa"/>
            <w:vAlign w:val="bottom"/>
            <w:tcBorders>
              <w:bottom w:val="single" w:sz="8" w:color="auto"/>
              <w:right w:val="single" w:sz="8" w:color="auto"/>
            </w:tcBorders>
            <w:shd w:val="clear" w:color="auto" w:fill="CCEEFF"/>
          </w:tcPr>
          <w:p>
            <w:pPr>
              <w:jc w:val="right"/>
              <w:ind w:right="73"/>
              <w:spacing w:after="0" w:line="155" w:lineRule="exact"/>
              <w:rPr>
                <w:sz w:val="20"/>
                <w:szCs w:val="20"/>
                <w:color w:val="auto"/>
              </w:rPr>
            </w:pPr>
            <w:r>
              <w:rPr>
                <w:rFonts w:ascii="Arial" w:cs="Arial" w:eastAsia="Arial" w:hAnsi="Arial"/>
                <w:sz w:val="14"/>
                <w:szCs w:val="14"/>
                <w:color w:val="auto"/>
              </w:rPr>
              <w:t>678</w:t>
            </w:r>
          </w:p>
        </w:tc>
        <w:tc>
          <w:tcPr>
            <w:tcW w:w="240" w:type="dxa"/>
            <w:vAlign w:val="bottom"/>
            <w:tcBorders>
              <w:bottom w:val="single" w:sz="8" w:color="auto"/>
            </w:tcBorders>
            <w:shd w:val="clear" w:color="auto" w:fill="CCEEFF"/>
          </w:tcPr>
          <w:p>
            <w:pPr>
              <w:ind w:left="80"/>
              <w:spacing w:after="0" w:line="155" w:lineRule="exact"/>
              <w:rPr>
                <w:sz w:val="20"/>
                <w:szCs w:val="20"/>
                <w:color w:val="auto"/>
              </w:rPr>
            </w:pPr>
            <w:r>
              <w:rPr>
                <w:rFonts w:ascii="Arial" w:cs="Arial" w:eastAsia="Arial" w:hAnsi="Arial"/>
                <w:sz w:val="14"/>
                <w:szCs w:val="14"/>
                <w:color w:val="auto"/>
              </w:rPr>
              <w:t>$</w:t>
            </w:r>
          </w:p>
        </w:tc>
        <w:tc>
          <w:tcPr>
            <w:tcW w:w="480" w:type="dxa"/>
            <w:vAlign w:val="bottom"/>
            <w:tcBorders>
              <w:bottom w:val="single" w:sz="8" w:color="auto"/>
              <w:right w:val="single" w:sz="8" w:color="auto"/>
            </w:tcBorders>
            <w:shd w:val="clear" w:color="auto" w:fill="CCEEFF"/>
          </w:tcPr>
          <w:p>
            <w:pPr>
              <w:jc w:val="right"/>
              <w:ind w:right="68"/>
              <w:spacing w:after="0" w:line="155" w:lineRule="exact"/>
              <w:rPr>
                <w:sz w:val="20"/>
                <w:szCs w:val="20"/>
                <w:color w:val="auto"/>
              </w:rPr>
            </w:pPr>
            <w:r>
              <w:rPr>
                <w:rFonts w:ascii="Arial" w:cs="Arial" w:eastAsia="Arial" w:hAnsi="Arial"/>
                <w:sz w:val="14"/>
                <w:szCs w:val="14"/>
                <w:color w:val="auto"/>
              </w:rPr>
              <w:t>293</w:t>
            </w:r>
          </w:p>
        </w:tc>
        <w:tc>
          <w:tcPr>
            <w:tcW w:w="160" w:type="dxa"/>
            <w:vAlign w:val="bottom"/>
            <w:tcBorders>
              <w:bottom w:val="single" w:sz="8" w:color="auto"/>
            </w:tcBorders>
            <w:shd w:val="clear" w:color="auto" w:fill="CCEEFF"/>
          </w:tcPr>
          <w:p>
            <w:pPr>
              <w:ind w:left="60"/>
              <w:spacing w:after="0" w:line="155" w:lineRule="exact"/>
              <w:rPr>
                <w:sz w:val="20"/>
                <w:szCs w:val="20"/>
                <w:color w:val="auto"/>
              </w:rPr>
            </w:pPr>
            <w:r>
              <w:rPr>
                <w:rFonts w:ascii="Arial" w:cs="Arial" w:eastAsia="Arial" w:hAnsi="Arial"/>
                <w:sz w:val="14"/>
                <w:szCs w:val="14"/>
                <w:color w:val="auto"/>
              </w:rPr>
              <w:t>$</w:t>
            </w:r>
          </w:p>
        </w:tc>
        <w:tc>
          <w:tcPr>
            <w:tcW w:w="680" w:type="dxa"/>
            <w:vAlign w:val="bottom"/>
            <w:tcBorders>
              <w:bottom w:val="single" w:sz="8" w:color="auto"/>
              <w:right w:val="single" w:sz="8" w:color="auto"/>
            </w:tcBorders>
            <w:shd w:val="clear" w:color="auto" w:fill="CCEEFF"/>
          </w:tcPr>
          <w:p>
            <w:pPr>
              <w:jc w:val="right"/>
              <w:ind w:right="73"/>
              <w:spacing w:after="0" w:line="155" w:lineRule="exact"/>
              <w:rPr>
                <w:sz w:val="20"/>
                <w:szCs w:val="20"/>
                <w:color w:val="auto"/>
              </w:rPr>
            </w:pPr>
            <w:r>
              <w:rPr>
                <w:rFonts w:ascii="Arial" w:cs="Arial" w:eastAsia="Arial" w:hAnsi="Arial"/>
                <w:sz w:val="14"/>
                <w:szCs w:val="14"/>
                <w:color w:val="auto"/>
              </w:rPr>
              <w:t>0</w:t>
            </w:r>
          </w:p>
        </w:tc>
        <w:tc>
          <w:tcPr>
            <w:tcW w:w="760" w:type="dxa"/>
            <w:vAlign w:val="bottom"/>
            <w:tcBorders>
              <w:bottom w:val="single" w:sz="8" w:color="auto"/>
              <w:right w:val="single" w:sz="8" w:color="auto"/>
            </w:tcBorders>
            <w:shd w:val="clear" w:color="auto" w:fill="CCEEFF"/>
          </w:tcPr>
          <w:p>
            <w:pPr>
              <w:ind w:left="60"/>
              <w:spacing w:after="0" w:line="155" w:lineRule="exact"/>
              <w:rPr>
                <w:sz w:val="20"/>
                <w:szCs w:val="20"/>
                <w:color w:val="auto"/>
              </w:rPr>
            </w:pPr>
            <w:r>
              <w:rPr>
                <w:rFonts w:ascii="Arial" w:cs="Arial" w:eastAsia="Arial" w:hAnsi="Arial"/>
                <w:sz w:val="14"/>
                <w:szCs w:val="14"/>
                <w:color w:val="auto"/>
              </w:rPr>
              <w:t>$1,469</w:t>
            </w:r>
          </w:p>
        </w:tc>
        <w:tc>
          <w:tcPr>
            <w:tcW w:w="0" w:type="dxa"/>
            <w:vAlign w:val="bottom"/>
          </w:tcPr>
          <w:p>
            <w:pPr>
              <w:spacing w:after="0"/>
              <w:rPr>
                <w:sz w:val="1"/>
                <w:szCs w:val="1"/>
                <w:color w:val="auto"/>
              </w:rPr>
            </w:pPr>
          </w:p>
        </w:tc>
      </w:tr>
      <w:tr>
        <w:trPr>
          <w:trHeight w:val="156"/>
        </w:trPr>
        <w:tc>
          <w:tcPr>
            <w:tcW w:w="2600" w:type="dxa"/>
            <w:vAlign w:val="bottom"/>
            <w:tcBorders>
              <w:left w:val="single" w:sz="8" w:color="auto"/>
              <w:bottom w:val="single" w:sz="8" w:color="auto"/>
              <w:right w:val="single" w:sz="8" w:color="auto"/>
            </w:tcBorders>
          </w:tcPr>
          <w:p>
            <w:pPr>
              <w:ind w:left="160"/>
              <w:spacing w:after="0" w:line="155" w:lineRule="exact"/>
              <w:rPr>
                <w:sz w:val="20"/>
                <w:szCs w:val="20"/>
                <w:color w:val="auto"/>
              </w:rPr>
            </w:pPr>
            <w:r>
              <w:rPr>
                <w:rFonts w:ascii="Arial" w:cs="Arial" w:eastAsia="Arial" w:hAnsi="Arial"/>
                <w:sz w:val="14"/>
                <w:szCs w:val="14"/>
                <w:color w:val="auto"/>
              </w:rPr>
              <w:t>Christopher J. Holding</w:t>
            </w:r>
          </w:p>
        </w:tc>
        <w:tc>
          <w:tcPr>
            <w:tcW w:w="160" w:type="dxa"/>
            <w:vAlign w:val="bottom"/>
            <w:tcBorders>
              <w:bottom w:val="single" w:sz="8" w:color="auto"/>
            </w:tcBorders>
          </w:tcPr>
          <w:p>
            <w:pPr>
              <w:ind w:left="80"/>
              <w:spacing w:after="0" w:line="155" w:lineRule="exact"/>
              <w:rPr>
                <w:sz w:val="20"/>
                <w:szCs w:val="20"/>
                <w:color w:val="auto"/>
              </w:rPr>
            </w:pPr>
            <w:r>
              <w:rPr>
                <w:rFonts w:ascii="Arial" w:cs="Arial" w:eastAsia="Arial" w:hAnsi="Arial"/>
                <w:sz w:val="14"/>
                <w:szCs w:val="14"/>
                <w:color w:val="auto"/>
                <w:w w:val="76"/>
              </w:rPr>
              <w:t>$</w:t>
            </w:r>
          </w:p>
        </w:tc>
        <w:tc>
          <w:tcPr>
            <w:tcW w:w="800" w:type="dxa"/>
            <w:vAlign w:val="bottom"/>
            <w:tcBorders>
              <w:bottom w:val="single" w:sz="8" w:color="auto"/>
              <w:right w:val="single" w:sz="8" w:color="auto"/>
            </w:tcBorders>
          </w:tcPr>
          <w:p>
            <w:pPr>
              <w:jc w:val="right"/>
              <w:ind w:right="53"/>
              <w:spacing w:after="0" w:line="155" w:lineRule="exact"/>
              <w:rPr>
                <w:sz w:val="20"/>
                <w:szCs w:val="20"/>
                <w:color w:val="auto"/>
              </w:rPr>
            </w:pPr>
            <w:r>
              <w:rPr>
                <w:rFonts w:ascii="Arial" w:cs="Arial" w:eastAsia="Arial" w:hAnsi="Arial"/>
                <w:sz w:val="14"/>
                <w:szCs w:val="14"/>
                <w:color w:val="auto"/>
              </w:rPr>
              <w:t>22,525</w:t>
            </w:r>
          </w:p>
        </w:tc>
        <w:tc>
          <w:tcPr>
            <w:tcW w:w="160" w:type="dxa"/>
            <w:vAlign w:val="bottom"/>
            <w:tcBorders>
              <w:bottom w:val="single" w:sz="8" w:color="auto"/>
            </w:tcBorders>
          </w:tcPr>
          <w:p>
            <w:pPr>
              <w:ind w:left="80"/>
              <w:spacing w:after="0" w:line="155" w:lineRule="exact"/>
              <w:rPr>
                <w:sz w:val="20"/>
                <w:szCs w:val="20"/>
                <w:color w:val="auto"/>
              </w:rPr>
            </w:pPr>
            <w:r>
              <w:rPr>
                <w:rFonts w:ascii="Arial" w:cs="Arial" w:eastAsia="Arial" w:hAnsi="Arial"/>
                <w:sz w:val="14"/>
                <w:szCs w:val="14"/>
                <w:color w:val="auto"/>
                <w:w w:val="76"/>
              </w:rPr>
              <w:t>$</w:t>
            </w:r>
          </w:p>
        </w:tc>
        <w:tc>
          <w:tcPr>
            <w:tcW w:w="800" w:type="dxa"/>
            <w:vAlign w:val="bottom"/>
            <w:tcBorders>
              <w:bottom w:val="single" w:sz="8" w:color="auto"/>
              <w:right w:val="single" w:sz="8" w:color="auto"/>
            </w:tcBorders>
          </w:tcPr>
          <w:p>
            <w:pPr>
              <w:jc w:val="right"/>
              <w:ind w:right="53"/>
              <w:spacing w:after="0" w:line="155" w:lineRule="exact"/>
              <w:rPr>
                <w:sz w:val="20"/>
                <w:szCs w:val="20"/>
                <w:color w:val="auto"/>
              </w:rPr>
            </w:pPr>
            <w:r>
              <w:rPr>
                <w:rFonts w:ascii="Arial" w:cs="Arial" w:eastAsia="Arial" w:hAnsi="Arial"/>
                <w:sz w:val="14"/>
                <w:szCs w:val="14"/>
                <w:color w:val="auto"/>
              </w:rPr>
              <w:t>26,128</w:t>
            </w:r>
          </w:p>
        </w:tc>
        <w:tc>
          <w:tcPr>
            <w:tcW w:w="160" w:type="dxa"/>
            <w:vAlign w:val="bottom"/>
            <w:tcBorders>
              <w:bottom w:val="single" w:sz="8" w:color="auto"/>
            </w:tcBorders>
          </w:tcPr>
          <w:p>
            <w:pPr>
              <w:ind w:left="80"/>
              <w:spacing w:after="0" w:line="155" w:lineRule="exact"/>
              <w:rPr>
                <w:sz w:val="20"/>
                <w:szCs w:val="20"/>
                <w:color w:val="auto"/>
              </w:rPr>
            </w:pPr>
            <w:r>
              <w:rPr>
                <w:rFonts w:ascii="Arial" w:cs="Arial" w:eastAsia="Arial" w:hAnsi="Arial"/>
                <w:sz w:val="14"/>
                <w:szCs w:val="14"/>
                <w:color w:val="auto"/>
                <w:w w:val="76"/>
              </w:rPr>
              <w:t>$</w:t>
            </w:r>
          </w:p>
        </w:tc>
        <w:tc>
          <w:tcPr>
            <w:tcW w:w="660" w:type="dxa"/>
            <w:vAlign w:val="bottom"/>
            <w:tcBorders>
              <w:bottom w:val="single" w:sz="8" w:color="auto"/>
              <w:right w:val="single" w:sz="8" w:color="auto"/>
            </w:tcBorders>
          </w:tcPr>
          <w:p>
            <w:pPr>
              <w:jc w:val="right"/>
              <w:ind w:right="52"/>
              <w:spacing w:after="0" w:line="155" w:lineRule="exact"/>
              <w:rPr>
                <w:sz w:val="20"/>
                <w:szCs w:val="20"/>
                <w:color w:val="auto"/>
              </w:rPr>
            </w:pPr>
            <w:r>
              <w:rPr>
                <w:rFonts w:ascii="Arial" w:cs="Arial" w:eastAsia="Arial" w:hAnsi="Arial"/>
                <w:sz w:val="14"/>
                <w:szCs w:val="14"/>
                <w:color w:val="auto"/>
              </w:rPr>
              <w:t>0</w:t>
            </w:r>
          </w:p>
        </w:tc>
        <w:tc>
          <w:tcPr>
            <w:tcW w:w="260" w:type="dxa"/>
            <w:vAlign w:val="bottom"/>
            <w:tcBorders>
              <w:bottom w:val="single" w:sz="8" w:color="auto"/>
            </w:tcBorders>
          </w:tcPr>
          <w:p>
            <w:pPr>
              <w:ind w:left="80"/>
              <w:spacing w:after="0" w:line="155" w:lineRule="exact"/>
              <w:rPr>
                <w:sz w:val="20"/>
                <w:szCs w:val="20"/>
                <w:color w:val="auto"/>
              </w:rPr>
            </w:pPr>
            <w:r>
              <w:rPr>
                <w:rFonts w:ascii="Arial" w:cs="Arial" w:eastAsia="Arial" w:hAnsi="Arial"/>
                <w:sz w:val="14"/>
                <w:szCs w:val="14"/>
                <w:color w:val="auto"/>
              </w:rPr>
              <w:t>$</w:t>
            </w:r>
          </w:p>
        </w:tc>
        <w:tc>
          <w:tcPr>
            <w:tcW w:w="580" w:type="dxa"/>
            <w:vAlign w:val="bottom"/>
            <w:tcBorders>
              <w:bottom w:val="single" w:sz="8" w:color="auto"/>
              <w:right w:val="single" w:sz="8" w:color="auto"/>
            </w:tcBorders>
          </w:tcPr>
          <w:p>
            <w:pPr>
              <w:jc w:val="right"/>
              <w:ind w:right="68"/>
              <w:spacing w:after="0" w:line="155" w:lineRule="exact"/>
              <w:rPr>
                <w:sz w:val="20"/>
                <w:szCs w:val="20"/>
                <w:color w:val="auto"/>
              </w:rPr>
            </w:pPr>
            <w:r>
              <w:rPr>
                <w:rFonts w:ascii="Arial" w:cs="Arial" w:eastAsia="Arial" w:hAnsi="Arial"/>
                <w:sz w:val="14"/>
                <w:szCs w:val="14"/>
                <w:color w:val="auto"/>
              </w:rPr>
              <w:t>1,289</w:t>
            </w:r>
          </w:p>
        </w:tc>
        <w:tc>
          <w:tcPr>
            <w:tcW w:w="140" w:type="dxa"/>
            <w:vAlign w:val="bottom"/>
            <w:tcBorders>
              <w:bottom w:val="single" w:sz="8" w:color="auto"/>
            </w:tcBorders>
          </w:tcPr>
          <w:p>
            <w:pPr>
              <w:ind w:left="60"/>
              <w:spacing w:after="0" w:line="155" w:lineRule="exact"/>
              <w:rPr>
                <w:sz w:val="20"/>
                <w:szCs w:val="20"/>
                <w:color w:val="auto"/>
              </w:rPr>
            </w:pPr>
            <w:r>
              <w:rPr>
                <w:rFonts w:ascii="Arial" w:cs="Arial" w:eastAsia="Arial" w:hAnsi="Arial"/>
                <w:sz w:val="14"/>
                <w:szCs w:val="14"/>
                <w:color w:val="auto"/>
                <w:w w:val="76"/>
              </w:rPr>
              <w:t>$</w:t>
            </w:r>
          </w:p>
        </w:tc>
        <w:tc>
          <w:tcPr>
            <w:tcW w:w="760" w:type="dxa"/>
            <w:vAlign w:val="bottom"/>
            <w:tcBorders>
              <w:bottom w:val="single" w:sz="8" w:color="auto"/>
              <w:right w:val="single" w:sz="8" w:color="auto"/>
            </w:tcBorders>
          </w:tcPr>
          <w:p>
            <w:pPr>
              <w:jc w:val="right"/>
              <w:ind w:right="72"/>
              <w:spacing w:after="0" w:line="155" w:lineRule="exact"/>
              <w:rPr>
                <w:sz w:val="20"/>
                <w:szCs w:val="20"/>
                <w:color w:val="auto"/>
              </w:rPr>
            </w:pPr>
            <w:r>
              <w:rPr>
                <w:rFonts w:ascii="Arial" w:cs="Arial" w:eastAsia="Arial" w:hAnsi="Arial"/>
                <w:sz w:val="14"/>
                <w:szCs w:val="14"/>
                <w:color w:val="auto"/>
              </w:rPr>
              <w:t>395</w:t>
            </w:r>
          </w:p>
        </w:tc>
        <w:tc>
          <w:tcPr>
            <w:tcW w:w="240" w:type="dxa"/>
            <w:vAlign w:val="bottom"/>
            <w:tcBorders>
              <w:bottom w:val="single" w:sz="8" w:color="auto"/>
            </w:tcBorders>
          </w:tcPr>
          <w:p>
            <w:pPr>
              <w:ind w:left="80"/>
              <w:spacing w:after="0" w:line="155" w:lineRule="exact"/>
              <w:rPr>
                <w:sz w:val="20"/>
                <w:szCs w:val="20"/>
                <w:color w:val="auto"/>
              </w:rPr>
            </w:pPr>
            <w:r>
              <w:rPr>
                <w:rFonts w:ascii="Arial" w:cs="Arial" w:eastAsia="Arial" w:hAnsi="Arial"/>
                <w:sz w:val="14"/>
                <w:szCs w:val="14"/>
                <w:color w:val="auto"/>
              </w:rPr>
              <w:t>$</w:t>
            </w:r>
          </w:p>
        </w:tc>
        <w:tc>
          <w:tcPr>
            <w:tcW w:w="460" w:type="dxa"/>
            <w:vAlign w:val="bottom"/>
            <w:tcBorders>
              <w:bottom w:val="single" w:sz="8" w:color="auto"/>
              <w:right w:val="single" w:sz="8" w:color="auto"/>
            </w:tcBorders>
          </w:tcPr>
          <w:p>
            <w:pPr>
              <w:jc w:val="right"/>
              <w:ind w:right="48"/>
              <w:spacing w:after="0" w:line="155" w:lineRule="exact"/>
              <w:rPr>
                <w:sz w:val="20"/>
                <w:szCs w:val="20"/>
                <w:color w:val="auto"/>
              </w:rPr>
            </w:pPr>
            <w:r>
              <w:rPr>
                <w:rFonts w:ascii="Arial" w:cs="Arial" w:eastAsia="Arial" w:hAnsi="Arial"/>
                <w:sz w:val="14"/>
                <w:szCs w:val="14"/>
                <w:color w:val="auto"/>
              </w:rPr>
              <w:t>0</w:t>
            </w:r>
          </w:p>
        </w:tc>
        <w:tc>
          <w:tcPr>
            <w:tcW w:w="160" w:type="dxa"/>
            <w:vAlign w:val="bottom"/>
            <w:tcBorders>
              <w:bottom w:val="single" w:sz="8" w:color="auto"/>
            </w:tcBorders>
          </w:tcPr>
          <w:p>
            <w:pPr>
              <w:jc w:val="right"/>
              <w:spacing w:after="0" w:line="155" w:lineRule="exact"/>
              <w:rPr>
                <w:sz w:val="20"/>
                <w:szCs w:val="20"/>
                <w:color w:val="auto"/>
              </w:rPr>
            </w:pPr>
            <w:r>
              <w:rPr>
                <w:rFonts w:ascii="Arial" w:cs="Arial" w:eastAsia="Arial" w:hAnsi="Arial"/>
                <w:sz w:val="14"/>
                <w:szCs w:val="14"/>
                <w:color w:val="auto"/>
              </w:rPr>
              <w:t>$</w:t>
            </w:r>
          </w:p>
        </w:tc>
        <w:tc>
          <w:tcPr>
            <w:tcW w:w="720" w:type="dxa"/>
            <w:vAlign w:val="bottom"/>
            <w:tcBorders>
              <w:bottom w:val="single" w:sz="8" w:color="auto"/>
              <w:right w:val="single" w:sz="8" w:color="auto"/>
            </w:tcBorders>
          </w:tcPr>
          <w:p>
            <w:pPr>
              <w:jc w:val="right"/>
              <w:ind w:right="73"/>
              <w:spacing w:after="0" w:line="155" w:lineRule="exact"/>
              <w:rPr>
                <w:sz w:val="20"/>
                <w:szCs w:val="20"/>
                <w:color w:val="auto"/>
              </w:rPr>
            </w:pPr>
            <w:r>
              <w:rPr>
                <w:rFonts w:ascii="Arial" w:cs="Arial" w:eastAsia="Arial" w:hAnsi="Arial"/>
                <w:sz w:val="14"/>
                <w:szCs w:val="14"/>
                <w:color w:val="auto"/>
              </w:rPr>
              <w:t>9,845</w:t>
            </w:r>
          </w:p>
        </w:tc>
        <w:tc>
          <w:tcPr>
            <w:tcW w:w="240" w:type="dxa"/>
            <w:vAlign w:val="bottom"/>
            <w:tcBorders>
              <w:bottom w:val="single" w:sz="8" w:color="auto"/>
            </w:tcBorders>
          </w:tcPr>
          <w:p>
            <w:pPr>
              <w:ind w:left="80"/>
              <w:spacing w:after="0" w:line="155" w:lineRule="exact"/>
              <w:rPr>
                <w:sz w:val="20"/>
                <w:szCs w:val="20"/>
                <w:color w:val="auto"/>
              </w:rPr>
            </w:pPr>
            <w:r>
              <w:rPr>
                <w:rFonts w:ascii="Arial" w:cs="Arial" w:eastAsia="Arial" w:hAnsi="Arial"/>
                <w:sz w:val="14"/>
                <w:szCs w:val="14"/>
                <w:color w:val="auto"/>
              </w:rPr>
              <w:t>$</w:t>
            </w:r>
          </w:p>
        </w:tc>
        <w:tc>
          <w:tcPr>
            <w:tcW w:w="480" w:type="dxa"/>
            <w:vAlign w:val="bottom"/>
            <w:tcBorders>
              <w:bottom w:val="single" w:sz="8" w:color="auto"/>
              <w:right w:val="single" w:sz="8" w:color="auto"/>
            </w:tcBorders>
          </w:tcPr>
          <w:p>
            <w:pPr>
              <w:jc w:val="right"/>
              <w:ind w:right="68"/>
              <w:spacing w:after="0" w:line="155" w:lineRule="exact"/>
              <w:rPr>
                <w:sz w:val="20"/>
                <w:szCs w:val="20"/>
                <w:color w:val="auto"/>
              </w:rPr>
            </w:pPr>
            <w:r>
              <w:rPr>
                <w:rFonts w:ascii="Arial" w:cs="Arial" w:eastAsia="Arial" w:hAnsi="Arial"/>
                <w:sz w:val="14"/>
                <w:szCs w:val="14"/>
                <w:color w:val="auto"/>
              </w:rPr>
              <w:t>0</w:t>
            </w:r>
          </w:p>
        </w:tc>
        <w:tc>
          <w:tcPr>
            <w:tcW w:w="160" w:type="dxa"/>
            <w:vAlign w:val="bottom"/>
            <w:tcBorders>
              <w:bottom w:val="single" w:sz="8" w:color="auto"/>
            </w:tcBorders>
          </w:tcPr>
          <w:p>
            <w:pPr>
              <w:ind w:left="60"/>
              <w:spacing w:after="0" w:line="155" w:lineRule="exact"/>
              <w:rPr>
                <w:sz w:val="20"/>
                <w:szCs w:val="20"/>
                <w:color w:val="auto"/>
              </w:rPr>
            </w:pPr>
            <w:r>
              <w:rPr>
                <w:rFonts w:ascii="Arial" w:cs="Arial" w:eastAsia="Arial" w:hAnsi="Arial"/>
                <w:sz w:val="14"/>
                <w:szCs w:val="14"/>
                <w:color w:val="auto"/>
              </w:rPr>
              <w:t>$</w:t>
            </w:r>
          </w:p>
        </w:tc>
        <w:tc>
          <w:tcPr>
            <w:tcW w:w="680" w:type="dxa"/>
            <w:vAlign w:val="bottom"/>
            <w:tcBorders>
              <w:bottom w:val="single" w:sz="8" w:color="auto"/>
              <w:right w:val="single" w:sz="8" w:color="auto"/>
            </w:tcBorders>
          </w:tcPr>
          <w:p>
            <w:pPr>
              <w:jc w:val="right"/>
              <w:ind w:right="73"/>
              <w:spacing w:after="0" w:line="155" w:lineRule="exact"/>
              <w:rPr>
                <w:sz w:val="20"/>
                <w:szCs w:val="20"/>
                <w:color w:val="auto"/>
              </w:rPr>
            </w:pPr>
            <w:r>
              <w:rPr>
                <w:rFonts w:ascii="Arial" w:cs="Arial" w:eastAsia="Arial" w:hAnsi="Arial"/>
                <w:sz w:val="14"/>
                <w:szCs w:val="14"/>
                <w:color w:val="auto"/>
              </w:rPr>
              <w:t>0</w:t>
            </w:r>
          </w:p>
        </w:tc>
        <w:tc>
          <w:tcPr>
            <w:tcW w:w="760" w:type="dxa"/>
            <w:vAlign w:val="bottom"/>
            <w:tcBorders>
              <w:bottom w:val="single" w:sz="8" w:color="auto"/>
              <w:right w:val="single" w:sz="8" w:color="auto"/>
            </w:tcBorders>
          </w:tcPr>
          <w:p>
            <w:pPr>
              <w:ind w:left="60"/>
              <w:spacing w:after="0" w:line="155" w:lineRule="exact"/>
              <w:rPr>
                <w:sz w:val="20"/>
                <w:szCs w:val="20"/>
                <w:color w:val="auto"/>
              </w:rPr>
            </w:pPr>
            <w:r>
              <w:rPr>
                <w:rFonts w:ascii="Arial" w:cs="Arial" w:eastAsia="Arial" w:hAnsi="Arial"/>
                <w:sz w:val="14"/>
                <w:szCs w:val="14"/>
                <w:color w:val="auto"/>
              </w:rPr>
              <w:t>$1,548</w:t>
            </w:r>
          </w:p>
        </w:tc>
        <w:tc>
          <w:tcPr>
            <w:tcW w:w="0" w:type="dxa"/>
            <w:vAlign w:val="bottom"/>
          </w:tcPr>
          <w:p>
            <w:pPr>
              <w:spacing w:after="0"/>
              <w:rPr>
                <w:sz w:val="1"/>
                <w:szCs w:val="1"/>
                <w:color w:val="auto"/>
              </w:rPr>
            </w:pPr>
          </w:p>
        </w:tc>
      </w:tr>
      <w:tr>
        <w:trPr>
          <w:trHeight w:val="156"/>
        </w:trPr>
        <w:tc>
          <w:tcPr>
            <w:tcW w:w="2600" w:type="dxa"/>
            <w:vAlign w:val="bottom"/>
            <w:tcBorders>
              <w:left w:val="single" w:sz="8" w:color="auto"/>
              <w:bottom w:val="single" w:sz="8" w:color="auto"/>
              <w:right w:val="single" w:sz="8" w:color="auto"/>
            </w:tcBorders>
            <w:shd w:val="clear" w:color="auto" w:fill="CCEEFF"/>
          </w:tcPr>
          <w:p>
            <w:pPr>
              <w:ind w:left="160"/>
              <w:spacing w:after="0" w:line="155" w:lineRule="exact"/>
              <w:rPr>
                <w:sz w:val="20"/>
                <w:szCs w:val="20"/>
                <w:color w:val="auto"/>
              </w:rPr>
            </w:pPr>
            <w:r>
              <w:rPr>
                <w:rFonts w:ascii="Arial" w:cs="Arial" w:eastAsia="Arial" w:hAnsi="Arial"/>
                <w:sz w:val="14"/>
                <w:szCs w:val="14"/>
                <w:color w:val="auto"/>
              </w:rPr>
              <w:t>Donald L. Walker</w:t>
            </w:r>
          </w:p>
        </w:tc>
        <w:tc>
          <w:tcPr>
            <w:tcW w:w="160" w:type="dxa"/>
            <w:vAlign w:val="bottom"/>
            <w:tcBorders>
              <w:bottom w:val="single" w:sz="8" w:color="auto"/>
            </w:tcBorders>
            <w:shd w:val="clear" w:color="auto" w:fill="CCEEFF"/>
          </w:tcPr>
          <w:p>
            <w:pPr>
              <w:ind w:left="80"/>
              <w:spacing w:after="0" w:line="155" w:lineRule="exact"/>
              <w:rPr>
                <w:sz w:val="20"/>
                <w:szCs w:val="20"/>
                <w:color w:val="auto"/>
              </w:rPr>
            </w:pPr>
            <w:r>
              <w:rPr>
                <w:rFonts w:ascii="Arial" w:cs="Arial" w:eastAsia="Arial" w:hAnsi="Arial"/>
                <w:sz w:val="14"/>
                <w:szCs w:val="14"/>
                <w:color w:val="auto"/>
                <w:w w:val="76"/>
              </w:rPr>
              <w:t>$</w:t>
            </w:r>
          </w:p>
        </w:tc>
        <w:tc>
          <w:tcPr>
            <w:tcW w:w="800" w:type="dxa"/>
            <w:vAlign w:val="bottom"/>
            <w:tcBorders>
              <w:bottom w:val="single" w:sz="8" w:color="auto"/>
              <w:right w:val="single" w:sz="8" w:color="auto"/>
            </w:tcBorders>
            <w:shd w:val="clear" w:color="auto" w:fill="CCEEFF"/>
          </w:tcPr>
          <w:p>
            <w:pPr>
              <w:jc w:val="right"/>
              <w:ind w:right="53"/>
              <w:spacing w:after="0" w:line="155" w:lineRule="exact"/>
              <w:rPr>
                <w:sz w:val="20"/>
                <w:szCs w:val="20"/>
                <w:color w:val="auto"/>
              </w:rPr>
            </w:pPr>
            <w:r>
              <w:rPr>
                <w:rFonts w:ascii="Arial" w:cs="Arial" w:eastAsia="Arial" w:hAnsi="Arial"/>
                <w:sz w:val="14"/>
                <w:szCs w:val="14"/>
                <w:color w:val="auto"/>
              </w:rPr>
              <w:t>11,925</w:t>
            </w:r>
          </w:p>
        </w:tc>
        <w:tc>
          <w:tcPr>
            <w:tcW w:w="160" w:type="dxa"/>
            <w:vAlign w:val="bottom"/>
            <w:tcBorders>
              <w:bottom w:val="single" w:sz="8" w:color="auto"/>
            </w:tcBorders>
            <w:shd w:val="clear" w:color="auto" w:fill="CCEEFF"/>
          </w:tcPr>
          <w:p>
            <w:pPr>
              <w:ind w:left="80"/>
              <w:spacing w:after="0" w:line="155" w:lineRule="exact"/>
              <w:rPr>
                <w:sz w:val="20"/>
                <w:szCs w:val="20"/>
                <w:color w:val="auto"/>
              </w:rPr>
            </w:pPr>
            <w:r>
              <w:rPr>
                <w:rFonts w:ascii="Arial" w:cs="Arial" w:eastAsia="Arial" w:hAnsi="Arial"/>
                <w:sz w:val="14"/>
                <w:szCs w:val="14"/>
                <w:color w:val="auto"/>
                <w:w w:val="76"/>
              </w:rPr>
              <w:t>$</w:t>
            </w:r>
          </w:p>
        </w:tc>
        <w:tc>
          <w:tcPr>
            <w:tcW w:w="800" w:type="dxa"/>
            <w:vAlign w:val="bottom"/>
            <w:tcBorders>
              <w:bottom w:val="single" w:sz="8" w:color="auto"/>
              <w:right w:val="single" w:sz="8" w:color="auto"/>
            </w:tcBorders>
            <w:shd w:val="clear" w:color="auto" w:fill="CCEEFF"/>
          </w:tcPr>
          <w:p>
            <w:pPr>
              <w:jc w:val="right"/>
              <w:ind w:right="53"/>
              <w:spacing w:after="0" w:line="155" w:lineRule="exact"/>
              <w:rPr>
                <w:sz w:val="20"/>
                <w:szCs w:val="20"/>
                <w:color w:val="auto"/>
              </w:rPr>
            </w:pPr>
            <w:r>
              <w:rPr>
                <w:rFonts w:ascii="Arial" w:cs="Arial" w:eastAsia="Arial" w:hAnsi="Arial"/>
                <w:sz w:val="14"/>
                <w:szCs w:val="14"/>
                <w:color w:val="auto"/>
              </w:rPr>
              <w:t>15,989</w:t>
            </w:r>
          </w:p>
        </w:tc>
        <w:tc>
          <w:tcPr>
            <w:tcW w:w="160" w:type="dxa"/>
            <w:vAlign w:val="bottom"/>
            <w:tcBorders>
              <w:bottom w:val="single" w:sz="8" w:color="auto"/>
            </w:tcBorders>
            <w:shd w:val="clear" w:color="auto" w:fill="CCEEFF"/>
          </w:tcPr>
          <w:p>
            <w:pPr>
              <w:ind w:left="80"/>
              <w:spacing w:after="0" w:line="155" w:lineRule="exact"/>
              <w:rPr>
                <w:sz w:val="20"/>
                <w:szCs w:val="20"/>
                <w:color w:val="auto"/>
              </w:rPr>
            </w:pPr>
            <w:r>
              <w:rPr>
                <w:rFonts w:ascii="Arial" w:cs="Arial" w:eastAsia="Arial" w:hAnsi="Arial"/>
                <w:sz w:val="14"/>
                <w:szCs w:val="14"/>
                <w:color w:val="auto"/>
                <w:w w:val="76"/>
              </w:rPr>
              <w:t>$</w:t>
            </w:r>
          </w:p>
        </w:tc>
        <w:tc>
          <w:tcPr>
            <w:tcW w:w="660" w:type="dxa"/>
            <w:vAlign w:val="bottom"/>
            <w:tcBorders>
              <w:bottom w:val="single" w:sz="8" w:color="auto"/>
              <w:right w:val="single" w:sz="8" w:color="auto"/>
            </w:tcBorders>
            <w:shd w:val="clear" w:color="auto" w:fill="CCEEFF"/>
          </w:tcPr>
          <w:p>
            <w:pPr>
              <w:jc w:val="right"/>
              <w:ind w:right="52"/>
              <w:spacing w:after="0" w:line="155" w:lineRule="exact"/>
              <w:rPr>
                <w:sz w:val="20"/>
                <w:szCs w:val="20"/>
                <w:color w:val="auto"/>
              </w:rPr>
            </w:pPr>
            <w:r>
              <w:rPr>
                <w:rFonts w:ascii="Arial" w:cs="Arial" w:eastAsia="Arial" w:hAnsi="Arial"/>
                <w:sz w:val="14"/>
                <w:szCs w:val="14"/>
                <w:color w:val="auto"/>
              </w:rPr>
              <w:t>0</w:t>
            </w:r>
          </w:p>
        </w:tc>
        <w:tc>
          <w:tcPr>
            <w:tcW w:w="260" w:type="dxa"/>
            <w:vAlign w:val="bottom"/>
            <w:tcBorders>
              <w:bottom w:val="single" w:sz="8" w:color="auto"/>
            </w:tcBorders>
            <w:shd w:val="clear" w:color="auto" w:fill="CCEEFF"/>
          </w:tcPr>
          <w:p>
            <w:pPr>
              <w:ind w:left="80"/>
              <w:spacing w:after="0" w:line="155" w:lineRule="exact"/>
              <w:rPr>
                <w:sz w:val="20"/>
                <w:szCs w:val="20"/>
                <w:color w:val="auto"/>
              </w:rPr>
            </w:pPr>
            <w:r>
              <w:rPr>
                <w:rFonts w:ascii="Arial" w:cs="Arial" w:eastAsia="Arial" w:hAnsi="Arial"/>
                <w:sz w:val="14"/>
                <w:szCs w:val="14"/>
                <w:color w:val="auto"/>
              </w:rPr>
              <w:t>$</w:t>
            </w:r>
          </w:p>
        </w:tc>
        <w:tc>
          <w:tcPr>
            <w:tcW w:w="580" w:type="dxa"/>
            <w:vAlign w:val="bottom"/>
            <w:tcBorders>
              <w:bottom w:val="single" w:sz="8" w:color="auto"/>
              <w:right w:val="single" w:sz="8" w:color="auto"/>
            </w:tcBorders>
            <w:shd w:val="clear" w:color="auto" w:fill="CCEEFF"/>
          </w:tcPr>
          <w:p>
            <w:pPr>
              <w:jc w:val="right"/>
              <w:ind w:right="68"/>
              <w:spacing w:after="0" w:line="155" w:lineRule="exact"/>
              <w:rPr>
                <w:sz w:val="20"/>
                <w:szCs w:val="20"/>
                <w:color w:val="auto"/>
              </w:rPr>
            </w:pPr>
            <w:r>
              <w:rPr>
                <w:rFonts w:ascii="Arial" w:cs="Arial" w:eastAsia="Arial" w:hAnsi="Arial"/>
                <w:sz w:val="14"/>
                <w:szCs w:val="14"/>
                <w:color w:val="auto"/>
              </w:rPr>
              <w:t>1,189</w:t>
            </w:r>
          </w:p>
        </w:tc>
        <w:tc>
          <w:tcPr>
            <w:tcW w:w="140" w:type="dxa"/>
            <w:vAlign w:val="bottom"/>
            <w:tcBorders>
              <w:bottom w:val="single" w:sz="8" w:color="auto"/>
            </w:tcBorders>
            <w:shd w:val="clear" w:color="auto" w:fill="CCEEFF"/>
          </w:tcPr>
          <w:p>
            <w:pPr>
              <w:ind w:left="60"/>
              <w:spacing w:after="0" w:line="155" w:lineRule="exact"/>
              <w:rPr>
                <w:sz w:val="20"/>
                <w:szCs w:val="20"/>
                <w:color w:val="auto"/>
              </w:rPr>
            </w:pPr>
            <w:r>
              <w:rPr>
                <w:rFonts w:ascii="Arial" w:cs="Arial" w:eastAsia="Arial" w:hAnsi="Arial"/>
                <w:sz w:val="14"/>
                <w:szCs w:val="14"/>
                <w:color w:val="auto"/>
                <w:w w:val="76"/>
              </w:rPr>
              <w:t>$</w:t>
            </w:r>
          </w:p>
        </w:tc>
        <w:tc>
          <w:tcPr>
            <w:tcW w:w="760" w:type="dxa"/>
            <w:vAlign w:val="bottom"/>
            <w:tcBorders>
              <w:bottom w:val="single" w:sz="8" w:color="auto"/>
              <w:right w:val="single" w:sz="8" w:color="auto"/>
            </w:tcBorders>
            <w:shd w:val="clear" w:color="auto" w:fill="CCEEFF"/>
          </w:tcPr>
          <w:p>
            <w:pPr>
              <w:jc w:val="right"/>
              <w:ind w:right="72"/>
              <w:spacing w:after="0" w:line="155" w:lineRule="exact"/>
              <w:rPr>
                <w:sz w:val="20"/>
                <w:szCs w:val="20"/>
                <w:color w:val="auto"/>
              </w:rPr>
            </w:pPr>
            <w:r>
              <w:rPr>
                <w:rFonts w:ascii="Arial" w:cs="Arial" w:eastAsia="Arial" w:hAnsi="Arial"/>
                <w:sz w:val="14"/>
                <w:szCs w:val="14"/>
                <w:color w:val="auto"/>
              </w:rPr>
              <w:t>6,391</w:t>
            </w:r>
          </w:p>
        </w:tc>
        <w:tc>
          <w:tcPr>
            <w:tcW w:w="240" w:type="dxa"/>
            <w:vAlign w:val="bottom"/>
            <w:tcBorders>
              <w:bottom w:val="single" w:sz="8" w:color="auto"/>
            </w:tcBorders>
            <w:shd w:val="clear" w:color="auto" w:fill="CCEEFF"/>
          </w:tcPr>
          <w:p>
            <w:pPr>
              <w:ind w:left="80"/>
              <w:spacing w:after="0" w:line="155" w:lineRule="exact"/>
              <w:rPr>
                <w:sz w:val="20"/>
                <w:szCs w:val="20"/>
                <w:color w:val="auto"/>
              </w:rPr>
            </w:pPr>
            <w:r>
              <w:rPr>
                <w:rFonts w:ascii="Arial" w:cs="Arial" w:eastAsia="Arial" w:hAnsi="Arial"/>
                <w:sz w:val="14"/>
                <w:szCs w:val="14"/>
                <w:color w:val="auto"/>
              </w:rPr>
              <w:t>$</w:t>
            </w:r>
          </w:p>
        </w:tc>
        <w:tc>
          <w:tcPr>
            <w:tcW w:w="460" w:type="dxa"/>
            <w:vAlign w:val="bottom"/>
            <w:tcBorders>
              <w:bottom w:val="single" w:sz="8" w:color="auto"/>
              <w:right w:val="single" w:sz="8" w:color="auto"/>
            </w:tcBorders>
            <w:shd w:val="clear" w:color="auto" w:fill="CCEEFF"/>
          </w:tcPr>
          <w:p>
            <w:pPr>
              <w:jc w:val="right"/>
              <w:ind w:right="48"/>
              <w:spacing w:after="0" w:line="155" w:lineRule="exact"/>
              <w:rPr>
                <w:sz w:val="20"/>
                <w:szCs w:val="20"/>
                <w:color w:val="auto"/>
              </w:rPr>
            </w:pPr>
            <w:r>
              <w:rPr>
                <w:rFonts w:ascii="Arial" w:cs="Arial" w:eastAsia="Arial" w:hAnsi="Arial"/>
                <w:sz w:val="14"/>
                <w:szCs w:val="14"/>
                <w:color w:val="auto"/>
              </w:rPr>
              <w:t>336</w:t>
            </w:r>
          </w:p>
        </w:tc>
        <w:tc>
          <w:tcPr>
            <w:tcW w:w="160" w:type="dxa"/>
            <w:vAlign w:val="bottom"/>
            <w:tcBorders>
              <w:bottom w:val="single" w:sz="8" w:color="auto"/>
            </w:tcBorders>
            <w:shd w:val="clear" w:color="auto" w:fill="CCEEFF"/>
          </w:tcPr>
          <w:p>
            <w:pPr>
              <w:jc w:val="right"/>
              <w:spacing w:after="0" w:line="155" w:lineRule="exact"/>
              <w:rPr>
                <w:sz w:val="20"/>
                <w:szCs w:val="20"/>
                <w:color w:val="auto"/>
              </w:rPr>
            </w:pPr>
            <w:r>
              <w:rPr>
                <w:rFonts w:ascii="Arial" w:cs="Arial" w:eastAsia="Arial" w:hAnsi="Arial"/>
                <w:sz w:val="14"/>
                <w:szCs w:val="14"/>
                <w:color w:val="auto"/>
              </w:rPr>
              <w:t>$</w:t>
            </w:r>
          </w:p>
        </w:tc>
        <w:tc>
          <w:tcPr>
            <w:tcW w:w="720" w:type="dxa"/>
            <w:vAlign w:val="bottom"/>
            <w:tcBorders>
              <w:bottom w:val="single" w:sz="8" w:color="auto"/>
              <w:right w:val="single" w:sz="8" w:color="auto"/>
            </w:tcBorders>
            <w:shd w:val="clear" w:color="auto" w:fill="CCEEFF"/>
          </w:tcPr>
          <w:p>
            <w:pPr>
              <w:jc w:val="right"/>
              <w:ind w:right="73"/>
              <w:spacing w:after="0" w:line="155" w:lineRule="exact"/>
              <w:rPr>
                <w:sz w:val="20"/>
                <w:szCs w:val="20"/>
                <w:color w:val="auto"/>
              </w:rPr>
            </w:pPr>
            <w:r>
              <w:rPr>
                <w:rFonts w:ascii="Arial" w:cs="Arial" w:eastAsia="Arial" w:hAnsi="Arial"/>
                <w:sz w:val="14"/>
                <w:szCs w:val="14"/>
                <w:color w:val="auto"/>
              </w:rPr>
              <w:t>0</w:t>
            </w:r>
          </w:p>
        </w:tc>
        <w:tc>
          <w:tcPr>
            <w:tcW w:w="240" w:type="dxa"/>
            <w:vAlign w:val="bottom"/>
            <w:tcBorders>
              <w:bottom w:val="single" w:sz="8" w:color="auto"/>
            </w:tcBorders>
            <w:shd w:val="clear" w:color="auto" w:fill="CCEEFF"/>
          </w:tcPr>
          <w:p>
            <w:pPr>
              <w:ind w:left="80"/>
              <w:spacing w:after="0" w:line="155" w:lineRule="exact"/>
              <w:rPr>
                <w:sz w:val="20"/>
                <w:szCs w:val="20"/>
                <w:color w:val="auto"/>
              </w:rPr>
            </w:pPr>
            <w:r>
              <w:rPr>
                <w:rFonts w:ascii="Arial" w:cs="Arial" w:eastAsia="Arial" w:hAnsi="Arial"/>
                <w:sz w:val="14"/>
                <w:szCs w:val="14"/>
                <w:color w:val="auto"/>
              </w:rPr>
              <w:t>$</w:t>
            </w:r>
          </w:p>
        </w:tc>
        <w:tc>
          <w:tcPr>
            <w:tcW w:w="480" w:type="dxa"/>
            <w:vAlign w:val="bottom"/>
            <w:tcBorders>
              <w:bottom w:val="single" w:sz="8" w:color="auto"/>
              <w:right w:val="single" w:sz="8" w:color="auto"/>
            </w:tcBorders>
            <w:shd w:val="clear" w:color="auto" w:fill="CCEEFF"/>
          </w:tcPr>
          <w:p>
            <w:pPr>
              <w:jc w:val="right"/>
              <w:ind w:right="68"/>
              <w:spacing w:after="0" w:line="155" w:lineRule="exact"/>
              <w:rPr>
                <w:sz w:val="20"/>
                <w:szCs w:val="20"/>
                <w:color w:val="auto"/>
              </w:rPr>
            </w:pPr>
            <w:r>
              <w:rPr>
                <w:rFonts w:ascii="Arial" w:cs="Arial" w:eastAsia="Arial" w:hAnsi="Arial"/>
                <w:sz w:val="14"/>
                <w:szCs w:val="14"/>
                <w:color w:val="auto"/>
              </w:rPr>
              <w:t>0</w:t>
            </w:r>
          </w:p>
        </w:tc>
        <w:tc>
          <w:tcPr>
            <w:tcW w:w="160" w:type="dxa"/>
            <w:vAlign w:val="bottom"/>
            <w:tcBorders>
              <w:bottom w:val="single" w:sz="8" w:color="auto"/>
            </w:tcBorders>
            <w:shd w:val="clear" w:color="auto" w:fill="CCEEFF"/>
          </w:tcPr>
          <w:p>
            <w:pPr>
              <w:ind w:left="60"/>
              <w:spacing w:after="0" w:line="155" w:lineRule="exact"/>
              <w:rPr>
                <w:sz w:val="20"/>
                <w:szCs w:val="20"/>
                <w:color w:val="auto"/>
              </w:rPr>
            </w:pPr>
            <w:r>
              <w:rPr>
                <w:rFonts w:ascii="Arial" w:cs="Arial" w:eastAsia="Arial" w:hAnsi="Arial"/>
                <w:sz w:val="14"/>
                <w:szCs w:val="14"/>
                <w:color w:val="auto"/>
              </w:rPr>
              <w:t>$</w:t>
            </w:r>
          </w:p>
        </w:tc>
        <w:tc>
          <w:tcPr>
            <w:tcW w:w="680" w:type="dxa"/>
            <w:vAlign w:val="bottom"/>
            <w:tcBorders>
              <w:bottom w:val="single" w:sz="8" w:color="auto"/>
              <w:right w:val="single" w:sz="8" w:color="auto"/>
            </w:tcBorders>
            <w:shd w:val="clear" w:color="auto" w:fill="CCEEFF"/>
          </w:tcPr>
          <w:p>
            <w:pPr>
              <w:jc w:val="right"/>
              <w:ind w:right="73"/>
              <w:spacing w:after="0" w:line="155" w:lineRule="exact"/>
              <w:rPr>
                <w:sz w:val="20"/>
                <w:szCs w:val="20"/>
                <w:color w:val="auto"/>
              </w:rPr>
            </w:pPr>
            <w:r>
              <w:rPr>
                <w:rFonts w:ascii="Arial" w:cs="Arial" w:eastAsia="Arial" w:hAnsi="Arial"/>
                <w:sz w:val="14"/>
                <w:szCs w:val="14"/>
                <w:color w:val="auto"/>
              </w:rPr>
              <w:t>0</w:t>
            </w:r>
          </w:p>
        </w:tc>
        <w:tc>
          <w:tcPr>
            <w:tcW w:w="760" w:type="dxa"/>
            <w:vAlign w:val="bottom"/>
            <w:tcBorders>
              <w:bottom w:val="single" w:sz="8" w:color="auto"/>
              <w:right w:val="single" w:sz="8" w:color="auto"/>
            </w:tcBorders>
            <w:shd w:val="clear" w:color="auto" w:fill="CCEEFF"/>
          </w:tcPr>
          <w:p>
            <w:pPr>
              <w:ind w:left="60"/>
              <w:spacing w:after="0" w:line="155" w:lineRule="exact"/>
              <w:rPr>
                <w:sz w:val="20"/>
                <w:szCs w:val="20"/>
                <w:color w:val="auto"/>
              </w:rPr>
            </w:pPr>
            <w:r>
              <w:rPr>
                <w:rFonts w:ascii="Arial" w:cs="Arial" w:eastAsia="Arial" w:hAnsi="Arial"/>
                <w:sz w:val="14"/>
                <w:szCs w:val="14"/>
                <w:color w:val="auto"/>
              </w:rPr>
              <w:t>$1,631</w:t>
            </w:r>
          </w:p>
        </w:tc>
        <w:tc>
          <w:tcPr>
            <w:tcW w:w="0" w:type="dxa"/>
            <w:vAlign w:val="bottom"/>
          </w:tcPr>
          <w:p>
            <w:pPr>
              <w:spacing w:after="0"/>
              <w:rPr>
                <w:sz w:val="1"/>
                <w:szCs w:val="1"/>
                <w:color w:val="auto"/>
              </w:rPr>
            </w:pPr>
          </w:p>
        </w:tc>
      </w:tr>
      <w:tr>
        <w:trPr>
          <w:trHeight w:val="156"/>
        </w:trPr>
        <w:tc>
          <w:tcPr>
            <w:tcW w:w="2600" w:type="dxa"/>
            <w:vAlign w:val="bottom"/>
            <w:tcBorders>
              <w:left w:val="single" w:sz="8" w:color="auto"/>
              <w:bottom w:val="single" w:sz="8" w:color="auto"/>
              <w:right w:val="single" w:sz="8" w:color="auto"/>
            </w:tcBorders>
          </w:tcPr>
          <w:p>
            <w:pPr>
              <w:ind w:left="160"/>
              <w:spacing w:after="0" w:line="155" w:lineRule="exact"/>
              <w:rPr>
                <w:sz w:val="20"/>
                <w:szCs w:val="20"/>
                <w:color w:val="auto"/>
              </w:rPr>
            </w:pPr>
            <w:r>
              <w:rPr>
                <w:rFonts w:ascii="Arial" w:cs="Arial" w:eastAsia="Arial" w:hAnsi="Arial"/>
                <w:sz w:val="14"/>
                <w:szCs w:val="14"/>
                <w:color w:val="auto"/>
              </w:rPr>
              <w:t>Frank A. DiPiero</w:t>
            </w:r>
          </w:p>
        </w:tc>
        <w:tc>
          <w:tcPr>
            <w:tcW w:w="160" w:type="dxa"/>
            <w:vAlign w:val="bottom"/>
            <w:tcBorders>
              <w:bottom w:val="single" w:sz="8" w:color="auto"/>
            </w:tcBorders>
          </w:tcPr>
          <w:p>
            <w:pPr>
              <w:ind w:left="80"/>
              <w:spacing w:after="0" w:line="155" w:lineRule="exact"/>
              <w:rPr>
                <w:sz w:val="20"/>
                <w:szCs w:val="20"/>
                <w:color w:val="auto"/>
              </w:rPr>
            </w:pPr>
            <w:r>
              <w:rPr>
                <w:rFonts w:ascii="Arial" w:cs="Arial" w:eastAsia="Arial" w:hAnsi="Arial"/>
                <w:sz w:val="14"/>
                <w:szCs w:val="14"/>
                <w:color w:val="auto"/>
                <w:w w:val="76"/>
              </w:rPr>
              <w:t>$</w:t>
            </w:r>
          </w:p>
        </w:tc>
        <w:tc>
          <w:tcPr>
            <w:tcW w:w="800" w:type="dxa"/>
            <w:vAlign w:val="bottom"/>
            <w:tcBorders>
              <w:bottom w:val="single" w:sz="8" w:color="auto"/>
              <w:right w:val="single" w:sz="8" w:color="auto"/>
            </w:tcBorders>
          </w:tcPr>
          <w:p>
            <w:pPr>
              <w:jc w:val="right"/>
              <w:ind w:right="53"/>
              <w:spacing w:after="0" w:line="155" w:lineRule="exact"/>
              <w:rPr>
                <w:sz w:val="20"/>
                <w:szCs w:val="20"/>
                <w:color w:val="auto"/>
              </w:rPr>
            </w:pPr>
            <w:r>
              <w:rPr>
                <w:rFonts w:ascii="Arial" w:cs="Arial" w:eastAsia="Arial" w:hAnsi="Arial"/>
                <w:sz w:val="14"/>
                <w:szCs w:val="14"/>
                <w:color w:val="auto"/>
              </w:rPr>
              <w:t>24,175</w:t>
            </w:r>
          </w:p>
        </w:tc>
        <w:tc>
          <w:tcPr>
            <w:tcW w:w="160" w:type="dxa"/>
            <w:vAlign w:val="bottom"/>
            <w:tcBorders>
              <w:bottom w:val="single" w:sz="8" w:color="auto"/>
            </w:tcBorders>
          </w:tcPr>
          <w:p>
            <w:pPr>
              <w:ind w:left="80"/>
              <w:spacing w:after="0" w:line="155" w:lineRule="exact"/>
              <w:rPr>
                <w:sz w:val="20"/>
                <w:szCs w:val="20"/>
                <w:color w:val="auto"/>
              </w:rPr>
            </w:pPr>
            <w:r>
              <w:rPr>
                <w:rFonts w:ascii="Arial" w:cs="Arial" w:eastAsia="Arial" w:hAnsi="Arial"/>
                <w:sz w:val="14"/>
                <w:szCs w:val="14"/>
                <w:color w:val="auto"/>
                <w:w w:val="76"/>
              </w:rPr>
              <w:t>$</w:t>
            </w:r>
          </w:p>
        </w:tc>
        <w:tc>
          <w:tcPr>
            <w:tcW w:w="800" w:type="dxa"/>
            <w:vAlign w:val="bottom"/>
            <w:tcBorders>
              <w:bottom w:val="single" w:sz="8" w:color="auto"/>
              <w:right w:val="single" w:sz="8" w:color="auto"/>
            </w:tcBorders>
          </w:tcPr>
          <w:p>
            <w:pPr>
              <w:jc w:val="right"/>
              <w:ind w:right="53"/>
              <w:spacing w:after="0" w:line="155" w:lineRule="exact"/>
              <w:rPr>
                <w:sz w:val="20"/>
                <w:szCs w:val="20"/>
                <w:color w:val="auto"/>
              </w:rPr>
            </w:pPr>
            <w:r>
              <w:rPr>
                <w:rFonts w:ascii="Arial" w:cs="Arial" w:eastAsia="Arial" w:hAnsi="Arial"/>
                <w:sz w:val="14"/>
                <w:szCs w:val="14"/>
                <w:color w:val="auto"/>
              </w:rPr>
              <w:t>20,947</w:t>
            </w:r>
          </w:p>
        </w:tc>
        <w:tc>
          <w:tcPr>
            <w:tcW w:w="160" w:type="dxa"/>
            <w:vAlign w:val="bottom"/>
            <w:tcBorders>
              <w:bottom w:val="single" w:sz="8" w:color="auto"/>
            </w:tcBorders>
          </w:tcPr>
          <w:p>
            <w:pPr>
              <w:ind w:left="80"/>
              <w:spacing w:after="0" w:line="155" w:lineRule="exact"/>
              <w:rPr>
                <w:sz w:val="20"/>
                <w:szCs w:val="20"/>
                <w:color w:val="auto"/>
              </w:rPr>
            </w:pPr>
            <w:r>
              <w:rPr>
                <w:rFonts w:ascii="Arial" w:cs="Arial" w:eastAsia="Arial" w:hAnsi="Arial"/>
                <w:sz w:val="14"/>
                <w:szCs w:val="14"/>
                <w:color w:val="auto"/>
                <w:w w:val="76"/>
              </w:rPr>
              <w:t>$</w:t>
            </w:r>
          </w:p>
        </w:tc>
        <w:tc>
          <w:tcPr>
            <w:tcW w:w="660" w:type="dxa"/>
            <w:vAlign w:val="bottom"/>
            <w:tcBorders>
              <w:bottom w:val="single" w:sz="8" w:color="auto"/>
              <w:right w:val="single" w:sz="8" w:color="auto"/>
            </w:tcBorders>
          </w:tcPr>
          <w:p>
            <w:pPr>
              <w:jc w:val="right"/>
              <w:ind w:right="52"/>
              <w:spacing w:after="0" w:line="155" w:lineRule="exact"/>
              <w:rPr>
                <w:sz w:val="20"/>
                <w:szCs w:val="20"/>
                <w:color w:val="auto"/>
              </w:rPr>
            </w:pPr>
            <w:r>
              <w:rPr>
                <w:rFonts w:ascii="Arial" w:cs="Arial" w:eastAsia="Arial" w:hAnsi="Arial"/>
                <w:sz w:val="14"/>
                <w:szCs w:val="14"/>
                <w:color w:val="auto"/>
              </w:rPr>
              <w:t>0</w:t>
            </w:r>
          </w:p>
        </w:tc>
        <w:tc>
          <w:tcPr>
            <w:tcW w:w="260" w:type="dxa"/>
            <w:vAlign w:val="bottom"/>
            <w:tcBorders>
              <w:bottom w:val="single" w:sz="8" w:color="auto"/>
            </w:tcBorders>
          </w:tcPr>
          <w:p>
            <w:pPr>
              <w:ind w:left="80"/>
              <w:spacing w:after="0" w:line="155" w:lineRule="exact"/>
              <w:rPr>
                <w:sz w:val="20"/>
                <w:szCs w:val="20"/>
                <w:color w:val="auto"/>
              </w:rPr>
            </w:pPr>
            <w:r>
              <w:rPr>
                <w:rFonts w:ascii="Arial" w:cs="Arial" w:eastAsia="Arial" w:hAnsi="Arial"/>
                <w:sz w:val="14"/>
                <w:szCs w:val="14"/>
                <w:color w:val="auto"/>
              </w:rPr>
              <w:t>$</w:t>
            </w:r>
          </w:p>
        </w:tc>
        <w:tc>
          <w:tcPr>
            <w:tcW w:w="580" w:type="dxa"/>
            <w:vAlign w:val="bottom"/>
            <w:tcBorders>
              <w:bottom w:val="single" w:sz="8" w:color="auto"/>
              <w:right w:val="single" w:sz="8" w:color="auto"/>
            </w:tcBorders>
          </w:tcPr>
          <w:p>
            <w:pPr>
              <w:jc w:val="right"/>
              <w:ind w:right="68"/>
              <w:spacing w:after="0" w:line="155" w:lineRule="exact"/>
              <w:rPr>
                <w:sz w:val="20"/>
                <w:szCs w:val="20"/>
                <w:color w:val="auto"/>
              </w:rPr>
            </w:pPr>
            <w:r>
              <w:rPr>
                <w:rFonts w:ascii="Arial" w:cs="Arial" w:eastAsia="Arial" w:hAnsi="Arial"/>
                <w:sz w:val="14"/>
                <w:szCs w:val="14"/>
                <w:color w:val="auto"/>
              </w:rPr>
              <w:t>1,426</w:t>
            </w:r>
          </w:p>
        </w:tc>
        <w:tc>
          <w:tcPr>
            <w:tcW w:w="140" w:type="dxa"/>
            <w:vAlign w:val="bottom"/>
            <w:tcBorders>
              <w:bottom w:val="single" w:sz="8" w:color="auto"/>
            </w:tcBorders>
          </w:tcPr>
          <w:p>
            <w:pPr>
              <w:ind w:left="60"/>
              <w:spacing w:after="0" w:line="155" w:lineRule="exact"/>
              <w:rPr>
                <w:sz w:val="20"/>
                <w:szCs w:val="20"/>
                <w:color w:val="auto"/>
              </w:rPr>
            </w:pPr>
            <w:r>
              <w:rPr>
                <w:rFonts w:ascii="Arial" w:cs="Arial" w:eastAsia="Arial" w:hAnsi="Arial"/>
                <w:sz w:val="14"/>
                <w:szCs w:val="14"/>
                <w:color w:val="auto"/>
                <w:w w:val="76"/>
              </w:rPr>
              <w:t>$</w:t>
            </w:r>
          </w:p>
        </w:tc>
        <w:tc>
          <w:tcPr>
            <w:tcW w:w="760" w:type="dxa"/>
            <w:vAlign w:val="bottom"/>
            <w:tcBorders>
              <w:bottom w:val="single" w:sz="8" w:color="auto"/>
              <w:right w:val="single" w:sz="8" w:color="auto"/>
            </w:tcBorders>
          </w:tcPr>
          <w:p>
            <w:pPr>
              <w:jc w:val="right"/>
              <w:ind w:right="72"/>
              <w:spacing w:after="0" w:line="155" w:lineRule="exact"/>
              <w:rPr>
                <w:sz w:val="20"/>
                <w:szCs w:val="20"/>
                <w:color w:val="auto"/>
              </w:rPr>
            </w:pPr>
            <w:r>
              <w:rPr>
                <w:rFonts w:ascii="Arial" w:cs="Arial" w:eastAsia="Arial" w:hAnsi="Arial"/>
                <w:sz w:val="14"/>
                <w:szCs w:val="14"/>
                <w:color w:val="auto"/>
              </w:rPr>
              <w:t>2,520</w:t>
            </w:r>
          </w:p>
        </w:tc>
        <w:tc>
          <w:tcPr>
            <w:tcW w:w="240" w:type="dxa"/>
            <w:vAlign w:val="bottom"/>
            <w:tcBorders>
              <w:bottom w:val="single" w:sz="8" w:color="auto"/>
            </w:tcBorders>
          </w:tcPr>
          <w:p>
            <w:pPr>
              <w:ind w:left="80"/>
              <w:spacing w:after="0" w:line="155" w:lineRule="exact"/>
              <w:rPr>
                <w:sz w:val="20"/>
                <w:szCs w:val="20"/>
                <w:color w:val="auto"/>
              </w:rPr>
            </w:pPr>
            <w:r>
              <w:rPr>
                <w:rFonts w:ascii="Arial" w:cs="Arial" w:eastAsia="Arial" w:hAnsi="Arial"/>
                <w:sz w:val="14"/>
                <w:szCs w:val="14"/>
                <w:color w:val="auto"/>
              </w:rPr>
              <w:t>$</w:t>
            </w:r>
          </w:p>
        </w:tc>
        <w:tc>
          <w:tcPr>
            <w:tcW w:w="460" w:type="dxa"/>
            <w:vAlign w:val="bottom"/>
            <w:tcBorders>
              <w:bottom w:val="single" w:sz="8" w:color="auto"/>
              <w:right w:val="single" w:sz="8" w:color="auto"/>
            </w:tcBorders>
          </w:tcPr>
          <w:p>
            <w:pPr>
              <w:jc w:val="right"/>
              <w:ind w:right="48"/>
              <w:spacing w:after="0" w:line="155" w:lineRule="exact"/>
              <w:rPr>
                <w:sz w:val="20"/>
                <w:szCs w:val="20"/>
                <w:color w:val="auto"/>
              </w:rPr>
            </w:pPr>
            <w:r>
              <w:rPr>
                <w:rFonts w:ascii="Arial" w:cs="Arial" w:eastAsia="Arial" w:hAnsi="Arial"/>
                <w:sz w:val="14"/>
                <w:szCs w:val="14"/>
                <w:color w:val="auto"/>
              </w:rPr>
              <w:t>0</w:t>
            </w:r>
          </w:p>
        </w:tc>
        <w:tc>
          <w:tcPr>
            <w:tcW w:w="160" w:type="dxa"/>
            <w:vAlign w:val="bottom"/>
            <w:tcBorders>
              <w:bottom w:val="single" w:sz="8" w:color="auto"/>
            </w:tcBorders>
          </w:tcPr>
          <w:p>
            <w:pPr>
              <w:jc w:val="right"/>
              <w:spacing w:after="0" w:line="155" w:lineRule="exact"/>
              <w:rPr>
                <w:sz w:val="20"/>
                <w:szCs w:val="20"/>
                <w:color w:val="auto"/>
              </w:rPr>
            </w:pPr>
            <w:r>
              <w:rPr>
                <w:rFonts w:ascii="Arial" w:cs="Arial" w:eastAsia="Arial" w:hAnsi="Arial"/>
                <w:sz w:val="14"/>
                <w:szCs w:val="14"/>
                <w:color w:val="auto"/>
              </w:rPr>
              <w:t>$</w:t>
            </w:r>
          </w:p>
        </w:tc>
        <w:tc>
          <w:tcPr>
            <w:tcW w:w="720" w:type="dxa"/>
            <w:vAlign w:val="bottom"/>
            <w:tcBorders>
              <w:bottom w:val="single" w:sz="8" w:color="auto"/>
              <w:right w:val="single" w:sz="8" w:color="auto"/>
            </w:tcBorders>
          </w:tcPr>
          <w:p>
            <w:pPr>
              <w:jc w:val="right"/>
              <w:ind w:right="73"/>
              <w:spacing w:after="0" w:line="155" w:lineRule="exact"/>
              <w:rPr>
                <w:sz w:val="20"/>
                <w:szCs w:val="20"/>
                <w:color w:val="auto"/>
              </w:rPr>
            </w:pPr>
            <w:r>
              <w:rPr>
                <w:rFonts w:ascii="Arial" w:cs="Arial" w:eastAsia="Arial" w:hAnsi="Arial"/>
                <w:sz w:val="14"/>
                <w:szCs w:val="14"/>
                <w:color w:val="auto"/>
              </w:rPr>
              <w:t>0</w:t>
            </w:r>
          </w:p>
        </w:tc>
        <w:tc>
          <w:tcPr>
            <w:tcW w:w="240" w:type="dxa"/>
            <w:vAlign w:val="bottom"/>
            <w:tcBorders>
              <w:bottom w:val="single" w:sz="8" w:color="auto"/>
            </w:tcBorders>
          </w:tcPr>
          <w:p>
            <w:pPr>
              <w:ind w:left="80"/>
              <w:spacing w:after="0" w:line="155" w:lineRule="exact"/>
              <w:rPr>
                <w:sz w:val="20"/>
                <w:szCs w:val="20"/>
                <w:color w:val="auto"/>
              </w:rPr>
            </w:pPr>
            <w:r>
              <w:rPr>
                <w:rFonts w:ascii="Arial" w:cs="Arial" w:eastAsia="Arial" w:hAnsi="Arial"/>
                <w:sz w:val="14"/>
                <w:szCs w:val="14"/>
                <w:color w:val="auto"/>
              </w:rPr>
              <w:t>$</w:t>
            </w:r>
          </w:p>
        </w:tc>
        <w:tc>
          <w:tcPr>
            <w:tcW w:w="480" w:type="dxa"/>
            <w:vAlign w:val="bottom"/>
            <w:tcBorders>
              <w:bottom w:val="single" w:sz="8" w:color="auto"/>
              <w:right w:val="single" w:sz="8" w:color="auto"/>
            </w:tcBorders>
          </w:tcPr>
          <w:p>
            <w:pPr>
              <w:jc w:val="right"/>
              <w:ind w:right="68"/>
              <w:spacing w:after="0" w:line="155" w:lineRule="exact"/>
              <w:rPr>
                <w:sz w:val="20"/>
                <w:szCs w:val="20"/>
                <w:color w:val="auto"/>
              </w:rPr>
            </w:pPr>
            <w:r>
              <w:rPr>
                <w:rFonts w:ascii="Arial" w:cs="Arial" w:eastAsia="Arial" w:hAnsi="Arial"/>
                <w:sz w:val="14"/>
                <w:szCs w:val="14"/>
                <w:color w:val="auto"/>
              </w:rPr>
              <w:t>0</w:t>
            </w:r>
          </w:p>
        </w:tc>
        <w:tc>
          <w:tcPr>
            <w:tcW w:w="160" w:type="dxa"/>
            <w:vAlign w:val="bottom"/>
            <w:tcBorders>
              <w:bottom w:val="single" w:sz="8" w:color="auto"/>
            </w:tcBorders>
          </w:tcPr>
          <w:p>
            <w:pPr>
              <w:ind w:left="60"/>
              <w:spacing w:after="0" w:line="155" w:lineRule="exact"/>
              <w:rPr>
                <w:sz w:val="20"/>
                <w:szCs w:val="20"/>
                <w:color w:val="auto"/>
              </w:rPr>
            </w:pPr>
            <w:r>
              <w:rPr>
                <w:rFonts w:ascii="Arial" w:cs="Arial" w:eastAsia="Arial" w:hAnsi="Arial"/>
                <w:sz w:val="14"/>
                <w:szCs w:val="14"/>
                <w:color w:val="auto"/>
              </w:rPr>
              <w:t>$</w:t>
            </w:r>
          </w:p>
        </w:tc>
        <w:tc>
          <w:tcPr>
            <w:tcW w:w="680" w:type="dxa"/>
            <w:vAlign w:val="bottom"/>
            <w:tcBorders>
              <w:bottom w:val="single" w:sz="8" w:color="auto"/>
              <w:right w:val="single" w:sz="8" w:color="auto"/>
            </w:tcBorders>
          </w:tcPr>
          <w:p>
            <w:pPr>
              <w:jc w:val="right"/>
              <w:ind w:right="73"/>
              <w:spacing w:after="0" w:line="155" w:lineRule="exact"/>
              <w:rPr>
                <w:sz w:val="20"/>
                <w:szCs w:val="20"/>
                <w:color w:val="auto"/>
              </w:rPr>
            </w:pPr>
            <w:r>
              <w:rPr>
                <w:rFonts w:ascii="Arial" w:cs="Arial" w:eastAsia="Arial" w:hAnsi="Arial"/>
                <w:sz w:val="14"/>
                <w:szCs w:val="14"/>
                <w:color w:val="auto"/>
              </w:rPr>
              <w:t>0</w:t>
            </w:r>
          </w:p>
        </w:tc>
        <w:tc>
          <w:tcPr>
            <w:tcW w:w="760" w:type="dxa"/>
            <w:vAlign w:val="bottom"/>
            <w:tcBorders>
              <w:bottom w:val="single" w:sz="8" w:color="auto"/>
              <w:right w:val="single" w:sz="8" w:color="auto"/>
            </w:tcBorders>
          </w:tcPr>
          <w:p>
            <w:pPr>
              <w:ind w:left="60"/>
              <w:spacing w:after="0" w:line="155" w:lineRule="exact"/>
              <w:rPr>
                <w:sz w:val="20"/>
                <w:szCs w:val="20"/>
                <w:color w:val="auto"/>
              </w:rPr>
            </w:pPr>
            <w:r>
              <w:rPr>
                <w:rFonts w:ascii="Arial" w:cs="Arial" w:eastAsia="Arial" w:hAnsi="Arial"/>
                <w:sz w:val="14"/>
                <w:szCs w:val="14"/>
                <w:color w:val="auto"/>
              </w:rPr>
              <w:t>$1,553</w:t>
            </w:r>
          </w:p>
        </w:tc>
        <w:tc>
          <w:tcPr>
            <w:tcW w:w="0" w:type="dxa"/>
            <w:vAlign w:val="bottom"/>
          </w:tcPr>
          <w:p>
            <w:pPr>
              <w:spacing w:after="0"/>
              <w:rPr>
                <w:sz w:val="1"/>
                <w:szCs w:val="1"/>
                <w:color w:val="auto"/>
              </w:rPr>
            </w:pPr>
          </w:p>
        </w:tc>
      </w:tr>
    </w:tbl>
    <w:p>
      <w:pPr>
        <w:spacing w:after="0" w:line="210" w:lineRule="exact"/>
        <w:rPr>
          <w:sz w:val="20"/>
          <w:szCs w:val="20"/>
          <w:color w:val="auto"/>
        </w:rPr>
      </w:pPr>
    </w:p>
    <w:p>
      <w:pPr>
        <w:ind w:left="900" w:right="120" w:hanging="446"/>
        <w:spacing w:after="0" w:line="236" w:lineRule="auto"/>
        <w:tabs>
          <w:tab w:leader="none" w:pos="900" w:val="left"/>
        </w:tabs>
        <w:numPr>
          <w:ilvl w:val="0"/>
          <w:numId w:val="25"/>
        </w:numPr>
        <w:rPr>
          <w:rFonts w:ascii="Arial" w:cs="Arial" w:eastAsia="Arial" w:hAnsi="Arial"/>
          <w:sz w:val="15"/>
          <w:szCs w:val="15"/>
          <w:color w:val="auto"/>
        </w:rPr>
      </w:pPr>
      <w:r>
        <w:rPr>
          <w:rFonts w:ascii="Arial" w:cs="Arial" w:eastAsia="Arial" w:hAnsi="Arial"/>
          <w:sz w:val="17"/>
          <w:szCs w:val="17"/>
          <w:color w:val="auto"/>
        </w:rPr>
        <w:t>The “SIP Plan” refers to the Savings and Investment Pension Plan, which is the Company’s qualified defined contribution plan for salaried employees. “Core DC Program” refers to the core defined contribution program for all new salaried employees hired on or after January 1, 2004, as well as for salaried employees whose age plus years of service with The Timken Company equaled less than 50 as of December 31, 2003. Messrs. Timken, Holding and DiPiero participate in the Core DC Program.</w:t>
      </w:r>
    </w:p>
    <w:p>
      <w:pPr>
        <w:spacing w:after="0" w:line="203" w:lineRule="exact"/>
        <w:rPr>
          <w:rFonts w:ascii="Arial" w:cs="Arial" w:eastAsia="Arial" w:hAnsi="Arial"/>
          <w:sz w:val="15"/>
          <w:szCs w:val="15"/>
          <w:color w:val="auto"/>
        </w:rPr>
      </w:pPr>
    </w:p>
    <w:p>
      <w:pPr>
        <w:ind w:left="900" w:right="460" w:hanging="446"/>
        <w:spacing w:after="0" w:line="243" w:lineRule="auto"/>
        <w:tabs>
          <w:tab w:leader="none" w:pos="900" w:val="left"/>
        </w:tabs>
        <w:numPr>
          <w:ilvl w:val="0"/>
          <w:numId w:val="25"/>
        </w:numPr>
        <w:rPr>
          <w:rFonts w:ascii="Arial" w:cs="Arial" w:eastAsia="Arial" w:hAnsi="Arial"/>
          <w:sz w:val="15"/>
          <w:szCs w:val="15"/>
          <w:color w:val="auto"/>
        </w:rPr>
      </w:pPr>
      <w:r>
        <w:rPr>
          <w:rFonts w:ascii="Arial" w:cs="Arial" w:eastAsia="Arial" w:hAnsi="Arial"/>
          <w:sz w:val="17"/>
          <w:szCs w:val="17"/>
          <w:color w:val="auto"/>
        </w:rPr>
        <w:t>The “Post Tax Savings Benefit” is the Company’s non-tax qualified restoration benefit for salaried employees whose contributions and benefits in qualified retirement plans are limited by Section 415 of the Internal Revenue Code.</w:t>
      </w:r>
    </w:p>
    <w:p>
      <w:pPr>
        <w:spacing w:after="0" w:line="198" w:lineRule="exact"/>
        <w:rPr>
          <w:rFonts w:ascii="Arial" w:cs="Arial" w:eastAsia="Arial" w:hAnsi="Arial"/>
          <w:sz w:val="15"/>
          <w:szCs w:val="15"/>
          <w:color w:val="auto"/>
        </w:rPr>
      </w:pPr>
    </w:p>
    <w:p>
      <w:pPr>
        <w:ind w:left="900" w:right="40" w:hanging="446"/>
        <w:spacing w:after="0" w:line="238" w:lineRule="auto"/>
        <w:tabs>
          <w:tab w:leader="none" w:pos="900" w:val="left"/>
        </w:tabs>
        <w:numPr>
          <w:ilvl w:val="0"/>
          <w:numId w:val="25"/>
        </w:numPr>
        <w:rPr>
          <w:rFonts w:ascii="Arial" w:cs="Arial" w:eastAsia="Arial" w:hAnsi="Arial"/>
          <w:sz w:val="15"/>
          <w:szCs w:val="15"/>
          <w:color w:val="auto"/>
        </w:rPr>
      </w:pPr>
      <w:r>
        <w:rPr>
          <w:rFonts w:ascii="Arial" w:cs="Arial" w:eastAsia="Arial" w:hAnsi="Arial"/>
          <w:sz w:val="17"/>
          <w:szCs w:val="17"/>
          <w:color w:val="auto"/>
        </w:rPr>
        <w:t>The amounts shown for personal use of country club memberships reflect pro-rated amounts of Company-paid annual membership dues in 2015 attributed to the personal use of country clubs by the named executive officers. There are no incremental costs to the Company for other personal expenses associated with such personal use, as all such costs are borne by the officer.</w:t>
      </w:r>
    </w:p>
    <w:p>
      <w:pPr>
        <w:spacing w:after="0" w:line="145" w:lineRule="exact"/>
        <w:rPr>
          <w:sz w:val="20"/>
          <w:szCs w:val="20"/>
          <w:color w:val="auto"/>
        </w:rPr>
      </w:pPr>
    </w:p>
    <w:p>
      <w:pPr>
        <w:ind w:left="11180"/>
        <w:spacing w:after="0"/>
        <w:rPr>
          <w:sz w:val="20"/>
          <w:szCs w:val="20"/>
          <w:color w:val="auto"/>
        </w:rPr>
      </w:pPr>
      <w:r>
        <w:rPr>
          <w:rFonts w:ascii="Arial" w:cs="Arial" w:eastAsia="Arial" w:hAnsi="Arial"/>
          <w:sz w:val="14"/>
          <w:szCs w:val="14"/>
          <w:color w:val="auto"/>
        </w:rPr>
        <w:t>45</w:t>
      </w:r>
    </w:p>
    <w:p>
      <w:pPr>
        <w:sectPr>
          <w:pgSz w:w="11900" w:h="16838" w:orient="portrait"/>
          <w:cols w:equalWidth="0" w:num="1">
            <w:col w:w="11440"/>
          </w:cols>
          <w:pgMar w:left="240" w:top="459" w:right="219" w:bottom="1440" w:gutter="0" w:footer="0" w:header="0"/>
        </w:sectPr>
      </w:pPr>
    </w:p>
    <w:bookmarkStart w:id="51" w:name="page52"/>
    <w:bookmarkEnd w:id="5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56">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3109595</wp:posOffset>
            </wp:positionH>
            <wp:positionV relativeFrom="paragraph">
              <wp:posOffset>205740</wp:posOffset>
            </wp:positionV>
            <wp:extent cx="1046480" cy="205740"/>
            <wp:wrapNone/>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57">
                      <a:extLst>
                        <a:ext uri="{28A0092B-C50C-407E-A947-70E740481C1C}"/>
                      </a:extLst>
                    </a:blip>
                    <a:srcRect/>
                    <a:stretch>
                      <a:fillRect/>
                    </a:stretch>
                  </pic:blipFill>
                  <pic:spPr bwMode="auto">
                    <a:xfrm>
                      <a:off x="0" y="0"/>
                      <a:ext cx="1046480" cy="20574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7" w:lineRule="exact"/>
        <w:rPr>
          <w:sz w:val="20"/>
          <w:szCs w:val="20"/>
          <w:color w:val="auto"/>
        </w:rPr>
      </w:pPr>
    </w:p>
    <w:p>
      <w:pPr>
        <w:ind w:left="900" w:hanging="446"/>
        <w:spacing w:after="0" w:line="243" w:lineRule="auto"/>
        <w:tabs>
          <w:tab w:leader="none" w:pos="900" w:val="left"/>
        </w:tabs>
        <w:numPr>
          <w:ilvl w:val="0"/>
          <w:numId w:val="26"/>
        </w:numPr>
        <w:rPr>
          <w:rFonts w:ascii="Arial" w:cs="Arial" w:eastAsia="Arial" w:hAnsi="Arial"/>
          <w:sz w:val="15"/>
          <w:szCs w:val="15"/>
          <w:color w:val="auto"/>
        </w:rPr>
      </w:pPr>
      <w:r>
        <w:rPr>
          <w:rFonts w:ascii="Arial" w:cs="Arial" w:eastAsia="Arial" w:hAnsi="Arial"/>
          <w:sz w:val="17"/>
          <w:szCs w:val="17"/>
          <w:color w:val="auto"/>
        </w:rPr>
        <w:t>The amounts shown for spousal travel include actual incremental travel expenses, as well as estimated incremental costs of traveling on the Company’s aircraft (if used) when accompanying the NEO on business travel.</w:t>
      </w:r>
    </w:p>
    <w:p>
      <w:pPr>
        <w:spacing w:after="0" w:line="198" w:lineRule="exact"/>
        <w:rPr>
          <w:rFonts w:ascii="Arial" w:cs="Arial" w:eastAsia="Arial" w:hAnsi="Arial"/>
          <w:sz w:val="15"/>
          <w:szCs w:val="15"/>
          <w:color w:val="auto"/>
        </w:rPr>
      </w:pPr>
    </w:p>
    <w:p>
      <w:pPr>
        <w:ind w:left="900" w:hanging="446"/>
        <w:spacing w:after="0"/>
        <w:tabs>
          <w:tab w:leader="none" w:pos="900" w:val="left"/>
        </w:tabs>
        <w:numPr>
          <w:ilvl w:val="0"/>
          <w:numId w:val="26"/>
        </w:numPr>
        <w:rPr>
          <w:rFonts w:ascii="Arial" w:cs="Arial" w:eastAsia="Arial" w:hAnsi="Arial"/>
          <w:sz w:val="15"/>
          <w:szCs w:val="15"/>
          <w:color w:val="auto"/>
        </w:rPr>
      </w:pPr>
      <w:r>
        <w:rPr>
          <w:rFonts w:ascii="Arial" w:cs="Arial" w:eastAsia="Arial" w:hAnsi="Arial"/>
          <w:sz w:val="17"/>
          <w:szCs w:val="17"/>
          <w:color w:val="auto"/>
        </w:rPr>
        <w:t>The Company does not provide tax gross-ups for executive benefits.</w:t>
      </w:r>
    </w:p>
    <w:p>
      <w:pPr>
        <w:spacing w:after="0" w:line="209" w:lineRule="exact"/>
        <w:rPr>
          <w:rFonts w:ascii="Arial" w:cs="Arial" w:eastAsia="Arial" w:hAnsi="Arial"/>
          <w:sz w:val="15"/>
          <w:szCs w:val="15"/>
          <w:color w:val="auto"/>
        </w:rPr>
      </w:pPr>
    </w:p>
    <w:p>
      <w:pPr>
        <w:ind w:left="900" w:right="440" w:hanging="446"/>
        <w:spacing w:after="0" w:line="243" w:lineRule="auto"/>
        <w:tabs>
          <w:tab w:leader="none" w:pos="900" w:val="left"/>
        </w:tabs>
        <w:numPr>
          <w:ilvl w:val="0"/>
          <w:numId w:val="26"/>
        </w:numPr>
        <w:rPr>
          <w:rFonts w:ascii="Arial" w:cs="Arial" w:eastAsia="Arial" w:hAnsi="Arial"/>
          <w:sz w:val="15"/>
          <w:szCs w:val="15"/>
          <w:color w:val="auto"/>
        </w:rPr>
      </w:pPr>
      <w:r>
        <w:rPr>
          <w:rFonts w:ascii="Arial" w:cs="Arial" w:eastAsia="Arial" w:hAnsi="Arial"/>
          <w:sz w:val="17"/>
          <w:szCs w:val="17"/>
          <w:color w:val="auto"/>
        </w:rPr>
        <w:t>The amounts shown represent imputed income for the cost of pre-tax term life insurance (which is provided by the Company for all employees equal to one times their annual salary) for the portion that exceeds the IRS pre-tax limit of $50,000.</w:t>
      </w:r>
    </w:p>
    <w:p>
      <w:pPr>
        <w:spacing w:after="0" w:line="198" w:lineRule="exact"/>
        <w:rPr>
          <w:sz w:val="20"/>
          <w:szCs w:val="20"/>
          <w:color w:val="auto"/>
        </w:rPr>
      </w:pPr>
    </w:p>
    <w:p>
      <w:pPr>
        <w:ind w:left="460" w:right="100" w:hanging="452"/>
        <w:spacing w:after="0" w:line="243" w:lineRule="auto"/>
        <w:tabs>
          <w:tab w:leader="none" w:pos="460" w:val="left"/>
        </w:tabs>
        <w:numPr>
          <w:ilvl w:val="0"/>
          <w:numId w:val="27"/>
        </w:numPr>
        <w:rPr>
          <w:rFonts w:ascii="Arial" w:cs="Arial" w:eastAsia="Arial" w:hAnsi="Arial"/>
          <w:sz w:val="15"/>
          <w:szCs w:val="15"/>
          <w:color w:val="auto"/>
        </w:rPr>
      </w:pPr>
      <w:r>
        <w:rPr>
          <w:rFonts w:ascii="Arial" w:cs="Arial" w:eastAsia="Arial" w:hAnsi="Arial"/>
          <w:sz w:val="17"/>
          <w:szCs w:val="17"/>
          <w:color w:val="auto"/>
        </w:rPr>
        <w:t>Mr. DiPiero first became an employee of The Timken Company in March 2014. Accordingly, compensation is reported for Mr. DiPiero only for 2014 and 2015.</w:t>
      </w:r>
    </w:p>
    <w:p>
      <w:pPr>
        <w:spacing w:after="0" w:line="142" w:lineRule="exact"/>
        <w:rPr>
          <w:sz w:val="20"/>
          <w:szCs w:val="20"/>
          <w:color w:val="auto"/>
        </w:rPr>
      </w:pPr>
    </w:p>
    <w:p>
      <w:pPr>
        <w:spacing w:after="0"/>
        <w:rPr>
          <w:sz w:val="20"/>
          <w:szCs w:val="20"/>
          <w:color w:val="auto"/>
        </w:rPr>
      </w:pPr>
      <w:r>
        <w:rPr>
          <w:rFonts w:ascii="Arial" w:cs="Arial" w:eastAsia="Arial" w:hAnsi="Arial"/>
          <w:sz w:val="14"/>
          <w:szCs w:val="14"/>
          <w:color w:val="auto"/>
        </w:rPr>
        <w:t>46</w:t>
      </w:r>
    </w:p>
    <w:p>
      <w:pPr>
        <w:sectPr>
          <w:pgSz w:w="11900" w:h="16838" w:orient="portrait"/>
          <w:cols w:equalWidth="0" w:num="1">
            <w:col w:w="11180"/>
          </w:cols>
          <w:pgMar w:left="240" w:top="459" w:right="479" w:bottom="1440" w:gutter="0" w:footer="0" w:header="0"/>
        </w:sectPr>
      </w:pPr>
    </w:p>
    <w:bookmarkStart w:id="52" w:name="page53"/>
    <w:bookmarkEnd w:id="5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58">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2715260</wp:posOffset>
            </wp:positionH>
            <wp:positionV relativeFrom="paragraph">
              <wp:posOffset>205740</wp:posOffset>
            </wp:positionV>
            <wp:extent cx="1826895" cy="205740"/>
            <wp:wrapNone/>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59">
                      <a:extLst>
                        <a:ext uri="{28A0092B-C50C-407E-A947-70E740481C1C}"/>
                      </a:extLst>
                    </a:blip>
                    <a:srcRect/>
                    <a:stretch>
                      <a:fillRect/>
                    </a:stretch>
                  </pic:blipFill>
                  <pic:spPr bwMode="auto">
                    <a:xfrm>
                      <a:off x="0" y="0"/>
                      <a:ext cx="1826895" cy="20574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76" w:lineRule="exact"/>
        <w:rPr>
          <w:sz w:val="20"/>
          <w:szCs w:val="20"/>
          <w:color w:val="auto"/>
        </w:rPr>
      </w:pPr>
    </w:p>
    <w:p>
      <w:pPr>
        <w:spacing w:after="0"/>
        <w:rPr>
          <w:sz w:val="20"/>
          <w:szCs w:val="20"/>
          <w:color w:val="auto"/>
        </w:rPr>
      </w:pPr>
      <w:r>
        <w:rPr>
          <w:rFonts w:ascii="Arial" w:cs="Arial" w:eastAsia="Arial" w:hAnsi="Arial"/>
          <w:sz w:val="18"/>
          <w:szCs w:val="18"/>
          <w:color w:val="auto"/>
        </w:rPr>
        <w:t>2015 GRANTS OF PLAN-BASED AWARDS TABLE</w:t>
      </w:r>
    </w:p>
    <w:p>
      <w:pPr>
        <w:spacing w:after="0" w:line="220" w:lineRule="exact"/>
        <w:rPr>
          <w:sz w:val="20"/>
          <w:szCs w:val="20"/>
          <w:color w:val="auto"/>
        </w:rPr>
      </w:pPr>
    </w:p>
    <w:tbl>
      <w:tblPr>
        <w:tblLayout w:type="fixed"/>
        <w:tblInd w:w="10" w:type="dxa"/>
        <w:tblCellMar>
          <w:top w:w="0" w:type="dxa"/>
          <w:left w:w="0" w:type="dxa"/>
          <w:bottom w:w="0" w:type="dxa"/>
          <w:right w:w="0" w:type="dxa"/>
        </w:tblCellMar>
      </w:tblPr>
      <w:tr>
        <w:trPr>
          <w:trHeight w:val="120"/>
        </w:trPr>
        <w:tc>
          <w:tcPr>
            <w:tcW w:w="2100" w:type="dxa"/>
            <w:vAlign w:val="bottom"/>
            <w:tcBorders>
              <w:top w:val="single" w:sz="8" w:color="auto"/>
              <w:left w:val="single" w:sz="8" w:color="auto"/>
              <w:right w:val="single" w:sz="8" w:color="auto"/>
            </w:tcBorders>
          </w:tcPr>
          <w:p>
            <w:pPr>
              <w:spacing w:after="0"/>
              <w:rPr>
                <w:sz w:val="10"/>
                <w:szCs w:val="10"/>
                <w:color w:val="auto"/>
              </w:rPr>
            </w:pPr>
          </w:p>
        </w:tc>
        <w:tc>
          <w:tcPr>
            <w:tcW w:w="2160" w:type="dxa"/>
            <w:vAlign w:val="bottom"/>
            <w:tcBorders>
              <w:top w:val="single" w:sz="8" w:color="auto"/>
              <w:right w:val="single" w:sz="8" w:color="auto"/>
            </w:tcBorders>
          </w:tcPr>
          <w:p>
            <w:pPr>
              <w:spacing w:after="0"/>
              <w:rPr>
                <w:sz w:val="10"/>
                <w:szCs w:val="10"/>
                <w:color w:val="auto"/>
              </w:rPr>
            </w:pPr>
          </w:p>
        </w:tc>
        <w:tc>
          <w:tcPr>
            <w:tcW w:w="120" w:type="dxa"/>
            <w:vAlign w:val="bottom"/>
            <w:tcBorders>
              <w:top w:val="single" w:sz="8" w:color="auto"/>
            </w:tcBorders>
          </w:tcPr>
          <w:p>
            <w:pPr>
              <w:spacing w:after="0"/>
              <w:rPr>
                <w:sz w:val="10"/>
                <w:szCs w:val="10"/>
                <w:color w:val="auto"/>
              </w:rPr>
            </w:pPr>
          </w:p>
        </w:tc>
        <w:tc>
          <w:tcPr>
            <w:tcW w:w="580" w:type="dxa"/>
            <w:vAlign w:val="bottom"/>
            <w:tcBorders>
              <w:top w:val="single" w:sz="8" w:color="auto"/>
            </w:tcBorders>
          </w:tcPr>
          <w:p>
            <w:pPr>
              <w:spacing w:after="0"/>
              <w:rPr>
                <w:sz w:val="10"/>
                <w:szCs w:val="10"/>
                <w:color w:val="auto"/>
              </w:rPr>
            </w:pPr>
          </w:p>
        </w:tc>
        <w:tc>
          <w:tcPr>
            <w:tcW w:w="100" w:type="dxa"/>
            <w:vAlign w:val="bottom"/>
            <w:tcBorders>
              <w:top w:val="single" w:sz="8" w:color="auto"/>
            </w:tcBorders>
          </w:tcPr>
          <w:p>
            <w:pPr>
              <w:spacing w:after="0"/>
              <w:rPr>
                <w:sz w:val="10"/>
                <w:szCs w:val="10"/>
                <w:color w:val="auto"/>
              </w:rPr>
            </w:pPr>
          </w:p>
        </w:tc>
        <w:tc>
          <w:tcPr>
            <w:tcW w:w="620" w:type="dxa"/>
            <w:vAlign w:val="bottom"/>
            <w:tcBorders>
              <w:top w:val="single" w:sz="8" w:color="auto"/>
            </w:tcBorders>
          </w:tcPr>
          <w:p>
            <w:pPr>
              <w:spacing w:after="0"/>
              <w:rPr>
                <w:sz w:val="10"/>
                <w:szCs w:val="10"/>
                <w:color w:val="auto"/>
              </w:rPr>
            </w:pPr>
          </w:p>
        </w:tc>
        <w:tc>
          <w:tcPr>
            <w:tcW w:w="100" w:type="dxa"/>
            <w:vAlign w:val="bottom"/>
            <w:tcBorders>
              <w:top w:val="single" w:sz="8" w:color="auto"/>
            </w:tcBorders>
          </w:tcPr>
          <w:p>
            <w:pPr>
              <w:spacing w:after="0"/>
              <w:rPr>
                <w:sz w:val="10"/>
                <w:szCs w:val="10"/>
                <w:color w:val="auto"/>
              </w:rPr>
            </w:pPr>
          </w:p>
        </w:tc>
        <w:tc>
          <w:tcPr>
            <w:tcW w:w="600" w:type="dxa"/>
            <w:vAlign w:val="bottom"/>
            <w:tcBorders>
              <w:top w:val="single" w:sz="8" w:color="auto"/>
              <w:right w:val="single" w:sz="8" w:color="auto"/>
            </w:tcBorders>
          </w:tcPr>
          <w:p>
            <w:pPr>
              <w:spacing w:after="0"/>
              <w:rPr>
                <w:sz w:val="10"/>
                <w:szCs w:val="10"/>
                <w:color w:val="auto"/>
              </w:rPr>
            </w:pPr>
          </w:p>
        </w:tc>
        <w:tc>
          <w:tcPr>
            <w:tcW w:w="760" w:type="dxa"/>
            <w:vAlign w:val="bottom"/>
            <w:tcBorders>
              <w:top w:val="single" w:sz="8" w:color="auto"/>
            </w:tcBorders>
          </w:tcPr>
          <w:p>
            <w:pPr>
              <w:spacing w:after="0"/>
              <w:rPr>
                <w:sz w:val="10"/>
                <w:szCs w:val="10"/>
                <w:color w:val="auto"/>
              </w:rPr>
            </w:pPr>
          </w:p>
        </w:tc>
        <w:tc>
          <w:tcPr>
            <w:tcW w:w="560" w:type="dxa"/>
            <w:vAlign w:val="bottom"/>
            <w:tcBorders>
              <w:top w:val="single" w:sz="8" w:color="auto"/>
            </w:tcBorders>
          </w:tcPr>
          <w:p>
            <w:pPr>
              <w:spacing w:after="0"/>
              <w:rPr>
                <w:sz w:val="10"/>
                <w:szCs w:val="10"/>
                <w:color w:val="auto"/>
              </w:rPr>
            </w:pPr>
          </w:p>
        </w:tc>
        <w:tc>
          <w:tcPr>
            <w:tcW w:w="720" w:type="dxa"/>
            <w:vAlign w:val="bottom"/>
            <w:tcBorders>
              <w:top w:val="single" w:sz="8" w:color="auto"/>
              <w:right w:val="single" w:sz="8" w:color="auto"/>
            </w:tcBorders>
          </w:tcPr>
          <w:p>
            <w:pPr>
              <w:spacing w:after="0"/>
              <w:rPr>
                <w:sz w:val="10"/>
                <w:szCs w:val="10"/>
                <w:color w:val="auto"/>
              </w:rPr>
            </w:pPr>
          </w:p>
        </w:tc>
        <w:tc>
          <w:tcPr>
            <w:tcW w:w="720" w:type="dxa"/>
            <w:vAlign w:val="bottom"/>
            <w:tcBorders>
              <w:top w:val="single" w:sz="8" w:color="auto"/>
              <w:right w:val="single" w:sz="8" w:color="auto"/>
            </w:tcBorders>
          </w:tcPr>
          <w:p>
            <w:pPr>
              <w:jc w:val="center"/>
              <w:ind w:right="46"/>
              <w:spacing w:after="0" w:line="120" w:lineRule="exact"/>
              <w:rPr>
                <w:sz w:val="20"/>
                <w:szCs w:val="20"/>
                <w:color w:val="auto"/>
              </w:rPr>
            </w:pPr>
            <w:r>
              <w:rPr>
                <w:rFonts w:ascii="Arial" w:cs="Arial" w:eastAsia="Arial" w:hAnsi="Arial"/>
                <w:sz w:val="11"/>
                <w:szCs w:val="11"/>
                <w:b w:val="1"/>
                <w:bCs w:val="1"/>
                <w:color w:val="auto"/>
                <w:w w:val="98"/>
              </w:rPr>
              <w:t>All Other</w:t>
            </w:r>
          </w:p>
        </w:tc>
        <w:tc>
          <w:tcPr>
            <w:tcW w:w="720" w:type="dxa"/>
            <w:vAlign w:val="bottom"/>
            <w:tcBorders>
              <w:top w:val="single" w:sz="8" w:color="auto"/>
              <w:right w:val="single" w:sz="8" w:color="auto"/>
            </w:tcBorders>
          </w:tcPr>
          <w:p>
            <w:pPr>
              <w:jc w:val="center"/>
              <w:ind w:right="46"/>
              <w:spacing w:after="0" w:line="120" w:lineRule="exact"/>
              <w:rPr>
                <w:sz w:val="20"/>
                <w:szCs w:val="20"/>
                <w:color w:val="auto"/>
              </w:rPr>
            </w:pPr>
            <w:r>
              <w:rPr>
                <w:rFonts w:ascii="Arial" w:cs="Arial" w:eastAsia="Arial" w:hAnsi="Arial"/>
                <w:sz w:val="11"/>
                <w:szCs w:val="11"/>
                <w:b w:val="1"/>
                <w:bCs w:val="1"/>
                <w:color w:val="auto"/>
                <w:w w:val="98"/>
              </w:rPr>
              <w:t>All Other</w:t>
            </w:r>
          </w:p>
        </w:tc>
        <w:tc>
          <w:tcPr>
            <w:tcW w:w="200" w:type="dxa"/>
            <w:vAlign w:val="bottom"/>
            <w:tcBorders>
              <w:top w:val="single" w:sz="8" w:color="auto"/>
            </w:tcBorders>
          </w:tcPr>
          <w:p>
            <w:pPr>
              <w:spacing w:after="0"/>
              <w:rPr>
                <w:sz w:val="10"/>
                <w:szCs w:val="10"/>
                <w:color w:val="auto"/>
              </w:rPr>
            </w:pPr>
          </w:p>
        </w:tc>
        <w:tc>
          <w:tcPr>
            <w:tcW w:w="560" w:type="dxa"/>
            <w:vAlign w:val="bottom"/>
            <w:tcBorders>
              <w:top w:val="single" w:sz="8" w:color="auto"/>
              <w:right w:val="single" w:sz="8" w:color="auto"/>
            </w:tcBorders>
          </w:tcPr>
          <w:p>
            <w:pPr>
              <w:spacing w:after="0"/>
              <w:rPr>
                <w:sz w:val="10"/>
                <w:szCs w:val="10"/>
                <w:color w:val="auto"/>
              </w:rPr>
            </w:pPr>
          </w:p>
        </w:tc>
        <w:tc>
          <w:tcPr>
            <w:tcW w:w="100" w:type="dxa"/>
            <w:vAlign w:val="bottom"/>
            <w:tcBorders>
              <w:top w:val="single" w:sz="8" w:color="auto"/>
            </w:tcBorders>
          </w:tcPr>
          <w:p>
            <w:pPr>
              <w:spacing w:after="0"/>
              <w:rPr>
                <w:sz w:val="10"/>
                <w:szCs w:val="10"/>
                <w:color w:val="auto"/>
              </w:rPr>
            </w:pPr>
          </w:p>
        </w:tc>
        <w:tc>
          <w:tcPr>
            <w:tcW w:w="720" w:type="dxa"/>
            <w:vAlign w:val="bottom"/>
            <w:tcBorders>
              <w:top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22"/>
        </w:trPr>
        <w:tc>
          <w:tcPr>
            <w:tcW w:w="2100" w:type="dxa"/>
            <w:vAlign w:val="bottom"/>
            <w:tcBorders>
              <w:left w:val="single" w:sz="8" w:color="auto"/>
              <w:right w:val="single" w:sz="8" w:color="auto"/>
            </w:tcBorders>
          </w:tcPr>
          <w:p>
            <w:pPr>
              <w:spacing w:after="0"/>
              <w:rPr>
                <w:sz w:val="10"/>
                <w:szCs w:val="10"/>
                <w:color w:val="auto"/>
              </w:rPr>
            </w:pPr>
          </w:p>
        </w:tc>
        <w:tc>
          <w:tcPr>
            <w:tcW w:w="2160" w:type="dxa"/>
            <w:vAlign w:val="bottom"/>
            <w:tcBorders>
              <w:right w:val="single" w:sz="8" w:color="auto"/>
            </w:tcBorders>
          </w:tcPr>
          <w:p>
            <w:pPr>
              <w:spacing w:after="0"/>
              <w:rPr>
                <w:sz w:val="10"/>
                <w:szCs w:val="10"/>
                <w:color w:val="auto"/>
              </w:rPr>
            </w:pPr>
          </w:p>
        </w:tc>
        <w:tc>
          <w:tcPr>
            <w:tcW w:w="120" w:type="dxa"/>
            <w:vAlign w:val="bottom"/>
          </w:tcPr>
          <w:p>
            <w:pPr>
              <w:spacing w:after="0"/>
              <w:rPr>
                <w:sz w:val="10"/>
                <w:szCs w:val="10"/>
                <w:color w:val="auto"/>
              </w:rPr>
            </w:pPr>
          </w:p>
        </w:tc>
        <w:tc>
          <w:tcPr>
            <w:tcW w:w="58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6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600" w:type="dxa"/>
            <w:vAlign w:val="bottom"/>
            <w:tcBorders>
              <w:right w:val="single" w:sz="8" w:color="auto"/>
            </w:tcBorders>
          </w:tcPr>
          <w:p>
            <w:pPr>
              <w:spacing w:after="0"/>
              <w:rPr>
                <w:sz w:val="10"/>
                <w:szCs w:val="10"/>
                <w:color w:val="auto"/>
              </w:rPr>
            </w:pPr>
          </w:p>
        </w:tc>
        <w:tc>
          <w:tcPr>
            <w:tcW w:w="760" w:type="dxa"/>
            <w:vAlign w:val="bottom"/>
          </w:tcPr>
          <w:p>
            <w:pPr>
              <w:spacing w:after="0"/>
              <w:rPr>
                <w:sz w:val="10"/>
                <w:szCs w:val="10"/>
                <w:color w:val="auto"/>
              </w:rPr>
            </w:pPr>
          </w:p>
        </w:tc>
        <w:tc>
          <w:tcPr>
            <w:tcW w:w="560" w:type="dxa"/>
            <w:vAlign w:val="bottom"/>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720" w:type="dxa"/>
            <w:vAlign w:val="bottom"/>
            <w:tcBorders>
              <w:right w:val="single" w:sz="8" w:color="auto"/>
            </w:tcBorders>
          </w:tcPr>
          <w:p>
            <w:pPr>
              <w:jc w:val="center"/>
              <w:ind w:right="46"/>
              <w:spacing w:after="0" w:line="122" w:lineRule="exact"/>
              <w:rPr>
                <w:sz w:val="20"/>
                <w:szCs w:val="20"/>
                <w:color w:val="auto"/>
              </w:rPr>
            </w:pPr>
            <w:r>
              <w:rPr>
                <w:rFonts w:ascii="Arial" w:cs="Arial" w:eastAsia="Arial" w:hAnsi="Arial"/>
                <w:sz w:val="11"/>
                <w:szCs w:val="11"/>
                <w:b w:val="1"/>
                <w:bCs w:val="1"/>
                <w:color w:val="auto"/>
                <w:w w:val="99"/>
              </w:rPr>
              <w:t>Stock</w:t>
            </w:r>
          </w:p>
        </w:tc>
        <w:tc>
          <w:tcPr>
            <w:tcW w:w="720" w:type="dxa"/>
            <w:vAlign w:val="bottom"/>
            <w:tcBorders>
              <w:right w:val="single" w:sz="8" w:color="auto"/>
            </w:tcBorders>
          </w:tcPr>
          <w:p>
            <w:pPr>
              <w:jc w:val="center"/>
              <w:ind w:right="46"/>
              <w:spacing w:after="0" w:line="122" w:lineRule="exact"/>
              <w:rPr>
                <w:sz w:val="20"/>
                <w:szCs w:val="20"/>
                <w:color w:val="auto"/>
              </w:rPr>
            </w:pPr>
            <w:r>
              <w:rPr>
                <w:rFonts w:ascii="Arial" w:cs="Arial" w:eastAsia="Arial" w:hAnsi="Arial"/>
                <w:sz w:val="11"/>
                <w:szCs w:val="11"/>
                <w:b w:val="1"/>
                <w:bCs w:val="1"/>
                <w:color w:val="auto"/>
                <w:w w:val="95"/>
              </w:rPr>
              <w:t>Option</w:t>
            </w:r>
          </w:p>
        </w:tc>
        <w:tc>
          <w:tcPr>
            <w:tcW w:w="200" w:type="dxa"/>
            <w:vAlign w:val="bottom"/>
          </w:tcPr>
          <w:p>
            <w:pPr>
              <w:spacing w:after="0"/>
              <w:rPr>
                <w:sz w:val="10"/>
                <w:szCs w:val="10"/>
                <w:color w:val="auto"/>
              </w:rPr>
            </w:pPr>
          </w:p>
        </w:tc>
        <w:tc>
          <w:tcPr>
            <w:tcW w:w="560" w:type="dxa"/>
            <w:vAlign w:val="bottom"/>
            <w:tcBorders>
              <w:right w:val="single" w:sz="8" w:color="auto"/>
            </w:tcBorders>
          </w:tcPr>
          <w:p>
            <w:pPr>
              <w:spacing w:after="0"/>
              <w:rPr>
                <w:sz w:val="10"/>
                <w:szCs w:val="10"/>
                <w:color w:val="auto"/>
              </w:rPr>
            </w:pPr>
          </w:p>
        </w:tc>
        <w:tc>
          <w:tcPr>
            <w:tcW w:w="820" w:type="dxa"/>
            <w:vAlign w:val="bottom"/>
            <w:tcBorders>
              <w:right w:val="single" w:sz="8" w:color="auto"/>
            </w:tcBorders>
            <w:gridSpan w:val="2"/>
          </w:tcPr>
          <w:p>
            <w:pPr>
              <w:ind w:left="40"/>
              <w:spacing w:after="0" w:line="122" w:lineRule="exact"/>
              <w:rPr>
                <w:sz w:val="20"/>
                <w:szCs w:val="20"/>
                <w:color w:val="auto"/>
              </w:rPr>
            </w:pPr>
            <w:r>
              <w:rPr>
                <w:rFonts w:ascii="Arial" w:cs="Arial" w:eastAsia="Arial" w:hAnsi="Arial"/>
                <w:sz w:val="11"/>
                <w:szCs w:val="11"/>
                <w:b w:val="1"/>
                <w:bCs w:val="1"/>
                <w:color w:val="auto"/>
              </w:rPr>
              <w:t>Grant Date</w:t>
            </w:r>
          </w:p>
        </w:tc>
        <w:tc>
          <w:tcPr>
            <w:tcW w:w="0" w:type="dxa"/>
            <w:vAlign w:val="bottom"/>
          </w:tcPr>
          <w:p>
            <w:pPr>
              <w:spacing w:after="0"/>
              <w:rPr>
                <w:sz w:val="1"/>
                <w:szCs w:val="1"/>
                <w:color w:val="auto"/>
              </w:rPr>
            </w:pPr>
          </w:p>
        </w:tc>
      </w:tr>
      <w:tr>
        <w:trPr>
          <w:trHeight w:val="122"/>
        </w:trPr>
        <w:tc>
          <w:tcPr>
            <w:tcW w:w="2100" w:type="dxa"/>
            <w:vAlign w:val="bottom"/>
            <w:tcBorders>
              <w:left w:val="single" w:sz="8" w:color="auto"/>
              <w:right w:val="single" w:sz="8" w:color="auto"/>
            </w:tcBorders>
          </w:tcPr>
          <w:p>
            <w:pPr>
              <w:spacing w:after="0"/>
              <w:rPr>
                <w:sz w:val="10"/>
                <w:szCs w:val="10"/>
                <w:color w:val="auto"/>
              </w:rPr>
            </w:pPr>
          </w:p>
        </w:tc>
        <w:tc>
          <w:tcPr>
            <w:tcW w:w="2160" w:type="dxa"/>
            <w:vAlign w:val="bottom"/>
            <w:tcBorders>
              <w:right w:val="single" w:sz="8" w:color="auto"/>
            </w:tcBorders>
          </w:tcPr>
          <w:p>
            <w:pPr>
              <w:spacing w:after="0"/>
              <w:rPr>
                <w:sz w:val="10"/>
                <w:szCs w:val="10"/>
                <w:color w:val="auto"/>
              </w:rPr>
            </w:pPr>
          </w:p>
        </w:tc>
        <w:tc>
          <w:tcPr>
            <w:tcW w:w="120" w:type="dxa"/>
            <w:vAlign w:val="bottom"/>
          </w:tcPr>
          <w:p>
            <w:pPr>
              <w:spacing w:after="0"/>
              <w:rPr>
                <w:sz w:val="10"/>
                <w:szCs w:val="10"/>
                <w:color w:val="auto"/>
              </w:rPr>
            </w:pPr>
          </w:p>
        </w:tc>
        <w:tc>
          <w:tcPr>
            <w:tcW w:w="2000" w:type="dxa"/>
            <w:vAlign w:val="bottom"/>
            <w:tcBorders>
              <w:right w:val="single" w:sz="8" w:color="auto"/>
            </w:tcBorders>
            <w:gridSpan w:val="5"/>
            <w:vMerge w:val="restart"/>
          </w:tcPr>
          <w:p>
            <w:pPr>
              <w:ind w:left="60"/>
              <w:spacing w:after="0"/>
              <w:rPr>
                <w:sz w:val="20"/>
                <w:szCs w:val="20"/>
                <w:color w:val="auto"/>
              </w:rPr>
            </w:pPr>
            <w:r>
              <w:rPr>
                <w:rFonts w:ascii="Arial" w:cs="Arial" w:eastAsia="Arial" w:hAnsi="Arial"/>
                <w:sz w:val="11"/>
                <w:szCs w:val="11"/>
                <w:b w:val="1"/>
                <w:bCs w:val="1"/>
                <w:color w:val="auto"/>
              </w:rPr>
              <w:t>Estimated Future Payouts Under</w:t>
            </w:r>
          </w:p>
        </w:tc>
        <w:tc>
          <w:tcPr>
            <w:tcW w:w="2040" w:type="dxa"/>
            <w:vAlign w:val="bottom"/>
            <w:tcBorders>
              <w:right w:val="single" w:sz="8" w:color="auto"/>
            </w:tcBorders>
            <w:gridSpan w:val="3"/>
            <w:vMerge w:val="restart"/>
          </w:tcPr>
          <w:p>
            <w:pPr>
              <w:jc w:val="center"/>
              <w:ind w:right="26"/>
              <w:spacing w:after="0"/>
              <w:rPr>
                <w:sz w:val="20"/>
                <w:szCs w:val="20"/>
                <w:color w:val="auto"/>
              </w:rPr>
            </w:pPr>
            <w:r>
              <w:rPr>
                <w:rFonts w:ascii="Arial" w:cs="Arial" w:eastAsia="Arial" w:hAnsi="Arial"/>
                <w:sz w:val="11"/>
                <w:szCs w:val="11"/>
                <w:b w:val="1"/>
                <w:bCs w:val="1"/>
                <w:color w:val="auto"/>
                <w:w w:val="98"/>
              </w:rPr>
              <w:t>Estimated Future Payouts Under</w:t>
            </w:r>
          </w:p>
        </w:tc>
        <w:tc>
          <w:tcPr>
            <w:tcW w:w="720" w:type="dxa"/>
            <w:vAlign w:val="bottom"/>
            <w:tcBorders>
              <w:right w:val="single" w:sz="8" w:color="auto"/>
            </w:tcBorders>
          </w:tcPr>
          <w:p>
            <w:pPr>
              <w:jc w:val="center"/>
              <w:ind w:right="46"/>
              <w:spacing w:after="0" w:line="122" w:lineRule="exact"/>
              <w:rPr>
                <w:sz w:val="20"/>
                <w:szCs w:val="20"/>
                <w:color w:val="auto"/>
              </w:rPr>
            </w:pPr>
            <w:r>
              <w:rPr>
                <w:rFonts w:ascii="Arial" w:cs="Arial" w:eastAsia="Arial" w:hAnsi="Arial"/>
                <w:sz w:val="11"/>
                <w:szCs w:val="11"/>
                <w:b w:val="1"/>
                <w:bCs w:val="1"/>
                <w:color w:val="auto"/>
                <w:w w:val="96"/>
              </w:rPr>
              <w:t>Awards:</w:t>
            </w:r>
          </w:p>
        </w:tc>
        <w:tc>
          <w:tcPr>
            <w:tcW w:w="720" w:type="dxa"/>
            <w:vAlign w:val="bottom"/>
            <w:tcBorders>
              <w:right w:val="single" w:sz="8" w:color="auto"/>
            </w:tcBorders>
          </w:tcPr>
          <w:p>
            <w:pPr>
              <w:jc w:val="center"/>
              <w:ind w:right="46"/>
              <w:spacing w:after="0" w:line="122" w:lineRule="exact"/>
              <w:rPr>
                <w:sz w:val="20"/>
                <w:szCs w:val="20"/>
                <w:color w:val="auto"/>
              </w:rPr>
            </w:pPr>
            <w:r>
              <w:rPr>
                <w:rFonts w:ascii="Arial" w:cs="Arial" w:eastAsia="Arial" w:hAnsi="Arial"/>
                <w:sz w:val="11"/>
                <w:szCs w:val="11"/>
                <w:b w:val="1"/>
                <w:bCs w:val="1"/>
                <w:color w:val="auto"/>
                <w:w w:val="96"/>
              </w:rPr>
              <w:t>Awards:</w:t>
            </w:r>
          </w:p>
        </w:tc>
        <w:tc>
          <w:tcPr>
            <w:tcW w:w="760" w:type="dxa"/>
            <w:vAlign w:val="bottom"/>
            <w:tcBorders>
              <w:right w:val="single" w:sz="8" w:color="auto"/>
            </w:tcBorders>
            <w:gridSpan w:val="2"/>
          </w:tcPr>
          <w:p>
            <w:pPr>
              <w:ind w:left="40"/>
              <w:spacing w:after="0" w:line="122" w:lineRule="exact"/>
              <w:rPr>
                <w:sz w:val="20"/>
                <w:szCs w:val="20"/>
                <w:color w:val="auto"/>
              </w:rPr>
            </w:pPr>
            <w:r>
              <w:rPr>
                <w:rFonts w:ascii="Arial" w:cs="Arial" w:eastAsia="Arial" w:hAnsi="Arial"/>
                <w:sz w:val="11"/>
                <w:szCs w:val="11"/>
                <w:b w:val="1"/>
                <w:bCs w:val="1"/>
                <w:color w:val="auto"/>
              </w:rPr>
              <w:t>Exercise or</w:t>
            </w:r>
          </w:p>
        </w:tc>
        <w:tc>
          <w:tcPr>
            <w:tcW w:w="820" w:type="dxa"/>
            <w:vAlign w:val="bottom"/>
            <w:tcBorders>
              <w:right w:val="single" w:sz="8" w:color="auto"/>
            </w:tcBorders>
            <w:gridSpan w:val="2"/>
          </w:tcPr>
          <w:p>
            <w:pPr>
              <w:jc w:val="center"/>
              <w:ind w:right="146"/>
              <w:spacing w:after="0" w:line="122" w:lineRule="exact"/>
              <w:rPr>
                <w:sz w:val="20"/>
                <w:szCs w:val="20"/>
                <w:color w:val="auto"/>
              </w:rPr>
            </w:pPr>
            <w:r>
              <w:rPr>
                <w:rFonts w:ascii="Arial" w:cs="Arial" w:eastAsia="Arial" w:hAnsi="Arial"/>
                <w:sz w:val="11"/>
                <w:szCs w:val="11"/>
                <w:b w:val="1"/>
                <w:bCs w:val="1"/>
                <w:color w:val="auto"/>
                <w:w w:val="94"/>
              </w:rPr>
              <w:t>Fair Value</w:t>
            </w:r>
          </w:p>
        </w:tc>
        <w:tc>
          <w:tcPr>
            <w:tcW w:w="0" w:type="dxa"/>
            <w:vAlign w:val="bottom"/>
          </w:tcPr>
          <w:p>
            <w:pPr>
              <w:spacing w:after="0"/>
              <w:rPr>
                <w:sz w:val="1"/>
                <w:szCs w:val="1"/>
                <w:color w:val="auto"/>
              </w:rPr>
            </w:pPr>
          </w:p>
        </w:tc>
      </w:tr>
      <w:tr>
        <w:trPr>
          <w:trHeight w:val="54"/>
        </w:trPr>
        <w:tc>
          <w:tcPr>
            <w:tcW w:w="2100" w:type="dxa"/>
            <w:vAlign w:val="bottom"/>
            <w:tcBorders>
              <w:left w:val="single" w:sz="8" w:color="auto"/>
              <w:right w:val="single" w:sz="8" w:color="auto"/>
            </w:tcBorders>
          </w:tcPr>
          <w:p>
            <w:pPr>
              <w:spacing w:after="0"/>
              <w:rPr>
                <w:sz w:val="4"/>
                <w:szCs w:val="4"/>
                <w:color w:val="auto"/>
              </w:rPr>
            </w:pPr>
          </w:p>
        </w:tc>
        <w:tc>
          <w:tcPr>
            <w:tcW w:w="2160" w:type="dxa"/>
            <w:vAlign w:val="bottom"/>
            <w:tcBorders>
              <w:right w:val="single" w:sz="8" w:color="auto"/>
            </w:tcBorders>
          </w:tcPr>
          <w:p>
            <w:pPr>
              <w:spacing w:after="0"/>
              <w:rPr>
                <w:sz w:val="4"/>
                <w:szCs w:val="4"/>
                <w:color w:val="auto"/>
              </w:rPr>
            </w:pPr>
          </w:p>
        </w:tc>
        <w:tc>
          <w:tcPr>
            <w:tcW w:w="120" w:type="dxa"/>
            <w:vAlign w:val="bottom"/>
          </w:tcPr>
          <w:p>
            <w:pPr>
              <w:spacing w:after="0"/>
              <w:rPr>
                <w:sz w:val="4"/>
                <w:szCs w:val="4"/>
                <w:color w:val="auto"/>
              </w:rPr>
            </w:pPr>
          </w:p>
        </w:tc>
        <w:tc>
          <w:tcPr>
            <w:tcW w:w="2000" w:type="dxa"/>
            <w:vAlign w:val="bottom"/>
            <w:tcBorders>
              <w:right w:val="single" w:sz="8" w:color="auto"/>
            </w:tcBorders>
            <w:gridSpan w:val="5"/>
            <w:vMerge w:val="continue"/>
          </w:tcPr>
          <w:p>
            <w:pPr>
              <w:spacing w:after="0"/>
              <w:rPr>
                <w:sz w:val="4"/>
                <w:szCs w:val="4"/>
                <w:color w:val="auto"/>
              </w:rPr>
            </w:pPr>
          </w:p>
        </w:tc>
        <w:tc>
          <w:tcPr>
            <w:tcW w:w="2040" w:type="dxa"/>
            <w:vAlign w:val="bottom"/>
            <w:tcBorders>
              <w:right w:val="single" w:sz="8" w:color="auto"/>
            </w:tcBorders>
            <w:gridSpan w:val="3"/>
            <w:vMerge w:val="continue"/>
          </w:tcPr>
          <w:p>
            <w:pPr>
              <w:spacing w:after="0"/>
              <w:rPr>
                <w:sz w:val="4"/>
                <w:szCs w:val="4"/>
                <w:color w:val="auto"/>
              </w:rPr>
            </w:pPr>
          </w:p>
        </w:tc>
        <w:tc>
          <w:tcPr>
            <w:tcW w:w="720" w:type="dxa"/>
            <w:vAlign w:val="bottom"/>
            <w:tcBorders>
              <w:right w:val="single" w:sz="8" w:color="auto"/>
            </w:tcBorders>
            <w:vMerge w:val="restart"/>
          </w:tcPr>
          <w:p>
            <w:pPr>
              <w:jc w:val="center"/>
              <w:ind w:right="46"/>
              <w:spacing w:after="0" w:line="122" w:lineRule="exact"/>
              <w:rPr>
                <w:sz w:val="20"/>
                <w:szCs w:val="20"/>
                <w:color w:val="auto"/>
              </w:rPr>
            </w:pPr>
            <w:r>
              <w:rPr>
                <w:rFonts w:ascii="Arial" w:cs="Arial" w:eastAsia="Arial" w:hAnsi="Arial"/>
                <w:sz w:val="11"/>
                <w:szCs w:val="11"/>
                <w:b w:val="1"/>
                <w:bCs w:val="1"/>
                <w:color w:val="auto"/>
                <w:w w:val="98"/>
              </w:rPr>
              <w:t>Number of</w:t>
            </w:r>
          </w:p>
        </w:tc>
        <w:tc>
          <w:tcPr>
            <w:tcW w:w="720" w:type="dxa"/>
            <w:vAlign w:val="bottom"/>
            <w:tcBorders>
              <w:right w:val="single" w:sz="8" w:color="auto"/>
            </w:tcBorders>
            <w:vMerge w:val="restart"/>
          </w:tcPr>
          <w:p>
            <w:pPr>
              <w:jc w:val="center"/>
              <w:ind w:right="46"/>
              <w:spacing w:after="0" w:line="122" w:lineRule="exact"/>
              <w:rPr>
                <w:sz w:val="20"/>
                <w:szCs w:val="20"/>
                <w:color w:val="auto"/>
              </w:rPr>
            </w:pPr>
            <w:r>
              <w:rPr>
                <w:rFonts w:ascii="Arial" w:cs="Arial" w:eastAsia="Arial" w:hAnsi="Arial"/>
                <w:sz w:val="11"/>
                <w:szCs w:val="11"/>
                <w:b w:val="1"/>
                <w:bCs w:val="1"/>
                <w:color w:val="auto"/>
                <w:w w:val="98"/>
              </w:rPr>
              <w:t>Number of</w:t>
            </w:r>
          </w:p>
        </w:tc>
        <w:tc>
          <w:tcPr>
            <w:tcW w:w="760" w:type="dxa"/>
            <w:vAlign w:val="bottom"/>
            <w:tcBorders>
              <w:right w:val="single" w:sz="8" w:color="auto"/>
            </w:tcBorders>
            <w:gridSpan w:val="2"/>
            <w:vMerge w:val="restart"/>
          </w:tcPr>
          <w:p>
            <w:pPr>
              <w:ind w:left="60"/>
              <w:spacing w:after="0" w:line="122" w:lineRule="exact"/>
              <w:rPr>
                <w:sz w:val="20"/>
                <w:szCs w:val="20"/>
                <w:color w:val="auto"/>
              </w:rPr>
            </w:pPr>
            <w:r>
              <w:rPr>
                <w:rFonts w:ascii="Arial" w:cs="Arial" w:eastAsia="Arial" w:hAnsi="Arial"/>
                <w:sz w:val="11"/>
                <w:szCs w:val="11"/>
                <w:b w:val="1"/>
                <w:bCs w:val="1"/>
                <w:color w:val="auto"/>
              </w:rPr>
              <w:t>Base Price</w:t>
            </w:r>
          </w:p>
        </w:tc>
        <w:tc>
          <w:tcPr>
            <w:tcW w:w="100" w:type="dxa"/>
            <w:vAlign w:val="bottom"/>
          </w:tcPr>
          <w:p>
            <w:pPr>
              <w:spacing w:after="0"/>
              <w:rPr>
                <w:sz w:val="4"/>
                <w:szCs w:val="4"/>
                <w:color w:val="auto"/>
              </w:rPr>
            </w:pPr>
          </w:p>
        </w:tc>
        <w:tc>
          <w:tcPr>
            <w:tcW w:w="720" w:type="dxa"/>
            <w:vAlign w:val="bottom"/>
            <w:tcBorders>
              <w:right w:val="single" w:sz="8" w:color="auto"/>
            </w:tcBorders>
            <w:vMerge w:val="restart"/>
          </w:tcPr>
          <w:p>
            <w:pPr>
              <w:jc w:val="center"/>
              <w:ind w:right="246"/>
              <w:spacing w:after="0" w:line="122" w:lineRule="exact"/>
              <w:rPr>
                <w:sz w:val="20"/>
                <w:szCs w:val="20"/>
                <w:color w:val="auto"/>
              </w:rPr>
            </w:pPr>
            <w:r>
              <w:rPr>
                <w:rFonts w:ascii="Arial" w:cs="Arial" w:eastAsia="Arial" w:hAnsi="Arial"/>
                <w:sz w:val="11"/>
                <w:szCs w:val="11"/>
                <w:b w:val="1"/>
                <w:bCs w:val="1"/>
                <w:color w:val="auto"/>
                <w:w w:val="96"/>
              </w:rPr>
              <w:t>of Stock</w:t>
            </w:r>
          </w:p>
        </w:tc>
        <w:tc>
          <w:tcPr>
            <w:tcW w:w="0" w:type="dxa"/>
            <w:vAlign w:val="bottom"/>
          </w:tcPr>
          <w:p>
            <w:pPr>
              <w:spacing w:after="0"/>
              <w:rPr>
                <w:sz w:val="1"/>
                <w:szCs w:val="1"/>
                <w:color w:val="auto"/>
              </w:rPr>
            </w:pPr>
          </w:p>
        </w:tc>
      </w:tr>
      <w:tr>
        <w:trPr>
          <w:trHeight w:val="68"/>
        </w:trPr>
        <w:tc>
          <w:tcPr>
            <w:tcW w:w="2100" w:type="dxa"/>
            <w:vAlign w:val="bottom"/>
            <w:tcBorders>
              <w:left w:val="single" w:sz="8" w:color="auto"/>
              <w:right w:val="single" w:sz="8" w:color="auto"/>
            </w:tcBorders>
          </w:tcPr>
          <w:p>
            <w:pPr>
              <w:spacing w:after="0"/>
              <w:rPr>
                <w:sz w:val="5"/>
                <w:szCs w:val="5"/>
                <w:color w:val="auto"/>
              </w:rPr>
            </w:pPr>
          </w:p>
        </w:tc>
        <w:tc>
          <w:tcPr>
            <w:tcW w:w="2160" w:type="dxa"/>
            <w:vAlign w:val="bottom"/>
            <w:tcBorders>
              <w:right w:val="single" w:sz="8" w:color="auto"/>
            </w:tcBorders>
          </w:tcPr>
          <w:p>
            <w:pPr>
              <w:spacing w:after="0"/>
              <w:rPr>
                <w:sz w:val="5"/>
                <w:szCs w:val="5"/>
                <w:color w:val="auto"/>
              </w:rPr>
            </w:pPr>
          </w:p>
        </w:tc>
        <w:tc>
          <w:tcPr>
            <w:tcW w:w="120" w:type="dxa"/>
            <w:vAlign w:val="bottom"/>
          </w:tcPr>
          <w:p>
            <w:pPr>
              <w:spacing w:after="0"/>
              <w:rPr>
                <w:sz w:val="5"/>
                <w:szCs w:val="5"/>
                <w:color w:val="auto"/>
              </w:rPr>
            </w:pPr>
          </w:p>
        </w:tc>
        <w:tc>
          <w:tcPr>
            <w:tcW w:w="2000" w:type="dxa"/>
            <w:vAlign w:val="bottom"/>
            <w:tcBorders>
              <w:right w:val="single" w:sz="8" w:color="auto"/>
            </w:tcBorders>
            <w:gridSpan w:val="5"/>
            <w:vMerge w:val="restart"/>
          </w:tcPr>
          <w:p>
            <w:pPr>
              <w:ind w:left="20"/>
              <w:spacing w:after="0"/>
              <w:rPr>
                <w:sz w:val="20"/>
                <w:szCs w:val="20"/>
                <w:color w:val="auto"/>
              </w:rPr>
            </w:pPr>
            <w:r>
              <w:rPr>
                <w:rFonts w:ascii="Arial" w:cs="Arial" w:eastAsia="Arial" w:hAnsi="Arial"/>
                <w:sz w:val="11"/>
                <w:szCs w:val="11"/>
                <w:b w:val="1"/>
                <w:bCs w:val="1"/>
                <w:color w:val="auto"/>
              </w:rPr>
              <w:t>Non-Equity Incentive Plan Awards</w:t>
            </w:r>
          </w:p>
        </w:tc>
        <w:tc>
          <w:tcPr>
            <w:tcW w:w="2040" w:type="dxa"/>
            <w:vAlign w:val="bottom"/>
            <w:tcBorders>
              <w:right w:val="single" w:sz="8" w:color="auto"/>
            </w:tcBorders>
            <w:gridSpan w:val="3"/>
            <w:vMerge w:val="restart"/>
          </w:tcPr>
          <w:p>
            <w:pPr>
              <w:jc w:val="center"/>
              <w:ind w:right="26"/>
              <w:spacing w:after="0"/>
              <w:rPr>
                <w:sz w:val="20"/>
                <w:szCs w:val="20"/>
                <w:color w:val="auto"/>
              </w:rPr>
            </w:pPr>
            <w:r>
              <w:rPr>
                <w:rFonts w:ascii="Arial" w:cs="Arial" w:eastAsia="Arial" w:hAnsi="Arial"/>
                <w:sz w:val="11"/>
                <w:szCs w:val="11"/>
                <w:b w:val="1"/>
                <w:bCs w:val="1"/>
                <w:color w:val="auto"/>
                <w:w w:val="99"/>
              </w:rPr>
              <w:t>Equity Incentive Plan Awards</w:t>
            </w:r>
          </w:p>
        </w:tc>
        <w:tc>
          <w:tcPr>
            <w:tcW w:w="720" w:type="dxa"/>
            <w:vAlign w:val="bottom"/>
            <w:tcBorders>
              <w:right w:val="single" w:sz="8" w:color="auto"/>
            </w:tcBorders>
            <w:vMerge w:val="continue"/>
          </w:tcPr>
          <w:p>
            <w:pPr>
              <w:spacing w:after="0"/>
              <w:rPr>
                <w:sz w:val="5"/>
                <w:szCs w:val="5"/>
                <w:color w:val="auto"/>
              </w:rPr>
            </w:pPr>
          </w:p>
        </w:tc>
        <w:tc>
          <w:tcPr>
            <w:tcW w:w="720" w:type="dxa"/>
            <w:vAlign w:val="bottom"/>
            <w:tcBorders>
              <w:right w:val="single" w:sz="8" w:color="auto"/>
            </w:tcBorders>
            <w:vMerge w:val="continue"/>
          </w:tcPr>
          <w:p>
            <w:pPr>
              <w:spacing w:after="0"/>
              <w:rPr>
                <w:sz w:val="5"/>
                <w:szCs w:val="5"/>
                <w:color w:val="auto"/>
              </w:rPr>
            </w:pPr>
          </w:p>
        </w:tc>
        <w:tc>
          <w:tcPr>
            <w:tcW w:w="760" w:type="dxa"/>
            <w:vAlign w:val="bottom"/>
            <w:tcBorders>
              <w:right w:val="single" w:sz="8" w:color="auto"/>
            </w:tcBorders>
            <w:gridSpan w:val="2"/>
            <w:vMerge w:val="continue"/>
          </w:tcPr>
          <w:p>
            <w:pPr>
              <w:spacing w:after="0"/>
              <w:rPr>
                <w:sz w:val="5"/>
                <w:szCs w:val="5"/>
                <w:color w:val="auto"/>
              </w:rPr>
            </w:pPr>
          </w:p>
        </w:tc>
        <w:tc>
          <w:tcPr>
            <w:tcW w:w="100" w:type="dxa"/>
            <w:vAlign w:val="bottom"/>
          </w:tcPr>
          <w:p>
            <w:pPr>
              <w:spacing w:after="0"/>
              <w:rPr>
                <w:sz w:val="5"/>
                <w:szCs w:val="5"/>
                <w:color w:val="auto"/>
              </w:rPr>
            </w:pPr>
          </w:p>
        </w:tc>
        <w:tc>
          <w:tcPr>
            <w:tcW w:w="720" w:type="dxa"/>
            <w:vAlign w:val="bottom"/>
            <w:tcBorders>
              <w:right w:val="single" w:sz="8" w:color="auto"/>
            </w:tcBorders>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02"/>
        </w:trPr>
        <w:tc>
          <w:tcPr>
            <w:tcW w:w="2100" w:type="dxa"/>
            <w:vAlign w:val="bottom"/>
            <w:tcBorders>
              <w:left w:val="single" w:sz="8" w:color="auto"/>
              <w:right w:val="single" w:sz="8" w:color="auto"/>
            </w:tcBorders>
          </w:tcPr>
          <w:p>
            <w:pPr>
              <w:spacing w:after="0"/>
              <w:rPr>
                <w:sz w:val="8"/>
                <w:szCs w:val="8"/>
                <w:color w:val="auto"/>
              </w:rPr>
            </w:pPr>
          </w:p>
        </w:tc>
        <w:tc>
          <w:tcPr>
            <w:tcW w:w="2160" w:type="dxa"/>
            <w:vAlign w:val="bottom"/>
            <w:tcBorders>
              <w:right w:val="single" w:sz="8" w:color="auto"/>
            </w:tcBorders>
          </w:tcPr>
          <w:p>
            <w:pPr>
              <w:spacing w:after="0"/>
              <w:rPr>
                <w:sz w:val="8"/>
                <w:szCs w:val="8"/>
                <w:color w:val="auto"/>
              </w:rPr>
            </w:pPr>
          </w:p>
        </w:tc>
        <w:tc>
          <w:tcPr>
            <w:tcW w:w="120" w:type="dxa"/>
            <w:vAlign w:val="bottom"/>
            <w:tcBorders>
              <w:bottom w:val="single" w:sz="8" w:color="auto"/>
            </w:tcBorders>
          </w:tcPr>
          <w:p>
            <w:pPr>
              <w:spacing w:after="0"/>
              <w:rPr>
                <w:sz w:val="8"/>
                <w:szCs w:val="8"/>
                <w:color w:val="auto"/>
              </w:rPr>
            </w:pPr>
          </w:p>
        </w:tc>
        <w:tc>
          <w:tcPr>
            <w:tcW w:w="2000" w:type="dxa"/>
            <w:vAlign w:val="bottom"/>
            <w:tcBorders>
              <w:bottom w:val="single" w:sz="8" w:color="auto"/>
              <w:right w:val="single" w:sz="8" w:color="auto"/>
            </w:tcBorders>
            <w:gridSpan w:val="5"/>
            <w:vMerge w:val="continue"/>
          </w:tcPr>
          <w:p>
            <w:pPr>
              <w:spacing w:after="0"/>
              <w:rPr>
                <w:sz w:val="8"/>
                <w:szCs w:val="8"/>
                <w:color w:val="auto"/>
              </w:rPr>
            </w:pPr>
          </w:p>
        </w:tc>
        <w:tc>
          <w:tcPr>
            <w:tcW w:w="2040" w:type="dxa"/>
            <w:vAlign w:val="bottom"/>
            <w:tcBorders>
              <w:bottom w:val="single" w:sz="8" w:color="auto"/>
              <w:right w:val="single" w:sz="8" w:color="auto"/>
            </w:tcBorders>
            <w:gridSpan w:val="3"/>
            <w:vMerge w:val="continue"/>
          </w:tcPr>
          <w:p>
            <w:pPr>
              <w:spacing w:after="0"/>
              <w:rPr>
                <w:sz w:val="8"/>
                <w:szCs w:val="8"/>
                <w:color w:val="auto"/>
              </w:rPr>
            </w:pPr>
          </w:p>
        </w:tc>
        <w:tc>
          <w:tcPr>
            <w:tcW w:w="720" w:type="dxa"/>
            <w:vAlign w:val="bottom"/>
            <w:tcBorders>
              <w:right w:val="single" w:sz="8" w:color="auto"/>
            </w:tcBorders>
          </w:tcPr>
          <w:p>
            <w:pPr>
              <w:jc w:val="center"/>
              <w:ind w:right="46"/>
              <w:spacing w:after="0" w:line="102" w:lineRule="exact"/>
              <w:rPr>
                <w:sz w:val="20"/>
                <w:szCs w:val="20"/>
                <w:color w:val="auto"/>
              </w:rPr>
            </w:pPr>
            <w:r>
              <w:rPr>
                <w:rFonts w:ascii="Arial" w:cs="Arial" w:eastAsia="Arial" w:hAnsi="Arial"/>
                <w:sz w:val="11"/>
                <w:szCs w:val="11"/>
                <w:b w:val="1"/>
                <w:bCs w:val="1"/>
                <w:color w:val="auto"/>
                <w:w w:val="99"/>
              </w:rPr>
              <w:t>Shares of</w:t>
            </w:r>
          </w:p>
        </w:tc>
        <w:tc>
          <w:tcPr>
            <w:tcW w:w="720" w:type="dxa"/>
            <w:vAlign w:val="bottom"/>
            <w:tcBorders>
              <w:right w:val="single" w:sz="8" w:color="auto"/>
            </w:tcBorders>
          </w:tcPr>
          <w:p>
            <w:pPr>
              <w:jc w:val="center"/>
              <w:ind w:right="46"/>
              <w:spacing w:after="0" w:line="102" w:lineRule="exact"/>
              <w:rPr>
                <w:sz w:val="20"/>
                <w:szCs w:val="20"/>
                <w:color w:val="auto"/>
              </w:rPr>
            </w:pPr>
            <w:r>
              <w:rPr>
                <w:rFonts w:ascii="Arial" w:cs="Arial" w:eastAsia="Arial" w:hAnsi="Arial"/>
                <w:sz w:val="11"/>
                <w:szCs w:val="11"/>
                <w:b w:val="1"/>
                <w:bCs w:val="1"/>
                <w:color w:val="auto"/>
                <w:w w:val="94"/>
              </w:rPr>
              <w:t>Securities</w:t>
            </w:r>
          </w:p>
        </w:tc>
        <w:tc>
          <w:tcPr>
            <w:tcW w:w="760" w:type="dxa"/>
            <w:vAlign w:val="bottom"/>
            <w:tcBorders>
              <w:right w:val="single" w:sz="8" w:color="auto"/>
            </w:tcBorders>
            <w:gridSpan w:val="2"/>
          </w:tcPr>
          <w:p>
            <w:pPr>
              <w:ind w:left="100"/>
              <w:spacing w:after="0" w:line="102" w:lineRule="exact"/>
              <w:rPr>
                <w:sz w:val="20"/>
                <w:szCs w:val="20"/>
                <w:color w:val="auto"/>
              </w:rPr>
            </w:pPr>
            <w:r>
              <w:rPr>
                <w:rFonts w:ascii="Arial" w:cs="Arial" w:eastAsia="Arial" w:hAnsi="Arial"/>
                <w:sz w:val="11"/>
                <w:szCs w:val="11"/>
                <w:b w:val="1"/>
                <w:bCs w:val="1"/>
                <w:color w:val="auto"/>
              </w:rPr>
              <w:t>of Option</w:t>
            </w:r>
          </w:p>
        </w:tc>
        <w:tc>
          <w:tcPr>
            <w:tcW w:w="100" w:type="dxa"/>
            <w:vAlign w:val="bottom"/>
          </w:tcPr>
          <w:p>
            <w:pPr>
              <w:spacing w:after="0"/>
              <w:rPr>
                <w:sz w:val="8"/>
                <w:szCs w:val="8"/>
                <w:color w:val="auto"/>
              </w:rPr>
            </w:pPr>
          </w:p>
        </w:tc>
        <w:tc>
          <w:tcPr>
            <w:tcW w:w="720" w:type="dxa"/>
            <w:vAlign w:val="bottom"/>
            <w:tcBorders>
              <w:right w:val="single" w:sz="8" w:color="auto"/>
            </w:tcBorders>
          </w:tcPr>
          <w:p>
            <w:pPr>
              <w:jc w:val="center"/>
              <w:ind w:right="246"/>
              <w:spacing w:after="0" w:line="102" w:lineRule="exact"/>
              <w:rPr>
                <w:sz w:val="20"/>
                <w:szCs w:val="20"/>
                <w:color w:val="auto"/>
              </w:rPr>
            </w:pPr>
            <w:r>
              <w:rPr>
                <w:rFonts w:ascii="Arial" w:cs="Arial" w:eastAsia="Arial" w:hAnsi="Arial"/>
                <w:sz w:val="11"/>
                <w:szCs w:val="11"/>
                <w:b w:val="1"/>
                <w:bCs w:val="1"/>
                <w:color w:val="auto"/>
                <w:w w:val="91"/>
              </w:rPr>
              <w:t>and</w:t>
            </w:r>
          </w:p>
        </w:tc>
        <w:tc>
          <w:tcPr>
            <w:tcW w:w="0" w:type="dxa"/>
            <w:vAlign w:val="bottom"/>
          </w:tcPr>
          <w:p>
            <w:pPr>
              <w:spacing w:after="0"/>
              <w:rPr>
                <w:sz w:val="1"/>
                <w:szCs w:val="1"/>
                <w:color w:val="auto"/>
              </w:rPr>
            </w:pPr>
          </w:p>
        </w:tc>
      </w:tr>
      <w:tr>
        <w:trPr>
          <w:trHeight w:val="122"/>
        </w:trPr>
        <w:tc>
          <w:tcPr>
            <w:tcW w:w="2100" w:type="dxa"/>
            <w:vAlign w:val="bottom"/>
            <w:tcBorders>
              <w:left w:val="single" w:sz="8" w:color="auto"/>
              <w:right w:val="single" w:sz="8" w:color="auto"/>
            </w:tcBorders>
          </w:tcPr>
          <w:p>
            <w:pPr>
              <w:spacing w:after="0"/>
              <w:rPr>
                <w:sz w:val="10"/>
                <w:szCs w:val="10"/>
                <w:color w:val="auto"/>
              </w:rPr>
            </w:pPr>
          </w:p>
        </w:tc>
        <w:tc>
          <w:tcPr>
            <w:tcW w:w="2160" w:type="dxa"/>
            <w:vAlign w:val="bottom"/>
            <w:tcBorders>
              <w:right w:val="single" w:sz="8" w:color="auto"/>
            </w:tcBorders>
          </w:tcPr>
          <w:p>
            <w:pPr>
              <w:spacing w:after="0"/>
              <w:rPr>
                <w:sz w:val="10"/>
                <w:szCs w:val="10"/>
                <w:color w:val="auto"/>
              </w:rPr>
            </w:pPr>
          </w:p>
        </w:tc>
        <w:tc>
          <w:tcPr>
            <w:tcW w:w="120" w:type="dxa"/>
            <w:vAlign w:val="bottom"/>
          </w:tcPr>
          <w:p>
            <w:pPr>
              <w:spacing w:after="0"/>
              <w:rPr>
                <w:sz w:val="10"/>
                <w:szCs w:val="10"/>
                <w:color w:val="auto"/>
              </w:rPr>
            </w:pPr>
          </w:p>
        </w:tc>
        <w:tc>
          <w:tcPr>
            <w:tcW w:w="580" w:type="dxa"/>
            <w:vAlign w:val="bottom"/>
            <w:tcBorders>
              <w:right w:val="single" w:sz="8" w:color="auto"/>
            </w:tcBorders>
          </w:tcPr>
          <w:p>
            <w:pPr>
              <w:spacing w:after="0"/>
              <w:rPr>
                <w:sz w:val="10"/>
                <w:szCs w:val="10"/>
                <w:color w:val="auto"/>
              </w:rPr>
            </w:pPr>
          </w:p>
        </w:tc>
        <w:tc>
          <w:tcPr>
            <w:tcW w:w="100" w:type="dxa"/>
            <w:vAlign w:val="bottom"/>
          </w:tcPr>
          <w:p>
            <w:pPr>
              <w:spacing w:after="0"/>
              <w:rPr>
                <w:sz w:val="10"/>
                <w:szCs w:val="10"/>
                <w:color w:val="auto"/>
              </w:rPr>
            </w:pPr>
          </w:p>
        </w:tc>
        <w:tc>
          <w:tcPr>
            <w:tcW w:w="620" w:type="dxa"/>
            <w:vAlign w:val="bottom"/>
            <w:tcBorders>
              <w:right w:val="single" w:sz="8" w:color="auto"/>
            </w:tcBorders>
          </w:tcPr>
          <w:p>
            <w:pPr>
              <w:spacing w:after="0"/>
              <w:rPr>
                <w:sz w:val="10"/>
                <w:szCs w:val="10"/>
                <w:color w:val="auto"/>
              </w:rPr>
            </w:pPr>
          </w:p>
        </w:tc>
        <w:tc>
          <w:tcPr>
            <w:tcW w:w="100" w:type="dxa"/>
            <w:vAlign w:val="bottom"/>
          </w:tcPr>
          <w:p>
            <w:pPr>
              <w:spacing w:after="0"/>
              <w:rPr>
                <w:sz w:val="10"/>
                <w:szCs w:val="10"/>
                <w:color w:val="auto"/>
              </w:rPr>
            </w:pPr>
          </w:p>
        </w:tc>
        <w:tc>
          <w:tcPr>
            <w:tcW w:w="600" w:type="dxa"/>
            <w:vAlign w:val="bottom"/>
            <w:tcBorders>
              <w:right w:val="single" w:sz="8" w:color="auto"/>
            </w:tcBorders>
          </w:tcPr>
          <w:p>
            <w:pPr>
              <w:spacing w:after="0"/>
              <w:rPr>
                <w:sz w:val="10"/>
                <w:szCs w:val="10"/>
                <w:color w:val="auto"/>
              </w:rPr>
            </w:pPr>
          </w:p>
        </w:tc>
        <w:tc>
          <w:tcPr>
            <w:tcW w:w="760" w:type="dxa"/>
            <w:vAlign w:val="bottom"/>
            <w:tcBorders>
              <w:right w:val="single" w:sz="8" w:color="auto"/>
            </w:tcBorders>
          </w:tcPr>
          <w:p>
            <w:pPr>
              <w:spacing w:after="0"/>
              <w:rPr>
                <w:sz w:val="10"/>
                <w:szCs w:val="10"/>
                <w:color w:val="auto"/>
              </w:rPr>
            </w:pPr>
          </w:p>
        </w:tc>
        <w:tc>
          <w:tcPr>
            <w:tcW w:w="560" w:type="dxa"/>
            <w:vAlign w:val="bottom"/>
            <w:tcBorders>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720" w:type="dxa"/>
            <w:vAlign w:val="bottom"/>
            <w:tcBorders>
              <w:right w:val="single" w:sz="8" w:color="auto"/>
            </w:tcBorders>
          </w:tcPr>
          <w:p>
            <w:pPr>
              <w:jc w:val="center"/>
              <w:ind w:right="46"/>
              <w:spacing w:after="0" w:line="122" w:lineRule="exact"/>
              <w:rPr>
                <w:sz w:val="20"/>
                <w:szCs w:val="20"/>
                <w:color w:val="auto"/>
              </w:rPr>
            </w:pPr>
            <w:r>
              <w:rPr>
                <w:rFonts w:ascii="Arial" w:cs="Arial" w:eastAsia="Arial" w:hAnsi="Arial"/>
                <w:sz w:val="11"/>
                <w:szCs w:val="11"/>
                <w:b w:val="1"/>
                <w:bCs w:val="1"/>
                <w:color w:val="auto"/>
                <w:w w:val="95"/>
              </w:rPr>
              <w:t>Stock or</w:t>
            </w:r>
          </w:p>
        </w:tc>
        <w:tc>
          <w:tcPr>
            <w:tcW w:w="720" w:type="dxa"/>
            <w:vAlign w:val="bottom"/>
            <w:tcBorders>
              <w:right w:val="single" w:sz="8" w:color="auto"/>
            </w:tcBorders>
          </w:tcPr>
          <w:p>
            <w:pPr>
              <w:jc w:val="center"/>
              <w:ind w:right="46"/>
              <w:spacing w:after="0" w:line="122" w:lineRule="exact"/>
              <w:rPr>
                <w:sz w:val="20"/>
                <w:szCs w:val="20"/>
                <w:color w:val="auto"/>
              </w:rPr>
            </w:pPr>
            <w:r>
              <w:rPr>
                <w:rFonts w:ascii="Arial" w:cs="Arial" w:eastAsia="Arial" w:hAnsi="Arial"/>
                <w:sz w:val="11"/>
                <w:szCs w:val="11"/>
                <w:b w:val="1"/>
                <w:bCs w:val="1"/>
                <w:color w:val="auto"/>
              </w:rPr>
              <w:t>Underlying</w:t>
            </w:r>
          </w:p>
        </w:tc>
        <w:tc>
          <w:tcPr>
            <w:tcW w:w="760" w:type="dxa"/>
            <w:vAlign w:val="bottom"/>
            <w:tcBorders>
              <w:right w:val="single" w:sz="8" w:color="auto"/>
            </w:tcBorders>
            <w:gridSpan w:val="2"/>
          </w:tcPr>
          <w:p>
            <w:pPr>
              <w:ind w:left="140"/>
              <w:spacing w:after="0" w:line="122" w:lineRule="exact"/>
              <w:rPr>
                <w:sz w:val="20"/>
                <w:szCs w:val="20"/>
                <w:color w:val="auto"/>
              </w:rPr>
            </w:pPr>
            <w:r>
              <w:rPr>
                <w:rFonts w:ascii="Arial" w:cs="Arial" w:eastAsia="Arial" w:hAnsi="Arial"/>
                <w:sz w:val="11"/>
                <w:szCs w:val="11"/>
                <w:b w:val="1"/>
                <w:bCs w:val="1"/>
                <w:color w:val="auto"/>
              </w:rPr>
              <w:t>Awards</w:t>
            </w:r>
          </w:p>
        </w:tc>
        <w:tc>
          <w:tcPr>
            <w:tcW w:w="100" w:type="dxa"/>
            <w:vAlign w:val="bottom"/>
          </w:tcPr>
          <w:p>
            <w:pPr>
              <w:spacing w:after="0"/>
              <w:rPr>
                <w:sz w:val="10"/>
                <w:szCs w:val="10"/>
                <w:color w:val="auto"/>
              </w:rPr>
            </w:pPr>
          </w:p>
        </w:tc>
        <w:tc>
          <w:tcPr>
            <w:tcW w:w="720" w:type="dxa"/>
            <w:vAlign w:val="bottom"/>
            <w:tcBorders>
              <w:right w:val="single" w:sz="8" w:color="auto"/>
            </w:tcBorders>
          </w:tcPr>
          <w:p>
            <w:pPr>
              <w:jc w:val="center"/>
              <w:ind w:right="246"/>
              <w:spacing w:after="0" w:line="122" w:lineRule="exact"/>
              <w:rPr>
                <w:sz w:val="20"/>
                <w:szCs w:val="20"/>
                <w:color w:val="auto"/>
              </w:rPr>
            </w:pPr>
            <w:r>
              <w:rPr>
                <w:rFonts w:ascii="Arial" w:cs="Arial" w:eastAsia="Arial" w:hAnsi="Arial"/>
                <w:sz w:val="11"/>
                <w:szCs w:val="11"/>
                <w:b w:val="1"/>
                <w:bCs w:val="1"/>
                <w:color w:val="auto"/>
                <w:w w:val="95"/>
              </w:rPr>
              <w:t>Option</w:t>
            </w:r>
          </w:p>
        </w:tc>
        <w:tc>
          <w:tcPr>
            <w:tcW w:w="0" w:type="dxa"/>
            <w:vAlign w:val="bottom"/>
          </w:tcPr>
          <w:p>
            <w:pPr>
              <w:spacing w:after="0"/>
              <w:rPr>
                <w:sz w:val="1"/>
                <w:szCs w:val="1"/>
                <w:color w:val="auto"/>
              </w:rPr>
            </w:pPr>
          </w:p>
        </w:tc>
      </w:tr>
      <w:tr>
        <w:trPr>
          <w:trHeight w:val="144"/>
        </w:trPr>
        <w:tc>
          <w:tcPr>
            <w:tcW w:w="2100" w:type="dxa"/>
            <w:vAlign w:val="bottom"/>
            <w:tcBorders>
              <w:left w:val="single" w:sz="8" w:color="auto"/>
              <w:bottom w:val="single" w:sz="8" w:color="auto"/>
              <w:right w:val="single" w:sz="8" w:color="auto"/>
            </w:tcBorders>
          </w:tcPr>
          <w:p>
            <w:pPr>
              <w:ind w:left="160"/>
              <w:spacing w:after="0"/>
              <w:rPr>
                <w:sz w:val="20"/>
                <w:szCs w:val="20"/>
                <w:color w:val="auto"/>
              </w:rPr>
            </w:pPr>
            <w:r>
              <w:rPr>
                <w:rFonts w:ascii="Arial" w:cs="Arial" w:eastAsia="Arial" w:hAnsi="Arial"/>
                <w:sz w:val="11"/>
                <w:szCs w:val="11"/>
                <w:b w:val="1"/>
                <w:bCs w:val="1"/>
                <w:color w:val="auto"/>
              </w:rPr>
              <w:t>Name</w:t>
            </w:r>
          </w:p>
        </w:tc>
        <w:tc>
          <w:tcPr>
            <w:tcW w:w="2160" w:type="dxa"/>
            <w:vAlign w:val="bottom"/>
            <w:tcBorders>
              <w:bottom w:val="single" w:sz="8" w:color="auto"/>
              <w:right w:val="single" w:sz="8" w:color="auto"/>
            </w:tcBorders>
          </w:tcPr>
          <w:p>
            <w:pPr>
              <w:ind w:left="840"/>
              <w:spacing w:after="0"/>
              <w:rPr>
                <w:sz w:val="20"/>
                <w:szCs w:val="20"/>
                <w:color w:val="auto"/>
              </w:rPr>
            </w:pPr>
            <w:r>
              <w:rPr>
                <w:rFonts w:ascii="Arial" w:cs="Arial" w:eastAsia="Arial" w:hAnsi="Arial"/>
                <w:sz w:val="11"/>
                <w:szCs w:val="11"/>
                <w:b w:val="1"/>
                <w:bCs w:val="1"/>
                <w:color w:val="auto"/>
              </w:rPr>
              <w:t>Grant Date</w:t>
            </w:r>
          </w:p>
        </w:tc>
        <w:tc>
          <w:tcPr>
            <w:tcW w:w="700" w:type="dxa"/>
            <w:vAlign w:val="bottom"/>
            <w:tcBorders>
              <w:bottom w:val="single" w:sz="8" w:color="auto"/>
              <w:right w:val="single" w:sz="8" w:color="auto"/>
            </w:tcBorders>
            <w:gridSpan w:val="2"/>
          </w:tcPr>
          <w:p>
            <w:pPr>
              <w:ind w:left="40"/>
              <w:spacing w:after="0"/>
              <w:rPr>
                <w:sz w:val="20"/>
                <w:szCs w:val="20"/>
                <w:color w:val="auto"/>
              </w:rPr>
            </w:pPr>
            <w:r>
              <w:rPr>
                <w:rFonts w:ascii="Arial" w:cs="Arial" w:eastAsia="Arial" w:hAnsi="Arial"/>
                <w:sz w:val="11"/>
                <w:szCs w:val="11"/>
                <w:b w:val="1"/>
                <w:bCs w:val="1"/>
                <w:color w:val="auto"/>
              </w:rPr>
              <w:t>Threshold</w:t>
            </w:r>
          </w:p>
        </w:tc>
        <w:tc>
          <w:tcPr>
            <w:tcW w:w="100" w:type="dxa"/>
            <w:vAlign w:val="bottom"/>
            <w:tcBorders>
              <w:bottom w:val="single" w:sz="8" w:color="auto"/>
            </w:tcBorders>
          </w:tcPr>
          <w:p>
            <w:pPr>
              <w:spacing w:after="0"/>
              <w:rPr>
                <w:sz w:val="12"/>
                <w:szCs w:val="12"/>
                <w:color w:val="auto"/>
              </w:rPr>
            </w:pPr>
          </w:p>
        </w:tc>
        <w:tc>
          <w:tcPr>
            <w:tcW w:w="620" w:type="dxa"/>
            <w:vAlign w:val="bottom"/>
            <w:tcBorders>
              <w:bottom w:val="single" w:sz="8" w:color="auto"/>
              <w:right w:val="single" w:sz="8" w:color="auto"/>
            </w:tcBorders>
          </w:tcPr>
          <w:p>
            <w:pPr>
              <w:jc w:val="right"/>
              <w:ind w:right="206"/>
              <w:spacing w:after="0"/>
              <w:rPr>
                <w:sz w:val="20"/>
                <w:szCs w:val="20"/>
                <w:color w:val="auto"/>
              </w:rPr>
            </w:pPr>
            <w:r>
              <w:rPr>
                <w:rFonts w:ascii="Arial" w:cs="Arial" w:eastAsia="Arial" w:hAnsi="Arial"/>
                <w:sz w:val="11"/>
                <w:szCs w:val="11"/>
                <w:b w:val="1"/>
                <w:bCs w:val="1"/>
                <w:color w:val="auto"/>
              </w:rPr>
              <w:t>Target</w:t>
            </w:r>
          </w:p>
        </w:tc>
        <w:tc>
          <w:tcPr>
            <w:tcW w:w="700" w:type="dxa"/>
            <w:vAlign w:val="bottom"/>
            <w:tcBorders>
              <w:bottom w:val="single" w:sz="8" w:color="auto"/>
              <w:right w:val="single" w:sz="8" w:color="auto"/>
            </w:tcBorders>
            <w:gridSpan w:val="2"/>
          </w:tcPr>
          <w:p>
            <w:pPr>
              <w:jc w:val="right"/>
              <w:ind w:right="86"/>
              <w:spacing w:after="0"/>
              <w:rPr>
                <w:sz w:val="20"/>
                <w:szCs w:val="20"/>
                <w:color w:val="auto"/>
              </w:rPr>
            </w:pPr>
            <w:r>
              <w:rPr>
                <w:rFonts w:ascii="Arial" w:cs="Arial" w:eastAsia="Arial" w:hAnsi="Arial"/>
                <w:sz w:val="11"/>
                <w:szCs w:val="11"/>
                <w:b w:val="1"/>
                <w:bCs w:val="1"/>
                <w:color w:val="auto"/>
              </w:rPr>
              <w:t>Maximum</w:t>
            </w:r>
          </w:p>
        </w:tc>
        <w:tc>
          <w:tcPr>
            <w:tcW w:w="760" w:type="dxa"/>
            <w:vAlign w:val="bottom"/>
            <w:tcBorders>
              <w:bottom w:val="single" w:sz="8" w:color="auto"/>
              <w:right w:val="single" w:sz="8" w:color="auto"/>
            </w:tcBorders>
          </w:tcPr>
          <w:p>
            <w:pPr>
              <w:jc w:val="right"/>
              <w:ind w:right="106"/>
              <w:spacing w:after="0"/>
              <w:rPr>
                <w:sz w:val="20"/>
                <w:szCs w:val="20"/>
                <w:color w:val="auto"/>
              </w:rPr>
            </w:pPr>
            <w:r>
              <w:rPr>
                <w:rFonts w:ascii="Arial" w:cs="Arial" w:eastAsia="Arial" w:hAnsi="Arial"/>
                <w:sz w:val="11"/>
                <w:szCs w:val="11"/>
                <w:b w:val="1"/>
                <w:bCs w:val="1"/>
                <w:color w:val="auto"/>
              </w:rPr>
              <w:t>Threshold</w:t>
            </w:r>
          </w:p>
        </w:tc>
        <w:tc>
          <w:tcPr>
            <w:tcW w:w="560" w:type="dxa"/>
            <w:vAlign w:val="bottom"/>
            <w:tcBorders>
              <w:bottom w:val="single" w:sz="8" w:color="auto"/>
              <w:right w:val="single" w:sz="8" w:color="auto"/>
            </w:tcBorders>
          </w:tcPr>
          <w:p>
            <w:pPr>
              <w:jc w:val="center"/>
              <w:ind w:right="26"/>
              <w:spacing w:after="0"/>
              <w:rPr>
                <w:sz w:val="20"/>
                <w:szCs w:val="20"/>
                <w:color w:val="auto"/>
              </w:rPr>
            </w:pPr>
            <w:r>
              <w:rPr>
                <w:rFonts w:ascii="Arial" w:cs="Arial" w:eastAsia="Arial" w:hAnsi="Arial"/>
                <w:sz w:val="11"/>
                <w:szCs w:val="11"/>
                <w:b w:val="1"/>
                <w:bCs w:val="1"/>
                <w:color w:val="auto"/>
                <w:w w:val="95"/>
              </w:rPr>
              <w:t>Target</w:t>
            </w:r>
          </w:p>
        </w:tc>
        <w:tc>
          <w:tcPr>
            <w:tcW w:w="720" w:type="dxa"/>
            <w:vAlign w:val="bottom"/>
            <w:tcBorders>
              <w:bottom w:val="single" w:sz="8" w:color="auto"/>
              <w:right w:val="single" w:sz="8" w:color="auto"/>
            </w:tcBorders>
          </w:tcPr>
          <w:p>
            <w:pPr>
              <w:jc w:val="right"/>
              <w:ind w:right="106"/>
              <w:spacing w:after="0"/>
              <w:rPr>
                <w:sz w:val="20"/>
                <w:szCs w:val="20"/>
                <w:color w:val="auto"/>
              </w:rPr>
            </w:pPr>
            <w:r>
              <w:rPr>
                <w:rFonts w:ascii="Arial" w:cs="Arial" w:eastAsia="Arial" w:hAnsi="Arial"/>
                <w:sz w:val="11"/>
                <w:szCs w:val="11"/>
                <w:b w:val="1"/>
                <w:bCs w:val="1"/>
                <w:color w:val="auto"/>
              </w:rPr>
              <w:t>Maximum</w:t>
            </w:r>
          </w:p>
        </w:tc>
        <w:tc>
          <w:tcPr>
            <w:tcW w:w="720" w:type="dxa"/>
            <w:vAlign w:val="bottom"/>
            <w:tcBorders>
              <w:bottom w:val="single" w:sz="8" w:color="auto"/>
              <w:right w:val="single" w:sz="8" w:color="auto"/>
            </w:tcBorders>
          </w:tcPr>
          <w:p>
            <w:pPr>
              <w:jc w:val="center"/>
              <w:ind w:right="46"/>
              <w:spacing w:after="0"/>
              <w:rPr>
                <w:sz w:val="20"/>
                <w:szCs w:val="20"/>
                <w:color w:val="auto"/>
              </w:rPr>
            </w:pPr>
            <w:r>
              <w:rPr>
                <w:rFonts w:ascii="Arial" w:cs="Arial" w:eastAsia="Arial" w:hAnsi="Arial"/>
                <w:sz w:val="11"/>
                <w:szCs w:val="11"/>
                <w:b w:val="1"/>
                <w:bCs w:val="1"/>
                <w:color w:val="auto"/>
                <w:w w:val="94"/>
              </w:rPr>
              <w:t>Units</w:t>
            </w:r>
          </w:p>
        </w:tc>
        <w:tc>
          <w:tcPr>
            <w:tcW w:w="720" w:type="dxa"/>
            <w:vAlign w:val="bottom"/>
            <w:tcBorders>
              <w:bottom w:val="single" w:sz="8" w:color="auto"/>
              <w:right w:val="single" w:sz="8" w:color="auto"/>
            </w:tcBorders>
          </w:tcPr>
          <w:p>
            <w:pPr>
              <w:jc w:val="center"/>
              <w:ind w:right="46"/>
              <w:spacing w:after="0"/>
              <w:rPr>
                <w:sz w:val="20"/>
                <w:szCs w:val="20"/>
                <w:color w:val="auto"/>
              </w:rPr>
            </w:pPr>
            <w:r>
              <w:rPr>
                <w:rFonts w:ascii="Arial" w:cs="Arial" w:eastAsia="Arial" w:hAnsi="Arial"/>
                <w:sz w:val="11"/>
                <w:szCs w:val="11"/>
                <w:b w:val="1"/>
                <w:bCs w:val="1"/>
                <w:color w:val="auto"/>
              </w:rPr>
              <w:t>Options</w:t>
            </w:r>
          </w:p>
        </w:tc>
        <w:tc>
          <w:tcPr>
            <w:tcW w:w="200" w:type="dxa"/>
            <w:vAlign w:val="bottom"/>
            <w:tcBorders>
              <w:bottom w:val="single" w:sz="8" w:color="auto"/>
            </w:tcBorders>
          </w:tcPr>
          <w:p>
            <w:pPr>
              <w:ind w:left="100"/>
              <w:spacing w:after="0"/>
              <w:rPr>
                <w:sz w:val="20"/>
                <w:szCs w:val="20"/>
                <w:color w:val="auto"/>
              </w:rPr>
            </w:pPr>
            <w:r>
              <w:rPr>
                <w:rFonts w:ascii="Arial" w:cs="Arial" w:eastAsia="Arial" w:hAnsi="Arial"/>
                <w:sz w:val="11"/>
                <w:szCs w:val="11"/>
                <w:b w:val="1"/>
                <w:bCs w:val="1"/>
                <w:color w:val="auto"/>
                <w:w w:val="81"/>
              </w:rPr>
              <w:t>($</w:t>
            </w:r>
          </w:p>
        </w:tc>
        <w:tc>
          <w:tcPr>
            <w:tcW w:w="560" w:type="dxa"/>
            <w:vAlign w:val="bottom"/>
            <w:tcBorders>
              <w:bottom w:val="single" w:sz="8" w:color="auto"/>
              <w:right w:val="single" w:sz="8" w:color="auto"/>
            </w:tcBorders>
          </w:tcPr>
          <w:p>
            <w:pPr>
              <w:jc w:val="right"/>
              <w:ind w:right="146"/>
              <w:spacing w:after="0"/>
              <w:rPr>
                <w:sz w:val="20"/>
                <w:szCs w:val="20"/>
                <w:color w:val="auto"/>
              </w:rPr>
            </w:pPr>
            <w:r>
              <w:rPr>
                <w:rFonts w:ascii="Arial" w:cs="Arial" w:eastAsia="Arial" w:hAnsi="Arial"/>
                <w:sz w:val="11"/>
                <w:szCs w:val="11"/>
                <w:b w:val="1"/>
                <w:bCs w:val="1"/>
                <w:color w:val="auto"/>
                <w:w w:val="94"/>
              </w:rPr>
              <w:t>/share)</w:t>
            </w:r>
          </w:p>
        </w:tc>
        <w:tc>
          <w:tcPr>
            <w:tcW w:w="820" w:type="dxa"/>
            <w:vAlign w:val="bottom"/>
            <w:tcBorders>
              <w:bottom w:val="single" w:sz="8" w:color="auto"/>
              <w:right w:val="single" w:sz="8" w:color="auto"/>
            </w:tcBorders>
            <w:gridSpan w:val="2"/>
          </w:tcPr>
          <w:p>
            <w:pPr>
              <w:jc w:val="center"/>
              <w:ind w:right="146"/>
              <w:spacing w:after="0"/>
              <w:rPr>
                <w:sz w:val="20"/>
                <w:szCs w:val="20"/>
                <w:color w:val="auto"/>
              </w:rPr>
            </w:pPr>
            <w:r>
              <w:rPr>
                <w:rFonts w:ascii="Arial" w:cs="Arial" w:eastAsia="Arial" w:hAnsi="Arial"/>
                <w:sz w:val="11"/>
                <w:szCs w:val="11"/>
                <w:b w:val="1"/>
                <w:bCs w:val="1"/>
                <w:color w:val="auto"/>
                <w:w w:val="98"/>
              </w:rPr>
              <w:t>Awards</w:t>
            </w:r>
            <w:r>
              <w:rPr>
                <w:rFonts w:ascii="Arial" w:cs="Arial" w:eastAsia="Arial" w:hAnsi="Arial"/>
                <w:sz w:val="9"/>
                <w:szCs w:val="9"/>
                <w:b w:val="1"/>
                <w:bCs w:val="1"/>
                <w:color w:val="auto"/>
                <w:w w:val="98"/>
              </w:rPr>
              <w:t>(5)</w:t>
            </w:r>
          </w:p>
        </w:tc>
        <w:tc>
          <w:tcPr>
            <w:tcW w:w="0" w:type="dxa"/>
            <w:vAlign w:val="bottom"/>
          </w:tcPr>
          <w:p>
            <w:pPr>
              <w:spacing w:after="0"/>
              <w:rPr>
                <w:sz w:val="1"/>
                <w:szCs w:val="1"/>
                <w:color w:val="auto"/>
              </w:rPr>
            </w:pPr>
          </w:p>
        </w:tc>
      </w:tr>
      <w:tr>
        <w:trPr>
          <w:trHeight w:val="122"/>
        </w:trPr>
        <w:tc>
          <w:tcPr>
            <w:tcW w:w="2100" w:type="dxa"/>
            <w:vAlign w:val="bottom"/>
            <w:tcBorders>
              <w:left w:val="single" w:sz="8" w:color="auto"/>
              <w:right w:val="single" w:sz="8" w:color="auto"/>
            </w:tcBorders>
            <w:shd w:val="clear" w:color="auto" w:fill="CCEEFF"/>
          </w:tcPr>
          <w:p>
            <w:pPr>
              <w:ind w:left="160"/>
              <w:spacing w:after="0" w:line="122" w:lineRule="exact"/>
              <w:rPr>
                <w:sz w:val="20"/>
                <w:szCs w:val="20"/>
                <w:color w:val="auto"/>
              </w:rPr>
            </w:pPr>
            <w:r>
              <w:rPr>
                <w:rFonts w:ascii="Arial" w:cs="Arial" w:eastAsia="Arial" w:hAnsi="Arial"/>
                <w:sz w:val="11"/>
                <w:szCs w:val="11"/>
                <w:color w:val="auto"/>
              </w:rPr>
              <w:t>Ward J. Timken, Jr.</w:t>
            </w:r>
          </w:p>
        </w:tc>
        <w:tc>
          <w:tcPr>
            <w:tcW w:w="2160" w:type="dxa"/>
            <w:vAlign w:val="bottom"/>
            <w:tcBorders>
              <w:right w:val="single" w:sz="8" w:color="auto"/>
            </w:tcBorders>
            <w:shd w:val="clear" w:color="auto" w:fill="CCEEFF"/>
          </w:tcPr>
          <w:p>
            <w:pPr>
              <w:ind w:left="80"/>
              <w:spacing w:after="0" w:line="122" w:lineRule="exact"/>
              <w:rPr>
                <w:sz w:val="20"/>
                <w:szCs w:val="20"/>
                <w:color w:val="auto"/>
              </w:rPr>
            </w:pPr>
            <w:r>
              <w:rPr>
                <w:rFonts w:ascii="Arial" w:cs="Arial" w:eastAsia="Arial" w:hAnsi="Arial"/>
                <w:sz w:val="11"/>
                <w:szCs w:val="11"/>
                <w:color w:val="auto"/>
              </w:rPr>
              <w:t>01/29/2015 SEMPP</w:t>
            </w:r>
            <w:r>
              <w:rPr>
                <w:rFonts w:ascii="Arial" w:cs="Arial" w:eastAsia="Arial" w:hAnsi="Arial"/>
                <w:sz w:val="9"/>
                <w:szCs w:val="9"/>
                <w:color w:val="auto"/>
              </w:rPr>
              <w:t>(1)</w:t>
            </w:r>
          </w:p>
        </w:tc>
        <w:tc>
          <w:tcPr>
            <w:tcW w:w="120" w:type="dxa"/>
            <w:vAlign w:val="bottom"/>
            <w:shd w:val="clear" w:color="auto" w:fill="CCEEFF"/>
          </w:tcPr>
          <w:p>
            <w:pPr>
              <w:ind w:left="40"/>
              <w:spacing w:after="0" w:line="122" w:lineRule="exact"/>
              <w:rPr>
                <w:sz w:val="20"/>
                <w:szCs w:val="20"/>
                <w:color w:val="auto"/>
              </w:rPr>
            </w:pPr>
            <w:r>
              <w:rPr>
                <w:rFonts w:ascii="Arial" w:cs="Arial" w:eastAsia="Arial" w:hAnsi="Arial"/>
                <w:sz w:val="11"/>
                <w:szCs w:val="11"/>
                <w:color w:val="auto"/>
                <w:w w:val="97"/>
              </w:rPr>
              <w:t>$</w:t>
            </w:r>
          </w:p>
        </w:tc>
        <w:tc>
          <w:tcPr>
            <w:tcW w:w="580" w:type="dxa"/>
            <w:vAlign w:val="bottom"/>
            <w:tcBorders>
              <w:right w:val="single" w:sz="8" w:color="auto"/>
            </w:tcBorders>
            <w:shd w:val="clear" w:color="auto" w:fill="CCEEFF"/>
          </w:tcPr>
          <w:p>
            <w:pPr>
              <w:ind w:left="60"/>
              <w:spacing w:after="0" w:line="122" w:lineRule="exact"/>
              <w:rPr>
                <w:sz w:val="20"/>
                <w:szCs w:val="20"/>
                <w:color w:val="auto"/>
              </w:rPr>
            </w:pPr>
            <w:r>
              <w:rPr>
                <w:rFonts w:ascii="Arial" w:cs="Arial" w:eastAsia="Arial" w:hAnsi="Arial"/>
                <w:sz w:val="11"/>
                <w:szCs w:val="11"/>
                <w:color w:val="auto"/>
              </w:rPr>
              <w:t>830,592</w:t>
            </w:r>
          </w:p>
        </w:tc>
        <w:tc>
          <w:tcPr>
            <w:tcW w:w="100" w:type="dxa"/>
            <w:vAlign w:val="bottom"/>
            <w:shd w:val="clear" w:color="auto" w:fill="CCEEFF"/>
          </w:tcPr>
          <w:p>
            <w:pPr>
              <w:jc w:val="right"/>
              <w:spacing w:after="0" w:line="122" w:lineRule="exact"/>
              <w:rPr>
                <w:sz w:val="20"/>
                <w:szCs w:val="20"/>
                <w:color w:val="auto"/>
              </w:rPr>
            </w:pPr>
            <w:r>
              <w:rPr>
                <w:rFonts w:ascii="Arial" w:cs="Arial" w:eastAsia="Arial" w:hAnsi="Arial"/>
                <w:sz w:val="11"/>
                <w:szCs w:val="11"/>
                <w:color w:val="auto"/>
              </w:rPr>
              <w:t>$</w:t>
            </w:r>
          </w:p>
        </w:tc>
        <w:tc>
          <w:tcPr>
            <w:tcW w:w="620" w:type="dxa"/>
            <w:vAlign w:val="bottom"/>
            <w:tcBorders>
              <w:right w:val="single" w:sz="8" w:color="auto"/>
            </w:tcBorders>
            <w:shd w:val="clear" w:color="auto" w:fill="CCEEFF"/>
          </w:tcPr>
          <w:p>
            <w:pPr>
              <w:jc w:val="right"/>
              <w:ind w:right="86"/>
              <w:spacing w:after="0" w:line="122" w:lineRule="exact"/>
              <w:rPr>
                <w:sz w:val="20"/>
                <w:szCs w:val="20"/>
                <w:color w:val="auto"/>
              </w:rPr>
            </w:pPr>
            <w:r>
              <w:rPr>
                <w:rFonts w:ascii="Arial" w:cs="Arial" w:eastAsia="Arial" w:hAnsi="Arial"/>
                <w:sz w:val="11"/>
                <w:szCs w:val="11"/>
                <w:color w:val="auto"/>
                <w:w w:val="93"/>
              </w:rPr>
              <w:t>1,765,008</w:t>
            </w:r>
          </w:p>
        </w:tc>
        <w:tc>
          <w:tcPr>
            <w:tcW w:w="100" w:type="dxa"/>
            <w:vAlign w:val="bottom"/>
            <w:shd w:val="clear" w:color="auto" w:fill="CCEEFF"/>
          </w:tcPr>
          <w:p>
            <w:pPr>
              <w:jc w:val="right"/>
              <w:spacing w:after="0" w:line="122" w:lineRule="exact"/>
              <w:rPr>
                <w:sz w:val="20"/>
                <w:szCs w:val="20"/>
                <w:color w:val="auto"/>
              </w:rPr>
            </w:pPr>
            <w:r>
              <w:rPr>
                <w:rFonts w:ascii="Arial" w:cs="Arial" w:eastAsia="Arial" w:hAnsi="Arial"/>
                <w:sz w:val="11"/>
                <w:szCs w:val="11"/>
                <w:color w:val="auto"/>
                <w:w w:val="97"/>
              </w:rPr>
              <w:t>$</w:t>
            </w:r>
          </w:p>
        </w:tc>
        <w:tc>
          <w:tcPr>
            <w:tcW w:w="600" w:type="dxa"/>
            <w:vAlign w:val="bottom"/>
            <w:tcBorders>
              <w:right w:val="single" w:sz="8" w:color="auto"/>
            </w:tcBorders>
            <w:shd w:val="clear" w:color="auto" w:fill="CCEEFF"/>
          </w:tcPr>
          <w:p>
            <w:pPr>
              <w:jc w:val="right"/>
              <w:ind w:right="66"/>
              <w:spacing w:after="0" w:line="122" w:lineRule="exact"/>
              <w:rPr>
                <w:sz w:val="20"/>
                <w:szCs w:val="20"/>
                <w:color w:val="auto"/>
              </w:rPr>
            </w:pPr>
            <w:r>
              <w:rPr>
                <w:rFonts w:ascii="Arial" w:cs="Arial" w:eastAsia="Arial" w:hAnsi="Arial"/>
                <w:sz w:val="11"/>
                <w:szCs w:val="11"/>
                <w:color w:val="auto"/>
                <w:w w:val="93"/>
              </w:rPr>
              <w:t>2,699,424</w:t>
            </w:r>
          </w:p>
        </w:tc>
        <w:tc>
          <w:tcPr>
            <w:tcW w:w="760" w:type="dxa"/>
            <w:vAlign w:val="bottom"/>
            <w:tcBorders>
              <w:right w:val="single" w:sz="8" w:color="auto"/>
            </w:tcBorders>
            <w:shd w:val="clear" w:color="auto" w:fill="CCEEFF"/>
          </w:tcPr>
          <w:p>
            <w:pPr>
              <w:spacing w:after="0"/>
              <w:rPr>
                <w:sz w:val="10"/>
                <w:szCs w:val="10"/>
                <w:color w:val="auto"/>
              </w:rPr>
            </w:pPr>
          </w:p>
        </w:tc>
        <w:tc>
          <w:tcPr>
            <w:tcW w:w="560" w:type="dxa"/>
            <w:vAlign w:val="bottom"/>
            <w:tcBorders>
              <w:right w:val="single" w:sz="8" w:color="auto"/>
            </w:tcBorders>
            <w:shd w:val="clear" w:color="auto" w:fill="CCEEFF"/>
          </w:tcPr>
          <w:p>
            <w:pPr>
              <w:spacing w:after="0"/>
              <w:rPr>
                <w:sz w:val="10"/>
                <w:szCs w:val="10"/>
                <w:color w:val="auto"/>
              </w:rPr>
            </w:pPr>
          </w:p>
        </w:tc>
        <w:tc>
          <w:tcPr>
            <w:tcW w:w="720" w:type="dxa"/>
            <w:vAlign w:val="bottom"/>
            <w:tcBorders>
              <w:right w:val="single" w:sz="8" w:color="auto"/>
            </w:tcBorders>
            <w:shd w:val="clear" w:color="auto" w:fill="CCEEFF"/>
          </w:tcPr>
          <w:p>
            <w:pPr>
              <w:spacing w:after="0"/>
              <w:rPr>
                <w:sz w:val="10"/>
                <w:szCs w:val="10"/>
                <w:color w:val="auto"/>
              </w:rPr>
            </w:pPr>
          </w:p>
        </w:tc>
        <w:tc>
          <w:tcPr>
            <w:tcW w:w="720" w:type="dxa"/>
            <w:vAlign w:val="bottom"/>
            <w:tcBorders>
              <w:right w:val="single" w:sz="8" w:color="auto"/>
            </w:tcBorders>
            <w:shd w:val="clear" w:color="auto" w:fill="CCEEFF"/>
          </w:tcPr>
          <w:p>
            <w:pPr>
              <w:spacing w:after="0"/>
              <w:rPr>
                <w:sz w:val="10"/>
                <w:szCs w:val="10"/>
                <w:color w:val="auto"/>
              </w:rPr>
            </w:pPr>
          </w:p>
        </w:tc>
        <w:tc>
          <w:tcPr>
            <w:tcW w:w="720" w:type="dxa"/>
            <w:vAlign w:val="bottom"/>
            <w:tcBorders>
              <w:right w:val="single" w:sz="8" w:color="auto"/>
            </w:tcBorders>
            <w:shd w:val="clear" w:color="auto" w:fill="CCEEFF"/>
          </w:tcPr>
          <w:p>
            <w:pPr>
              <w:spacing w:after="0"/>
              <w:rPr>
                <w:sz w:val="10"/>
                <w:szCs w:val="10"/>
                <w:color w:val="auto"/>
              </w:rPr>
            </w:pPr>
          </w:p>
        </w:tc>
        <w:tc>
          <w:tcPr>
            <w:tcW w:w="200" w:type="dxa"/>
            <w:vAlign w:val="bottom"/>
            <w:shd w:val="clear" w:color="auto" w:fill="CCEEFF"/>
          </w:tcPr>
          <w:p>
            <w:pPr>
              <w:spacing w:after="0"/>
              <w:rPr>
                <w:sz w:val="10"/>
                <w:szCs w:val="10"/>
                <w:color w:val="auto"/>
              </w:rPr>
            </w:pPr>
          </w:p>
        </w:tc>
        <w:tc>
          <w:tcPr>
            <w:tcW w:w="560" w:type="dxa"/>
            <w:vAlign w:val="bottom"/>
            <w:tcBorders>
              <w:right w:val="single" w:sz="8" w:color="auto"/>
            </w:tcBorders>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720" w:type="dxa"/>
            <w:vAlign w:val="bottom"/>
            <w:tcBorders>
              <w:right w:val="single" w:sz="8" w:color="auto"/>
            </w:tcBorders>
            <w:shd w:val="clear" w:color="auto" w:fill="CCEEFF"/>
          </w:tcPr>
          <w:p>
            <w:pPr>
              <w:spacing w:after="0"/>
              <w:rPr>
                <w:sz w:val="10"/>
                <w:szCs w:val="10"/>
                <w:color w:val="auto"/>
              </w:rPr>
            </w:pPr>
          </w:p>
        </w:tc>
        <w:tc>
          <w:tcPr>
            <w:tcW w:w="0" w:type="dxa"/>
            <w:vAlign w:val="bottom"/>
          </w:tcPr>
          <w:p>
            <w:pPr>
              <w:spacing w:after="0"/>
              <w:rPr>
                <w:sz w:val="1"/>
                <w:szCs w:val="1"/>
                <w:color w:val="auto"/>
              </w:rPr>
            </w:pPr>
          </w:p>
        </w:tc>
      </w:tr>
      <w:tr>
        <w:trPr>
          <w:trHeight w:val="122"/>
        </w:trPr>
        <w:tc>
          <w:tcPr>
            <w:tcW w:w="2100" w:type="dxa"/>
            <w:vAlign w:val="bottom"/>
            <w:tcBorders>
              <w:left w:val="single" w:sz="8" w:color="auto"/>
              <w:right w:val="single" w:sz="8" w:color="auto"/>
            </w:tcBorders>
          </w:tcPr>
          <w:p>
            <w:pPr>
              <w:spacing w:after="0"/>
              <w:rPr>
                <w:sz w:val="10"/>
                <w:szCs w:val="10"/>
                <w:color w:val="auto"/>
              </w:rPr>
            </w:pPr>
          </w:p>
        </w:tc>
        <w:tc>
          <w:tcPr>
            <w:tcW w:w="2160" w:type="dxa"/>
            <w:vAlign w:val="bottom"/>
            <w:tcBorders>
              <w:right w:val="single" w:sz="8" w:color="auto"/>
            </w:tcBorders>
          </w:tcPr>
          <w:p>
            <w:pPr>
              <w:ind w:left="80"/>
              <w:spacing w:after="0" w:line="122" w:lineRule="exact"/>
              <w:rPr>
                <w:sz w:val="20"/>
                <w:szCs w:val="20"/>
                <w:color w:val="auto"/>
              </w:rPr>
            </w:pPr>
            <w:r>
              <w:rPr>
                <w:rFonts w:ascii="Arial" w:cs="Arial" w:eastAsia="Arial" w:hAnsi="Arial"/>
                <w:sz w:val="11"/>
                <w:szCs w:val="11"/>
                <w:color w:val="auto"/>
              </w:rPr>
              <w:t>01/29/2015 NQSOs</w:t>
            </w:r>
            <w:r>
              <w:rPr>
                <w:rFonts w:ascii="Arial" w:cs="Arial" w:eastAsia="Arial" w:hAnsi="Arial"/>
                <w:sz w:val="9"/>
                <w:szCs w:val="9"/>
                <w:color w:val="auto"/>
              </w:rPr>
              <w:t>(3)</w:t>
            </w:r>
          </w:p>
        </w:tc>
        <w:tc>
          <w:tcPr>
            <w:tcW w:w="120" w:type="dxa"/>
            <w:vAlign w:val="bottom"/>
          </w:tcPr>
          <w:p>
            <w:pPr>
              <w:spacing w:after="0"/>
              <w:rPr>
                <w:sz w:val="10"/>
                <w:szCs w:val="10"/>
                <w:color w:val="auto"/>
              </w:rPr>
            </w:pPr>
          </w:p>
        </w:tc>
        <w:tc>
          <w:tcPr>
            <w:tcW w:w="580" w:type="dxa"/>
            <w:vAlign w:val="bottom"/>
            <w:tcBorders>
              <w:right w:val="single" w:sz="8" w:color="auto"/>
            </w:tcBorders>
          </w:tcPr>
          <w:p>
            <w:pPr>
              <w:spacing w:after="0"/>
              <w:rPr>
                <w:sz w:val="10"/>
                <w:szCs w:val="10"/>
                <w:color w:val="auto"/>
              </w:rPr>
            </w:pPr>
          </w:p>
        </w:tc>
        <w:tc>
          <w:tcPr>
            <w:tcW w:w="100" w:type="dxa"/>
            <w:vAlign w:val="bottom"/>
          </w:tcPr>
          <w:p>
            <w:pPr>
              <w:spacing w:after="0"/>
              <w:rPr>
                <w:sz w:val="10"/>
                <w:szCs w:val="10"/>
                <w:color w:val="auto"/>
              </w:rPr>
            </w:pPr>
          </w:p>
        </w:tc>
        <w:tc>
          <w:tcPr>
            <w:tcW w:w="620" w:type="dxa"/>
            <w:vAlign w:val="bottom"/>
            <w:tcBorders>
              <w:right w:val="single" w:sz="8" w:color="auto"/>
            </w:tcBorders>
          </w:tcPr>
          <w:p>
            <w:pPr>
              <w:spacing w:after="0"/>
              <w:rPr>
                <w:sz w:val="10"/>
                <w:szCs w:val="10"/>
                <w:color w:val="auto"/>
              </w:rPr>
            </w:pPr>
          </w:p>
        </w:tc>
        <w:tc>
          <w:tcPr>
            <w:tcW w:w="100" w:type="dxa"/>
            <w:vAlign w:val="bottom"/>
          </w:tcPr>
          <w:p>
            <w:pPr>
              <w:spacing w:after="0"/>
              <w:rPr>
                <w:sz w:val="10"/>
                <w:szCs w:val="10"/>
                <w:color w:val="auto"/>
              </w:rPr>
            </w:pPr>
          </w:p>
        </w:tc>
        <w:tc>
          <w:tcPr>
            <w:tcW w:w="600" w:type="dxa"/>
            <w:vAlign w:val="bottom"/>
            <w:tcBorders>
              <w:right w:val="single" w:sz="8" w:color="auto"/>
            </w:tcBorders>
          </w:tcPr>
          <w:p>
            <w:pPr>
              <w:spacing w:after="0"/>
              <w:rPr>
                <w:sz w:val="10"/>
                <w:szCs w:val="10"/>
                <w:color w:val="auto"/>
              </w:rPr>
            </w:pPr>
          </w:p>
        </w:tc>
        <w:tc>
          <w:tcPr>
            <w:tcW w:w="760" w:type="dxa"/>
            <w:vAlign w:val="bottom"/>
            <w:tcBorders>
              <w:right w:val="single" w:sz="8" w:color="auto"/>
            </w:tcBorders>
          </w:tcPr>
          <w:p>
            <w:pPr>
              <w:spacing w:after="0"/>
              <w:rPr>
                <w:sz w:val="10"/>
                <w:szCs w:val="10"/>
                <w:color w:val="auto"/>
              </w:rPr>
            </w:pPr>
          </w:p>
        </w:tc>
        <w:tc>
          <w:tcPr>
            <w:tcW w:w="560" w:type="dxa"/>
            <w:vAlign w:val="bottom"/>
            <w:tcBorders>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720" w:type="dxa"/>
            <w:vAlign w:val="bottom"/>
            <w:tcBorders>
              <w:right w:val="single" w:sz="8" w:color="auto"/>
            </w:tcBorders>
          </w:tcPr>
          <w:p>
            <w:pPr>
              <w:jc w:val="right"/>
              <w:ind w:right="66"/>
              <w:spacing w:after="0" w:line="122" w:lineRule="exact"/>
              <w:rPr>
                <w:sz w:val="20"/>
                <w:szCs w:val="20"/>
                <w:color w:val="auto"/>
              </w:rPr>
            </w:pPr>
            <w:r>
              <w:rPr>
                <w:rFonts w:ascii="Arial" w:cs="Arial" w:eastAsia="Arial" w:hAnsi="Arial"/>
                <w:sz w:val="11"/>
                <w:szCs w:val="11"/>
                <w:color w:val="auto"/>
              </w:rPr>
              <w:t>95,000</w:t>
            </w:r>
          </w:p>
        </w:tc>
        <w:tc>
          <w:tcPr>
            <w:tcW w:w="200" w:type="dxa"/>
            <w:vAlign w:val="bottom"/>
          </w:tcPr>
          <w:p>
            <w:pPr>
              <w:ind w:left="40"/>
              <w:spacing w:after="0" w:line="122" w:lineRule="exact"/>
              <w:rPr>
                <w:sz w:val="20"/>
                <w:szCs w:val="20"/>
                <w:color w:val="auto"/>
              </w:rPr>
            </w:pPr>
            <w:r>
              <w:rPr>
                <w:rFonts w:ascii="Arial" w:cs="Arial" w:eastAsia="Arial" w:hAnsi="Arial"/>
                <w:sz w:val="11"/>
                <w:szCs w:val="11"/>
                <w:color w:val="auto"/>
              </w:rPr>
              <w:t>$</w:t>
            </w:r>
          </w:p>
        </w:tc>
        <w:tc>
          <w:tcPr>
            <w:tcW w:w="560" w:type="dxa"/>
            <w:vAlign w:val="bottom"/>
            <w:tcBorders>
              <w:right w:val="single" w:sz="8" w:color="auto"/>
            </w:tcBorders>
          </w:tcPr>
          <w:p>
            <w:pPr>
              <w:jc w:val="right"/>
              <w:ind w:right="86"/>
              <w:spacing w:after="0" w:line="122" w:lineRule="exact"/>
              <w:rPr>
                <w:sz w:val="20"/>
                <w:szCs w:val="20"/>
                <w:color w:val="auto"/>
              </w:rPr>
            </w:pPr>
            <w:r>
              <w:rPr>
                <w:rFonts w:ascii="Arial" w:cs="Arial" w:eastAsia="Arial" w:hAnsi="Arial"/>
                <w:sz w:val="11"/>
                <w:szCs w:val="11"/>
                <w:color w:val="auto"/>
              </w:rPr>
              <w:t>29.00</w:t>
            </w:r>
          </w:p>
        </w:tc>
        <w:tc>
          <w:tcPr>
            <w:tcW w:w="100" w:type="dxa"/>
            <w:vAlign w:val="bottom"/>
          </w:tcPr>
          <w:p>
            <w:pPr>
              <w:ind w:left="40"/>
              <w:spacing w:after="0"/>
              <w:rPr>
                <w:sz w:val="20"/>
                <w:szCs w:val="20"/>
                <w:color w:val="auto"/>
              </w:rPr>
            </w:pPr>
            <w:r>
              <w:rPr>
                <w:rFonts w:ascii="Arial" w:cs="Arial" w:eastAsia="Arial" w:hAnsi="Arial"/>
                <w:sz w:val="10"/>
                <w:szCs w:val="10"/>
                <w:color w:val="auto"/>
                <w:w w:val="71"/>
              </w:rPr>
              <w:t>$</w:t>
            </w:r>
          </w:p>
        </w:tc>
        <w:tc>
          <w:tcPr>
            <w:tcW w:w="720" w:type="dxa"/>
            <w:vAlign w:val="bottom"/>
            <w:tcBorders>
              <w:right w:val="single" w:sz="8" w:color="auto"/>
            </w:tcBorders>
          </w:tcPr>
          <w:p>
            <w:pPr>
              <w:jc w:val="right"/>
              <w:ind w:right="186"/>
              <w:spacing w:after="0" w:line="122" w:lineRule="exact"/>
              <w:rPr>
                <w:sz w:val="20"/>
                <w:szCs w:val="20"/>
                <w:color w:val="auto"/>
              </w:rPr>
            </w:pPr>
            <w:r>
              <w:rPr>
                <w:rFonts w:ascii="Arial" w:cs="Arial" w:eastAsia="Arial" w:hAnsi="Arial"/>
                <w:sz w:val="11"/>
                <w:szCs w:val="11"/>
                <w:color w:val="auto"/>
              </w:rPr>
              <w:t>960,450</w:t>
            </w:r>
          </w:p>
        </w:tc>
        <w:tc>
          <w:tcPr>
            <w:tcW w:w="0" w:type="dxa"/>
            <w:vAlign w:val="bottom"/>
          </w:tcPr>
          <w:p>
            <w:pPr>
              <w:spacing w:after="0"/>
              <w:rPr>
                <w:sz w:val="1"/>
                <w:szCs w:val="1"/>
                <w:color w:val="auto"/>
              </w:rPr>
            </w:pPr>
          </w:p>
        </w:tc>
      </w:tr>
      <w:tr>
        <w:trPr>
          <w:trHeight w:val="122"/>
        </w:trPr>
        <w:tc>
          <w:tcPr>
            <w:tcW w:w="2100" w:type="dxa"/>
            <w:vAlign w:val="bottom"/>
            <w:tcBorders>
              <w:left w:val="single" w:sz="8" w:color="auto"/>
              <w:bottom w:val="single" w:sz="8" w:color="auto"/>
              <w:right w:val="single" w:sz="8" w:color="auto"/>
            </w:tcBorders>
            <w:shd w:val="clear" w:color="auto" w:fill="CCEEFF"/>
          </w:tcPr>
          <w:p>
            <w:pPr>
              <w:spacing w:after="0"/>
              <w:rPr>
                <w:sz w:val="10"/>
                <w:szCs w:val="10"/>
                <w:color w:val="auto"/>
              </w:rPr>
            </w:pPr>
          </w:p>
        </w:tc>
        <w:tc>
          <w:tcPr>
            <w:tcW w:w="2160" w:type="dxa"/>
            <w:vAlign w:val="bottom"/>
            <w:tcBorders>
              <w:bottom w:val="single" w:sz="8" w:color="auto"/>
              <w:right w:val="single" w:sz="8" w:color="auto"/>
            </w:tcBorders>
            <w:shd w:val="clear" w:color="auto" w:fill="CCEEFF"/>
          </w:tcPr>
          <w:p>
            <w:pPr>
              <w:ind w:left="80"/>
              <w:spacing w:after="0" w:line="122" w:lineRule="exact"/>
              <w:rPr>
                <w:sz w:val="20"/>
                <w:szCs w:val="20"/>
                <w:color w:val="auto"/>
              </w:rPr>
            </w:pPr>
            <w:r>
              <w:rPr>
                <w:rFonts w:ascii="Arial" w:cs="Arial" w:eastAsia="Arial" w:hAnsi="Arial"/>
                <w:sz w:val="11"/>
                <w:szCs w:val="11"/>
                <w:color w:val="auto"/>
              </w:rPr>
              <w:t>01/29/2015 Perf RSUs</w:t>
            </w:r>
            <w:r>
              <w:rPr>
                <w:rFonts w:ascii="Arial" w:cs="Arial" w:eastAsia="Arial" w:hAnsi="Arial"/>
                <w:sz w:val="9"/>
                <w:szCs w:val="9"/>
                <w:color w:val="auto"/>
              </w:rPr>
              <w:t>(4)</w:t>
            </w:r>
          </w:p>
        </w:tc>
        <w:tc>
          <w:tcPr>
            <w:tcW w:w="120" w:type="dxa"/>
            <w:vAlign w:val="bottom"/>
            <w:tcBorders>
              <w:bottom w:val="single" w:sz="8" w:color="auto"/>
            </w:tcBorders>
            <w:shd w:val="clear" w:color="auto" w:fill="CCEEFF"/>
          </w:tcPr>
          <w:p>
            <w:pPr>
              <w:spacing w:after="0"/>
              <w:rPr>
                <w:sz w:val="10"/>
                <w:szCs w:val="10"/>
                <w:color w:val="auto"/>
              </w:rPr>
            </w:pPr>
          </w:p>
        </w:tc>
        <w:tc>
          <w:tcPr>
            <w:tcW w:w="580" w:type="dxa"/>
            <w:vAlign w:val="bottom"/>
            <w:tcBorders>
              <w:bottom w:val="single" w:sz="8" w:color="auto"/>
              <w:right w:val="single" w:sz="8" w:color="auto"/>
            </w:tcBorders>
            <w:shd w:val="clear" w:color="auto" w:fill="CCEEFF"/>
          </w:tcPr>
          <w:p>
            <w:pPr>
              <w:spacing w:after="0"/>
              <w:rPr>
                <w:sz w:val="10"/>
                <w:szCs w:val="10"/>
                <w:color w:val="auto"/>
              </w:rPr>
            </w:pPr>
          </w:p>
        </w:tc>
        <w:tc>
          <w:tcPr>
            <w:tcW w:w="100" w:type="dxa"/>
            <w:vAlign w:val="bottom"/>
            <w:tcBorders>
              <w:bottom w:val="single" w:sz="8" w:color="auto"/>
            </w:tcBorders>
            <w:shd w:val="clear" w:color="auto" w:fill="CCEEFF"/>
          </w:tcPr>
          <w:p>
            <w:pPr>
              <w:spacing w:after="0"/>
              <w:rPr>
                <w:sz w:val="10"/>
                <w:szCs w:val="10"/>
                <w:color w:val="auto"/>
              </w:rPr>
            </w:pPr>
          </w:p>
        </w:tc>
        <w:tc>
          <w:tcPr>
            <w:tcW w:w="620" w:type="dxa"/>
            <w:vAlign w:val="bottom"/>
            <w:tcBorders>
              <w:bottom w:val="single" w:sz="8" w:color="auto"/>
              <w:right w:val="single" w:sz="8" w:color="auto"/>
            </w:tcBorders>
            <w:shd w:val="clear" w:color="auto" w:fill="CCEEFF"/>
          </w:tcPr>
          <w:p>
            <w:pPr>
              <w:spacing w:after="0"/>
              <w:rPr>
                <w:sz w:val="10"/>
                <w:szCs w:val="10"/>
                <w:color w:val="auto"/>
              </w:rPr>
            </w:pPr>
          </w:p>
        </w:tc>
        <w:tc>
          <w:tcPr>
            <w:tcW w:w="100" w:type="dxa"/>
            <w:vAlign w:val="bottom"/>
            <w:tcBorders>
              <w:bottom w:val="single" w:sz="8" w:color="auto"/>
            </w:tcBorders>
            <w:shd w:val="clear" w:color="auto" w:fill="CCEEFF"/>
          </w:tcPr>
          <w:p>
            <w:pPr>
              <w:spacing w:after="0"/>
              <w:rPr>
                <w:sz w:val="10"/>
                <w:szCs w:val="10"/>
                <w:color w:val="auto"/>
              </w:rPr>
            </w:pPr>
          </w:p>
        </w:tc>
        <w:tc>
          <w:tcPr>
            <w:tcW w:w="600" w:type="dxa"/>
            <w:vAlign w:val="bottom"/>
            <w:tcBorders>
              <w:bottom w:val="single" w:sz="8" w:color="auto"/>
              <w:right w:val="single" w:sz="8" w:color="auto"/>
            </w:tcBorders>
            <w:shd w:val="clear" w:color="auto" w:fill="CCEEFF"/>
          </w:tcPr>
          <w:p>
            <w:pPr>
              <w:spacing w:after="0"/>
              <w:rPr>
                <w:sz w:val="10"/>
                <w:szCs w:val="10"/>
                <w:color w:val="auto"/>
              </w:rPr>
            </w:pPr>
          </w:p>
        </w:tc>
        <w:tc>
          <w:tcPr>
            <w:tcW w:w="760" w:type="dxa"/>
            <w:vAlign w:val="bottom"/>
            <w:tcBorders>
              <w:bottom w:val="single" w:sz="8" w:color="auto"/>
              <w:right w:val="single" w:sz="8" w:color="auto"/>
            </w:tcBorders>
            <w:shd w:val="clear" w:color="auto" w:fill="CCEEFF"/>
          </w:tcPr>
          <w:p>
            <w:pPr>
              <w:jc w:val="right"/>
              <w:ind w:right="66"/>
              <w:spacing w:after="0" w:line="122" w:lineRule="exact"/>
              <w:rPr>
                <w:sz w:val="20"/>
                <w:szCs w:val="20"/>
                <w:color w:val="auto"/>
              </w:rPr>
            </w:pPr>
            <w:r>
              <w:rPr>
                <w:rFonts w:ascii="Arial" w:cs="Arial" w:eastAsia="Arial" w:hAnsi="Arial"/>
                <w:sz w:val="11"/>
                <w:szCs w:val="11"/>
                <w:color w:val="auto"/>
              </w:rPr>
              <w:t>37,400</w:t>
            </w:r>
          </w:p>
        </w:tc>
        <w:tc>
          <w:tcPr>
            <w:tcW w:w="560" w:type="dxa"/>
            <w:vAlign w:val="bottom"/>
            <w:tcBorders>
              <w:bottom w:val="single" w:sz="8" w:color="auto"/>
              <w:right w:val="single" w:sz="8" w:color="auto"/>
            </w:tcBorders>
            <w:shd w:val="clear" w:color="auto" w:fill="CCEEFF"/>
          </w:tcPr>
          <w:p>
            <w:pPr>
              <w:jc w:val="right"/>
              <w:ind w:right="66"/>
              <w:spacing w:after="0" w:line="122" w:lineRule="exact"/>
              <w:rPr>
                <w:sz w:val="20"/>
                <w:szCs w:val="20"/>
                <w:color w:val="auto"/>
              </w:rPr>
            </w:pPr>
            <w:r>
              <w:rPr>
                <w:rFonts w:ascii="Arial" w:cs="Arial" w:eastAsia="Arial" w:hAnsi="Arial"/>
                <w:sz w:val="11"/>
                <w:szCs w:val="11"/>
                <w:color w:val="auto"/>
              </w:rPr>
              <w:t>74,800</w:t>
            </w:r>
          </w:p>
        </w:tc>
        <w:tc>
          <w:tcPr>
            <w:tcW w:w="720" w:type="dxa"/>
            <w:vAlign w:val="bottom"/>
            <w:tcBorders>
              <w:bottom w:val="single" w:sz="8" w:color="auto"/>
              <w:right w:val="single" w:sz="8" w:color="auto"/>
            </w:tcBorders>
            <w:shd w:val="clear" w:color="auto" w:fill="CCEEFF"/>
          </w:tcPr>
          <w:p>
            <w:pPr>
              <w:jc w:val="right"/>
              <w:ind w:right="66"/>
              <w:spacing w:after="0" w:line="122" w:lineRule="exact"/>
              <w:rPr>
                <w:sz w:val="20"/>
                <w:szCs w:val="20"/>
                <w:color w:val="auto"/>
              </w:rPr>
            </w:pPr>
            <w:r>
              <w:rPr>
                <w:rFonts w:ascii="Arial" w:cs="Arial" w:eastAsia="Arial" w:hAnsi="Arial"/>
                <w:sz w:val="11"/>
                <w:szCs w:val="11"/>
                <w:color w:val="auto"/>
              </w:rPr>
              <w:t>112,200</w:t>
            </w:r>
          </w:p>
        </w:tc>
        <w:tc>
          <w:tcPr>
            <w:tcW w:w="720" w:type="dxa"/>
            <w:vAlign w:val="bottom"/>
            <w:tcBorders>
              <w:bottom w:val="single" w:sz="8" w:color="auto"/>
              <w:right w:val="single" w:sz="8" w:color="auto"/>
            </w:tcBorders>
            <w:shd w:val="clear" w:color="auto" w:fill="CCEEFF"/>
          </w:tcPr>
          <w:p>
            <w:pPr>
              <w:spacing w:after="0"/>
              <w:rPr>
                <w:sz w:val="10"/>
                <w:szCs w:val="10"/>
                <w:color w:val="auto"/>
              </w:rPr>
            </w:pPr>
          </w:p>
        </w:tc>
        <w:tc>
          <w:tcPr>
            <w:tcW w:w="720" w:type="dxa"/>
            <w:vAlign w:val="bottom"/>
            <w:tcBorders>
              <w:bottom w:val="single" w:sz="8" w:color="auto"/>
              <w:right w:val="single" w:sz="8" w:color="auto"/>
            </w:tcBorders>
            <w:shd w:val="clear" w:color="auto" w:fill="CCEEFF"/>
          </w:tcPr>
          <w:p>
            <w:pPr>
              <w:spacing w:after="0"/>
              <w:rPr>
                <w:sz w:val="10"/>
                <w:szCs w:val="10"/>
                <w:color w:val="auto"/>
              </w:rPr>
            </w:pPr>
          </w:p>
        </w:tc>
        <w:tc>
          <w:tcPr>
            <w:tcW w:w="200" w:type="dxa"/>
            <w:vAlign w:val="bottom"/>
            <w:tcBorders>
              <w:bottom w:val="single" w:sz="8" w:color="auto"/>
            </w:tcBorders>
            <w:shd w:val="clear" w:color="auto" w:fill="CCEEFF"/>
          </w:tcPr>
          <w:p>
            <w:pPr>
              <w:spacing w:after="0"/>
              <w:rPr>
                <w:sz w:val="10"/>
                <w:szCs w:val="10"/>
                <w:color w:val="auto"/>
              </w:rPr>
            </w:pPr>
          </w:p>
        </w:tc>
        <w:tc>
          <w:tcPr>
            <w:tcW w:w="560" w:type="dxa"/>
            <w:vAlign w:val="bottom"/>
            <w:tcBorders>
              <w:bottom w:val="single" w:sz="8" w:color="auto"/>
              <w:right w:val="single" w:sz="8" w:color="auto"/>
            </w:tcBorders>
            <w:shd w:val="clear" w:color="auto" w:fill="CCEEFF"/>
          </w:tcPr>
          <w:p>
            <w:pPr>
              <w:spacing w:after="0"/>
              <w:rPr>
                <w:sz w:val="10"/>
                <w:szCs w:val="10"/>
                <w:color w:val="auto"/>
              </w:rPr>
            </w:pPr>
          </w:p>
        </w:tc>
        <w:tc>
          <w:tcPr>
            <w:tcW w:w="820" w:type="dxa"/>
            <w:vAlign w:val="bottom"/>
            <w:tcBorders>
              <w:bottom w:val="single" w:sz="8" w:color="auto"/>
              <w:right w:val="single" w:sz="8" w:color="auto"/>
            </w:tcBorders>
            <w:gridSpan w:val="2"/>
            <w:shd w:val="clear" w:color="auto" w:fill="CCEEFF"/>
          </w:tcPr>
          <w:p>
            <w:pPr>
              <w:jc w:val="right"/>
              <w:ind w:right="186"/>
              <w:spacing w:after="0" w:line="122" w:lineRule="exact"/>
              <w:rPr>
                <w:sz w:val="20"/>
                <w:szCs w:val="20"/>
                <w:color w:val="auto"/>
              </w:rPr>
            </w:pPr>
            <w:r>
              <w:rPr>
                <w:rFonts w:ascii="Arial" w:cs="Arial" w:eastAsia="Arial" w:hAnsi="Arial"/>
                <w:sz w:val="11"/>
                <w:szCs w:val="11"/>
                <w:color w:val="auto"/>
                <w:w w:val="96"/>
              </w:rPr>
              <w:t>$ 2,169,200</w:t>
            </w:r>
          </w:p>
        </w:tc>
        <w:tc>
          <w:tcPr>
            <w:tcW w:w="0" w:type="dxa"/>
            <w:vAlign w:val="bottom"/>
          </w:tcPr>
          <w:p>
            <w:pPr>
              <w:spacing w:after="0"/>
              <w:rPr>
                <w:sz w:val="1"/>
                <w:szCs w:val="1"/>
                <w:color w:val="auto"/>
              </w:rPr>
            </w:pPr>
          </w:p>
        </w:tc>
      </w:tr>
      <w:tr>
        <w:trPr>
          <w:trHeight w:val="115"/>
        </w:trPr>
        <w:tc>
          <w:tcPr>
            <w:tcW w:w="2100" w:type="dxa"/>
            <w:vAlign w:val="bottom"/>
            <w:tcBorders>
              <w:left w:val="single" w:sz="8" w:color="auto"/>
              <w:right w:val="single" w:sz="8" w:color="auto"/>
            </w:tcBorders>
          </w:tcPr>
          <w:p>
            <w:pPr>
              <w:ind w:left="160"/>
              <w:spacing w:after="0" w:line="115" w:lineRule="exact"/>
              <w:rPr>
                <w:sz w:val="20"/>
                <w:szCs w:val="20"/>
                <w:color w:val="auto"/>
              </w:rPr>
            </w:pPr>
            <w:r>
              <w:rPr>
                <w:rFonts w:ascii="Arial" w:cs="Arial" w:eastAsia="Arial" w:hAnsi="Arial"/>
                <w:sz w:val="11"/>
                <w:szCs w:val="11"/>
                <w:color w:val="auto"/>
              </w:rPr>
              <w:t>Christopher J. Holding</w:t>
            </w:r>
          </w:p>
        </w:tc>
        <w:tc>
          <w:tcPr>
            <w:tcW w:w="2160" w:type="dxa"/>
            <w:vAlign w:val="bottom"/>
            <w:tcBorders>
              <w:right w:val="single" w:sz="8" w:color="auto"/>
            </w:tcBorders>
          </w:tcPr>
          <w:p>
            <w:pPr>
              <w:ind w:left="80"/>
              <w:spacing w:after="0" w:line="115" w:lineRule="exact"/>
              <w:rPr>
                <w:sz w:val="20"/>
                <w:szCs w:val="20"/>
                <w:color w:val="auto"/>
              </w:rPr>
            </w:pPr>
            <w:r>
              <w:rPr>
                <w:rFonts w:ascii="Arial" w:cs="Arial" w:eastAsia="Arial" w:hAnsi="Arial"/>
                <w:sz w:val="11"/>
                <w:szCs w:val="11"/>
                <w:color w:val="auto"/>
              </w:rPr>
              <w:t>01/29/2015 SEMPP</w:t>
            </w:r>
            <w:r>
              <w:rPr>
                <w:rFonts w:ascii="Arial" w:cs="Arial" w:eastAsia="Arial" w:hAnsi="Arial"/>
                <w:sz w:val="9"/>
                <w:szCs w:val="9"/>
                <w:color w:val="auto"/>
              </w:rPr>
              <w:t>(1)</w:t>
            </w:r>
          </w:p>
        </w:tc>
        <w:tc>
          <w:tcPr>
            <w:tcW w:w="120" w:type="dxa"/>
            <w:vAlign w:val="bottom"/>
          </w:tcPr>
          <w:p>
            <w:pPr>
              <w:ind w:left="40"/>
              <w:spacing w:after="0" w:line="115" w:lineRule="exact"/>
              <w:rPr>
                <w:sz w:val="20"/>
                <w:szCs w:val="20"/>
                <w:color w:val="auto"/>
              </w:rPr>
            </w:pPr>
            <w:r>
              <w:rPr>
                <w:rFonts w:ascii="Arial" w:cs="Arial" w:eastAsia="Arial" w:hAnsi="Arial"/>
                <w:sz w:val="11"/>
                <w:szCs w:val="11"/>
                <w:color w:val="auto"/>
                <w:w w:val="97"/>
              </w:rPr>
              <w:t>$</w:t>
            </w:r>
          </w:p>
        </w:tc>
        <w:tc>
          <w:tcPr>
            <w:tcW w:w="580" w:type="dxa"/>
            <w:vAlign w:val="bottom"/>
            <w:tcBorders>
              <w:right w:val="single" w:sz="8" w:color="auto"/>
            </w:tcBorders>
          </w:tcPr>
          <w:p>
            <w:pPr>
              <w:ind w:left="60"/>
              <w:spacing w:after="0" w:line="115" w:lineRule="exact"/>
              <w:rPr>
                <w:sz w:val="20"/>
                <w:szCs w:val="20"/>
                <w:color w:val="auto"/>
              </w:rPr>
            </w:pPr>
            <w:r>
              <w:rPr>
                <w:rFonts w:ascii="Arial" w:cs="Arial" w:eastAsia="Arial" w:hAnsi="Arial"/>
                <w:sz w:val="11"/>
                <w:szCs w:val="11"/>
                <w:color w:val="auto"/>
              </w:rPr>
              <w:t>189,583</w:t>
            </w:r>
          </w:p>
        </w:tc>
        <w:tc>
          <w:tcPr>
            <w:tcW w:w="100" w:type="dxa"/>
            <w:vAlign w:val="bottom"/>
          </w:tcPr>
          <w:p>
            <w:pPr>
              <w:jc w:val="right"/>
              <w:spacing w:after="0" w:line="115" w:lineRule="exact"/>
              <w:rPr>
                <w:sz w:val="20"/>
                <w:szCs w:val="20"/>
                <w:color w:val="auto"/>
              </w:rPr>
            </w:pPr>
            <w:r>
              <w:rPr>
                <w:rFonts w:ascii="Arial" w:cs="Arial" w:eastAsia="Arial" w:hAnsi="Arial"/>
                <w:sz w:val="11"/>
                <w:szCs w:val="11"/>
                <w:color w:val="auto"/>
              </w:rPr>
              <w:t>$</w:t>
            </w:r>
          </w:p>
        </w:tc>
        <w:tc>
          <w:tcPr>
            <w:tcW w:w="620" w:type="dxa"/>
            <w:vAlign w:val="bottom"/>
            <w:tcBorders>
              <w:right w:val="single" w:sz="8" w:color="auto"/>
            </w:tcBorders>
          </w:tcPr>
          <w:p>
            <w:pPr>
              <w:jc w:val="right"/>
              <w:ind w:right="86"/>
              <w:spacing w:after="0" w:line="115" w:lineRule="exact"/>
              <w:rPr>
                <w:sz w:val="20"/>
                <w:szCs w:val="20"/>
                <w:color w:val="auto"/>
              </w:rPr>
            </w:pPr>
            <w:r>
              <w:rPr>
                <w:rFonts w:ascii="Arial" w:cs="Arial" w:eastAsia="Arial" w:hAnsi="Arial"/>
                <w:sz w:val="11"/>
                <w:szCs w:val="11"/>
                <w:color w:val="auto"/>
              </w:rPr>
              <w:t>402,864</w:t>
            </w:r>
          </w:p>
        </w:tc>
        <w:tc>
          <w:tcPr>
            <w:tcW w:w="100" w:type="dxa"/>
            <w:vAlign w:val="bottom"/>
          </w:tcPr>
          <w:p>
            <w:pPr>
              <w:jc w:val="right"/>
              <w:spacing w:after="0" w:line="115" w:lineRule="exact"/>
              <w:rPr>
                <w:sz w:val="20"/>
                <w:szCs w:val="20"/>
                <w:color w:val="auto"/>
              </w:rPr>
            </w:pPr>
            <w:r>
              <w:rPr>
                <w:rFonts w:ascii="Arial" w:cs="Arial" w:eastAsia="Arial" w:hAnsi="Arial"/>
                <w:sz w:val="11"/>
                <w:szCs w:val="11"/>
                <w:color w:val="auto"/>
                <w:w w:val="97"/>
              </w:rPr>
              <w:t>$</w:t>
            </w:r>
          </w:p>
        </w:tc>
        <w:tc>
          <w:tcPr>
            <w:tcW w:w="600" w:type="dxa"/>
            <w:vAlign w:val="bottom"/>
            <w:tcBorders>
              <w:right w:val="single" w:sz="8" w:color="auto"/>
            </w:tcBorders>
          </w:tcPr>
          <w:p>
            <w:pPr>
              <w:jc w:val="right"/>
              <w:ind w:right="66"/>
              <w:spacing w:after="0" w:line="115" w:lineRule="exact"/>
              <w:rPr>
                <w:sz w:val="20"/>
                <w:szCs w:val="20"/>
                <w:color w:val="auto"/>
              </w:rPr>
            </w:pPr>
            <w:r>
              <w:rPr>
                <w:rFonts w:ascii="Arial" w:cs="Arial" w:eastAsia="Arial" w:hAnsi="Arial"/>
                <w:sz w:val="11"/>
                <w:szCs w:val="11"/>
                <w:color w:val="auto"/>
              </w:rPr>
              <w:t>616,145</w:t>
            </w:r>
          </w:p>
        </w:tc>
        <w:tc>
          <w:tcPr>
            <w:tcW w:w="760" w:type="dxa"/>
            <w:vAlign w:val="bottom"/>
            <w:tcBorders>
              <w:right w:val="single" w:sz="8" w:color="auto"/>
            </w:tcBorders>
          </w:tcPr>
          <w:p>
            <w:pPr>
              <w:spacing w:after="0"/>
              <w:rPr>
                <w:sz w:val="10"/>
                <w:szCs w:val="10"/>
                <w:color w:val="auto"/>
              </w:rPr>
            </w:pPr>
          </w:p>
        </w:tc>
        <w:tc>
          <w:tcPr>
            <w:tcW w:w="560" w:type="dxa"/>
            <w:vAlign w:val="bottom"/>
            <w:tcBorders>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200" w:type="dxa"/>
            <w:vAlign w:val="bottom"/>
          </w:tcPr>
          <w:p>
            <w:pPr>
              <w:spacing w:after="0"/>
              <w:rPr>
                <w:sz w:val="10"/>
                <w:szCs w:val="10"/>
                <w:color w:val="auto"/>
              </w:rPr>
            </w:pPr>
          </w:p>
        </w:tc>
        <w:tc>
          <w:tcPr>
            <w:tcW w:w="560" w:type="dxa"/>
            <w:vAlign w:val="bottom"/>
            <w:tcBorders>
              <w:right w:val="single" w:sz="8" w:color="auto"/>
            </w:tcBorders>
          </w:tcPr>
          <w:p>
            <w:pPr>
              <w:spacing w:after="0"/>
              <w:rPr>
                <w:sz w:val="10"/>
                <w:szCs w:val="10"/>
                <w:color w:val="auto"/>
              </w:rPr>
            </w:pPr>
          </w:p>
        </w:tc>
        <w:tc>
          <w:tcPr>
            <w:tcW w:w="100" w:type="dxa"/>
            <w:vAlign w:val="bottom"/>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22"/>
        </w:trPr>
        <w:tc>
          <w:tcPr>
            <w:tcW w:w="2100" w:type="dxa"/>
            <w:vAlign w:val="bottom"/>
            <w:tcBorders>
              <w:left w:val="single" w:sz="8" w:color="auto"/>
              <w:right w:val="single" w:sz="8" w:color="auto"/>
            </w:tcBorders>
            <w:shd w:val="clear" w:color="auto" w:fill="CCEEFF"/>
          </w:tcPr>
          <w:p>
            <w:pPr>
              <w:spacing w:after="0"/>
              <w:rPr>
                <w:sz w:val="10"/>
                <w:szCs w:val="10"/>
                <w:color w:val="auto"/>
              </w:rPr>
            </w:pPr>
          </w:p>
        </w:tc>
        <w:tc>
          <w:tcPr>
            <w:tcW w:w="2160" w:type="dxa"/>
            <w:vAlign w:val="bottom"/>
            <w:tcBorders>
              <w:right w:val="single" w:sz="8" w:color="auto"/>
            </w:tcBorders>
            <w:shd w:val="clear" w:color="auto" w:fill="CCEEFF"/>
          </w:tcPr>
          <w:p>
            <w:pPr>
              <w:ind w:left="80"/>
              <w:spacing w:after="0" w:line="122" w:lineRule="exact"/>
              <w:rPr>
                <w:sz w:val="20"/>
                <w:szCs w:val="20"/>
                <w:color w:val="auto"/>
              </w:rPr>
            </w:pPr>
            <w:r>
              <w:rPr>
                <w:rFonts w:ascii="Arial" w:cs="Arial" w:eastAsia="Arial" w:hAnsi="Arial"/>
                <w:sz w:val="11"/>
                <w:szCs w:val="11"/>
                <w:color w:val="auto"/>
              </w:rPr>
              <w:t>01/29/2015 RSUs</w:t>
            </w:r>
            <w:r>
              <w:rPr>
                <w:rFonts w:ascii="Arial" w:cs="Arial" w:eastAsia="Arial" w:hAnsi="Arial"/>
                <w:sz w:val="9"/>
                <w:szCs w:val="9"/>
                <w:color w:val="auto"/>
              </w:rPr>
              <w:t>(2)</w:t>
            </w:r>
          </w:p>
        </w:tc>
        <w:tc>
          <w:tcPr>
            <w:tcW w:w="120" w:type="dxa"/>
            <w:vAlign w:val="bottom"/>
            <w:shd w:val="clear" w:color="auto" w:fill="CCEEFF"/>
          </w:tcPr>
          <w:p>
            <w:pPr>
              <w:spacing w:after="0"/>
              <w:rPr>
                <w:sz w:val="10"/>
                <w:szCs w:val="10"/>
                <w:color w:val="auto"/>
              </w:rPr>
            </w:pPr>
          </w:p>
        </w:tc>
        <w:tc>
          <w:tcPr>
            <w:tcW w:w="580" w:type="dxa"/>
            <w:vAlign w:val="bottom"/>
            <w:tcBorders>
              <w:right w:val="single" w:sz="8" w:color="auto"/>
            </w:tcBorders>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620" w:type="dxa"/>
            <w:vAlign w:val="bottom"/>
            <w:tcBorders>
              <w:right w:val="single" w:sz="8" w:color="auto"/>
            </w:tcBorders>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600" w:type="dxa"/>
            <w:vAlign w:val="bottom"/>
            <w:tcBorders>
              <w:right w:val="single" w:sz="8" w:color="auto"/>
            </w:tcBorders>
            <w:shd w:val="clear" w:color="auto" w:fill="CCEEFF"/>
          </w:tcPr>
          <w:p>
            <w:pPr>
              <w:spacing w:after="0"/>
              <w:rPr>
                <w:sz w:val="10"/>
                <w:szCs w:val="10"/>
                <w:color w:val="auto"/>
              </w:rPr>
            </w:pPr>
          </w:p>
        </w:tc>
        <w:tc>
          <w:tcPr>
            <w:tcW w:w="760" w:type="dxa"/>
            <w:vAlign w:val="bottom"/>
            <w:tcBorders>
              <w:right w:val="single" w:sz="8" w:color="auto"/>
            </w:tcBorders>
            <w:shd w:val="clear" w:color="auto" w:fill="CCEEFF"/>
          </w:tcPr>
          <w:p>
            <w:pPr>
              <w:spacing w:after="0"/>
              <w:rPr>
                <w:sz w:val="10"/>
                <w:szCs w:val="10"/>
                <w:color w:val="auto"/>
              </w:rPr>
            </w:pPr>
          </w:p>
        </w:tc>
        <w:tc>
          <w:tcPr>
            <w:tcW w:w="560" w:type="dxa"/>
            <w:vAlign w:val="bottom"/>
            <w:tcBorders>
              <w:right w:val="single" w:sz="8" w:color="auto"/>
            </w:tcBorders>
            <w:shd w:val="clear" w:color="auto" w:fill="CCEEFF"/>
          </w:tcPr>
          <w:p>
            <w:pPr>
              <w:spacing w:after="0"/>
              <w:rPr>
                <w:sz w:val="10"/>
                <w:szCs w:val="10"/>
                <w:color w:val="auto"/>
              </w:rPr>
            </w:pPr>
          </w:p>
        </w:tc>
        <w:tc>
          <w:tcPr>
            <w:tcW w:w="720" w:type="dxa"/>
            <w:vAlign w:val="bottom"/>
            <w:tcBorders>
              <w:right w:val="single" w:sz="8" w:color="auto"/>
            </w:tcBorders>
            <w:shd w:val="clear" w:color="auto" w:fill="CCEEFF"/>
          </w:tcPr>
          <w:p>
            <w:pPr>
              <w:spacing w:after="0"/>
              <w:rPr>
                <w:sz w:val="10"/>
                <w:szCs w:val="10"/>
                <w:color w:val="auto"/>
              </w:rPr>
            </w:pPr>
          </w:p>
        </w:tc>
        <w:tc>
          <w:tcPr>
            <w:tcW w:w="720" w:type="dxa"/>
            <w:vAlign w:val="bottom"/>
            <w:tcBorders>
              <w:right w:val="single" w:sz="8" w:color="auto"/>
            </w:tcBorders>
            <w:shd w:val="clear" w:color="auto" w:fill="CCEEFF"/>
          </w:tcPr>
          <w:p>
            <w:pPr>
              <w:jc w:val="right"/>
              <w:ind w:right="86"/>
              <w:spacing w:after="0" w:line="122" w:lineRule="exact"/>
              <w:rPr>
                <w:sz w:val="20"/>
                <w:szCs w:val="20"/>
                <w:color w:val="auto"/>
              </w:rPr>
            </w:pPr>
            <w:r>
              <w:rPr>
                <w:rFonts w:ascii="Arial" w:cs="Arial" w:eastAsia="Arial" w:hAnsi="Arial"/>
                <w:sz w:val="11"/>
                <w:szCs w:val="11"/>
                <w:color w:val="auto"/>
              </w:rPr>
              <w:t>4,100</w:t>
            </w:r>
          </w:p>
        </w:tc>
        <w:tc>
          <w:tcPr>
            <w:tcW w:w="720" w:type="dxa"/>
            <w:vAlign w:val="bottom"/>
            <w:tcBorders>
              <w:right w:val="single" w:sz="8" w:color="auto"/>
            </w:tcBorders>
            <w:shd w:val="clear" w:color="auto" w:fill="CCEEFF"/>
          </w:tcPr>
          <w:p>
            <w:pPr>
              <w:spacing w:after="0"/>
              <w:rPr>
                <w:sz w:val="10"/>
                <w:szCs w:val="10"/>
                <w:color w:val="auto"/>
              </w:rPr>
            </w:pPr>
          </w:p>
        </w:tc>
        <w:tc>
          <w:tcPr>
            <w:tcW w:w="200" w:type="dxa"/>
            <w:vAlign w:val="bottom"/>
            <w:shd w:val="clear" w:color="auto" w:fill="CCEEFF"/>
          </w:tcPr>
          <w:p>
            <w:pPr>
              <w:spacing w:after="0"/>
              <w:rPr>
                <w:sz w:val="10"/>
                <w:szCs w:val="10"/>
                <w:color w:val="auto"/>
              </w:rPr>
            </w:pPr>
          </w:p>
        </w:tc>
        <w:tc>
          <w:tcPr>
            <w:tcW w:w="560" w:type="dxa"/>
            <w:vAlign w:val="bottom"/>
            <w:tcBorders>
              <w:right w:val="single" w:sz="8" w:color="auto"/>
            </w:tcBorders>
            <w:shd w:val="clear" w:color="auto" w:fill="CCEEFF"/>
          </w:tcPr>
          <w:p>
            <w:pPr>
              <w:spacing w:after="0"/>
              <w:rPr>
                <w:sz w:val="10"/>
                <w:szCs w:val="10"/>
                <w:color w:val="auto"/>
              </w:rPr>
            </w:pPr>
          </w:p>
        </w:tc>
        <w:tc>
          <w:tcPr>
            <w:tcW w:w="100" w:type="dxa"/>
            <w:vAlign w:val="bottom"/>
            <w:shd w:val="clear" w:color="auto" w:fill="CCEEFF"/>
          </w:tcPr>
          <w:p>
            <w:pPr>
              <w:ind w:left="40"/>
              <w:spacing w:after="0"/>
              <w:rPr>
                <w:sz w:val="20"/>
                <w:szCs w:val="20"/>
                <w:color w:val="auto"/>
              </w:rPr>
            </w:pPr>
            <w:r>
              <w:rPr>
                <w:rFonts w:ascii="Arial" w:cs="Arial" w:eastAsia="Arial" w:hAnsi="Arial"/>
                <w:sz w:val="10"/>
                <w:szCs w:val="10"/>
                <w:color w:val="auto"/>
                <w:w w:val="71"/>
              </w:rPr>
              <w:t>$</w:t>
            </w:r>
          </w:p>
        </w:tc>
        <w:tc>
          <w:tcPr>
            <w:tcW w:w="720" w:type="dxa"/>
            <w:vAlign w:val="bottom"/>
            <w:tcBorders>
              <w:right w:val="single" w:sz="8" w:color="auto"/>
            </w:tcBorders>
            <w:shd w:val="clear" w:color="auto" w:fill="CCEEFF"/>
          </w:tcPr>
          <w:p>
            <w:pPr>
              <w:jc w:val="right"/>
              <w:ind w:right="186"/>
              <w:spacing w:after="0" w:line="122" w:lineRule="exact"/>
              <w:rPr>
                <w:sz w:val="20"/>
                <w:szCs w:val="20"/>
                <w:color w:val="auto"/>
              </w:rPr>
            </w:pPr>
            <w:r>
              <w:rPr>
                <w:rFonts w:ascii="Arial" w:cs="Arial" w:eastAsia="Arial" w:hAnsi="Arial"/>
                <w:sz w:val="11"/>
                <w:szCs w:val="11"/>
                <w:color w:val="auto"/>
              </w:rPr>
              <w:t>118,900</w:t>
            </w:r>
          </w:p>
        </w:tc>
        <w:tc>
          <w:tcPr>
            <w:tcW w:w="0" w:type="dxa"/>
            <w:vAlign w:val="bottom"/>
          </w:tcPr>
          <w:p>
            <w:pPr>
              <w:spacing w:after="0"/>
              <w:rPr>
                <w:sz w:val="1"/>
                <w:szCs w:val="1"/>
                <w:color w:val="auto"/>
              </w:rPr>
            </w:pPr>
          </w:p>
        </w:tc>
      </w:tr>
      <w:tr>
        <w:trPr>
          <w:trHeight w:val="122"/>
        </w:trPr>
        <w:tc>
          <w:tcPr>
            <w:tcW w:w="2100" w:type="dxa"/>
            <w:vAlign w:val="bottom"/>
            <w:tcBorders>
              <w:left w:val="single" w:sz="8" w:color="auto"/>
              <w:right w:val="single" w:sz="8" w:color="auto"/>
            </w:tcBorders>
          </w:tcPr>
          <w:p>
            <w:pPr>
              <w:spacing w:after="0"/>
              <w:rPr>
                <w:sz w:val="10"/>
                <w:szCs w:val="10"/>
                <w:color w:val="auto"/>
              </w:rPr>
            </w:pPr>
          </w:p>
        </w:tc>
        <w:tc>
          <w:tcPr>
            <w:tcW w:w="2160" w:type="dxa"/>
            <w:vAlign w:val="bottom"/>
            <w:tcBorders>
              <w:right w:val="single" w:sz="8" w:color="auto"/>
            </w:tcBorders>
          </w:tcPr>
          <w:p>
            <w:pPr>
              <w:ind w:left="80"/>
              <w:spacing w:after="0" w:line="122" w:lineRule="exact"/>
              <w:rPr>
                <w:sz w:val="20"/>
                <w:szCs w:val="20"/>
                <w:color w:val="auto"/>
              </w:rPr>
            </w:pPr>
            <w:r>
              <w:rPr>
                <w:rFonts w:ascii="Arial" w:cs="Arial" w:eastAsia="Arial" w:hAnsi="Arial"/>
                <w:sz w:val="11"/>
                <w:szCs w:val="11"/>
                <w:color w:val="auto"/>
              </w:rPr>
              <w:t>01/29/2015 NQSOs</w:t>
            </w:r>
            <w:r>
              <w:rPr>
                <w:rFonts w:ascii="Arial" w:cs="Arial" w:eastAsia="Arial" w:hAnsi="Arial"/>
                <w:sz w:val="9"/>
                <w:szCs w:val="9"/>
                <w:color w:val="auto"/>
              </w:rPr>
              <w:t>(3)</w:t>
            </w:r>
          </w:p>
        </w:tc>
        <w:tc>
          <w:tcPr>
            <w:tcW w:w="120" w:type="dxa"/>
            <w:vAlign w:val="bottom"/>
          </w:tcPr>
          <w:p>
            <w:pPr>
              <w:spacing w:after="0"/>
              <w:rPr>
                <w:sz w:val="10"/>
                <w:szCs w:val="10"/>
                <w:color w:val="auto"/>
              </w:rPr>
            </w:pPr>
          </w:p>
        </w:tc>
        <w:tc>
          <w:tcPr>
            <w:tcW w:w="580" w:type="dxa"/>
            <w:vAlign w:val="bottom"/>
            <w:tcBorders>
              <w:right w:val="single" w:sz="8" w:color="auto"/>
            </w:tcBorders>
          </w:tcPr>
          <w:p>
            <w:pPr>
              <w:spacing w:after="0"/>
              <w:rPr>
                <w:sz w:val="10"/>
                <w:szCs w:val="10"/>
                <w:color w:val="auto"/>
              </w:rPr>
            </w:pPr>
          </w:p>
        </w:tc>
        <w:tc>
          <w:tcPr>
            <w:tcW w:w="100" w:type="dxa"/>
            <w:vAlign w:val="bottom"/>
          </w:tcPr>
          <w:p>
            <w:pPr>
              <w:spacing w:after="0"/>
              <w:rPr>
                <w:sz w:val="10"/>
                <w:szCs w:val="10"/>
                <w:color w:val="auto"/>
              </w:rPr>
            </w:pPr>
          </w:p>
        </w:tc>
        <w:tc>
          <w:tcPr>
            <w:tcW w:w="620" w:type="dxa"/>
            <w:vAlign w:val="bottom"/>
            <w:tcBorders>
              <w:right w:val="single" w:sz="8" w:color="auto"/>
            </w:tcBorders>
          </w:tcPr>
          <w:p>
            <w:pPr>
              <w:spacing w:after="0"/>
              <w:rPr>
                <w:sz w:val="10"/>
                <w:szCs w:val="10"/>
                <w:color w:val="auto"/>
              </w:rPr>
            </w:pPr>
          </w:p>
        </w:tc>
        <w:tc>
          <w:tcPr>
            <w:tcW w:w="100" w:type="dxa"/>
            <w:vAlign w:val="bottom"/>
          </w:tcPr>
          <w:p>
            <w:pPr>
              <w:spacing w:after="0"/>
              <w:rPr>
                <w:sz w:val="10"/>
                <w:szCs w:val="10"/>
                <w:color w:val="auto"/>
              </w:rPr>
            </w:pPr>
          </w:p>
        </w:tc>
        <w:tc>
          <w:tcPr>
            <w:tcW w:w="600" w:type="dxa"/>
            <w:vAlign w:val="bottom"/>
            <w:tcBorders>
              <w:right w:val="single" w:sz="8" w:color="auto"/>
            </w:tcBorders>
          </w:tcPr>
          <w:p>
            <w:pPr>
              <w:spacing w:after="0"/>
              <w:rPr>
                <w:sz w:val="10"/>
                <w:szCs w:val="10"/>
                <w:color w:val="auto"/>
              </w:rPr>
            </w:pPr>
          </w:p>
        </w:tc>
        <w:tc>
          <w:tcPr>
            <w:tcW w:w="760" w:type="dxa"/>
            <w:vAlign w:val="bottom"/>
            <w:tcBorders>
              <w:right w:val="single" w:sz="8" w:color="auto"/>
            </w:tcBorders>
          </w:tcPr>
          <w:p>
            <w:pPr>
              <w:spacing w:after="0"/>
              <w:rPr>
                <w:sz w:val="10"/>
                <w:szCs w:val="10"/>
                <w:color w:val="auto"/>
              </w:rPr>
            </w:pPr>
          </w:p>
        </w:tc>
        <w:tc>
          <w:tcPr>
            <w:tcW w:w="560" w:type="dxa"/>
            <w:vAlign w:val="bottom"/>
            <w:tcBorders>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720" w:type="dxa"/>
            <w:vAlign w:val="bottom"/>
            <w:tcBorders>
              <w:right w:val="single" w:sz="8" w:color="auto"/>
            </w:tcBorders>
          </w:tcPr>
          <w:p>
            <w:pPr>
              <w:jc w:val="right"/>
              <w:ind w:right="66"/>
              <w:spacing w:after="0" w:line="122" w:lineRule="exact"/>
              <w:rPr>
                <w:sz w:val="20"/>
                <w:szCs w:val="20"/>
                <w:color w:val="auto"/>
              </w:rPr>
            </w:pPr>
            <w:r>
              <w:rPr>
                <w:rFonts w:ascii="Arial" w:cs="Arial" w:eastAsia="Arial" w:hAnsi="Arial"/>
                <w:sz w:val="11"/>
                <w:szCs w:val="11"/>
                <w:color w:val="auto"/>
              </w:rPr>
              <w:t>14,600</w:t>
            </w:r>
          </w:p>
        </w:tc>
        <w:tc>
          <w:tcPr>
            <w:tcW w:w="200" w:type="dxa"/>
            <w:vAlign w:val="bottom"/>
          </w:tcPr>
          <w:p>
            <w:pPr>
              <w:ind w:left="40"/>
              <w:spacing w:after="0" w:line="122" w:lineRule="exact"/>
              <w:rPr>
                <w:sz w:val="20"/>
                <w:szCs w:val="20"/>
                <w:color w:val="auto"/>
              </w:rPr>
            </w:pPr>
            <w:r>
              <w:rPr>
                <w:rFonts w:ascii="Arial" w:cs="Arial" w:eastAsia="Arial" w:hAnsi="Arial"/>
                <w:sz w:val="11"/>
                <w:szCs w:val="11"/>
                <w:color w:val="auto"/>
              </w:rPr>
              <w:t>$</w:t>
            </w:r>
          </w:p>
        </w:tc>
        <w:tc>
          <w:tcPr>
            <w:tcW w:w="560" w:type="dxa"/>
            <w:vAlign w:val="bottom"/>
            <w:tcBorders>
              <w:right w:val="single" w:sz="8" w:color="auto"/>
            </w:tcBorders>
          </w:tcPr>
          <w:p>
            <w:pPr>
              <w:jc w:val="right"/>
              <w:ind w:right="86"/>
              <w:spacing w:after="0" w:line="122" w:lineRule="exact"/>
              <w:rPr>
                <w:sz w:val="20"/>
                <w:szCs w:val="20"/>
                <w:color w:val="auto"/>
              </w:rPr>
            </w:pPr>
            <w:r>
              <w:rPr>
                <w:rFonts w:ascii="Arial" w:cs="Arial" w:eastAsia="Arial" w:hAnsi="Arial"/>
                <w:sz w:val="11"/>
                <w:szCs w:val="11"/>
                <w:color w:val="auto"/>
              </w:rPr>
              <w:t>29.00</w:t>
            </w:r>
          </w:p>
        </w:tc>
        <w:tc>
          <w:tcPr>
            <w:tcW w:w="100" w:type="dxa"/>
            <w:vAlign w:val="bottom"/>
          </w:tcPr>
          <w:p>
            <w:pPr>
              <w:ind w:left="40"/>
              <w:spacing w:after="0"/>
              <w:rPr>
                <w:sz w:val="20"/>
                <w:szCs w:val="20"/>
                <w:color w:val="auto"/>
              </w:rPr>
            </w:pPr>
            <w:r>
              <w:rPr>
                <w:rFonts w:ascii="Arial" w:cs="Arial" w:eastAsia="Arial" w:hAnsi="Arial"/>
                <w:sz w:val="10"/>
                <w:szCs w:val="10"/>
                <w:color w:val="auto"/>
                <w:w w:val="71"/>
              </w:rPr>
              <w:t>$</w:t>
            </w:r>
          </w:p>
        </w:tc>
        <w:tc>
          <w:tcPr>
            <w:tcW w:w="720" w:type="dxa"/>
            <w:vAlign w:val="bottom"/>
            <w:tcBorders>
              <w:right w:val="single" w:sz="8" w:color="auto"/>
            </w:tcBorders>
          </w:tcPr>
          <w:p>
            <w:pPr>
              <w:jc w:val="right"/>
              <w:ind w:right="186"/>
              <w:spacing w:after="0" w:line="122" w:lineRule="exact"/>
              <w:rPr>
                <w:sz w:val="20"/>
                <w:szCs w:val="20"/>
                <w:color w:val="auto"/>
              </w:rPr>
            </w:pPr>
            <w:r>
              <w:rPr>
                <w:rFonts w:ascii="Arial" w:cs="Arial" w:eastAsia="Arial" w:hAnsi="Arial"/>
                <w:sz w:val="11"/>
                <w:szCs w:val="11"/>
                <w:color w:val="auto"/>
              </w:rPr>
              <w:t>147,606</w:t>
            </w:r>
          </w:p>
        </w:tc>
        <w:tc>
          <w:tcPr>
            <w:tcW w:w="0" w:type="dxa"/>
            <w:vAlign w:val="bottom"/>
          </w:tcPr>
          <w:p>
            <w:pPr>
              <w:spacing w:after="0"/>
              <w:rPr>
                <w:sz w:val="1"/>
                <w:szCs w:val="1"/>
                <w:color w:val="auto"/>
              </w:rPr>
            </w:pPr>
          </w:p>
        </w:tc>
      </w:tr>
      <w:tr>
        <w:trPr>
          <w:trHeight w:val="122"/>
        </w:trPr>
        <w:tc>
          <w:tcPr>
            <w:tcW w:w="2100" w:type="dxa"/>
            <w:vAlign w:val="bottom"/>
            <w:tcBorders>
              <w:left w:val="single" w:sz="8" w:color="auto"/>
              <w:bottom w:val="single" w:sz="8" w:color="auto"/>
              <w:right w:val="single" w:sz="8" w:color="auto"/>
            </w:tcBorders>
            <w:shd w:val="clear" w:color="auto" w:fill="CCEEFF"/>
          </w:tcPr>
          <w:p>
            <w:pPr>
              <w:spacing w:after="0"/>
              <w:rPr>
                <w:sz w:val="10"/>
                <w:szCs w:val="10"/>
                <w:color w:val="auto"/>
              </w:rPr>
            </w:pPr>
          </w:p>
        </w:tc>
        <w:tc>
          <w:tcPr>
            <w:tcW w:w="2160" w:type="dxa"/>
            <w:vAlign w:val="bottom"/>
            <w:tcBorders>
              <w:bottom w:val="single" w:sz="8" w:color="auto"/>
              <w:right w:val="single" w:sz="8" w:color="auto"/>
            </w:tcBorders>
            <w:shd w:val="clear" w:color="auto" w:fill="CCEEFF"/>
          </w:tcPr>
          <w:p>
            <w:pPr>
              <w:ind w:left="80"/>
              <w:spacing w:after="0" w:line="122" w:lineRule="exact"/>
              <w:rPr>
                <w:sz w:val="20"/>
                <w:szCs w:val="20"/>
                <w:color w:val="auto"/>
              </w:rPr>
            </w:pPr>
            <w:r>
              <w:rPr>
                <w:rFonts w:ascii="Arial" w:cs="Arial" w:eastAsia="Arial" w:hAnsi="Arial"/>
                <w:sz w:val="11"/>
                <w:szCs w:val="11"/>
                <w:color w:val="auto"/>
              </w:rPr>
              <w:t>01/29/2015 Perf RSUs</w:t>
            </w:r>
            <w:r>
              <w:rPr>
                <w:rFonts w:ascii="Arial" w:cs="Arial" w:eastAsia="Arial" w:hAnsi="Arial"/>
                <w:sz w:val="9"/>
                <w:szCs w:val="9"/>
                <w:color w:val="auto"/>
              </w:rPr>
              <w:t>(4)</w:t>
            </w:r>
          </w:p>
        </w:tc>
        <w:tc>
          <w:tcPr>
            <w:tcW w:w="120" w:type="dxa"/>
            <w:vAlign w:val="bottom"/>
            <w:tcBorders>
              <w:bottom w:val="single" w:sz="8" w:color="auto"/>
            </w:tcBorders>
            <w:shd w:val="clear" w:color="auto" w:fill="CCEEFF"/>
          </w:tcPr>
          <w:p>
            <w:pPr>
              <w:spacing w:after="0"/>
              <w:rPr>
                <w:sz w:val="10"/>
                <w:szCs w:val="10"/>
                <w:color w:val="auto"/>
              </w:rPr>
            </w:pPr>
          </w:p>
        </w:tc>
        <w:tc>
          <w:tcPr>
            <w:tcW w:w="580" w:type="dxa"/>
            <w:vAlign w:val="bottom"/>
            <w:tcBorders>
              <w:bottom w:val="single" w:sz="8" w:color="auto"/>
              <w:right w:val="single" w:sz="8" w:color="auto"/>
            </w:tcBorders>
            <w:shd w:val="clear" w:color="auto" w:fill="CCEEFF"/>
          </w:tcPr>
          <w:p>
            <w:pPr>
              <w:spacing w:after="0"/>
              <w:rPr>
                <w:sz w:val="10"/>
                <w:szCs w:val="10"/>
                <w:color w:val="auto"/>
              </w:rPr>
            </w:pPr>
          </w:p>
        </w:tc>
        <w:tc>
          <w:tcPr>
            <w:tcW w:w="100" w:type="dxa"/>
            <w:vAlign w:val="bottom"/>
            <w:tcBorders>
              <w:bottom w:val="single" w:sz="8" w:color="auto"/>
            </w:tcBorders>
            <w:shd w:val="clear" w:color="auto" w:fill="CCEEFF"/>
          </w:tcPr>
          <w:p>
            <w:pPr>
              <w:spacing w:after="0"/>
              <w:rPr>
                <w:sz w:val="10"/>
                <w:szCs w:val="10"/>
                <w:color w:val="auto"/>
              </w:rPr>
            </w:pPr>
          </w:p>
        </w:tc>
        <w:tc>
          <w:tcPr>
            <w:tcW w:w="620" w:type="dxa"/>
            <w:vAlign w:val="bottom"/>
            <w:tcBorders>
              <w:bottom w:val="single" w:sz="8" w:color="auto"/>
              <w:right w:val="single" w:sz="8" w:color="auto"/>
            </w:tcBorders>
            <w:shd w:val="clear" w:color="auto" w:fill="CCEEFF"/>
          </w:tcPr>
          <w:p>
            <w:pPr>
              <w:spacing w:after="0"/>
              <w:rPr>
                <w:sz w:val="10"/>
                <w:szCs w:val="10"/>
                <w:color w:val="auto"/>
              </w:rPr>
            </w:pPr>
          </w:p>
        </w:tc>
        <w:tc>
          <w:tcPr>
            <w:tcW w:w="100" w:type="dxa"/>
            <w:vAlign w:val="bottom"/>
            <w:tcBorders>
              <w:bottom w:val="single" w:sz="8" w:color="auto"/>
            </w:tcBorders>
            <w:shd w:val="clear" w:color="auto" w:fill="CCEEFF"/>
          </w:tcPr>
          <w:p>
            <w:pPr>
              <w:spacing w:after="0"/>
              <w:rPr>
                <w:sz w:val="10"/>
                <w:szCs w:val="10"/>
                <w:color w:val="auto"/>
              </w:rPr>
            </w:pPr>
          </w:p>
        </w:tc>
        <w:tc>
          <w:tcPr>
            <w:tcW w:w="600" w:type="dxa"/>
            <w:vAlign w:val="bottom"/>
            <w:tcBorders>
              <w:bottom w:val="single" w:sz="8" w:color="auto"/>
              <w:right w:val="single" w:sz="8" w:color="auto"/>
            </w:tcBorders>
            <w:shd w:val="clear" w:color="auto" w:fill="CCEEFF"/>
          </w:tcPr>
          <w:p>
            <w:pPr>
              <w:spacing w:after="0"/>
              <w:rPr>
                <w:sz w:val="10"/>
                <w:szCs w:val="10"/>
                <w:color w:val="auto"/>
              </w:rPr>
            </w:pPr>
          </w:p>
        </w:tc>
        <w:tc>
          <w:tcPr>
            <w:tcW w:w="760" w:type="dxa"/>
            <w:vAlign w:val="bottom"/>
            <w:tcBorders>
              <w:bottom w:val="single" w:sz="8" w:color="auto"/>
              <w:right w:val="single" w:sz="8" w:color="auto"/>
            </w:tcBorders>
            <w:shd w:val="clear" w:color="auto" w:fill="CCEEFF"/>
          </w:tcPr>
          <w:p>
            <w:pPr>
              <w:jc w:val="right"/>
              <w:ind w:right="66"/>
              <w:spacing w:after="0" w:line="122" w:lineRule="exact"/>
              <w:rPr>
                <w:sz w:val="20"/>
                <w:szCs w:val="20"/>
                <w:color w:val="auto"/>
              </w:rPr>
            </w:pPr>
            <w:r>
              <w:rPr>
                <w:rFonts w:ascii="Arial" w:cs="Arial" w:eastAsia="Arial" w:hAnsi="Arial"/>
                <w:sz w:val="11"/>
                <w:szCs w:val="11"/>
                <w:color w:val="auto"/>
              </w:rPr>
              <w:t>3,700</w:t>
            </w:r>
          </w:p>
        </w:tc>
        <w:tc>
          <w:tcPr>
            <w:tcW w:w="560" w:type="dxa"/>
            <w:vAlign w:val="bottom"/>
            <w:tcBorders>
              <w:bottom w:val="single" w:sz="8" w:color="auto"/>
              <w:right w:val="single" w:sz="8" w:color="auto"/>
            </w:tcBorders>
            <w:shd w:val="clear" w:color="auto" w:fill="CCEEFF"/>
          </w:tcPr>
          <w:p>
            <w:pPr>
              <w:jc w:val="right"/>
              <w:ind w:right="66"/>
              <w:spacing w:after="0" w:line="122" w:lineRule="exact"/>
              <w:rPr>
                <w:sz w:val="20"/>
                <w:szCs w:val="20"/>
                <w:color w:val="auto"/>
              </w:rPr>
            </w:pPr>
            <w:r>
              <w:rPr>
                <w:rFonts w:ascii="Arial" w:cs="Arial" w:eastAsia="Arial" w:hAnsi="Arial"/>
                <w:sz w:val="11"/>
                <w:szCs w:val="11"/>
                <w:color w:val="auto"/>
              </w:rPr>
              <w:t>7,400</w:t>
            </w:r>
          </w:p>
        </w:tc>
        <w:tc>
          <w:tcPr>
            <w:tcW w:w="720" w:type="dxa"/>
            <w:vAlign w:val="bottom"/>
            <w:tcBorders>
              <w:bottom w:val="single" w:sz="8" w:color="auto"/>
              <w:right w:val="single" w:sz="8" w:color="auto"/>
            </w:tcBorders>
            <w:shd w:val="clear" w:color="auto" w:fill="CCEEFF"/>
          </w:tcPr>
          <w:p>
            <w:pPr>
              <w:jc w:val="right"/>
              <w:ind w:right="66"/>
              <w:spacing w:after="0" w:line="122" w:lineRule="exact"/>
              <w:rPr>
                <w:sz w:val="20"/>
                <w:szCs w:val="20"/>
                <w:color w:val="auto"/>
              </w:rPr>
            </w:pPr>
            <w:r>
              <w:rPr>
                <w:rFonts w:ascii="Arial" w:cs="Arial" w:eastAsia="Arial" w:hAnsi="Arial"/>
                <w:sz w:val="11"/>
                <w:szCs w:val="11"/>
                <w:color w:val="auto"/>
              </w:rPr>
              <w:t>11,100</w:t>
            </w:r>
          </w:p>
        </w:tc>
        <w:tc>
          <w:tcPr>
            <w:tcW w:w="720" w:type="dxa"/>
            <w:vAlign w:val="bottom"/>
            <w:tcBorders>
              <w:bottom w:val="single" w:sz="8" w:color="auto"/>
              <w:right w:val="single" w:sz="8" w:color="auto"/>
            </w:tcBorders>
            <w:shd w:val="clear" w:color="auto" w:fill="CCEEFF"/>
          </w:tcPr>
          <w:p>
            <w:pPr>
              <w:spacing w:after="0"/>
              <w:rPr>
                <w:sz w:val="10"/>
                <w:szCs w:val="10"/>
                <w:color w:val="auto"/>
              </w:rPr>
            </w:pPr>
          </w:p>
        </w:tc>
        <w:tc>
          <w:tcPr>
            <w:tcW w:w="720" w:type="dxa"/>
            <w:vAlign w:val="bottom"/>
            <w:tcBorders>
              <w:bottom w:val="single" w:sz="8" w:color="auto"/>
              <w:right w:val="single" w:sz="8" w:color="auto"/>
            </w:tcBorders>
            <w:shd w:val="clear" w:color="auto" w:fill="CCEEFF"/>
          </w:tcPr>
          <w:p>
            <w:pPr>
              <w:spacing w:after="0"/>
              <w:rPr>
                <w:sz w:val="10"/>
                <w:szCs w:val="10"/>
                <w:color w:val="auto"/>
              </w:rPr>
            </w:pPr>
          </w:p>
        </w:tc>
        <w:tc>
          <w:tcPr>
            <w:tcW w:w="200" w:type="dxa"/>
            <w:vAlign w:val="bottom"/>
            <w:tcBorders>
              <w:bottom w:val="single" w:sz="8" w:color="auto"/>
            </w:tcBorders>
            <w:shd w:val="clear" w:color="auto" w:fill="CCEEFF"/>
          </w:tcPr>
          <w:p>
            <w:pPr>
              <w:spacing w:after="0"/>
              <w:rPr>
                <w:sz w:val="10"/>
                <w:szCs w:val="10"/>
                <w:color w:val="auto"/>
              </w:rPr>
            </w:pPr>
          </w:p>
        </w:tc>
        <w:tc>
          <w:tcPr>
            <w:tcW w:w="560" w:type="dxa"/>
            <w:vAlign w:val="bottom"/>
            <w:tcBorders>
              <w:bottom w:val="single" w:sz="8" w:color="auto"/>
              <w:right w:val="single" w:sz="8" w:color="auto"/>
            </w:tcBorders>
            <w:shd w:val="clear" w:color="auto" w:fill="CCEEFF"/>
          </w:tcPr>
          <w:p>
            <w:pPr>
              <w:spacing w:after="0"/>
              <w:rPr>
                <w:sz w:val="10"/>
                <w:szCs w:val="10"/>
                <w:color w:val="auto"/>
              </w:rPr>
            </w:pPr>
          </w:p>
        </w:tc>
        <w:tc>
          <w:tcPr>
            <w:tcW w:w="100" w:type="dxa"/>
            <w:vAlign w:val="bottom"/>
            <w:tcBorders>
              <w:bottom w:val="single" w:sz="8" w:color="auto"/>
            </w:tcBorders>
            <w:shd w:val="clear" w:color="auto" w:fill="CCEEFF"/>
          </w:tcPr>
          <w:p>
            <w:pPr>
              <w:ind w:left="40"/>
              <w:spacing w:after="0"/>
              <w:rPr>
                <w:sz w:val="20"/>
                <w:szCs w:val="20"/>
                <w:color w:val="auto"/>
              </w:rPr>
            </w:pPr>
            <w:r>
              <w:rPr>
                <w:rFonts w:ascii="Arial" w:cs="Arial" w:eastAsia="Arial" w:hAnsi="Arial"/>
                <w:sz w:val="10"/>
                <w:szCs w:val="10"/>
                <w:color w:val="auto"/>
                <w:w w:val="71"/>
              </w:rPr>
              <w:t>$</w:t>
            </w:r>
          </w:p>
        </w:tc>
        <w:tc>
          <w:tcPr>
            <w:tcW w:w="720" w:type="dxa"/>
            <w:vAlign w:val="bottom"/>
            <w:tcBorders>
              <w:bottom w:val="single" w:sz="8" w:color="auto"/>
              <w:right w:val="single" w:sz="8" w:color="auto"/>
            </w:tcBorders>
            <w:shd w:val="clear" w:color="auto" w:fill="CCEEFF"/>
          </w:tcPr>
          <w:p>
            <w:pPr>
              <w:jc w:val="right"/>
              <w:ind w:right="186"/>
              <w:spacing w:after="0" w:line="122" w:lineRule="exact"/>
              <w:rPr>
                <w:sz w:val="20"/>
                <w:szCs w:val="20"/>
                <w:color w:val="auto"/>
              </w:rPr>
            </w:pPr>
            <w:r>
              <w:rPr>
                <w:rFonts w:ascii="Arial" w:cs="Arial" w:eastAsia="Arial" w:hAnsi="Arial"/>
                <w:sz w:val="11"/>
                <w:szCs w:val="11"/>
                <w:color w:val="auto"/>
              </w:rPr>
              <w:t>214,600</w:t>
            </w:r>
          </w:p>
        </w:tc>
        <w:tc>
          <w:tcPr>
            <w:tcW w:w="0" w:type="dxa"/>
            <w:vAlign w:val="bottom"/>
          </w:tcPr>
          <w:p>
            <w:pPr>
              <w:spacing w:after="0"/>
              <w:rPr>
                <w:sz w:val="1"/>
                <w:szCs w:val="1"/>
                <w:color w:val="auto"/>
              </w:rPr>
            </w:pPr>
          </w:p>
        </w:tc>
      </w:tr>
      <w:tr>
        <w:trPr>
          <w:trHeight w:val="115"/>
        </w:trPr>
        <w:tc>
          <w:tcPr>
            <w:tcW w:w="2100" w:type="dxa"/>
            <w:vAlign w:val="bottom"/>
            <w:tcBorders>
              <w:left w:val="single" w:sz="8" w:color="auto"/>
              <w:right w:val="single" w:sz="8" w:color="auto"/>
            </w:tcBorders>
          </w:tcPr>
          <w:p>
            <w:pPr>
              <w:ind w:left="160"/>
              <w:spacing w:after="0" w:line="115" w:lineRule="exact"/>
              <w:rPr>
                <w:sz w:val="20"/>
                <w:szCs w:val="20"/>
                <w:color w:val="auto"/>
              </w:rPr>
            </w:pPr>
            <w:r>
              <w:rPr>
                <w:rFonts w:ascii="Arial" w:cs="Arial" w:eastAsia="Arial" w:hAnsi="Arial"/>
                <w:sz w:val="11"/>
                <w:szCs w:val="11"/>
                <w:color w:val="auto"/>
              </w:rPr>
              <w:t>Donald L. Walker</w:t>
            </w:r>
          </w:p>
        </w:tc>
        <w:tc>
          <w:tcPr>
            <w:tcW w:w="2160" w:type="dxa"/>
            <w:vAlign w:val="bottom"/>
            <w:tcBorders>
              <w:right w:val="single" w:sz="8" w:color="auto"/>
            </w:tcBorders>
          </w:tcPr>
          <w:p>
            <w:pPr>
              <w:ind w:left="80"/>
              <w:spacing w:after="0" w:line="115" w:lineRule="exact"/>
              <w:rPr>
                <w:sz w:val="20"/>
                <w:szCs w:val="20"/>
                <w:color w:val="auto"/>
              </w:rPr>
            </w:pPr>
            <w:r>
              <w:rPr>
                <w:rFonts w:ascii="Arial" w:cs="Arial" w:eastAsia="Arial" w:hAnsi="Arial"/>
                <w:sz w:val="11"/>
                <w:szCs w:val="11"/>
                <w:color w:val="auto"/>
              </w:rPr>
              <w:t>01/29/2015 SEMPP</w:t>
            </w:r>
            <w:r>
              <w:rPr>
                <w:rFonts w:ascii="Arial" w:cs="Arial" w:eastAsia="Arial" w:hAnsi="Arial"/>
                <w:sz w:val="9"/>
                <w:szCs w:val="9"/>
                <w:color w:val="auto"/>
              </w:rPr>
              <w:t>(1)</w:t>
            </w:r>
          </w:p>
        </w:tc>
        <w:tc>
          <w:tcPr>
            <w:tcW w:w="120" w:type="dxa"/>
            <w:vAlign w:val="bottom"/>
          </w:tcPr>
          <w:p>
            <w:pPr>
              <w:ind w:left="40"/>
              <w:spacing w:after="0" w:line="115" w:lineRule="exact"/>
              <w:rPr>
                <w:sz w:val="20"/>
                <w:szCs w:val="20"/>
                <w:color w:val="auto"/>
              </w:rPr>
            </w:pPr>
            <w:r>
              <w:rPr>
                <w:rFonts w:ascii="Arial" w:cs="Arial" w:eastAsia="Arial" w:hAnsi="Arial"/>
                <w:sz w:val="11"/>
                <w:szCs w:val="11"/>
                <w:color w:val="auto"/>
                <w:w w:val="97"/>
              </w:rPr>
              <w:t>$</w:t>
            </w:r>
          </w:p>
        </w:tc>
        <w:tc>
          <w:tcPr>
            <w:tcW w:w="580" w:type="dxa"/>
            <w:vAlign w:val="bottom"/>
            <w:tcBorders>
              <w:right w:val="single" w:sz="8" w:color="auto"/>
            </w:tcBorders>
          </w:tcPr>
          <w:p>
            <w:pPr>
              <w:ind w:left="60"/>
              <w:spacing w:after="0" w:line="115" w:lineRule="exact"/>
              <w:rPr>
                <w:sz w:val="20"/>
                <w:szCs w:val="20"/>
                <w:color w:val="auto"/>
              </w:rPr>
            </w:pPr>
            <w:r>
              <w:rPr>
                <w:rFonts w:ascii="Arial" w:cs="Arial" w:eastAsia="Arial" w:hAnsi="Arial"/>
                <w:sz w:val="11"/>
                <w:szCs w:val="11"/>
                <w:color w:val="auto"/>
              </w:rPr>
              <w:t>175,219</w:t>
            </w:r>
          </w:p>
        </w:tc>
        <w:tc>
          <w:tcPr>
            <w:tcW w:w="100" w:type="dxa"/>
            <w:vAlign w:val="bottom"/>
          </w:tcPr>
          <w:p>
            <w:pPr>
              <w:jc w:val="right"/>
              <w:spacing w:after="0" w:line="115" w:lineRule="exact"/>
              <w:rPr>
                <w:sz w:val="20"/>
                <w:szCs w:val="20"/>
                <w:color w:val="auto"/>
              </w:rPr>
            </w:pPr>
            <w:r>
              <w:rPr>
                <w:rFonts w:ascii="Arial" w:cs="Arial" w:eastAsia="Arial" w:hAnsi="Arial"/>
                <w:sz w:val="11"/>
                <w:szCs w:val="11"/>
                <w:color w:val="auto"/>
              </w:rPr>
              <w:t>$</w:t>
            </w:r>
          </w:p>
        </w:tc>
        <w:tc>
          <w:tcPr>
            <w:tcW w:w="620" w:type="dxa"/>
            <w:vAlign w:val="bottom"/>
            <w:tcBorders>
              <w:right w:val="single" w:sz="8" w:color="auto"/>
            </w:tcBorders>
          </w:tcPr>
          <w:p>
            <w:pPr>
              <w:jc w:val="right"/>
              <w:ind w:right="86"/>
              <w:spacing w:after="0" w:line="115" w:lineRule="exact"/>
              <w:rPr>
                <w:sz w:val="20"/>
                <w:szCs w:val="20"/>
                <w:color w:val="auto"/>
              </w:rPr>
            </w:pPr>
            <w:r>
              <w:rPr>
                <w:rFonts w:ascii="Arial" w:cs="Arial" w:eastAsia="Arial" w:hAnsi="Arial"/>
                <w:sz w:val="11"/>
                <w:szCs w:val="11"/>
                <w:color w:val="auto"/>
              </w:rPr>
              <w:t>372,341</w:t>
            </w:r>
          </w:p>
        </w:tc>
        <w:tc>
          <w:tcPr>
            <w:tcW w:w="100" w:type="dxa"/>
            <w:vAlign w:val="bottom"/>
          </w:tcPr>
          <w:p>
            <w:pPr>
              <w:jc w:val="right"/>
              <w:spacing w:after="0" w:line="115" w:lineRule="exact"/>
              <w:rPr>
                <w:sz w:val="20"/>
                <w:szCs w:val="20"/>
                <w:color w:val="auto"/>
              </w:rPr>
            </w:pPr>
            <w:r>
              <w:rPr>
                <w:rFonts w:ascii="Arial" w:cs="Arial" w:eastAsia="Arial" w:hAnsi="Arial"/>
                <w:sz w:val="11"/>
                <w:szCs w:val="11"/>
                <w:color w:val="auto"/>
                <w:w w:val="97"/>
              </w:rPr>
              <w:t>$</w:t>
            </w:r>
          </w:p>
        </w:tc>
        <w:tc>
          <w:tcPr>
            <w:tcW w:w="600" w:type="dxa"/>
            <w:vAlign w:val="bottom"/>
            <w:tcBorders>
              <w:right w:val="single" w:sz="8" w:color="auto"/>
            </w:tcBorders>
          </w:tcPr>
          <w:p>
            <w:pPr>
              <w:jc w:val="right"/>
              <w:ind w:right="66"/>
              <w:spacing w:after="0" w:line="115" w:lineRule="exact"/>
              <w:rPr>
                <w:sz w:val="20"/>
                <w:szCs w:val="20"/>
                <w:color w:val="auto"/>
              </w:rPr>
            </w:pPr>
            <w:r>
              <w:rPr>
                <w:rFonts w:ascii="Arial" w:cs="Arial" w:eastAsia="Arial" w:hAnsi="Arial"/>
                <w:sz w:val="11"/>
                <w:szCs w:val="11"/>
                <w:color w:val="auto"/>
              </w:rPr>
              <w:t>569,462</w:t>
            </w:r>
          </w:p>
        </w:tc>
        <w:tc>
          <w:tcPr>
            <w:tcW w:w="760" w:type="dxa"/>
            <w:vAlign w:val="bottom"/>
            <w:tcBorders>
              <w:right w:val="single" w:sz="8" w:color="auto"/>
            </w:tcBorders>
          </w:tcPr>
          <w:p>
            <w:pPr>
              <w:spacing w:after="0"/>
              <w:rPr>
                <w:sz w:val="10"/>
                <w:szCs w:val="10"/>
                <w:color w:val="auto"/>
              </w:rPr>
            </w:pPr>
          </w:p>
        </w:tc>
        <w:tc>
          <w:tcPr>
            <w:tcW w:w="560" w:type="dxa"/>
            <w:vAlign w:val="bottom"/>
            <w:tcBorders>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200" w:type="dxa"/>
            <w:vAlign w:val="bottom"/>
          </w:tcPr>
          <w:p>
            <w:pPr>
              <w:spacing w:after="0"/>
              <w:rPr>
                <w:sz w:val="10"/>
                <w:szCs w:val="10"/>
                <w:color w:val="auto"/>
              </w:rPr>
            </w:pPr>
          </w:p>
        </w:tc>
        <w:tc>
          <w:tcPr>
            <w:tcW w:w="560" w:type="dxa"/>
            <w:vAlign w:val="bottom"/>
            <w:tcBorders>
              <w:right w:val="single" w:sz="8" w:color="auto"/>
            </w:tcBorders>
          </w:tcPr>
          <w:p>
            <w:pPr>
              <w:spacing w:after="0"/>
              <w:rPr>
                <w:sz w:val="10"/>
                <w:szCs w:val="10"/>
                <w:color w:val="auto"/>
              </w:rPr>
            </w:pPr>
          </w:p>
        </w:tc>
        <w:tc>
          <w:tcPr>
            <w:tcW w:w="100" w:type="dxa"/>
            <w:vAlign w:val="bottom"/>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22"/>
        </w:trPr>
        <w:tc>
          <w:tcPr>
            <w:tcW w:w="2100" w:type="dxa"/>
            <w:vAlign w:val="bottom"/>
            <w:tcBorders>
              <w:left w:val="single" w:sz="8" w:color="auto"/>
              <w:right w:val="single" w:sz="8" w:color="auto"/>
            </w:tcBorders>
            <w:shd w:val="clear" w:color="auto" w:fill="CCEEFF"/>
          </w:tcPr>
          <w:p>
            <w:pPr>
              <w:spacing w:after="0"/>
              <w:rPr>
                <w:sz w:val="10"/>
                <w:szCs w:val="10"/>
                <w:color w:val="auto"/>
              </w:rPr>
            </w:pPr>
          </w:p>
        </w:tc>
        <w:tc>
          <w:tcPr>
            <w:tcW w:w="2160" w:type="dxa"/>
            <w:vAlign w:val="bottom"/>
            <w:tcBorders>
              <w:right w:val="single" w:sz="8" w:color="auto"/>
            </w:tcBorders>
            <w:shd w:val="clear" w:color="auto" w:fill="CCEEFF"/>
          </w:tcPr>
          <w:p>
            <w:pPr>
              <w:ind w:left="80"/>
              <w:spacing w:after="0" w:line="122" w:lineRule="exact"/>
              <w:rPr>
                <w:sz w:val="20"/>
                <w:szCs w:val="20"/>
                <w:color w:val="auto"/>
              </w:rPr>
            </w:pPr>
            <w:r>
              <w:rPr>
                <w:rFonts w:ascii="Arial" w:cs="Arial" w:eastAsia="Arial" w:hAnsi="Arial"/>
                <w:sz w:val="11"/>
                <w:szCs w:val="11"/>
                <w:color w:val="auto"/>
              </w:rPr>
              <w:t>01/29/2015 RSUs</w:t>
            </w:r>
            <w:r>
              <w:rPr>
                <w:rFonts w:ascii="Arial" w:cs="Arial" w:eastAsia="Arial" w:hAnsi="Arial"/>
                <w:sz w:val="9"/>
                <w:szCs w:val="9"/>
                <w:color w:val="auto"/>
              </w:rPr>
              <w:t>(2)</w:t>
            </w:r>
          </w:p>
        </w:tc>
        <w:tc>
          <w:tcPr>
            <w:tcW w:w="120" w:type="dxa"/>
            <w:vAlign w:val="bottom"/>
            <w:shd w:val="clear" w:color="auto" w:fill="CCEEFF"/>
          </w:tcPr>
          <w:p>
            <w:pPr>
              <w:spacing w:after="0"/>
              <w:rPr>
                <w:sz w:val="10"/>
                <w:szCs w:val="10"/>
                <w:color w:val="auto"/>
              </w:rPr>
            </w:pPr>
          </w:p>
        </w:tc>
        <w:tc>
          <w:tcPr>
            <w:tcW w:w="580" w:type="dxa"/>
            <w:vAlign w:val="bottom"/>
            <w:tcBorders>
              <w:right w:val="single" w:sz="8" w:color="auto"/>
            </w:tcBorders>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620" w:type="dxa"/>
            <w:vAlign w:val="bottom"/>
            <w:tcBorders>
              <w:right w:val="single" w:sz="8" w:color="auto"/>
            </w:tcBorders>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600" w:type="dxa"/>
            <w:vAlign w:val="bottom"/>
            <w:tcBorders>
              <w:right w:val="single" w:sz="8" w:color="auto"/>
            </w:tcBorders>
            <w:shd w:val="clear" w:color="auto" w:fill="CCEEFF"/>
          </w:tcPr>
          <w:p>
            <w:pPr>
              <w:spacing w:after="0"/>
              <w:rPr>
                <w:sz w:val="10"/>
                <w:szCs w:val="10"/>
                <w:color w:val="auto"/>
              </w:rPr>
            </w:pPr>
          </w:p>
        </w:tc>
        <w:tc>
          <w:tcPr>
            <w:tcW w:w="760" w:type="dxa"/>
            <w:vAlign w:val="bottom"/>
            <w:tcBorders>
              <w:right w:val="single" w:sz="8" w:color="auto"/>
            </w:tcBorders>
            <w:shd w:val="clear" w:color="auto" w:fill="CCEEFF"/>
          </w:tcPr>
          <w:p>
            <w:pPr>
              <w:spacing w:after="0"/>
              <w:rPr>
                <w:sz w:val="10"/>
                <w:szCs w:val="10"/>
                <w:color w:val="auto"/>
              </w:rPr>
            </w:pPr>
          </w:p>
        </w:tc>
        <w:tc>
          <w:tcPr>
            <w:tcW w:w="560" w:type="dxa"/>
            <w:vAlign w:val="bottom"/>
            <w:tcBorders>
              <w:right w:val="single" w:sz="8" w:color="auto"/>
            </w:tcBorders>
            <w:shd w:val="clear" w:color="auto" w:fill="CCEEFF"/>
          </w:tcPr>
          <w:p>
            <w:pPr>
              <w:spacing w:after="0"/>
              <w:rPr>
                <w:sz w:val="10"/>
                <w:szCs w:val="10"/>
                <w:color w:val="auto"/>
              </w:rPr>
            </w:pPr>
          </w:p>
        </w:tc>
        <w:tc>
          <w:tcPr>
            <w:tcW w:w="720" w:type="dxa"/>
            <w:vAlign w:val="bottom"/>
            <w:tcBorders>
              <w:right w:val="single" w:sz="8" w:color="auto"/>
            </w:tcBorders>
            <w:shd w:val="clear" w:color="auto" w:fill="CCEEFF"/>
          </w:tcPr>
          <w:p>
            <w:pPr>
              <w:spacing w:after="0"/>
              <w:rPr>
                <w:sz w:val="10"/>
                <w:szCs w:val="10"/>
                <w:color w:val="auto"/>
              </w:rPr>
            </w:pPr>
          </w:p>
        </w:tc>
        <w:tc>
          <w:tcPr>
            <w:tcW w:w="720" w:type="dxa"/>
            <w:vAlign w:val="bottom"/>
            <w:tcBorders>
              <w:right w:val="single" w:sz="8" w:color="auto"/>
            </w:tcBorders>
            <w:shd w:val="clear" w:color="auto" w:fill="CCEEFF"/>
          </w:tcPr>
          <w:p>
            <w:pPr>
              <w:jc w:val="right"/>
              <w:ind w:right="86"/>
              <w:spacing w:after="0" w:line="122" w:lineRule="exact"/>
              <w:rPr>
                <w:sz w:val="20"/>
                <w:szCs w:val="20"/>
                <w:color w:val="auto"/>
              </w:rPr>
            </w:pPr>
            <w:r>
              <w:rPr>
                <w:rFonts w:ascii="Arial" w:cs="Arial" w:eastAsia="Arial" w:hAnsi="Arial"/>
                <w:sz w:val="11"/>
                <w:szCs w:val="11"/>
                <w:color w:val="auto"/>
              </w:rPr>
              <w:t>3,000</w:t>
            </w:r>
          </w:p>
        </w:tc>
        <w:tc>
          <w:tcPr>
            <w:tcW w:w="720" w:type="dxa"/>
            <w:vAlign w:val="bottom"/>
            <w:tcBorders>
              <w:right w:val="single" w:sz="8" w:color="auto"/>
            </w:tcBorders>
            <w:shd w:val="clear" w:color="auto" w:fill="CCEEFF"/>
          </w:tcPr>
          <w:p>
            <w:pPr>
              <w:spacing w:after="0"/>
              <w:rPr>
                <w:sz w:val="10"/>
                <w:szCs w:val="10"/>
                <w:color w:val="auto"/>
              </w:rPr>
            </w:pPr>
          </w:p>
        </w:tc>
        <w:tc>
          <w:tcPr>
            <w:tcW w:w="200" w:type="dxa"/>
            <w:vAlign w:val="bottom"/>
            <w:shd w:val="clear" w:color="auto" w:fill="CCEEFF"/>
          </w:tcPr>
          <w:p>
            <w:pPr>
              <w:spacing w:after="0"/>
              <w:rPr>
                <w:sz w:val="10"/>
                <w:szCs w:val="10"/>
                <w:color w:val="auto"/>
              </w:rPr>
            </w:pPr>
          </w:p>
        </w:tc>
        <w:tc>
          <w:tcPr>
            <w:tcW w:w="560" w:type="dxa"/>
            <w:vAlign w:val="bottom"/>
            <w:tcBorders>
              <w:right w:val="single" w:sz="8" w:color="auto"/>
            </w:tcBorders>
            <w:shd w:val="clear" w:color="auto" w:fill="CCEEFF"/>
          </w:tcPr>
          <w:p>
            <w:pPr>
              <w:spacing w:after="0"/>
              <w:rPr>
                <w:sz w:val="10"/>
                <w:szCs w:val="10"/>
                <w:color w:val="auto"/>
              </w:rPr>
            </w:pPr>
          </w:p>
        </w:tc>
        <w:tc>
          <w:tcPr>
            <w:tcW w:w="100" w:type="dxa"/>
            <w:vAlign w:val="bottom"/>
            <w:shd w:val="clear" w:color="auto" w:fill="CCEEFF"/>
          </w:tcPr>
          <w:p>
            <w:pPr>
              <w:ind w:left="40"/>
              <w:spacing w:after="0"/>
              <w:rPr>
                <w:sz w:val="20"/>
                <w:szCs w:val="20"/>
                <w:color w:val="auto"/>
              </w:rPr>
            </w:pPr>
            <w:r>
              <w:rPr>
                <w:rFonts w:ascii="Arial" w:cs="Arial" w:eastAsia="Arial" w:hAnsi="Arial"/>
                <w:sz w:val="10"/>
                <w:szCs w:val="10"/>
                <w:color w:val="auto"/>
                <w:w w:val="71"/>
              </w:rPr>
              <w:t>$</w:t>
            </w:r>
          </w:p>
        </w:tc>
        <w:tc>
          <w:tcPr>
            <w:tcW w:w="720" w:type="dxa"/>
            <w:vAlign w:val="bottom"/>
            <w:tcBorders>
              <w:right w:val="single" w:sz="8" w:color="auto"/>
            </w:tcBorders>
            <w:shd w:val="clear" w:color="auto" w:fill="CCEEFF"/>
          </w:tcPr>
          <w:p>
            <w:pPr>
              <w:jc w:val="right"/>
              <w:ind w:right="186"/>
              <w:spacing w:after="0" w:line="122" w:lineRule="exact"/>
              <w:rPr>
                <w:sz w:val="20"/>
                <w:szCs w:val="20"/>
                <w:color w:val="auto"/>
              </w:rPr>
            </w:pPr>
            <w:r>
              <w:rPr>
                <w:rFonts w:ascii="Arial" w:cs="Arial" w:eastAsia="Arial" w:hAnsi="Arial"/>
                <w:sz w:val="11"/>
                <w:szCs w:val="11"/>
                <w:color w:val="auto"/>
              </w:rPr>
              <w:t>87,000</w:t>
            </w:r>
          </w:p>
        </w:tc>
        <w:tc>
          <w:tcPr>
            <w:tcW w:w="0" w:type="dxa"/>
            <w:vAlign w:val="bottom"/>
          </w:tcPr>
          <w:p>
            <w:pPr>
              <w:spacing w:after="0"/>
              <w:rPr>
                <w:sz w:val="1"/>
                <w:szCs w:val="1"/>
                <w:color w:val="auto"/>
              </w:rPr>
            </w:pPr>
          </w:p>
        </w:tc>
      </w:tr>
      <w:tr>
        <w:trPr>
          <w:trHeight w:val="122"/>
        </w:trPr>
        <w:tc>
          <w:tcPr>
            <w:tcW w:w="2100" w:type="dxa"/>
            <w:vAlign w:val="bottom"/>
            <w:tcBorders>
              <w:left w:val="single" w:sz="8" w:color="auto"/>
              <w:right w:val="single" w:sz="8" w:color="auto"/>
            </w:tcBorders>
          </w:tcPr>
          <w:p>
            <w:pPr>
              <w:spacing w:after="0"/>
              <w:rPr>
                <w:sz w:val="10"/>
                <w:szCs w:val="10"/>
                <w:color w:val="auto"/>
              </w:rPr>
            </w:pPr>
          </w:p>
        </w:tc>
        <w:tc>
          <w:tcPr>
            <w:tcW w:w="2160" w:type="dxa"/>
            <w:vAlign w:val="bottom"/>
            <w:tcBorders>
              <w:right w:val="single" w:sz="8" w:color="auto"/>
            </w:tcBorders>
          </w:tcPr>
          <w:p>
            <w:pPr>
              <w:ind w:left="80"/>
              <w:spacing w:after="0" w:line="122" w:lineRule="exact"/>
              <w:rPr>
                <w:sz w:val="20"/>
                <w:szCs w:val="20"/>
                <w:color w:val="auto"/>
              </w:rPr>
            </w:pPr>
            <w:r>
              <w:rPr>
                <w:rFonts w:ascii="Arial" w:cs="Arial" w:eastAsia="Arial" w:hAnsi="Arial"/>
                <w:sz w:val="11"/>
                <w:szCs w:val="11"/>
                <w:color w:val="auto"/>
              </w:rPr>
              <w:t>01/29/2015 NQSOs</w:t>
            </w:r>
            <w:r>
              <w:rPr>
                <w:rFonts w:ascii="Arial" w:cs="Arial" w:eastAsia="Arial" w:hAnsi="Arial"/>
                <w:sz w:val="9"/>
                <w:szCs w:val="9"/>
                <w:color w:val="auto"/>
              </w:rPr>
              <w:t>(3)</w:t>
            </w:r>
          </w:p>
        </w:tc>
        <w:tc>
          <w:tcPr>
            <w:tcW w:w="120" w:type="dxa"/>
            <w:vAlign w:val="bottom"/>
          </w:tcPr>
          <w:p>
            <w:pPr>
              <w:spacing w:after="0"/>
              <w:rPr>
                <w:sz w:val="10"/>
                <w:szCs w:val="10"/>
                <w:color w:val="auto"/>
              </w:rPr>
            </w:pPr>
          </w:p>
        </w:tc>
        <w:tc>
          <w:tcPr>
            <w:tcW w:w="580" w:type="dxa"/>
            <w:vAlign w:val="bottom"/>
            <w:tcBorders>
              <w:right w:val="single" w:sz="8" w:color="auto"/>
            </w:tcBorders>
          </w:tcPr>
          <w:p>
            <w:pPr>
              <w:spacing w:after="0"/>
              <w:rPr>
                <w:sz w:val="10"/>
                <w:szCs w:val="10"/>
                <w:color w:val="auto"/>
              </w:rPr>
            </w:pPr>
          </w:p>
        </w:tc>
        <w:tc>
          <w:tcPr>
            <w:tcW w:w="100" w:type="dxa"/>
            <w:vAlign w:val="bottom"/>
          </w:tcPr>
          <w:p>
            <w:pPr>
              <w:spacing w:after="0"/>
              <w:rPr>
                <w:sz w:val="10"/>
                <w:szCs w:val="10"/>
                <w:color w:val="auto"/>
              </w:rPr>
            </w:pPr>
          </w:p>
        </w:tc>
        <w:tc>
          <w:tcPr>
            <w:tcW w:w="620" w:type="dxa"/>
            <w:vAlign w:val="bottom"/>
            <w:tcBorders>
              <w:right w:val="single" w:sz="8" w:color="auto"/>
            </w:tcBorders>
          </w:tcPr>
          <w:p>
            <w:pPr>
              <w:spacing w:after="0"/>
              <w:rPr>
                <w:sz w:val="10"/>
                <w:szCs w:val="10"/>
                <w:color w:val="auto"/>
              </w:rPr>
            </w:pPr>
          </w:p>
        </w:tc>
        <w:tc>
          <w:tcPr>
            <w:tcW w:w="100" w:type="dxa"/>
            <w:vAlign w:val="bottom"/>
          </w:tcPr>
          <w:p>
            <w:pPr>
              <w:spacing w:after="0"/>
              <w:rPr>
                <w:sz w:val="10"/>
                <w:szCs w:val="10"/>
                <w:color w:val="auto"/>
              </w:rPr>
            </w:pPr>
          </w:p>
        </w:tc>
        <w:tc>
          <w:tcPr>
            <w:tcW w:w="600" w:type="dxa"/>
            <w:vAlign w:val="bottom"/>
            <w:tcBorders>
              <w:right w:val="single" w:sz="8" w:color="auto"/>
            </w:tcBorders>
          </w:tcPr>
          <w:p>
            <w:pPr>
              <w:spacing w:after="0"/>
              <w:rPr>
                <w:sz w:val="10"/>
                <w:szCs w:val="10"/>
                <w:color w:val="auto"/>
              </w:rPr>
            </w:pPr>
          </w:p>
        </w:tc>
        <w:tc>
          <w:tcPr>
            <w:tcW w:w="760" w:type="dxa"/>
            <w:vAlign w:val="bottom"/>
            <w:tcBorders>
              <w:right w:val="single" w:sz="8" w:color="auto"/>
            </w:tcBorders>
          </w:tcPr>
          <w:p>
            <w:pPr>
              <w:spacing w:after="0"/>
              <w:rPr>
                <w:sz w:val="10"/>
                <w:szCs w:val="10"/>
                <w:color w:val="auto"/>
              </w:rPr>
            </w:pPr>
          </w:p>
        </w:tc>
        <w:tc>
          <w:tcPr>
            <w:tcW w:w="560" w:type="dxa"/>
            <w:vAlign w:val="bottom"/>
            <w:tcBorders>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720" w:type="dxa"/>
            <w:vAlign w:val="bottom"/>
            <w:tcBorders>
              <w:right w:val="single" w:sz="8" w:color="auto"/>
            </w:tcBorders>
          </w:tcPr>
          <w:p>
            <w:pPr>
              <w:jc w:val="right"/>
              <w:ind w:right="66"/>
              <w:spacing w:after="0" w:line="122" w:lineRule="exact"/>
              <w:rPr>
                <w:sz w:val="20"/>
                <w:szCs w:val="20"/>
                <w:color w:val="auto"/>
              </w:rPr>
            </w:pPr>
            <w:r>
              <w:rPr>
                <w:rFonts w:ascii="Arial" w:cs="Arial" w:eastAsia="Arial" w:hAnsi="Arial"/>
                <w:sz w:val="11"/>
                <w:szCs w:val="11"/>
                <w:color w:val="auto"/>
              </w:rPr>
              <w:t>10,700</w:t>
            </w:r>
          </w:p>
        </w:tc>
        <w:tc>
          <w:tcPr>
            <w:tcW w:w="200" w:type="dxa"/>
            <w:vAlign w:val="bottom"/>
          </w:tcPr>
          <w:p>
            <w:pPr>
              <w:ind w:left="40"/>
              <w:spacing w:after="0" w:line="122" w:lineRule="exact"/>
              <w:rPr>
                <w:sz w:val="20"/>
                <w:szCs w:val="20"/>
                <w:color w:val="auto"/>
              </w:rPr>
            </w:pPr>
            <w:r>
              <w:rPr>
                <w:rFonts w:ascii="Arial" w:cs="Arial" w:eastAsia="Arial" w:hAnsi="Arial"/>
                <w:sz w:val="11"/>
                <w:szCs w:val="11"/>
                <w:color w:val="auto"/>
              </w:rPr>
              <w:t>$</w:t>
            </w:r>
          </w:p>
        </w:tc>
        <w:tc>
          <w:tcPr>
            <w:tcW w:w="560" w:type="dxa"/>
            <w:vAlign w:val="bottom"/>
            <w:tcBorders>
              <w:right w:val="single" w:sz="8" w:color="auto"/>
            </w:tcBorders>
          </w:tcPr>
          <w:p>
            <w:pPr>
              <w:jc w:val="right"/>
              <w:ind w:right="86"/>
              <w:spacing w:after="0" w:line="122" w:lineRule="exact"/>
              <w:rPr>
                <w:sz w:val="20"/>
                <w:szCs w:val="20"/>
                <w:color w:val="auto"/>
              </w:rPr>
            </w:pPr>
            <w:r>
              <w:rPr>
                <w:rFonts w:ascii="Arial" w:cs="Arial" w:eastAsia="Arial" w:hAnsi="Arial"/>
                <w:sz w:val="11"/>
                <w:szCs w:val="11"/>
                <w:color w:val="auto"/>
              </w:rPr>
              <w:t>29.00</w:t>
            </w:r>
          </w:p>
        </w:tc>
        <w:tc>
          <w:tcPr>
            <w:tcW w:w="100" w:type="dxa"/>
            <w:vAlign w:val="bottom"/>
          </w:tcPr>
          <w:p>
            <w:pPr>
              <w:ind w:left="40"/>
              <w:spacing w:after="0"/>
              <w:rPr>
                <w:sz w:val="20"/>
                <w:szCs w:val="20"/>
                <w:color w:val="auto"/>
              </w:rPr>
            </w:pPr>
            <w:r>
              <w:rPr>
                <w:rFonts w:ascii="Arial" w:cs="Arial" w:eastAsia="Arial" w:hAnsi="Arial"/>
                <w:sz w:val="10"/>
                <w:szCs w:val="10"/>
                <w:color w:val="auto"/>
                <w:w w:val="71"/>
              </w:rPr>
              <w:t>$</w:t>
            </w:r>
          </w:p>
        </w:tc>
        <w:tc>
          <w:tcPr>
            <w:tcW w:w="720" w:type="dxa"/>
            <w:vAlign w:val="bottom"/>
            <w:tcBorders>
              <w:right w:val="single" w:sz="8" w:color="auto"/>
            </w:tcBorders>
          </w:tcPr>
          <w:p>
            <w:pPr>
              <w:jc w:val="right"/>
              <w:ind w:right="186"/>
              <w:spacing w:after="0" w:line="122" w:lineRule="exact"/>
              <w:rPr>
                <w:sz w:val="20"/>
                <w:szCs w:val="20"/>
                <w:color w:val="auto"/>
              </w:rPr>
            </w:pPr>
            <w:r>
              <w:rPr>
                <w:rFonts w:ascii="Arial" w:cs="Arial" w:eastAsia="Arial" w:hAnsi="Arial"/>
                <w:sz w:val="11"/>
                <w:szCs w:val="11"/>
                <w:color w:val="auto"/>
              </w:rPr>
              <w:t>108,177</w:t>
            </w:r>
          </w:p>
        </w:tc>
        <w:tc>
          <w:tcPr>
            <w:tcW w:w="0" w:type="dxa"/>
            <w:vAlign w:val="bottom"/>
          </w:tcPr>
          <w:p>
            <w:pPr>
              <w:spacing w:after="0"/>
              <w:rPr>
                <w:sz w:val="1"/>
                <w:szCs w:val="1"/>
                <w:color w:val="auto"/>
              </w:rPr>
            </w:pPr>
          </w:p>
        </w:tc>
      </w:tr>
      <w:tr>
        <w:trPr>
          <w:trHeight w:val="122"/>
        </w:trPr>
        <w:tc>
          <w:tcPr>
            <w:tcW w:w="2100" w:type="dxa"/>
            <w:vAlign w:val="bottom"/>
            <w:tcBorders>
              <w:left w:val="single" w:sz="8" w:color="auto"/>
              <w:bottom w:val="single" w:sz="8" w:color="auto"/>
              <w:right w:val="single" w:sz="8" w:color="auto"/>
            </w:tcBorders>
            <w:shd w:val="clear" w:color="auto" w:fill="CCEEFF"/>
          </w:tcPr>
          <w:p>
            <w:pPr>
              <w:spacing w:after="0"/>
              <w:rPr>
                <w:sz w:val="10"/>
                <w:szCs w:val="10"/>
                <w:color w:val="auto"/>
              </w:rPr>
            </w:pPr>
          </w:p>
        </w:tc>
        <w:tc>
          <w:tcPr>
            <w:tcW w:w="2160" w:type="dxa"/>
            <w:vAlign w:val="bottom"/>
            <w:tcBorders>
              <w:bottom w:val="single" w:sz="8" w:color="auto"/>
              <w:right w:val="single" w:sz="8" w:color="auto"/>
            </w:tcBorders>
            <w:shd w:val="clear" w:color="auto" w:fill="CCEEFF"/>
          </w:tcPr>
          <w:p>
            <w:pPr>
              <w:ind w:left="80"/>
              <w:spacing w:after="0" w:line="122" w:lineRule="exact"/>
              <w:rPr>
                <w:sz w:val="20"/>
                <w:szCs w:val="20"/>
                <w:color w:val="auto"/>
              </w:rPr>
            </w:pPr>
            <w:r>
              <w:rPr>
                <w:rFonts w:ascii="Arial" w:cs="Arial" w:eastAsia="Arial" w:hAnsi="Arial"/>
                <w:sz w:val="11"/>
                <w:szCs w:val="11"/>
                <w:color w:val="auto"/>
              </w:rPr>
              <w:t>01/29/2015 Perf RSUs</w:t>
            </w:r>
            <w:r>
              <w:rPr>
                <w:rFonts w:ascii="Arial" w:cs="Arial" w:eastAsia="Arial" w:hAnsi="Arial"/>
                <w:sz w:val="9"/>
                <w:szCs w:val="9"/>
                <w:color w:val="auto"/>
              </w:rPr>
              <w:t>(4)</w:t>
            </w:r>
          </w:p>
        </w:tc>
        <w:tc>
          <w:tcPr>
            <w:tcW w:w="120" w:type="dxa"/>
            <w:vAlign w:val="bottom"/>
            <w:tcBorders>
              <w:bottom w:val="single" w:sz="8" w:color="auto"/>
            </w:tcBorders>
            <w:shd w:val="clear" w:color="auto" w:fill="CCEEFF"/>
          </w:tcPr>
          <w:p>
            <w:pPr>
              <w:spacing w:after="0"/>
              <w:rPr>
                <w:sz w:val="10"/>
                <w:szCs w:val="10"/>
                <w:color w:val="auto"/>
              </w:rPr>
            </w:pPr>
          </w:p>
        </w:tc>
        <w:tc>
          <w:tcPr>
            <w:tcW w:w="580" w:type="dxa"/>
            <w:vAlign w:val="bottom"/>
            <w:tcBorders>
              <w:bottom w:val="single" w:sz="8" w:color="auto"/>
              <w:right w:val="single" w:sz="8" w:color="auto"/>
            </w:tcBorders>
            <w:shd w:val="clear" w:color="auto" w:fill="CCEEFF"/>
          </w:tcPr>
          <w:p>
            <w:pPr>
              <w:spacing w:after="0"/>
              <w:rPr>
                <w:sz w:val="10"/>
                <w:szCs w:val="10"/>
                <w:color w:val="auto"/>
              </w:rPr>
            </w:pPr>
          </w:p>
        </w:tc>
        <w:tc>
          <w:tcPr>
            <w:tcW w:w="100" w:type="dxa"/>
            <w:vAlign w:val="bottom"/>
            <w:tcBorders>
              <w:bottom w:val="single" w:sz="8" w:color="auto"/>
            </w:tcBorders>
            <w:shd w:val="clear" w:color="auto" w:fill="CCEEFF"/>
          </w:tcPr>
          <w:p>
            <w:pPr>
              <w:spacing w:after="0"/>
              <w:rPr>
                <w:sz w:val="10"/>
                <w:szCs w:val="10"/>
                <w:color w:val="auto"/>
              </w:rPr>
            </w:pPr>
          </w:p>
        </w:tc>
        <w:tc>
          <w:tcPr>
            <w:tcW w:w="620" w:type="dxa"/>
            <w:vAlign w:val="bottom"/>
            <w:tcBorders>
              <w:bottom w:val="single" w:sz="8" w:color="auto"/>
              <w:right w:val="single" w:sz="8" w:color="auto"/>
            </w:tcBorders>
            <w:shd w:val="clear" w:color="auto" w:fill="CCEEFF"/>
          </w:tcPr>
          <w:p>
            <w:pPr>
              <w:spacing w:after="0"/>
              <w:rPr>
                <w:sz w:val="10"/>
                <w:szCs w:val="10"/>
                <w:color w:val="auto"/>
              </w:rPr>
            </w:pPr>
          </w:p>
        </w:tc>
        <w:tc>
          <w:tcPr>
            <w:tcW w:w="100" w:type="dxa"/>
            <w:vAlign w:val="bottom"/>
            <w:tcBorders>
              <w:bottom w:val="single" w:sz="8" w:color="auto"/>
            </w:tcBorders>
            <w:shd w:val="clear" w:color="auto" w:fill="CCEEFF"/>
          </w:tcPr>
          <w:p>
            <w:pPr>
              <w:spacing w:after="0"/>
              <w:rPr>
                <w:sz w:val="10"/>
                <w:szCs w:val="10"/>
                <w:color w:val="auto"/>
              </w:rPr>
            </w:pPr>
          </w:p>
        </w:tc>
        <w:tc>
          <w:tcPr>
            <w:tcW w:w="600" w:type="dxa"/>
            <w:vAlign w:val="bottom"/>
            <w:tcBorders>
              <w:bottom w:val="single" w:sz="8" w:color="auto"/>
              <w:right w:val="single" w:sz="8" w:color="auto"/>
            </w:tcBorders>
            <w:shd w:val="clear" w:color="auto" w:fill="CCEEFF"/>
          </w:tcPr>
          <w:p>
            <w:pPr>
              <w:spacing w:after="0"/>
              <w:rPr>
                <w:sz w:val="10"/>
                <w:szCs w:val="10"/>
                <w:color w:val="auto"/>
              </w:rPr>
            </w:pPr>
          </w:p>
        </w:tc>
        <w:tc>
          <w:tcPr>
            <w:tcW w:w="760" w:type="dxa"/>
            <w:vAlign w:val="bottom"/>
            <w:tcBorders>
              <w:bottom w:val="single" w:sz="8" w:color="auto"/>
              <w:right w:val="single" w:sz="8" w:color="auto"/>
            </w:tcBorders>
            <w:shd w:val="clear" w:color="auto" w:fill="CCEEFF"/>
          </w:tcPr>
          <w:p>
            <w:pPr>
              <w:jc w:val="right"/>
              <w:ind w:right="66"/>
              <w:spacing w:after="0" w:line="122" w:lineRule="exact"/>
              <w:rPr>
                <w:sz w:val="20"/>
                <w:szCs w:val="20"/>
                <w:color w:val="auto"/>
              </w:rPr>
            </w:pPr>
            <w:r>
              <w:rPr>
                <w:rFonts w:ascii="Arial" w:cs="Arial" w:eastAsia="Arial" w:hAnsi="Arial"/>
                <w:sz w:val="11"/>
                <w:szCs w:val="11"/>
                <w:color w:val="auto"/>
              </w:rPr>
              <w:t>2,700</w:t>
            </w:r>
          </w:p>
        </w:tc>
        <w:tc>
          <w:tcPr>
            <w:tcW w:w="560" w:type="dxa"/>
            <w:vAlign w:val="bottom"/>
            <w:tcBorders>
              <w:bottom w:val="single" w:sz="8" w:color="auto"/>
              <w:right w:val="single" w:sz="8" w:color="auto"/>
            </w:tcBorders>
            <w:shd w:val="clear" w:color="auto" w:fill="CCEEFF"/>
          </w:tcPr>
          <w:p>
            <w:pPr>
              <w:jc w:val="right"/>
              <w:ind w:right="66"/>
              <w:spacing w:after="0" w:line="122" w:lineRule="exact"/>
              <w:rPr>
                <w:sz w:val="20"/>
                <w:szCs w:val="20"/>
                <w:color w:val="auto"/>
              </w:rPr>
            </w:pPr>
            <w:r>
              <w:rPr>
                <w:rFonts w:ascii="Arial" w:cs="Arial" w:eastAsia="Arial" w:hAnsi="Arial"/>
                <w:sz w:val="11"/>
                <w:szCs w:val="11"/>
                <w:color w:val="auto"/>
              </w:rPr>
              <w:t>5,400</w:t>
            </w:r>
          </w:p>
        </w:tc>
        <w:tc>
          <w:tcPr>
            <w:tcW w:w="720" w:type="dxa"/>
            <w:vAlign w:val="bottom"/>
            <w:tcBorders>
              <w:bottom w:val="single" w:sz="8" w:color="auto"/>
              <w:right w:val="single" w:sz="8" w:color="auto"/>
            </w:tcBorders>
            <w:shd w:val="clear" w:color="auto" w:fill="CCEEFF"/>
          </w:tcPr>
          <w:p>
            <w:pPr>
              <w:jc w:val="right"/>
              <w:ind w:right="66"/>
              <w:spacing w:after="0" w:line="122" w:lineRule="exact"/>
              <w:rPr>
                <w:sz w:val="20"/>
                <w:szCs w:val="20"/>
                <w:color w:val="auto"/>
              </w:rPr>
            </w:pPr>
            <w:r>
              <w:rPr>
                <w:rFonts w:ascii="Arial" w:cs="Arial" w:eastAsia="Arial" w:hAnsi="Arial"/>
                <w:sz w:val="11"/>
                <w:szCs w:val="11"/>
                <w:color w:val="auto"/>
              </w:rPr>
              <w:t>8,100</w:t>
            </w:r>
          </w:p>
        </w:tc>
        <w:tc>
          <w:tcPr>
            <w:tcW w:w="720" w:type="dxa"/>
            <w:vAlign w:val="bottom"/>
            <w:tcBorders>
              <w:bottom w:val="single" w:sz="8" w:color="auto"/>
              <w:right w:val="single" w:sz="8" w:color="auto"/>
            </w:tcBorders>
            <w:shd w:val="clear" w:color="auto" w:fill="CCEEFF"/>
          </w:tcPr>
          <w:p>
            <w:pPr>
              <w:spacing w:after="0"/>
              <w:rPr>
                <w:sz w:val="10"/>
                <w:szCs w:val="10"/>
                <w:color w:val="auto"/>
              </w:rPr>
            </w:pPr>
          </w:p>
        </w:tc>
        <w:tc>
          <w:tcPr>
            <w:tcW w:w="720" w:type="dxa"/>
            <w:vAlign w:val="bottom"/>
            <w:tcBorders>
              <w:bottom w:val="single" w:sz="8" w:color="auto"/>
              <w:right w:val="single" w:sz="8" w:color="auto"/>
            </w:tcBorders>
            <w:shd w:val="clear" w:color="auto" w:fill="CCEEFF"/>
          </w:tcPr>
          <w:p>
            <w:pPr>
              <w:spacing w:after="0"/>
              <w:rPr>
                <w:sz w:val="10"/>
                <w:szCs w:val="10"/>
                <w:color w:val="auto"/>
              </w:rPr>
            </w:pPr>
          </w:p>
        </w:tc>
        <w:tc>
          <w:tcPr>
            <w:tcW w:w="200" w:type="dxa"/>
            <w:vAlign w:val="bottom"/>
            <w:tcBorders>
              <w:bottom w:val="single" w:sz="8" w:color="auto"/>
            </w:tcBorders>
            <w:shd w:val="clear" w:color="auto" w:fill="CCEEFF"/>
          </w:tcPr>
          <w:p>
            <w:pPr>
              <w:spacing w:after="0"/>
              <w:rPr>
                <w:sz w:val="10"/>
                <w:szCs w:val="10"/>
                <w:color w:val="auto"/>
              </w:rPr>
            </w:pPr>
          </w:p>
        </w:tc>
        <w:tc>
          <w:tcPr>
            <w:tcW w:w="560" w:type="dxa"/>
            <w:vAlign w:val="bottom"/>
            <w:tcBorders>
              <w:bottom w:val="single" w:sz="8" w:color="auto"/>
              <w:right w:val="single" w:sz="8" w:color="auto"/>
            </w:tcBorders>
            <w:shd w:val="clear" w:color="auto" w:fill="CCEEFF"/>
          </w:tcPr>
          <w:p>
            <w:pPr>
              <w:spacing w:after="0"/>
              <w:rPr>
                <w:sz w:val="10"/>
                <w:szCs w:val="10"/>
                <w:color w:val="auto"/>
              </w:rPr>
            </w:pPr>
          </w:p>
        </w:tc>
        <w:tc>
          <w:tcPr>
            <w:tcW w:w="100" w:type="dxa"/>
            <w:vAlign w:val="bottom"/>
            <w:tcBorders>
              <w:bottom w:val="single" w:sz="8" w:color="auto"/>
            </w:tcBorders>
            <w:shd w:val="clear" w:color="auto" w:fill="CCEEFF"/>
          </w:tcPr>
          <w:p>
            <w:pPr>
              <w:ind w:left="40"/>
              <w:spacing w:after="0"/>
              <w:rPr>
                <w:sz w:val="20"/>
                <w:szCs w:val="20"/>
                <w:color w:val="auto"/>
              </w:rPr>
            </w:pPr>
            <w:r>
              <w:rPr>
                <w:rFonts w:ascii="Arial" w:cs="Arial" w:eastAsia="Arial" w:hAnsi="Arial"/>
                <w:sz w:val="10"/>
                <w:szCs w:val="10"/>
                <w:color w:val="auto"/>
                <w:w w:val="71"/>
              </w:rPr>
              <w:t>$</w:t>
            </w:r>
          </w:p>
        </w:tc>
        <w:tc>
          <w:tcPr>
            <w:tcW w:w="720" w:type="dxa"/>
            <w:vAlign w:val="bottom"/>
            <w:tcBorders>
              <w:bottom w:val="single" w:sz="8" w:color="auto"/>
              <w:right w:val="single" w:sz="8" w:color="auto"/>
            </w:tcBorders>
            <w:shd w:val="clear" w:color="auto" w:fill="CCEEFF"/>
          </w:tcPr>
          <w:p>
            <w:pPr>
              <w:jc w:val="right"/>
              <w:ind w:right="186"/>
              <w:spacing w:after="0" w:line="122" w:lineRule="exact"/>
              <w:rPr>
                <w:sz w:val="20"/>
                <w:szCs w:val="20"/>
                <w:color w:val="auto"/>
              </w:rPr>
            </w:pPr>
            <w:r>
              <w:rPr>
                <w:rFonts w:ascii="Arial" w:cs="Arial" w:eastAsia="Arial" w:hAnsi="Arial"/>
                <w:sz w:val="11"/>
                <w:szCs w:val="11"/>
                <w:color w:val="auto"/>
              </w:rPr>
              <w:t>156,600</w:t>
            </w:r>
          </w:p>
        </w:tc>
        <w:tc>
          <w:tcPr>
            <w:tcW w:w="0" w:type="dxa"/>
            <w:vAlign w:val="bottom"/>
          </w:tcPr>
          <w:p>
            <w:pPr>
              <w:spacing w:after="0"/>
              <w:rPr>
                <w:sz w:val="1"/>
                <w:szCs w:val="1"/>
                <w:color w:val="auto"/>
              </w:rPr>
            </w:pPr>
          </w:p>
        </w:tc>
      </w:tr>
      <w:tr>
        <w:trPr>
          <w:trHeight w:val="115"/>
        </w:trPr>
        <w:tc>
          <w:tcPr>
            <w:tcW w:w="2100" w:type="dxa"/>
            <w:vAlign w:val="bottom"/>
            <w:tcBorders>
              <w:left w:val="single" w:sz="8" w:color="auto"/>
              <w:right w:val="single" w:sz="8" w:color="auto"/>
            </w:tcBorders>
          </w:tcPr>
          <w:p>
            <w:pPr>
              <w:ind w:left="160"/>
              <w:spacing w:after="0" w:line="115" w:lineRule="exact"/>
              <w:rPr>
                <w:sz w:val="20"/>
                <w:szCs w:val="20"/>
                <w:color w:val="auto"/>
              </w:rPr>
            </w:pPr>
            <w:r>
              <w:rPr>
                <w:rFonts w:ascii="Arial" w:cs="Arial" w:eastAsia="Arial" w:hAnsi="Arial"/>
                <w:sz w:val="11"/>
                <w:szCs w:val="11"/>
                <w:color w:val="auto"/>
              </w:rPr>
              <w:t>Frank A. DiPiero</w:t>
            </w:r>
          </w:p>
        </w:tc>
        <w:tc>
          <w:tcPr>
            <w:tcW w:w="2160" w:type="dxa"/>
            <w:vAlign w:val="bottom"/>
            <w:tcBorders>
              <w:right w:val="single" w:sz="8" w:color="auto"/>
            </w:tcBorders>
          </w:tcPr>
          <w:p>
            <w:pPr>
              <w:ind w:left="80"/>
              <w:spacing w:after="0" w:line="115" w:lineRule="exact"/>
              <w:rPr>
                <w:sz w:val="20"/>
                <w:szCs w:val="20"/>
                <w:color w:val="auto"/>
              </w:rPr>
            </w:pPr>
            <w:r>
              <w:rPr>
                <w:rFonts w:ascii="Arial" w:cs="Arial" w:eastAsia="Arial" w:hAnsi="Arial"/>
                <w:sz w:val="11"/>
                <w:szCs w:val="11"/>
                <w:color w:val="auto"/>
              </w:rPr>
              <w:t>01/29/2015 SEMPP</w:t>
            </w:r>
            <w:r>
              <w:rPr>
                <w:rFonts w:ascii="Arial" w:cs="Arial" w:eastAsia="Arial" w:hAnsi="Arial"/>
                <w:sz w:val="9"/>
                <w:szCs w:val="9"/>
                <w:color w:val="auto"/>
              </w:rPr>
              <w:t>(1)</w:t>
            </w:r>
          </w:p>
        </w:tc>
        <w:tc>
          <w:tcPr>
            <w:tcW w:w="120" w:type="dxa"/>
            <w:vAlign w:val="bottom"/>
          </w:tcPr>
          <w:p>
            <w:pPr>
              <w:ind w:left="40"/>
              <w:spacing w:after="0" w:line="115" w:lineRule="exact"/>
              <w:rPr>
                <w:sz w:val="20"/>
                <w:szCs w:val="20"/>
                <w:color w:val="auto"/>
              </w:rPr>
            </w:pPr>
            <w:r>
              <w:rPr>
                <w:rFonts w:ascii="Arial" w:cs="Arial" w:eastAsia="Arial" w:hAnsi="Arial"/>
                <w:sz w:val="11"/>
                <w:szCs w:val="11"/>
                <w:color w:val="auto"/>
                <w:w w:val="97"/>
              </w:rPr>
              <w:t>$</w:t>
            </w:r>
          </w:p>
        </w:tc>
        <w:tc>
          <w:tcPr>
            <w:tcW w:w="580" w:type="dxa"/>
            <w:vAlign w:val="bottom"/>
            <w:tcBorders>
              <w:right w:val="single" w:sz="8" w:color="auto"/>
            </w:tcBorders>
          </w:tcPr>
          <w:p>
            <w:pPr>
              <w:ind w:left="60"/>
              <w:spacing w:after="0" w:line="115" w:lineRule="exact"/>
              <w:rPr>
                <w:sz w:val="20"/>
                <w:szCs w:val="20"/>
                <w:color w:val="auto"/>
              </w:rPr>
            </w:pPr>
            <w:r>
              <w:rPr>
                <w:rFonts w:ascii="Arial" w:cs="Arial" w:eastAsia="Arial" w:hAnsi="Arial"/>
                <w:sz w:val="11"/>
                <w:szCs w:val="11"/>
                <w:color w:val="auto"/>
              </w:rPr>
              <w:t>157,852</w:t>
            </w:r>
          </w:p>
        </w:tc>
        <w:tc>
          <w:tcPr>
            <w:tcW w:w="100" w:type="dxa"/>
            <w:vAlign w:val="bottom"/>
          </w:tcPr>
          <w:p>
            <w:pPr>
              <w:jc w:val="right"/>
              <w:spacing w:after="0" w:line="115" w:lineRule="exact"/>
              <w:rPr>
                <w:sz w:val="20"/>
                <w:szCs w:val="20"/>
                <w:color w:val="auto"/>
              </w:rPr>
            </w:pPr>
            <w:r>
              <w:rPr>
                <w:rFonts w:ascii="Arial" w:cs="Arial" w:eastAsia="Arial" w:hAnsi="Arial"/>
                <w:sz w:val="11"/>
                <w:szCs w:val="11"/>
                <w:color w:val="auto"/>
              </w:rPr>
              <w:t>$</w:t>
            </w:r>
          </w:p>
        </w:tc>
        <w:tc>
          <w:tcPr>
            <w:tcW w:w="620" w:type="dxa"/>
            <w:vAlign w:val="bottom"/>
            <w:tcBorders>
              <w:right w:val="single" w:sz="8" w:color="auto"/>
            </w:tcBorders>
          </w:tcPr>
          <w:p>
            <w:pPr>
              <w:jc w:val="right"/>
              <w:ind w:right="86"/>
              <w:spacing w:after="0" w:line="115" w:lineRule="exact"/>
              <w:rPr>
                <w:sz w:val="20"/>
                <w:szCs w:val="20"/>
                <w:color w:val="auto"/>
              </w:rPr>
            </w:pPr>
            <w:r>
              <w:rPr>
                <w:rFonts w:ascii="Arial" w:cs="Arial" w:eastAsia="Arial" w:hAnsi="Arial"/>
                <w:sz w:val="11"/>
                <w:szCs w:val="11"/>
                <w:color w:val="auto"/>
              </w:rPr>
              <w:t>335,435</w:t>
            </w:r>
          </w:p>
        </w:tc>
        <w:tc>
          <w:tcPr>
            <w:tcW w:w="100" w:type="dxa"/>
            <w:vAlign w:val="bottom"/>
          </w:tcPr>
          <w:p>
            <w:pPr>
              <w:jc w:val="right"/>
              <w:spacing w:after="0" w:line="115" w:lineRule="exact"/>
              <w:rPr>
                <w:sz w:val="20"/>
                <w:szCs w:val="20"/>
                <w:color w:val="auto"/>
              </w:rPr>
            </w:pPr>
            <w:r>
              <w:rPr>
                <w:rFonts w:ascii="Arial" w:cs="Arial" w:eastAsia="Arial" w:hAnsi="Arial"/>
                <w:sz w:val="11"/>
                <w:szCs w:val="11"/>
                <w:color w:val="auto"/>
                <w:w w:val="97"/>
              </w:rPr>
              <w:t>$</w:t>
            </w:r>
          </w:p>
        </w:tc>
        <w:tc>
          <w:tcPr>
            <w:tcW w:w="600" w:type="dxa"/>
            <w:vAlign w:val="bottom"/>
            <w:tcBorders>
              <w:right w:val="single" w:sz="8" w:color="auto"/>
            </w:tcBorders>
          </w:tcPr>
          <w:p>
            <w:pPr>
              <w:jc w:val="right"/>
              <w:ind w:right="66"/>
              <w:spacing w:after="0" w:line="115" w:lineRule="exact"/>
              <w:rPr>
                <w:sz w:val="20"/>
                <w:szCs w:val="20"/>
                <w:color w:val="auto"/>
              </w:rPr>
            </w:pPr>
            <w:r>
              <w:rPr>
                <w:rFonts w:ascii="Arial" w:cs="Arial" w:eastAsia="Arial" w:hAnsi="Arial"/>
                <w:sz w:val="11"/>
                <w:szCs w:val="11"/>
                <w:color w:val="auto"/>
              </w:rPr>
              <w:t>513,018</w:t>
            </w:r>
          </w:p>
        </w:tc>
        <w:tc>
          <w:tcPr>
            <w:tcW w:w="760" w:type="dxa"/>
            <w:vAlign w:val="bottom"/>
            <w:tcBorders>
              <w:right w:val="single" w:sz="8" w:color="auto"/>
            </w:tcBorders>
          </w:tcPr>
          <w:p>
            <w:pPr>
              <w:spacing w:after="0"/>
              <w:rPr>
                <w:sz w:val="10"/>
                <w:szCs w:val="10"/>
                <w:color w:val="auto"/>
              </w:rPr>
            </w:pPr>
          </w:p>
        </w:tc>
        <w:tc>
          <w:tcPr>
            <w:tcW w:w="560" w:type="dxa"/>
            <w:vAlign w:val="bottom"/>
            <w:tcBorders>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200" w:type="dxa"/>
            <w:vAlign w:val="bottom"/>
          </w:tcPr>
          <w:p>
            <w:pPr>
              <w:spacing w:after="0"/>
              <w:rPr>
                <w:sz w:val="10"/>
                <w:szCs w:val="10"/>
                <w:color w:val="auto"/>
              </w:rPr>
            </w:pPr>
          </w:p>
        </w:tc>
        <w:tc>
          <w:tcPr>
            <w:tcW w:w="560" w:type="dxa"/>
            <w:vAlign w:val="bottom"/>
            <w:tcBorders>
              <w:right w:val="single" w:sz="8" w:color="auto"/>
            </w:tcBorders>
          </w:tcPr>
          <w:p>
            <w:pPr>
              <w:spacing w:after="0"/>
              <w:rPr>
                <w:sz w:val="10"/>
                <w:szCs w:val="10"/>
                <w:color w:val="auto"/>
              </w:rPr>
            </w:pPr>
          </w:p>
        </w:tc>
        <w:tc>
          <w:tcPr>
            <w:tcW w:w="100" w:type="dxa"/>
            <w:vAlign w:val="bottom"/>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22"/>
        </w:trPr>
        <w:tc>
          <w:tcPr>
            <w:tcW w:w="2100" w:type="dxa"/>
            <w:vAlign w:val="bottom"/>
            <w:tcBorders>
              <w:left w:val="single" w:sz="8" w:color="auto"/>
              <w:right w:val="single" w:sz="8" w:color="auto"/>
            </w:tcBorders>
            <w:shd w:val="clear" w:color="auto" w:fill="CCEEFF"/>
          </w:tcPr>
          <w:p>
            <w:pPr>
              <w:spacing w:after="0"/>
              <w:rPr>
                <w:sz w:val="10"/>
                <w:szCs w:val="10"/>
                <w:color w:val="auto"/>
              </w:rPr>
            </w:pPr>
          </w:p>
        </w:tc>
        <w:tc>
          <w:tcPr>
            <w:tcW w:w="2160" w:type="dxa"/>
            <w:vAlign w:val="bottom"/>
            <w:tcBorders>
              <w:right w:val="single" w:sz="8" w:color="auto"/>
            </w:tcBorders>
            <w:shd w:val="clear" w:color="auto" w:fill="CCEEFF"/>
          </w:tcPr>
          <w:p>
            <w:pPr>
              <w:ind w:left="80"/>
              <w:spacing w:after="0" w:line="122" w:lineRule="exact"/>
              <w:rPr>
                <w:sz w:val="20"/>
                <w:szCs w:val="20"/>
                <w:color w:val="auto"/>
              </w:rPr>
            </w:pPr>
            <w:r>
              <w:rPr>
                <w:rFonts w:ascii="Arial" w:cs="Arial" w:eastAsia="Arial" w:hAnsi="Arial"/>
                <w:sz w:val="11"/>
                <w:szCs w:val="11"/>
                <w:color w:val="auto"/>
              </w:rPr>
              <w:t>01/29/2015 RSUs</w:t>
            </w:r>
            <w:r>
              <w:rPr>
                <w:rFonts w:ascii="Arial" w:cs="Arial" w:eastAsia="Arial" w:hAnsi="Arial"/>
                <w:sz w:val="9"/>
                <w:szCs w:val="9"/>
                <w:color w:val="auto"/>
              </w:rPr>
              <w:t>(2)</w:t>
            </w:r>
          </w:p>
        </w:tc>
        <w:tc>
          <w:tcPr>
            <w:tcW w:w="120" w:type="dxa"/>
            <w:vAlign w:val="bottom"/>
            <w:shd w:val="clear" w:color="auto" w:fill="CCEEFF"/>
          </w:tcPr>
          <w:p>
            <w:pPr>
              <w:spacing w:after="0"/>
              <w:rPr>
                <w:sz w:val="10"/>
                <w:szCs w:val="10"/>
                <w:color w:val="auto"/>
              </w:rPr>
            </w:pPr>
          </w:p>
        </w:tc>
        <w:tc>
          <w:tcPr>
            <w:tcW w:w="580" w:type="dxa"/>
            <w:vAlign w:val="bottom"/>
            <w:tcBorders>
              <w:right w:val="single" w:sz="8" w:color="auto"/>
            </w:tcBorders>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620" w:type="dxa"/>
            <w:vAlign w:val="bottom"/>
            <w:tcBorders>
              <w:right w:val="single" w:sz="8" w:color="auto"/>
            </w:tcBorders>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600" w:type="dxa"/>
            <w:vAlign w:val="bottom"/>
            <w:tcBorders>
              <w:right w:val="single" w:sz="8" w:color="auto"/>
            </w:tcBorders>
            <w:shd w:val="clear" w:color="auto" w:fill="CCEEFF"/>
          </w:tcPr>
          <w:p>
            <w:pPr>
              <w:spacing w:after="0"/>
              <w:rPr>
                <w:sz w:val="10"/>
                <w:szCs w:val="10"/>
                <w:color w:val="auto"/>
              </w:rPr>
            </w:pPr>
          </w:p>
        </w:tc>
        <w:tc>
          <w:tcPr>
            <w:tcW w:w="760" w:type="dxa"/>
            <w:vAlign w:val="bottom"/>
            <w:tcBorders>
              <w:right w:val="single" w:sz="8" w:color="auto"/>
            </w:tcBorders>
            <w:shd w:val="clear" w:color="auto" w:fill="CCEEFF"/>
          </w:tcPr>
          <w:p>
            <w:pPr>
              <w:spacing w:after="0"/>
              <w:rPr>
                <w:sz w:val="10"/>
                <w:szCs w:val="10"/>
                <w:color w:val="auto"/>
              </w:rPr>
            </w:pPr>
          </w:p>
        </w:tc>
        <w:tc>
          <w:tcPr>
            <w:tcW w:w="560" w:type="dxa"/>
            <w:vAlign w:val="bottom"/>
            <w:tcBorders>
              <w:right w:val="single" w:sz="8" w:color="auto"/>
            </w:tcBorders>
            <w:shd w:val="clear" w:color="auto" w:fill="CCEEFF"/>
          </w:tcPr>
          <w:p>
            <w:pPr>
              <w:spacing w:after="0"/>
              <w:rPr>
                <w:sz w:val="10"/>
                <w:szCs w:val="10"/>
                <w:color w:val="auto"/>
              </w:rPr>
            </w:pPr>
          </w:p>
        </w:tc>
        <w:tc>
          <w:tcPr>
            <w:tcW w:w="720" w:type="dxa"/>
            <w:vAlign w:val="bottom"/>
            <w:tcBorders>
              <w:right w:val="single" w:sz="8" w:color="auto"/>
            </w:tcBorders>
            <w:shd w:val="clear" w:color="auto" w:fill="CCEEFF"/>
          </w:tcPr>
          <w:p>
            <w:pPr>
              <w:spacing w:after="0"/>
              <w:rPr>
                <w:sz w:val="10"/>
                <w:szCs w:val="10"/>
                <w:color w:val="auto"/>
              </w:rPr>
            </w:pPr>
          </w:p>
        </w:tc>
        <w:tc>
          <w:tcPr>
            <w:tcW w:w="720" w:type="dxa"/>
            <w:vAlign w:val="bottom"/>
            <w:tcBorders>
              <w:right w:val="single" w:sz="8" w:color="auto"/>
            </w:tcBorders>
            <w:shd w:val="clear" w:color="auto" w:fill="CCEEFF"/>
          </w:tcPr>
          <w:p>
            <w:pPr>
              <w:jc w:val="right"/>
              <w:ind w:right="86"/>
              <w:spacing w:after="0" w:line="122" w:lineRule="exact"/>
              <w:rPr>
                <w:sz w:val="20"/>
                <w:szCs w:val="20"/>
                <w:color w:val="auto"/>
              </w:rPr>
            </w:pPr>
            <w:r>
              <w:rPr>
                <w:rFonts w:ascii="Arial" w:cs="Arial" w:eastAsia="Arial" w:hAnsi="Arial"/>
                <w:sz w:val="11"/>
                <w:szCs w:val="11"/>
                <w:color w:val="auto"/>
              </w:rPr>
              <w:t>2,500</w:t>
            </w:r>
          </w:p>
        </w:tc>
        <w:tc>
          <w:tcPr>
            <w:tcW w:w="720" w:type="dxa"/>
            <w:vAlign w:val="bottom"/>
            <w:tcBorders>
              <w:right w:val="single" w:sz="8" w:color="auto"/>
            </w:tcBorders>
            <w:shd w:val="clear" w:color="auto" w:fill="CCEEFF"/>
          </w:tcPr>
          <w:p>
            <w:pPr>
              <w:spacing w:after="0"/>
              <w:rPr>
                <w:sz w:val="10"/>
                <w:szCs w:val="10"/>
                <w:color w:val="auto"/>
              </w:rPr>
            </w:pPr>
          </w:p>
        </w:tc>
        <w:tc>
          <w:tcPr>
            <w:tcW w:w="200" w:type="dxa"/>
            <w:vAlign w:val="bottom"/>
            <w:shd w:val="clear" w:color="auto" w:fill="CCEEFF"/>
          </w:tcPr>
          <w:p>
            <w:pPr>
              <w:spacing w:after="0"/>
              <w:rPr>
                <w:sz w:val="10"/>
                <w:szCs w:val="10"/>
                <w:color w:val="auto"/>
              </w:rPr>
            </w:pPr>
          </w:p>
        </w:tc>
        <w:tc>
          <w:tcPr>
            <w:tcW w:w="560" w:type="dxa"/>
            <w:vAlign w:val="bottom"/>
            <w:tcBorders>
              <w:right w:val="single" w:sz="8" w:color="auto"/>
            </w:tcBorders>
            <w:shd w:val="clear" w:color="auto" w:fill="CCEEFF"/>
          </w:tcPr>
          <w:p>
            <w:pPr>
              <w:spacing w:after="0"/>
              <w:rPr>
                <w:sz w:val="10"/>
                <w:szCs w:val="10"/>
                <w:color w:val="auto"/>
              </w:rPr>
            </w:pPr>
          </w:p>
        </w:tc>
        <w:tc>
          <w:tcPr>
            <w:tcW w:w="100" w:type="dxa"/>
            <w:vAlign w:val="bottom"/>
            <w:shd w:val="clear" w:color="auto" w:fill="CCEEFF"/>
          </w:tcPr>
          <w:p>
            <w:pPr>
              <w:ind w:left="40"/>
              <w:spacing w:after="0"/>
              <w:rPr>
                <w:sz w:val="20"/>
                <w:szCs w:val="20"/>
                <w:color w:val="auto"/>
              </w:rPr>
            </w:pPr>
            <w:r>
              <w:rPr>
                <w:rFonts w:ascii="Arial" w:cs="Arial" w:eastAsia="Arial" w:hAnsi="Arial"/>
                <w:sz w:val="10"/>
                <w:szCs w:val="10"/>
                <w:color w:val="auto"/>
                <w:w w:val="71"/>
              </w:rPr>
              <w:t>$</w:t>
            </w:r>
          </w:p>
        </w:tc>
        <w:tc>
          <w:tcPr>
            <w:tcW w:w="720" w:type="dxa"/>
            <w:vAlign w:val="bottom"/>
            <w:tcBorders>
              <w:right w:val="single" w:sz="8" w:color="auto"/>
            </w:tcBorders>
            <w:shd w:val="clear" w:color="auto" w:fill="CCEEFF"/>
          </w:tcPr>
          <w:p>
            <w:pPr>
              <w:jc w:val="right"/>
              <w:ind w:right="186"/>
              <w:spacing w:after="0" w:line="122" w:lineRule="exact"/>
              <w:rPr>
                <w:sz w:val="20"/>
                <w:szCs w:val="20"/>
                <w:color w:val="auto"/>
              </w:rPr>
            </w:pPr>
            <w:r>
              <w:rPr>
                <w:rFonts w:ascii="Arial" w:cs="Arial" w:eastAsia="Arial" w:hAnsi="Arial"/>
                <w:sz w:val="11"/>
                <w:szCs w:val="11"/>
                <w:color w:val="auto"/>
              </w:rPr>
              <w:t>72,500</w:t>
            </w:r>
          </w:p>
        </w:tc>
        <w:tc>
          <w:tcPr>
            <w:tcW w:w="0" w:type="dxa"/>
            <w:vAlign w:val="bottom"/>
          </w:tcPr>
          <w:p>
            <w:pPr>
              <w:spacing w:after="0"/>
              <w:rPr>
                <w:sz w:val="1"/>
                <w:szCs w:val="1"/>
                <w:color w:val="auto"/>
              </w:rPr>
            </w:pPr>
          </w:p>
        </w:tc>
      </w:tr>
      <w:tr>
        <w:trPr>
          <w:trHeight w:val="122"/>
        </w:trPr>
        <w:tc>
          <w:tcPr>
            <w:tcW w:w="2100" w:type="dxa"/>
            <w:vAlign w:val="bottom"/>
            <w:tcBorders>
              <w:left w:val="single" w:sz="8" w:color="auto"/>
              <w:right w:val="single" w:sz="8" w:color="auto"/>
            </w:tcBorders>
          </w:tcPr>
          <w:p>
            <w:pPr>
              <w:spacing w:after="0"/>
              <w:rPr>
                <w:sz w:val="10"/>
                <w:szCs w:val="10"/>
                <w:color w:val="auto"/>
              </w:rPr>
            </w:pPr>
          </w:p>
        </w:tc>
        <w:tc>
          <w:tcPr>
            <w:tcW w:w="2160" w:type="dxa"/>
            <w:vAlign w:val="bottom"/>
            <w:tcBorders>
              <w:right w:val="single" w:sz="8" w:color="auto"/>
            </w:tcBorders>
          </w:tcPr>
          <w:p>
            <w:pPr>
              <w:ind w:left="80"/>
              <w:spacing w:after="0" w:line="122" w:lineRule="exact"/>
              <w:rPr>
                <w:sz w:val="20"/>
                <w:szCs w:val="20"/>
                <w:color w:val="auto"/>
              </w:rPr>
            </w:pPr>
            <w:r>
              <w:rPr>
                <w:rFonts w:ascii="Arial" w:cs="Arial" w:eastAsia="Arial" w:hAnsi="Arial"/>
                <w:sz w:val="11"/>
                <w:szCs w:val="11"/>
                <w:color w:val="auto"/>
              </w:rPr>
              <w:t>01/29/2015 NQSOs</w:t>
            </w:r>
            <w:r>
              <w:rPr>
                <w:rFonts w:ascii="Arial" w:cs="Arial" w:eastAsia="Arial" w:hAnsi="Arial"/>
                <w:sz w:val="9"/>
                <w:szCs w:val="9"/>
                <w:color w:val="auto"/>
              </w:rPr>
              <w:t>(3)</w:t>
            </w:r>
          </w:p>
        </w:tc>
        <w:tc>
          <w:tcPr>
            <w:tcW w:w="120" w:type="dxa"/>
            <w:vAlign w:val="bottom"/>
          </w:tcPr>
          <w:p>
            <w:pPr>
              <w:spacing w:after="0"/>
              <w:rPr>
                <w:sz w:val="10"/>
                <w:szCs w:val="10"/>
                <w:color w:val="auto"/>
              </w:rPr>
            </w:pPr>
          </w:p>
        </w:tc>
        <w:tc>
          <w:tcPr>
            <w:tcW w:w="580" w:type="dxa"/>
            <w:vAlign w:val="bottom"/>
            <w:tcBorders>
              <w:right w:val="single" w:sz="8" w:color="auto"/>
            </w:tcBorders>
          </w:tcPr>
          <w:p>
            <w:pPr>
              <w:spacing w:after="0"/>
              <w:rPr>
                <w:sz w:val="10"/>
                <w:szCs w:val="10"/>
                <w:color w:val="auto"/>
              </w:rPr>
            </w:pPr>
          </w:p>
        </w:tc>
        <w:tc>
          <w:tcPr>
            <w:tcW w:w="100" w:type="dxa"/>
            <w:vAlign w:val="bottom"/>
          </w:tcPr>
          <w:p>
            <w:pPr>
              <w:spacing w:after="0"/>
              <w:rPr>
                <w:sz w:val="10"/>
                <w:szCs w:val="10"/>
                <w:color w:val="auto"/>
              </w:rPr>
            </w:pPr>
          </w:p>
        </w:tc>
        <w:tc>
          <w:tcPr>
            <w:tcW w:w="620" w:type="dxa"/>
            <w:vAlign w:val="bottom"/>
            <w:tcBorders>
              <w:right w:val="single" w:sz="8" w:color="auto"/>
            </w:tcBorders>
          </w:tcPr>
          <w:p>
            <w:pPr>
              <w:spacing w:after="0"/>
              <w:rPr>
                <w:sz w:val="10"/>
                <w:szCs w:val="10"/>
                <w:color w:val="auto"/>
              </w:rPr>
            </w:pPr>
          </w:p>
        </w:tc>
        <w:tc>
          <w:tcPr>
            <w:tcW w:w="100" w:type="dxa"/>
            <w:vAlign w:val="bottom"/>
          </w:tcPr>
          <w:p>
            <w:pPr>
              <w:spacing w:after="0"/>
              <w:rPr>
                <w:sz w:val="10"/>
                <w:szCs w:val="10"/>
                <w:color w:val="auto"/>
              </w:rPr>
            </w:pPr>
          </w:p>
        </w:tc>
        <w:tc>
          <w:tcPr>
            <w:tcW w:w="600" w:type="dxa"/>
            <w:vAlign w:val="bottom"/>
            <w:tcBorders>
              <w:right w:val="single" w:sz="8" w:color="auto"/>
            </w:tcBorders>
          </w:tcPr>
          <w:p>
            <w:pPr>
              <w:spacing w:after="0"/>
              <w:rPr>
                <w:sz w:val="10"/>
                <w:szCs w:val="10"/>
                <w:color w:val="auto"/>
              </w:rPr>
            </w:pPr>
          </w:p>
        </w:tc>
        <w:tc>
          <w:tcPr>
            <w:tcW w:w="760" w:type="dxa"/>
            <w:vAlign w:val="bottom"/>
            <w:tcBorders>
              <w:right w:val="single" w:sz="8" w:color="auto"/>
            </w:tcBorders>
          </w:tcPr>
          <w:p>
            <w:pPr>
              <w:spacing w:after="0"/>
              <w:rPr>
                <w:sz w:val="10"/>
                <w:szCs w:val="10"/>
                <w:color w:val="auto"/>
              </w:rPr>
            </w:pPr>
          </w:p>
        </w:tc>
        <w:tc>
          <w:tcPr>
            <w:tcW w:w="560" w:type="dxa"/>
            <w:vAlign w:val="bottom"/>
            <w:tcBorders>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720" w:type="dxa"/>
            <w:vAlign w:val="bottom"/>
            <w:tcBorders>
              <w:right w:val="single" w:sz="8" w:color="auto"/>
            </w:tcBorders>
          </w:tcPr>
          <w:p>
            <w:pPr>
              <w:jc w:val="right"/>
              <w:ind w:right="66"/>
              <w:spacing w:after="0" w:line="122" w:lineRule="exact"/>
              <w:rPr>
                <w:sz w:val="20"/>
                <w:szCs w:val="20"/>
                <w:color w:val="auto"/>
              </w:rPr>
            </w:pPr>
            <w:r>
              <w:rPr>
                <w:rFonts w:ascii="Arial" w:cs="Arial" w:eastAsia="Arial" w:hAnsi="Arial"/>
                <w:sz w:val="11"/>
                <w:szCs w:val="11"/>
                <w:color w:val="auto"/>
              </w:rPr>
              <w:t>9,000</w:t>
            </w:r>
          </w:p>
        </w:tc>
        <w:tc>
          <w:tcPr>
            <w:tcW w:w="200" w:type="dxa"/>
            <w:vAlign w:val="bottom"/>
          </w:tcPr>
          <w:p>
            <w:pPr>
              <w:ind w:left="40"/>
              <w:spacing w:after="0" w:line="122" w:lineRule="exact"/>
              <w:rPr>
                <w:sz w:val="20"/>
                <w:szCs w:val="20"/>
                <w:color w:val="auto"/>
              </w:rPr>
            </w:pPr>
            <w:r>
              <w:rPr>
                <w:rFonts w:ascii="Arial" w:cs="Arial" w:eastAsia="Arial" w:hAnsi="Arial"/>
                <w:sz w:val="11"/>
                <w:szCs w:val="11"/>
                <w:color w:val="auto"/>
              </w:rPr>
              <w:t>$</w:t>
            </w:r>
          </w:p>
        </w:tc>
        <w:tc>
          <w:tcPr>
            <w:tcW w:w="560" w:type="dxa"/>
            <w:vAlign w:val="bottom"/>
            <w:tcBorders>
              <w:right w:val="single" w:sz="8" w:color="auto"/>
            </w:tcBorders>
          </w:tcPr>
          <w:p>
            <w:pPr>
              <w:jc w:val="right"/>
              <w:ind w:right="86"/>
              <w:spacing w:after="0" w:line="122" w:lineRule="exact"/>
              <w:rPr>
                <w:sz w:val="20"/>
                <w:szCs w:val="20"/>
                <w:color w:val="auto"/>
              </w:rPr>
            </w:pPr>
            <w:r>
              <w:rPr>
                <w:rFonts w:ascii="Arial" w:cs="Arial" w:eastAsia="Arial" w:hAnsi="Arial"/>
                <w:sz w:val="11"/>
                <w:szCs w:val="11"/>
                <w:color w:val="auto"/>
              </w:rPr>
              <w:t>29.00</w:t>
            </w:r>
          </w:p>
        </w:tc>
        <w:tc>
          <w:tcPr>
            <w:tcW w:w="100" w:type="dxa"/>
            <w:vAlign w:val="bottom"/>
          </w:tcPr>
          <w:p>
            <w:pPr>
              <w:ind w:left="40"/>
              <w:spacing w:after="0"/>
              <w:rPr>
                <w:sz w:val="20"/>
                <w:szCs w:val="20"/>
                <w:color w:val="auto"/>
              </w:rPr>
            </w:pPr>
            <w:r>
              <w:rPr>
                <w:rFonts w:ascii="Arial" w:cs="Arial" w:eastAsia="Arial" w:hAnsi="Arial"/>
                <w:sz w:val="10"/>
                <w:szCs w:val="10"/>
                <w:color w:val="auto"/>
                <w:w w:val="71"/>
              </w:rPr>
              <w:t>$</w:t>
            </w:r>
          </w:p>
        </w:tc>
        <w:tc>
          <w:tcPr>
            <w:tcW w:w="720" w:type="dxa"/>
            <w:vAlign w:val="bottom"/>
            <w:tcBorders>
              <w:right w:val="single" w:sz="8" w:color="auto"/>
            </w:tcBorders>
          </w:tcPr>
          <w:p>
            <w:pPr>
              <w:jc w:val="right"/>
              <w:ind w:right="186"/>
              <w:spacing w:after="0" w:line="122" w:lineRule="exact"/>
              <w:rPr>
                <w:sz w:val="20"/>
                <w:szCs w:val="20"/>
                <w:color w:val="auto"/>
              </w:rPr>
            </w:pPr>
            <w:r>
              <w:rPr>
                <w:rFonts w:ascii="Arial" w:cs="Arial" w:eastAsia="Arial" w:hAnsi="Arial"/>
                <w:sz w:val="11"/>
                <w:szCs w:val="11"/>
                <w:color w:val="auto"/>
              </w:rPr>
              <w:t>90,990</w:t>
            </w:r>
          </w:p>
        </w:tc>
        <w:tc>
          <w:tcPr>
            <w:tcW w:w="0" w:type="dxa"/>
            <w:vAlign w:val="bottom"/>
          </w:tcPr>
          <w:p>
            <w:pPr>
              <w:spacing w:after="0"/>
              <w:rPr>
                <w:sz w:val="1"/>
                <w:szCs w:val="1"/>
                <w:color w:val="auto"/>
              </w:rPr>
            </w:pPr>
          </w:p>
        </w:tc>
      </w:tr>
      <w:tr>
        <w:trPr>
          <w:trHeight w:val="122"/>
        </w:trPr>
        <w:tc>
          <w:tcPr>
            <w:tcW w:w="2100" w:type="dxa"/>
            <w:vAlign w:val="bottom"/>
            <w:tcBorders>
              <w:left w:val="single" w:sz="8" w:color="auto"/>
              <w:bottom w:val="single" w:sz="8" w:color="auto"/>
              <w:right w:val="single" w:sz="8" w:color="auto"/>
            </w:tcBorders>
            <w:shd w:val="clear" w:color="auto" w:fill="CCEEFF"/>
          </w:tcPr>
          <w:p>
            <w:pPr>
              <w:spacing w:after="0"/>
              <w:rPr>
                <w:sz w:val="10"/>
                <w:szCs w:val="10"/>
                <w:color w:val="auto"/>
              </w:rPr>
            </w:pPr>
          </w:p>
        </w:tc>
        <w:tc>
          <w:tcPr>
            <w:tcW w:w="2160" w:type="dxa"/>
            <w:vAlign w:val="bottom"/>
            <w:tcBorders>
              <w:bottom w:val="single" w:sz="8" w:color="auto"/>
              <w:right w:val="single" w:sz="8" w:color="auto"/>
            </w:tcBorders>
            <w:shd w:val="clear" w:color="auto" w:fill="CCEEFF"/>
          </w:tcPr>
          <w:p>
            <w:pPr>
              <w:ind w:left="80"/>
              <w:spacing w:after="0" w:line="122" w:lineRule="exact"/>
              <w:rPr>
                <w:sz w:val="20"/>
                <w:szCs w:val="20"/>
                <w:color w:val="auto"/>
              </w:rPr>
            </w:pPr>
            <w:r>
              <w:rPr>
                <w:rFonts w:ascii="Arial" w:cs="Arial" w:eastAsia="Arial" w:hAnsi="Arial"/>
                <w:sz w:val="11"/>
                <w:szCs w:val="11"/>
                <w:color w:val="auto"/>
              </w:rPr>
              <w:t>01/29/2015 Perf RSUs</w:t>
            </w:r>
            <w:r>
              <w:rPr>
                <w:rFonts w:ascii="Arial" w:cs="Arial" w:eastAsia="Arial" w:hAnsi="Arial"/>
                <w:sz w:val="9"/>
                <w:szCs w:val="9"/>
                <w:color w:val="auto"/>
              </w:rPr>
              <w:t>(4)</w:t>
            </w:r>
          </w:p>
        </w:tc>
        <w:tc>
          <w:tcPr>
            <w:tcW w:w="120" w:type="dxa"/>
            <w:vAlign w:val="bottom"/>
            <w:tcBorders>
              <w:bottom w:val="single" w:sz="8" w:color="auto"/>
            </w:tcBorders>
            <w:shd w:val="clear" w:color="auto" w:fill="CCEEFF"/>
          </w:tcPr>
          <w:p>
            <w:pPr>
              <w:spacing w:after="0"/>
              <w:rPr>
                <w:sz w:val="10"/>
                <w:szCs w:val="10"/>
                <w:color w:val="auto"/>
              </w:rPr>
            </w:pPr>
          </w:p>
        </w:tc>
        <w:tc>
          <w:tcPr>
            <w:tcW w:w="580" w:type="dxa"/>
            <w:vAlign w:val="bottom"/>
            <w:tcBorders>
              <w:bottom w:val="single" w:sz="8" w:color="auto"/>
              <w:right w:val="single" w:sz="8" w:color="auto"/>
            </w:tcBorders>
            <w:shd w:val="clear" w:color="auto" w:fill="CCEEFF"/>
          </w:tcPr>
          <w:p>
            <w:pPr>
              <w:spacing w:after="0"/>
              <w:rPr>
                <w:sz w:val="10"/>
                <w:szCs w:val="10"/>
                <w:color w:val="auto"/>
              </w:rPr>
            </w:pPr>
          </w:p>
        </w:tc>
        <w:tc>
          <w:tcPr>
            <w:tcW w:w="100" w:type="dxa"/>
            <w:vAlign w:val="bottom"/>
            <w:tcBorders>
              <w:bottom w:val="single" w:sz="8" w:color="auto"/>
            </w:tcBorders>
            <w:shd w:val="clear" w:color="auto" w:fill="CCEEFF"/>
          </w:tcPr>
          <w:p>
            <w:pPr>
              <w:spacing w:after="0"/>
              <w:rPr>
                <w:sz w:val="10"/>
                <w:szCs w:val="10"/>
                <w:color w:val="auto"/>
              </w:rPr>
            </w:pPr>
          </w:p>
        </w:tc>
        <w:tc>
          <w:tcPr>
            <w:tcW w:w="620" w:type="dxa"/>
            <w:vAlign w:val="bottom"/>
            <w:tcBorders>
              <w:bottom w:val="single" w:sz="8" w:color="auto"/>
              <w:right w:val="single" w:sz="8" w:color="auto"/>
            </w:tcBorders>
            <w:shd w:val="clear" w:color="auto" w:fill="CCEEFF"/>
          </w:tcPr>
          <w:p>
            <w:pPr>
              <w:spacing w:after="0"/>
              <w:rPr>
                <w:sz w:val="10"/>
                <w:szCs w:val="10"/>
                <w:color w:val="auto"/>
              </w:rPr>
            </w:pPr>
          </w:p>
        </w:tc>
        <w:tc>
          <w:tcPr>
            <w:tcW w:w="100" w:type="dxa"/>
            <w:vAlign w:val="bottom"/>
            <w:tcBorders>
              <w:bottom w:val="single" w:sz="8" w:color="auto"/>
            </w:tcBorders>
            <w:shd w:val="clear" w:color="auto" w:fill="CCEEFF"/>
          </w:tcPr>
          <w:p>
            <w:pPr>
              <w:spacing w:after="0"/>
              <w:rPr>
                <w:sz w:val="10"/>
                <w:szCs w:val="10"/>
                <w:color w:val="auto"/>
              </w:rPr>
            </w:pPr>
          </w:p>
        </w:tc>
        <w:tc>
          <w:tcPr>
            <w:tcW w:w="600" w:type="dxa"/>
            <w:vAlign w:val="bottom"/>
            <w:tcBorders>
              <w:bottom w:val="single" w:sz="8" w:color="auto"/>
              <w:right w:val="single" w:sz="8" w:color="auto"/>
            </w:tcBorders>
            <w:shd w:val="clear" w:color="auto" w:fill="CCEEFF"/>
          </w:tcPr>
          <w:p>
            <w:pPr>
              <w:spacing w:after="0"/>
              <w:rPr>
                <w:sz w:val="10"/>
                <w:szCs w:val="10"/>
                <w:color w:val="auto"/>
              </w:rPr>
            </w:pPr>
          </w:p>
        </w:tc>
        <w:tc>
          <w:tcPr>
            <w:tcW w:w="760" w:type="dxa"/>
            <w:vAlign w:val="bottom"/>
            <w:tcBorders>
              <w:bottom w:val="single" w:sz="8" w:color="auto"/>
              <w:right w:val="single" w:sz="8" w:color="auto"/>
            </w:tcBorders>
            <w:shd w:val="clear" w:color="auto" w:fill="CCEEFF"/>
          </w:tcPr>
          <w:p>
            <w:pPr>
              <w:jc w:val="right"/>
              <w:ind w:right="66"/>
              <w:spacing w:after="0" w:line="122" w:lineRule="exact"/>
              <w:rPr>
                <w:sz w:val="20"/>
                <w:szCs w:val="20"/>
                <w:color w:val="auto"/>
              </w:rPr>
            </w:pPr>
            <w:r>
              <w:rPr>
                <w:rFonts w:ascii="Arial" w:cs="Arial" w:eastAsia="Arial" w:hAnsi="Arial"/>
                <w:sz w:val="11"/>
                <w:szCs w:val="11"/>
                <w:color w:val="auto"/>
              </w:rPr>
              <w:t>2,250</w:t>
            </w:r>
          </w:p>
        </w:tc>
        <w:tc>
          <w:tcPr>
            <w:tcW w:w="560" w:type="dxa"/>
            <w:vAlign w:val="bottom"/>
            <w:tcBorders>
              <w:bottom w:val="single" w:sz="8" w:color="auto"/>
              <w:right w:val="single" w:sz="8" w:color="auto"/>
            </w:tcBorders>
            <w:shd w:val="clear" w:color="auto" w:fill="CCEEFF"/>
          </w:tcPr>
          <w:p>
            <w:pPr>
              <w:jc w:val="right"/>
              <w:ind w:right="66"/>
              <w:spacing w:after="0" w:line="122" w:lineRule="exact"/>
              <w:rPr>
                <w:sz w:val="20"/>
                <w:szCs w:val="20"/>
                <w:color w:val="auto"/>
              </w:rPr>
            </w:pPr>
            <w:r>
              <w:rPr>
                <w:rFonts w:ascii="Arial" w:cs="Arial" w:eastAsia="Arial" w:hAnsi="Arial"/>
                <w:sz w:val="11"/>
                <w:szCs w:val="11"/>
                <w:color w:val="auto"/>
              </w:rPr>
              <w:t>4,500</w:t>
            </w:r>
          </w:p>
        </w:tc>
        <w:tc>
          <w:tcPr>
            <w:tcW w:w="720" w:type="dxa"/>
            <w:vAlign w:val="bottom"/>
            <w:tcBorders>
              <w:bottom w:val="single" w:sz="8" w:color="auto"/>
              <w:right w:val="single" w:sz="8" w:color="auto"/>
            </w:tcBorders>
            <w:shd w:val="clear" w:color="auto" w:fill="CCEEFF"/>
          </w:tcPr>
          <w:p>
            <w:pPr>
              <w:jc w:val="right"/>
              <w:ind w:right="66"/>
              <w:spacing w:after="0" w:line="122" w:lineRule="exact"/>
              <w:rPr>
                <w:sz w:val="20"/>
                <w:szCs w:val="20"/>
                <w:color w:val="auto"/>
              </w:rPr>
            </w:pPr>
            <w:r>
              <w:rPr>
                <w:rFonts w:ascii="Arial" w:cs="Arial" w:eastAsia="Arial" w:hAnsi="Arial"/>
                <w:sz w:val="11"/>
                <w:szCs w:val="11"/>
                <w:color w:val="auto"/>
              </w:rPr>
              <w:t>6,750</w:t>
            </w:r>
          </w:p>
        </w:tc>
        <w:tc>
          <w:tcPr>
            <w:tcW w:w="720" w:type="dxa"/>
            <w:vAlign w:val="bottom"/>
            <w:tcBorders>
              <w:bottom w:val="single" w:sz="8" w:color="auto"/>
              <w:right w:val="single" w:sz="8" w:color="auto"/>
            </w:tcBorders>
            <w:shd w:val="clear" w:color="auto" w:fill="CCEEFF"/>
          </w:tcPr>
          <w:p>
            <w:pPr>
              <w:spacing w:after="0"/>
              <w:rPr>
                <w:sz w:val="10"/>
                <w:szCs w:val="10"/>
                <w:color w:val="auto"/>
              </w:rPr>
            </w:pPr>
          </w:p>
        </w:tc>
        <w:tc>
          <w:tcPr>
            <w:tcW w:w="720" w:type="dxa"/>
            <w:vAlign w:val="bottom"/>
            <w:tcBorders>
              <w:bottom w:val="single" w:sz="8" w:color="auto"/>
              <w:right w:val="single" w:sz="8" w:color="auto"/>
            </w:tcBorders>
            <w:shd w:val="clear" w:color="auto" w:fill="CCEEFF"/>
          </w:tcPr>
          <w:p>
            <w:pPr>
              <w:spacing w:after="0"/>
              <w:rPr>
                <w:sz w:val="10"/>
                <w:szCs w:val="10"/>
                <w:color w:val="auto"/>
              </w:rPr>
            </w:pPr>
          </w:p>
        </w:tc>
        <w:tc>
          <w:tcPr>
            <w:tcW w:w="200" w:type="dxa"/>
            <w:vAlign w:val="bottom"/>
            <w:tcBorders>
              <w:bottom w:val="single" w:sz="8" w:color="auto"/>
            </w:tcBorders>
            <w:shd w:val="clear" w:color="auto" w:fill="CCEEFF"/>
          </w:tcPr>
          <w:p>
            <w:pPr>
              <w:spacing w:after="0"/>
              <w:rPr>
                <w:sz w:val="10"/>
                <w:szCs w:val="10"/>
                <w:color w:val="auto"/>
              </w:rPr>
            </w:pPr>
          </w:p>
        </w:tc>
        <w:tc>
          <w:tcPr>
            <w:tcW w:w="560" w:type="dxa"/>
            <w:vAlign w:val="bottom"/>
            <w:tcBorders>
              <w:bottom w:val="single" w:sz="8" w:color="auto"/>
              <w:right w:val="single" w:sz="8" w:color="auto"/>
            </w:tcBorders>
            <w:shd w:val="clear" w:color="auto" w:fill="CCEEFF"/>
          </w:tcPr>
          <w:p>
            <w:pPr>
              <w:spacing w:after="0"/>
              <w:rPr>
                <w:sz w:val="10"/>
                <w:szCs w:val="10"/>
                <w:color w:val="auto"/>
              </w:rPr>
            </w:pPr>
          </w:p>
        </w:tc>
        <w:tc>
          <w:tcPr>
            <w:tcW w:w="100" w:type="dxa"/>
            <w:vAlign w:val="bottom"/>
            <w:tcBorders>
              <w:bottom w:val="single" w:sz="8" w:color="auto"/>
            </w:tcBorders>
            <w:shd w:val="clear" w:color="auto" w:fill="CCEEFF"/>
          </w:tcPr>
          <w:p>
            <w:pPr>
              <w:ind w:left="40"/>
              <w:spacing w:after="0"/>
              <w:rPr>
                <w:sz w:val="20"/>
                <w:szCs w:val="20"/>
                <w:color w:val="auto"/>
              </w:rPr>
            </w:pPr>
            <w:r>
              <w:rPr>
                <w:rFonts w:ascii="Arial" w:cs="Arial" w:eastAsia="Arial" w:hAnsi="Arial"/>
                <w:sz w:val="10"/>
                <w:szCs w:val="10"/>
                <w:color w:val="auto"/>
                <w:w w:val="71"/>
              </w:rPr>
              <w:t>$</w:t>
            </w:r>
          </w:p>
        </w:tc>
        <w:tc>
          <w:tcPr>
            <w:tcW w:w="720" w:type="dxa"/>
            <w:vAlign w:val="bottom"/>
            <w:tcBorders>
              <w:bottom w:val="single" w:sz="8" w:color="auto"/>
              <w:right w:val="single" w:sz="8" w:color="auto"/>
            </w:tcBorders>
            <w:shd w:val="clear" w:color="auto" w:fill="CCEEFF"/>
          </w:tcPr>
          <w:p>
            <w:pPr>
              <w:jc w:val="right"/>
              <w:ind w:right="186"/>
              <w:spacing w:after="0" w:line="122" w:lineRule="exact"/>
              <w:rPr>
                <w:sz w:val="20"/>
                <w:szCs w:val="20"/>
                <w:color w:val="auto"/>
              </w:rPr>
            </w:pPr>
            <w:r>
              <w:rPr>
                <w:rFonts w:ascii="Arial" w:cs="Arial" w:eastAsia="Arial" w:hAnsi="Arial"/>
                <w:sz w:val="11"/>
                <w:szCs w:val="11"/>
                <w:color w:val="auto"/>
              </w:rPr>
              <w:t>130,500</w:t>
            </w:r>
          </w:p>
        </w:tc>
        <w:tc>
          <w:tcPr>
            <w:tcW w:w="0" w:type="dxa"/>
            <w:vAlign w:val="bottom"/>
          </w:tcPr>
          <w:p>
            <w:pPr>
              <w:spacing w:after="0"/>
              <w:rPr>
                <w:sz w:val="1"/>
                <w:szCs w:val="1"/>
                <w:color w:val="auto"/>
              </w:rPr>
            </w:pPr>
          </w:p>
        </w:tc>
      </w:tr>
    </w:tbl>
    <w:p>
      <w:pPr>
        <w:spacing w:after="0" w:line="210" w:lineRule="exact"/>
        <w:rPr>
          <w:sz w:val="20"/>
          <w:szCs w:val="20"/>
          <w:color w:val="auto"/>
        </w:rPr>
      </w:pPr>
    </w:p>
    <w:p>
      <w:pPr>
        <w:ind w:left="460" w:right="40" w:hanging="452"/>
        <w:spacing w:after="0" w:line="236" w:lineRule="auto"/>
        <w:tabs>
          <w:tab w:leader="none" w:pos="460" w:val="left"/>
        </w:tabs>
        <w:numPr>
          <w:ilvl w:val="0"/>
          <w:numId w:val="28"/>
        </w:numPr>
        <w:rPr>
          <w:rFonts w:ascii="Arial" w:cs="Arial" w:eastAsia="Arial" w:hAnsi="Arial"/>
          <w:sz w:val="15"/>
          <w:szCs w:val="15"/>
          <w:color w:val="auto"/>
        </w:rPr>
      </w:pPr>
      <w:r>
        <w:rPr>
          <w:rFonts w:ascii="Arial" w:cs="Arial" w:eastAsia="Arial" w:hAnsi="Arial"/>
          <w:sz w:val="17"/>
          <w:szCs w:val="17"/>
          <w:color w:val="auto"/>
        </w:rPr>
        <w:t>“SEMPP” reflects the payouts which each of the named executive officers is eligible to receive under the TimkenSteel Corporation Senior Executive Management Performance Plan at threshold, target and maximum performance levels for the performance period beginning January 1, 2015 and ending December 31, 2015. For additional information, see “2015 Annual Performance Award Decisions” on pages 35-36 of this Proxy Statement.</w:t>
      </w:r>
    </w:p>
    <w:p>
      <w:pPr>
        <w:spacing w:after="0" w:line="203" w:lineRule="exact"/>
        <w:rPr>
          <w:rFonts w:ascii="Arial" w:cs="Arial" w:eastAsia="Arial" w:hAnsi="Arial"/>
          <w:sz w:val="15"/>
          <w:szCs w:val="15"/>
          <w:color w:val="auto"/>
        </w:rPr>
      </w:pPr>
    </w:p>
    <w:p>
      <w:pPr>
        <w:ind w:left="460" w:right="140" w:hanging="452"/>
        <w:spacing w:after="0" w:line="238" w:lineRule="auto"/>
        <w:tabs>
          <w:tab w:leader="none" w:pos="460" w:val="left"/>
        </w:tabs>
        <w:numPr>
          <w:ilvl w:val="0"/>
          <w:numId w:val="28"/>
        </w:numPr>
        <w:rPr>
          <w:rFonts w:ascii="Arial" w:cs="Arial" w:eastAsia="Arial" w:hAnsi="Arial"/>
          <w:sz w:val="15"/>
          <w:szCs w:val="15"/>
          <w:color w:val="auto"/>
        </w:rPr>
      </w:pPr>
      <w:r>
        <w:rPr>
          <w:rFonts w:ascii="Arial" w:cs="Arial" w:eastAsia="Arial" w:hAnsi="Arial"/>
          <w:sz w:val="17"/>
          <w:szCs w:val="17"/>
          <w:color w:val="auto"/>
        </w:rPr>
        <w:t>“RSUs” refers to restricted stock units granted to each of the named executive officers (except Mr. Timken) on the grant date indicated. Each grant of restricted stock units reported in this table will vest in full on January 29, 2018, provided that the executive maintains continuous employment by the Company through that date. For additional information, see “Long-Term Incentives” on pages 36-40 of this Proxy Statement.</w:t>
      </w:r>
    </w:p>
    <w:p>
      <w:pPr>
        <w:spacing w:after="0" w:line="201" w:lineRule="exact"/>
        <w:rPr>
          <w:rFonts w:ascii="Arial" w:cs="Arial" w:eastAsia="Arial" w:hAnsi="Arial"/>
          <w:sz w:val="15"/>
          <w:szCs w:val="15"/>
          <w:color w:val="auto"/>
        </w:rPr>
      </w:pPr>
    </w:p>
    <w:p>
      <w:pPr>
        <w:ind w:left="460" w:right="20" w:hanging="452"/>
        <w:spacing w:after="0" w:line="234" w:lineRule="auto"/>
        <w:tabs>
          <w:tab w:leader="none" w:pos="460" w:val="left"/>
        </w:tabs>
        <w:numPr>
          <w:ilvl w:val="0"/>
          <w:numId w:val="28"/>
        </w:numPr>
        <w:rPr>
          <w:rFonts w:ascii="Arial" w:cs="Arial" w:eastAsia="Arial" w:hAnsi="Arial"/>
          <w:sz w:val="15"/>
          <w:szCs w:val="15"/>
          <w:color w:val="auto"/>
        </w:rPr>
      </w:pPr>
      <w:r>
        <w:rPr>
          <w:rFonts w:ascii="Arial" w:cs="Arial" w:eastAsia="Arial" w:hAnsi="Arial"/>
          <w:sz w:val="17"/>
          <w:szCs w:val="17"/>
          <w:color w:val="auto"/>
        </w:rPr>
        <w:t>“NQSOs” refers to the nonqualified stock options granted to each of the named executive officers on the grant date indicated. Each grant of NQSOs reported in the table has an exercise price equal to the fair market value (as defined in the plan) on the date of grant, has a ten-year term and will become exercisable over four years in 25% increments on the anniversary of the grant date. The agreements pursuant to which these option grants were awarded provide that such options will become exercisable in full and will vest in the event of death or disability of the option holder or in some change in control situations of the Company, in each case as defined in such agreements. For additional information regarding the vesting provisions under a change in control, see “Aligning Pay with Performance” on pages 29-30 of this Proxy Statement. In the cases of normal retirement and retirement with the Company’s consent (prior to the age of 62), such options will become exercisable with the same terms and conditions as normal vesting, as if the option holder had remained in the continuous employ of the Company.</w:t>
      </w:r>
    </w:p>
    <w:p>
      <w:pPr>
        <w:spacing w:after="0" w:line="203" w:lineRule="exact"/>
        <w:rPr>
          <w:rFonts w:ascii="Arial" w:cs="Arial" w:eastAsia="Arial" w:hAnsi="Arial"/>
          <w:sz w:val="15"/>
          <w:szCs w:val="15"/>
          <w:color w:val="auto"/>
        </w:rPr>
      </w:pPr>
    </w:p>
    <w:p>
      <w:pPr>
        <w:ind w:left="460" w:right="120" w:hanging="452"/>
        <w:spacing w:after="0" w:line="236" w:lineRule="auto"/>
        <w:tabs>
          <w:tab w:leader="none" w:pos="460" w:val="left"/>
        </w:tabs>
        <w:numPr>
          <w:ilvl w:val="0"/>
          <w:numId w:val="28"/>
        </w:numPr>
        <w:rPr>
          <w:rFonts w:ascii="Arial" w:cs="Arial" w:eastAsia="Arial" w:hAnsi="Arial"/>
          <w:sz w:val="15"/>
          <w:szCs w:val="15"/>
          <w:color w:val="auto"/>
        </w:rPr>
      </w:pPr>
      <w:r>
        <w:rPr>
          <w:rFonts w:ascii="Arial" w:cs="Arial" w:eastAsia="Arial" w:hAnsi="Arial"/>
          <w:sz w:val="17"/>
          <w:szCs w:val="17"/>
          <w:color w:val="auto"/>
        </w:rPr>
        <w:t>The “Perf RSUs” amounts reported in this table indicate threshold, target and maximum award opportunities for the performance shares granted to the named executive officers on January 29, 2015. The performance shares granted in January 2015 were awarded to track performance for the January 1, 2015 through December 31, 2017 performance cycle. For additional information, see “Long Term Incentives” on pages 36-40 of this Proxy Statement.</w:t>
      </w:r>
    </w:p>
    <w:p>
      <w:pPr>
        <w:spacing w:after="0" w:line="203" w:lineRule="exact"/>
        <w:rPr>
          <w:rFonts w:ascii="Arial" w:cs="Arial" w:eastAsia="Arial" w:hAnsi="Arial"/>
          <w:sz w:val="15"/>
          <w:szCs w:val="15"/>
          <w:color w:val="auto"/>
        </w:rPr>
      </w:pPr>
    </w:p>
    <w:p>
      <w:pPr>
        <w:ind w:left="460" w:right="80" w:hanging="452"/>
        <w:spacing w:after="0" w:line="235" w:lineRule="auto"/>
        <w:tabs>
          <w:tab w:leader="none" w:pos="460" w:val="left"/>
        </w:tabs>
        <w:numPr>
          <w:ilvl w:val="0"/>
          <w:numId w:val="28"/>
        </w:numPr>
        <w:rPr>
          <w:rFonts w:ascii="Arial" w:cs="Arial" w:eastAsia="Arial" w:hAnsi="Arial"/>
          <w:sz w:val="15"/>
          <w:szCs w:val="15"/>
          <w:color w:val="auto"/>
        </w:rPr>
      </w:pPr>
      <w:r>
        <w:rPr>
          <w:rFonts w:ascii="Arial" w:cs="Arial" w:eastAsia="Arial" w:hAnsi="Arial"/>
          <w:sz w:val="17"/>
          <w:szCs w:val="17"/>
          <w:color w:val="auto"/>
        </w:rPr>
        <w:t>The amounts shown in this column reflect the fair value on the date of grant of RSUs, stock options and performance shares granted in 2015, computed in accordance with FASB ASC Topic 718. The fair value of RSUs is equal to the opening price of TimkenSteel common shares on the date of grant multiplied by the number of RSUs granted. The fair value of stock options is determined using the Black-Scholes model. The fair value of performance shares is equal to the opening price of TimkenSteel common shares on the date of grant multiplied by the target number of performance shares granted, which was the probable outcome on the grant date.</w:t>
      </w:r>
    </w:p>
    <w:p>
      <w:pPr>
        <w:spacing w:after="0" w:line="148" w:lineRule="exact"/>
        <w:rPr>
          <w:sz w:val="20"/>
          <w:szCs w:val="20"/>
          <w:color w:val="auto"/>
        </w:rPr>
      </w:pPr>
    </w:p>
    <w:p>
      <w:pPr>
        <w:ind w:left="11180"/>
        <w:spacing w:after="0"/>
        <w:rPr>
          <w:sz w:val="20"/>
          <w:szCs w:val="20"/>
          <w:color w:val="auto"/>
        </w:rPr>
      </w:pPr>
      <w:r>
        <w:rPr>
          <w:rFonts w:ascii="Arial" w:cs="Arial" w:eastAsia="Arial" w:hAnsi="Arial"/>
          <w:sz w:val="14"/>
          <w:szCs w:val="14"/>
          <w:color w:val="auto"/>
        </w:rPr>
        <w:t>47</w:t>
      </w:r>
    </w:p>
    <w:p>
      <w:pPr>
        <w:sectPr>
          <w:pgSz w:w="11900" w:h="16838" w:orient="portrait"/>
          <w:cols w:equalWidth="0" w:num="1">
            <w:col w:w="11440"/>
          </w:cols>
          <w:pgMar w:left="240" w:top="459" w:right="219" w:bottom="1440" w:gutter="0" w:footer="0" w:header="0"/>
        </w:sectPr>
      </w:pPr>
    </w:p>
    <w:bookmarkStart w:id="53" w:name="page54"/>
    <w:bookmarkEnd w:id="5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60">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3109595</wp:posOffset>
            </wp:positionH>
            <wp:positionV relativeFrom="paragraph">
              <wp:posOffset>205740</wp:posOffset>
            </wp:positionV>
            <wp:extent cx="1046480" cy="205740"/>
            <wp:wrapNone/>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61">
                      <a:extLst>
                        <a:ext uri="{28A0092B-C50C-407E-A947-70E740481C1C}"/>
                      </a:extLst>
                    </a:blip>
                    <a:srcRect/>
                    <a:stretch>
                      <a:fillRect/>
                    </a:stretch>
                  </pic:blipFill>
                  <pic:spPr bwMode="auto">
                    <a:xfrm>
                      <a:off x="0" y="0"/>
                      <a:ext cx="1046480" cy="20574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76" w:lineRule="exact"/>
        <w:rPr>
          <w:sz w:val="20"/>
          <w:szCs w:val="20"/>
          <w:color w:val="auto"/>
        </w:rPr>
      </w:pPr>
    </w:p>
    <w:p>
      <w:pPr>
        <w:spacing w:after="0"/>
        <w:rPr>
          <w:sz w:val="20"/>
          <w:szCs w:val="20"/>
          <w:color w:val="auto"/>
        </w:rPr>
      </w:pPr>
      <w:r>
        <w:rPr>
          <w:rFonts w:ascii="Arial" w:cs="Arial" w:eastAsia="Arial" w:hAnsi="Arial"/>
          <w:sz w:val="18"/>
          <w:szCs w:val="18"/>
          <w:color w:val="auto"/>
        </w:rPr>
        <w:t>OUTSTANDING EQUITY AWARDS AT 2015 YEAR-END TABLE</w:t>
      </w:r>
    </w:p>
    <w:p>
      <w:pPr>
        <w:spacing w:after="0" w:line="173" w:lineRule="exact"/>
        <w:rPr>
          <w:sz w:val="20"/>
          <w:szCs w:val="20"/>
          <w:color w:val="auto"/>
        </w:rPr>
      </w:pPr>
    </w:p>
    <w:p>
      <w:pPr>
        <w:spacing w:after="0"/>
        <w:rPr>
          <w:sz w:val="20"/>
          <w:szCs w:val="20"/>
          <w:color w:val="auto"/>
        </w:rPr>
      </w:pPr>
      <w:r>
        <w:rPr>
          <w:rFonts w:ascii="Arial" w:cs="Arial" w:eastAsia="Arial" w:hAnsi="Arial"/>
          <w:sz w:val="17"/>
          <w:szCs w:val="17"/>
          <w:color w:val="auto"/>
        </w:rPr>
        <w:t>The following table sets forth information concerning unexercised stock options and stock awards that have not yet vested for each of our NEOs as of</w:t>
      </w:r>
    </w:p>
    <w:p>
      <w:pPr>
        <w:spacing w:after="0"/>
        <w:rPr>
          <w:sz w:val="20"/>
          <w:szCs w:val="20"/>
          <w:color w:val="auto"/>
        </w:rPr>
      </w:pPr>
      <w:r>
        <w:rPr>
          <w:rFonts w:ascii="Arial" w:cs="Arial" w:eastAsia="Arial" w:hAnsi="Arial"/>
          <w:sz w:val="17"/>
          <w:szCs w:val="17"/>
          <w:color w:val="auto"/>
        </w:rPr>
        <w:t>December 31, 2015:</w:t>
      </w:r>
    </w:p>
    <w:p>
      <w:pPr>
        <w:spacing w:after="0" w:line="223" w:lineRule="exact"/>
        <w:rPr>
          <w:sz w:val="20"/>
          <w:szCs w:val="20"/>
          <w:color w:val="auto"/>
        </w:rPr>
      </w:pPr>
    </w:p>
    <w:tbl>
      <w:tblPr>
        <w:tblLayout w:type="fixed"/>
        <w:tblInd w:w="10" w:type="dxa"/>
        <w:tblCellMar>
          <w:top w:w="0" w:type="dxa"/>
          <w:left w:w="0" w:type="dxa"/>
          <w:bottom w:w="0" w:type="dxa"/>
          <w:right w:w="0" w:type="dxa"/>
        </w:tblCellMar>
      </w:tblPr>
      <w:tr>
        <w:trPr>
          <w:trHeight w:val="135"/>
        </w:trPr>
        <w:tc>
          <w:tcPr>
            <w:tcW w:w="2400" w:type="dxa"/>
            <w:vAlign w:val="bottom"/>
            <w:tcBorders>
              <w:top w:val="single" w:sz="8" w:color="auto"/>
              <w:left w:val="single" w:sz="8" w:color="auto"/>
              <w:bottom w:val="single" w:sz="8" w:color="auto"/>
              <w:right w:val="single" w:sz="8" w:color="auto"/>
            </w:tcBorders>
          </w:tcPr>
          <w:p>
            <w:pPr>
              <w:spacing w:after="0"/>
              <w:rPr>
                <w:sz w:val="11"/>
                <w:szCs w:val="11"/>
                <w:color w:val="auto"/>
              </w:rPr>
            </w:pPr>
          </w:p>
        </w:tc>
        <w:tc>
          <w:tcPr>
            <w:tcW w:w="880" w:type="dxa"/>
            <w:vAlign w:val="bottom"/>
            <w:tcBorders>
              <w:top w:val="single" w:sz="8" w:color="auto"/>
              <w:bottom w:val="single" w:sz="8" w:color="auto"/>
            </w:tcBorders>
          </w:tcPr>
          <w:p>
            <w:pPr>
              <w:spacing w:after="0"/>
              <w:rPr>
                <w:sz w:val="11"/>
                <w:szCs w:val="11"/>
                <w:color w:val="auto"/>
              </w:rPr>
            </w:pPr>
          </w:p>
        </w:tc>
        <w:tc>
          <w:tcPr>
            <w:tcW w:w="720" w:type="dxa"/>
            <w:vAlign w:val="bottom"/>
            <w:tcBorders>
              <w:top w:val="single" w:sz="8" w:color="auto"/>
              <w:bottom w:val="single" w:sz="8" w:color="auto"/>
            </w:tcBorders>
          </w:tcPr>
          <w:p>
            <w:pPr>
              <w:spacing w:after="0"/>
              <w:rPr>
                <w:sz w:val="11"/>
                <w:szCs w:val="11"/>
                <w:color w:val="auto"/>
              </w:rPr>
            </w:pPr>
          </w:p>
        </w:tc>
        <w:tc>
          <w:tcPr>
            <w:tcW w:w="1040" w:type="dxa"/>
            <w:vAlign w:val="bottom"/>
            <w:tcBorders>
              <w:top w:val="single" w:sz="8" w:color="auto"/>
              <w:bottom w:val="single" w:sz="8" w:color="auto"/>
            </w:tcBorders>
            <w:gridSpan w:val="2"/>
          </w:tcPr>
          <w:p>
            <w:pPr>
              <w:jc w:val="right"/>
              <w:ind w:right="77"/>
              <w:spacing w:after="0"/>
              <w:rPr>
                <w:sz w:val="20"/>
                <w:szCs w:val="20"/>
                <w:color w:val="auto"/>
              </w:rPr>
            </w:pPr>
            <w:r>
              <w:rPr>
                <w:rFonts w:ascii="Arial" w:cs="Arial" w:eastAsia="Arial" w:hAnsi="Arial"/>
                <w:sz w:val="11"/>
                <w:szCs w:val="11"/>
                <w:b w:val="1"/>
                <w:bCs w:val="1"/>
                <w:color w:val="auto"/>
                <w:w w:val="98"/>
              </w:rPr>
              <w:t>Option Awards</w:t>
            </w:r>
            <w:r>
              <w:rPr>
                <w:rFonts w:ascii="Arial" w:cs="Arial" w:eastAsia="Arial" w:hAnsi="Arial"/>
                <w:sz w:val="9"/>
                <w:szCs w:val="9"/>
                <w:b w:val="1"/>
                <w:bCs w:val="1"/>
                <w:color w:val="auto"/>
                <w:w w:val="98"/>
              </w:rPr>
              <w:t>(1)</w:t>
            </w:r>
          </w:p>
        </w:tc>
        <w:tc>
          <w:tcPr>
            <w:tcW w:w="160" w:type="dxa"/>
            <w:vAlign w:val="bottom"/>
            <w:tcBorders>
              <w:top w:val="single" w:sz="8" w:color="auto"/>
              <w:bottom w:val="single" w:sz="8" w:color="auto"/>
            </w:tcBorders>
          </w:tcPr>
          <w:p>
            <w:pPr>
              <w:spacing w:after="0"/>
              <w:rPr>
                <w:sz w:val="11"/>
                <w:szCs w:val="11"/>
                <w:color w:val="auto"/>
              </w:rPr>
            </w:pPr>
          </w:p>
        </w:tc>
        <w:tc>
          <w:tcPr>
            <w:tcW w:w="500" w:type="dxa"/>
            <w:vAlign w:val="bottom"/>
            <w:tcBorders>
              <w:top w:val="single" w:sz="8" w:color="auto"/>
              <w:bottom w:val="single" w:sz="8" w:color="auto"/>
            </w:tcBorders>
          </w:tcPr>
          <w:p>
            <w:pPr>
              <w:spacing w:after="0"/>
              <w:rPr>
                <w:sz w:val="11"/>
                <w:szCs w:val="11"/>
                <w:color w:val="auto"/>
              </w:rPr>
            </w:pPr>
          </w:p>
        </w:tc>
        <w:tc>
          <w:tcPr>
            <w:tcW w:w="880" w:type="dxa"/>
            <w:vAlign w:val="bottom"/>
            <w:tcBorders>
              <w:top w:val="single" w:sz="8" w:color="auto"/>
              <w:bottom w:val="single" w:sz="8" w:color="auto"/>
              <w:right w:val="single" w:sz="8" w:color="auto"/>
            </w:tcBorders>
          </w:tcPr>
          <w:p>
            <w:pPr>
              <w:spacing w:after="0"/>
              <w:rPr>
                <w:sz w:val="11"/>
                <w:szCs w:val="11"/>
                <w:color w:val="auto"/>
              </w:rPr>
            </w:pPr>
          </w:p>
        </w:tc>
        <w:tc>
          <w:tcPr>
            <w:tcW w:w="880" w:type="dxa"/>
            <w:vAlign w:val="bottom"/>
            <w:tcBorders>
              <w:top w:val="single" w:sz="8" w:color="auto"/>
              <w:bottom w:val="single" w:sz="8" w:color="auto"/>
            </w:tcBorders>
          </w:tcPr>
          <w:p>
            <w:pPr>
              <w:spacing w:after="0"/>
              <w:rPr>
                <w:sz w:val="11"/>
                <w:szCs w:val="11"/>
                <w:color w:val="auto"/>
              </w:rPr>
            </w:pPr>
          </w:p>
        </w:tc>
        <w:tc>
          <w:tcPr>
            <w:tcW w:w="760" w:type="dxa"/>
            <w:vAlign w:val="bottom"/>
            <w:tcBorders>
              <w:top w:val="single" w:sz="8" w:color="auto"/>
              <w:bottom w:val="single" w:sz="8" w:color="auto"/>
            </w:tcBorders>
          </w:tcPr>
          <w:p>
            <w:pPr>
              <w:spacing w:after="0"/>
              <w:rPr>
                <w:sz w:val="11"/>
                <w:szCs w:val="11"/>
                <w:color w:val="auto"/>
              </w:rPr>
            </w:pPr>
          </w:p>
        </w:tc>
        <w:tc>
          <w:tcPr>
            <w:tcW w:w="140" w:type="dxa"/>
            <w:vAlign w:val="bottom"/>
            <w:tcBorders>
              <w:top w:val="single" w:sz="8" w:color="auto"/>
              <w:bottom w:val="single" w:sz="8" w:color="auto"/>
            </w:tcBorders>
          </w:tcPr>
          <w:p>
            <w:pPr>
              <w:spacing w:after="0"/>
              <w:rPr>
                <w:sz w:val="11"/>
                <w:szCs w:val="11"/>
                <w:color w:val="auto"/>
              </w:rPr>
            </w:pPr>
          </w:p>
        </w:tc>
        <w:tc>
          <w:tcPr>
            <w:tcW w:w="1820" w:type="dxa"/>
            <w:vAlign w:val="bottom"/>
            <w:tcBorders>
              <w:top w:val="single" w:sz="8" w:color="auto"/>
              <w:bottom w:val="single" w:sz="8" w:color="auto"/>
            </w:tcBorders>
            <w:gridSpan w:val="2"/>
          </w:tcPr>
          <w:p>
            <w:pPr>
              <w:jc w:val="right"/>
              <w:ind w:right="783"/>
              <w:spacing w:after="0"/>
              <w:rPr>
                <w:sz w:val="20"/>
                <w:szCs w:val="20"/>
                <w:color w:val="auto"/>
              </w:rPr>
            </w:pPr>
            <w:r>
              <w:rPr>
                <w:rFonts w:ascii="Arial" w:cs="Arial" w:eastAsia="Arial" w:hAnsi="Arial"/>
                <w:sz w:val="11"/>
                <w:szCs w:val="11"/>
                <w:b w:val="1"/>
                <w:bCs w:val="1"/>
                <w:color w:val="auto"/>
              </w:rPr>
              <w:t>Stock Awards</w:t>
            </w:r>
            <w:r>
              <w:rPr>
                <w:rFonts w:ascii="Arial" w:cs="Arial" w:eastAsia="Arial" w:hAnsi="Arial"/>
                <w:sz w:val="9"/>
                <w:szCs w:val="9"/>
                <w:b w:val="1"/>
                <w:bCs w:val="1"/>
                <w:color w:val="auto"/>
              </w:rPr>
              <w:t>(2)</w:t>
            </w:r>
          </w:p>
        </w:tc>
        <w:tc>
          <w:tcPr>
            <w:tcW w:w="180" w:type="dxa"/>
            <w:vAlign w:val="bottom"/>
            <w:tcBorders>
              <w:top w:val="single" w:sz="8" w:color="auto"/>
              <w:bottom w:val="single" w:sz="8" w:color="auto"/>
            </w:tcBorders>
          </w:tcPr>
          <w:p>
            <w:pPr>
              <w:spacing w:after="0"/>
              <w:rPr>
                <w:sz w:val="11"/>
                <w:szCs w:val="11"/>
                <w:color w:val="auto"/>
              </w:rPr>
            </w:pPr>
          </w:p>
        </w:tc>
        <w:tc>
          <w:tcPr>
            <w:tcW w:w="1080" w:type="dxa"/>
            <w:vAlign w:val="bottom"/>
            <w:tcBorders>
              <w:top w:val="single" w:sz="8" w:color="auto"/>
              <w:bottom w:val="single" w:sz="8" w:color="auto"/>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00"/>
        </w:trPr>
        <w:tc>
          <w:tcPr>
            <w:tcW w:w="2400" w:type="dxa"/>
            <w:vAlign w:val="bottom"/>
            <w:tcBorders>
              <w:left w:val="single" w:sz="8" w:color="auto"/>
              <w:right w:val="single" w:sz="8" w:color="auto"/>
            </w:tcBorders>
          </w:tcPr>
          <w:p>
            <w:pPr>
              <w:spacing w:after="0"/>
              <w:rPr>
                <w:sz w:val="8"/>
                <w:szCs w:val="8"/>
                <w:color w:val="auto"/>
              </w:rPr>
            </w:pPr>
          </w:p>
        </w:tc>
        <w:tc>
          <w:tcPr>
            <w:tcW w:w="880" w:type="dxa"/>
            <w:vAlign w:val="bottom"/>
            <w:tcBorders>
              <w:right w:val="single" w:sz="8" w:color="auto"/>
            </w:tcBorders>
          </w:tcPr>
          <w:p>
            <w:pPr>
              <w:spacing w:after="0"/>
              <w:rPr>
                <w:sz w:val="8"/>
                <w:szCs w:val="8"/>
                <w:color w:val="auto"/>
              </w:rPr>
            </w:pPr>
          </w:p>
        </w:tc>
        <w:tc>
          <w:tcPr>
            <w:tcW w:w="720" w:type="dxa"/>
            <w:vAlign w:val="bottom"/>
          </w:tcPr>
          <w:p>
            <w:pPr>
              <w:spacing w:after="0"/>
              <w:rPr>
                <w:sz w:val="8"/>
                <w:szCs w:val="8"/>
                <w:color w:val="auto"/>
              </w:rPr>
            </w:pPr>
          </w:p>
        </w:tc>
        <w:tc>
          <w:tcPr>
            <w:tcW w:w="100" w:type="dxa"/>
            <w:vAlign w:val="bottom"/>
          </w:tcPr>
          <w:p>
            <w:pPr>
              <w:spacing w:after="0"/>
              <w:rPr>
                <w:sz w:val="8"/>
                <w:szCs w:val="8"/>
                <w:color w:val="auto"/>
              </w:rPr>
            </w:pPr>
          </w:p>
        </w:tc>
        <w:tc>
          <w:tcPr>
            <w:tcW w:w="940" w:type="dxa"/>
            <w:vAlign w:val="bottom"/>
            <w:tcBorders>
              <w:right w:val="single" w:sz="8" w:color="auto"/>
            </w:tcBorders>
          </w:tcPr>
          <w:p>
            <w:pPr>
              <w:spacing w:after="0"/>
              <w:rPr>
                <w:sz w:val="8"/>
                <w:szCs w:val="8"/>
                <w:color w:val="auto"/>
              </w:rPr>
            </w:pPr>
          </w:p>
        </w:tc>
        <w:tc>
          <w:tcPr>
            <w:tcW w:w="160" w:type="dxa"/>
            <w:vAlign w:val="bottom"/>
          </w:tcPr>
          <w:p>
            <w:pPr>
              <w:spacing w:after="0"/>
              <w:rPr>
                <w:sz w:val="8"/>
                <w:szCs w:val="8"/>
                <w:color w:val="auto"/>
              </w:rPr>
            </w:pPr>
          </w:p>
        </w:tc>
        <w:tc>
          <w:tcPr>
            <w:tcW w:w="500" w:type="dxa"/>
            <w:vAlign w:val="bottom"/>
            <w:tcBorders>
              <w:right w:val="single" w:sz="8" w:color="auto"/>
            </w:tcBorders>
          </w:tcPr>
          <w:p>
            <w:pPr>
              <w:spacing w:after="0"/>
              <w:rPr>
                <w:sz w:val="8"/>
                <w:szCs w:val="8"/>
                <w:color w:val="auto"/>
              </w:rPr>
            </w:pPr>
          </w:p>
        </w:tc>
        <w:tc>
          <w:tcPr>
            <w:tcW w:w="880" w:type="dxa"/>
            <w:vAlign w:val="bottom"/>
            <w:tcBorders>
              <w:right w:val="single" w:sz="8" w:color="auto"/>
            </w:tcBorders>
          </w:tcPr>
          <w:p>
            <w:pPr>
              <w:spacing w:after="0"/>
              <w:rPr>
                <w:sz w:val="8"/>
                <w:szCs w:val="8"/>
                <w:color w:val="auto"/>
              </w:rPr>
            </w:pPr>
          </w:p>
        </w:tc>
        <w:tc>
          <w:tcPr>
            <w:tcW w:w="880" w:type="dxa"/>
            <w:vAlign w:val="bottom"/>
            <w:tcBorders>
              <w:right w:val="single" w:sz="8" w:color="auto"/>
            </w:tcBorders>
          </w:tcPr>
          <w:p>
            <w:pPr>
              <w:spacing w:after="0"/>
              <w:rPr>
                <w:sz w:val="8"/>
                <w:szCs w:val="8"/>
                <w:color w:val="auto"/>
              </w:rPr>
            </w:pPr>
          </w:p>
        </w:tc>
        <w:tc>
          <w:tcPr>
            <w:tcW w:w="760" w:type="dxa"/>
            <w:vAlign w:val="bottom"/>
            <w:tcBorders>
              <w:right w:val="single" w:sz="8" w:color="auto"/>
            </w:tcBorders>
          </w:tcPr>
          <w:p>
            <w:pPr>
              <w:spacing w:after="0"/>
              <w:rPr>
                <w:sz w:val="8"/>
                <w:szCs w:val="8"/>
                <w:color w:val="auto"/>
              </w:rPr>
            </w:pPr>
          </w:p>
        </w:tc>
        <w:tc>
          <w:tcPr>
            <w:tcW w:w="140" w:type="dxa"/>
            <w:vAlign w:val="bottom"/>
          </w:tcPr>
          <w:p>
            <w:pPr>
              <w:spacing w:after="0"/>
              <w:rPr>
                <w:sz w:val="8"/>
                <w:szCs w:val="8"/>
                <w:color w:val="auto"/>
              </w:rPr>
            </w:pPr>
          </w:p>
        </w:tc>
        <w:tc>
          <w:tcPr>
            <w:tcW w:w="780" w:type="dxa"/>
            <w:vAlign w:val="bottom"/>
            <w:tcBorders>
              <w:right w:val="single" w:sz="8" w:color="auto"/>
            </w:tcBorders>
          </w:tcPr>
          <w:p>
            <w:pPr>
              <w:spacing w:after="0"/>
              <w:rPr>
                <w:sz w:val="8"/>
                <w:szCs w:val="8"/>
                <w:color w:val="auto"/>
              </w:rPr>
            </w:pPr>
          </w:p>
        </w:tc>
        <w:tc>
          <w:tcPr>
            <w:tcW w:w="1040" w:type="dxa"/>
            <w:vAlign w:val="bottom"/>
            <w:tcBorders>
              <w:right w:val="single" w:sz="8" w:color="auto"/>
            </w:tcBorders>
          </w:tcPr>
          <w:p>
            <w:pPr>
              <w:jc w:val="center"/>
              <w:spacing w:after="0" w:line="100" w:lineRule="exact"/>
              <w:rPr>
                <w:sz w:val="20"/>
                <w:szCs w:val="20"/>
                <w:color w:val="auto"/>
              </w:rPr>
            </w:pPr>
            <w:r>
              <w:rPr>
                <w:rFonts w:ascii="Arial" w:cs="Arial" w:eastAsia="Arial" w:hAnsi="Arial"/>
                <w:sz w:val="11"/>
                <w:szCs w:val="11"/>
                <w:b w:val="1"/>
                <w:bCs w:val="1"/>
                <w:color w:val="auto"/>
                <w:w w:val="99"/>
              </w:rPr>
              <w:t>Equity Incentive</w:t>
            </w:r>
          </w:p>
        </w:tc>
        <w:tc>
          <w:tcPr>
            <w:tcW w:w="180" w:type="dxa"/>
            <w:vAlign w:val="bottom"/>
          </w:tcPr>
          <w:p>
            <w:pPr>
              <w:spacing w:after="0"/>
              <w:rPr>
                <w:sz w:val="8"/>
                <w:szCs w:val="8"/>
                <w:color w:val="auto"/>
              </w:rPr>
            </w:pPr>
          </w:p>
        </w:tc>
        <w:tc>
          <w:tcPr>
            <w:tcW w:w="108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22"/>
        </w:trPr>
        <w:tc>
          <w:tcPr>
            <w:tcW w:w="2400" w:type="dxa"/>
            <w:vAlign w:val="bottom"/>
            <w:tcBorders>
              <w:left w:val="single" w:sz="8" w:color="auto"/>
              <w:right w:val="single" w:sz="8" w:color="auto"/>
            </w:tcBorders>
          </w:tcPr>
          <w:p>
            <w:pPr>
              <w:spacing w:after="0"/>
              <w:rPr>
                <w:sz w:val="10"/>
                <w:szCs w:val="10"/>
                <w:color w:val="auto"/>
              </w:rPr>
            </w:pPr>
          </w:p>
        </w:tc>
        <w:tc>
          <w:tcPr>
            <w:tcW w:w="880" w:type="dxa"/>
            <w:vAlign w:val="bottom"/>
            <w:tcBorders>
              <w:right w:val="single" w:sz="8" w:color="auto"/>
            </w:tcBorders>
          </w:tcPr>
          <w:p>
            <w:pPr>
              <w:spacing w:after="0"/>
              <w:rPr>
                <w:sz w:val="10"/>
                <w:szCs w:val="10"/>
                <w:color w:val="auto"/>
              </w:rPr>
            </w:pPr>
          </w:p>
        </w:tc>
        <w:tc>
          <w:tcPr>
            <w:tcW w:w="7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940" w:type="dxa"/>
            <w:vAlign w:val="bottom"/>
            <w:tcBorders>
              <w:right w:val="single" w:sz="8" w:color="auto"/>
            </w:tcBorders>
          </w:tcPr>
          <w:p>
            <w:pPr>
              <w:spacing w:after="0"/>
              <w:rPr>
                <w:sz w:val="10"/>
                <w:szCs w:val="10"/>
                <w:color w:val="auto"/>
              </w:rPr>
            </w:pPr>
          </w:p>
        </w:tc>
        <w:tc>
          <w:tcPr>
            <w:tcW w:w="160" w:type="dxa"/>
            <w:vAlign w:val="bottom"/>
          </w:tcPr>
          <w:p>
            <w:pPr>
              <w:spacing w:after="0"/>
              <w:rPr>
                <w:sz w:val="10"/>
                <w:szCs w:val="10"/>
                <w:color w:val="auto"/>
              </w:rPr>
            </w:pPr>
          </w:p>
        </w:tc>
        <w:tc>
          <w:tcPr>
            <w:tcW w:w="500" w:type="dxa"/>
            <w:vAlign w:val="bottom"/>
            <w:tcBorders>
              <w:right w:val="single" w:sz="8" w:color="auto"/>
            </w:tcBorders>
          </w:tcPr>
          <w:p>
            <w:pPr>
              <w:spacing w:after="0"/>
              <w:rPr>
                <w:sz w:val="10"/>
                <w:szCs w:val="10"/>
                <w:color w:val="auto"/>
              </w:rPr>
            </w:pPr>
          </w:p>
        </w:tc>
        <w:tc>
          <w:tcPr>
            <w:tcW w:w="880" w:type="dxa"/>
            <w:vAlign w:val="bottom"/>
            <w:tcBorders>
              <w:right w:val="single" w:sz="8" w:color="auto"/>
            </w:tcBorders>
          </w:tcPr>
          <w:p>
            <w:pPr>
              <w:spacing w:after="0"/>
              <w:rPr>
                <w:sz w:val="10"/>
                <w:szCs w:val="10"/>
                <w:color w:val="auto"/>
              </w:rPr>
            </w:pPr>
          </w:p>
        </w:tc>
        <w:tc>
          <w:tcPr>
            <w:tcW w:w="880" w:type="dxa"/>
            <w:vAlign w:val="bottom"/>
            <w:tcBorders>
              <w:right w:val="single" w:sz="8" w:color="auto"/>
            </w:tcBorders>
          </w:tcPr>
          <w:p>
            <w:pPr>
              <w:spacing w:after="0"/>
              <w:rPr>
                <w:sz w:val="10"/>
                <w:szCs w:val="10"/>
                <w:color w:val="auto"/>
              </w:rPr>
            </w:pPr>
          </w:p>
        </w:tc>
        <w:tc>
          <w:tcPr>
            <w:tcW w:w="760" w:type="dxa"/>
            <w:vAlign w:val="bottom"/>
            <w:tcBorders>
              <w:right w:val="single" w:sz="8" w:color="auto"/>
            </w:tcBorders>
          </w:tcPr>
          <w:p>
            <w:pPr>
              <w:spacing w:after="0"/>
              <w:rPr>
                <w:sz w:val="10"/>
                <w:szCs w:val="10"/>
                <w:color w:val="auto"/>
              </w:rPr>
            </w:pPr>
          </w:p>
        </w:tc>
        <w:tc>
          <w:tcPr>
            <w:tcW w:w="140" w:type="dxa"/>
            <w:vAlign w:val="bottom"/>
          </w:tcPr>
          <w:p>
            <w:pPr>
              <w:spacing w:after="0"/>
              <w:rPr>
                <w:sz w:val="10"/>
                <w:szCs w:val="10"/>
                <w:color w:val="auto"/>
              </w:rPr>
            </w:pPr>
          </w:p>
        </w:tc>
        <w:tc>
          <w:tcPr>
            <w:tcW w:w="780" w:type="dxa"/>
            <w:vAlign w:val="bottom"/>
            <w:tcBorders>
              <w:right w:val="single" w:sz="8" w:color="auto"/>
            </w:tcBorders>
          </w:tcPr>
          <w:p>
            <w:pPr>
              <w:spacing w:after="0"/>
              <w:rPr>
                <w:sz w:val="10"/>
                <w:szCs w:val="10"/>
                <w:color w:val="auto"/>
              </w:rPr>
            </w:pPr>
          </w:p>
        </w:tc>
        <w:tc>
          <w:tcPr>
            <w:tcW w:w="1040" w:type="dxa"/>
            <w:vAlign w:val="bottom"/>
            <w:tcBorders>
              <w:right w:val="single" w:sz="8" w:color="auto"/>
            </w:tcBorders>
          </w:tcPr>
          <w:p>
            <w:pPr>
              <w:jc w:val="center"/>
              <w:spacing w:after="0" w:line="122" w:lineRule="exact"/>
              <w:rPr>
                <w:sz w:val="20"/>
                <w:szCs w:val="20"/>
                <w:color w:val="auto"/>
              </w:rPr>
            </w:pPr>
            <w:r>
              <w:rPr>
                <w:rFonts w:ascii="Arial" w:cs="Arial" w:eastAsia="Arial" w:hAnsi="Arial"/>
                <w:sz w:val="11"/>
                <w:szCs w:val="11"/>
                <w:b w:val="1"/>
                <w:bCs w:val="1"/>
                <w:color w:val="auto"/>
                <w:w w:val="97"/>
              </w:rPr>
              <w:t>Plan Awards:</w:t>
            </w:r>
          </w:p>
        </w:tc>
        <w:tc>
          <w:tcPr>
            <w:tcW w:w="1260" w:type="dxa"/>
            <w:vAlign w:val="bottom"/>
            <w:tcBorders>
              <w:right w:val="single" w:sz="8" w:color="auto"/>
            </w:tcBorders>
            <w:gridSpan w:val="2"/>
          </w:tcPr>
          <w:p>
            <w:pPr>
              <w:jc w:val="center"/>
              <w:ind w:right="99"/>
              <w:spacing w:after="0" w:line="122" w:lineRule="exact"/>
              <w:rPr>
                <w:sz w:val="20"/>
                <w:szCs w:val="20"/>
                <w:color w:val="auto"/>
              </w:rPr>
            </w:pPr>
            <w:r>
              <w:rPr>
                <w:rFonts w:ascii="Arial" w:cs="Arial" w:eastAsia="Arial" w:hAnsi="Arial"/>
                <w:sz w:val="11"/>
                <w:szCs w:val="11"/>
                <w:b w:val="1"/>
                <w:bCs w:val="1"/>
                <w:color w:val="auto"/>
                <w:w w:val="97"/>
              </w:rPr>
              <w:t>Equity Incentive</w:t>
            </w:r>
          </w:p>
        </w:tc>
        <w:tc>
          <w:tcPr>
            <w:tcW w:w="0" w:type="dxa"/>
            <w:vAlign w:val="bottom"/>
          </w:tcPr>
          <w:p>
            <w:pPr>
              <w:spacing w:after="0"/>
              <w:rPr>
                <w:sz w:val="1"/>
                <w:szCs w:val="1"/>
                <w:color w:val="auto"/>
              </w:rPr>
            </w:pPr>
          </w:p>
        </w:tc>
      </w:tr>
      <w:tr>
        <w:trPr>
          <w:trHeight w:val="122"/>
        </w:trPr>
        <w:tc>
          <w:tcPr>
            <w:tcW w:w="2400" w:type="dxa"/>
            <w:vAlign w:val="bottom"/>
            <w:tcBorders>
              <w:left w:val="single" w:sz="8" w:color="auto"/>
              <w:right w:val="single" w:sz="8" w:color="auto"/>
            </w:tcBorders>
          </w:tcPr>
          <w:p>
            <w:pPr>
              <w:spacing w:after="0"/>
              <w:rPr>
                <w:sz w:val="10"/>
                <w:szCs w:val="10"/>
                <w:color w:val="auto"/>
              </w:rPr>
            </w:pPr>
          </w:p>
        </w:tc>
        <w:tc>
          <w:tcPr>
            <w:tcW w:w="880" w:type="dxa"/>
            <w:vAlign w:val="bottom"/>
            <w:tcBorders>
              <w:right w:val="single" w:sz="8" w:color="auto"/>
            </w:tcBorders>
          </w:tcPr>
          <w:p>
            <w:pPr>
              <w:spacing w:after="0"/>
              <w:rPr>
                <w:sz w:val="10"/>
                <w:szCs w:val="10"/>
                <w:color w:val="auto"/>
              </w:rPr>
            </w:pPr>
          </w:p>
        </w:tc>
        <w:tc>
          <w:tcPr>
            <w:tcW w:w="1760" w:type="dxa"/>
            <w:vAlign w:val="bottom"/>
            <w:tcBorders>
              <w:right w:val="single" w:sz="8" w:color="auto"/>
            </w:tcBorders>
            <w:gridSpan w:val="3"/>
            <w:vMerge w:val="restart"/>
          </w:tcPr>
          <w:p>
            <w:pPr>
              <w:jc w:val="center"/>
              <w:spacing w:after="0"/>
              <w:rPr>
                <w:sz w:val="20"/>
                <w:szCs w:val="20"/>
                <w:color w:val="auto"/>
              </w:rPr>
            </w:pPr>
            <w:r>
              <w:rPr>
                <w:rFonts w:ascii="Arial" w:cs="Arial" w:eastAsia="Arial" w:hAnsi="Arial"/>
                <w:sz w:val="11"/>
                <w:szCs w:val="11"/>
                <w:b w:val="1"/>
                <w:bCs w:val="1"/>
                <w:color w:val="auto"/>
                <w:w w:val="97"/>
              </w:rPr>
              <w:t>Number of Securities</w:t>
            </w:r>
          </w:p>
        </w:tc>
        <w:tc>
          <w:tcPr>
            <w:tcW w:w="160" w:type="dxa"/>
            <w:vAlign w:val="bottom"/>
          </w:tcPr>
          <w:p>
            <w:pPr>
              <w:spacing w:after="0"/>
              <w:rPr>
                <w:sz w:val="10"/>
                <w:szCs w:val="10"/>
                <w:color w:val="auto"/>
              </w:rPr>
            </w:pPr>
          </w:p>
        </w:tc>
        <w:tc>
          <w:tcPr>
            <w:tcW w:w="500" w:type="dxa"/>
            <w:vAlign w:val="bottom"/>
            <w:tcBorders>
              <w:right w:val="single" w:sz="8" w:color="auto"/>
            </w:tcBorders>
          </w:tcPr>
          <w:p>
            <w:pPr>
              <w:spacing w:after="0"/>
              <w:rPr>
                <w:sz w:val="10"/>
                <w:szCs w:val="10"/>
                <w:color w:val="auto"/>
              </w:rPr>
            </w:pPr>
          </w:p>
        </w:tc>
        <w:tc>
          <w:tcPr>
            <w:tcW w:w="880" w:type="dxa"/>
            <w:vAlign w:val="bottom"/>
            <w:tcBorders>
              <w:right w:val="single" w:sz="8" w:color="auto"/>
            </w:tcBorders>
          </w:tcPr>
          <w:p>
            <w:pPr>
              <w:spacing w:after="0"/>
              <w:rPr>
                <w:sz w:val="10"/>
                <w:szCs w:val="10"/>
                <w:color w:val="auto"/>
              </w:rPr>
            </w:pPr>
          </w:p>
        </w:tc>
        <w:tc>
          <w:tcPr>
            <w:tcW w:w="880" w:type="dxa"/>
            <w:vAlign w:val="bottom"/>
            <w:tcBorders>
              <w:right w:val="single" w:sz="8" w:color="auto"/>
            </w:tcBorders>
          </w:tcPr>
          <w:p>
            <w:pPr>
              <w:spacing w:after="0"/>
              <w:rPr>
                <w:sz w:val="10"/>
                <w:szCs w:val="10"/>
                <w:color w:val="auto"/>
              </w:rPr>
            </w:pPr>
          </w:p>
        </w:tc>
        <w:tc>
          <w:tcPr>
            <w:tcW w:w="760" w:type="dxa"/>
            <w:vAlign w:val="bottom"/>
            <w:tcBorders>
              <w:right w:val="single" w:sz="8" w:color="auto"/>
            </w:tcBorders>
          </w:tcPr>
          <w:p>
            <w:pPr>
              <w:jc w:val="center"/>
              <w:ind w:right="1"/>
              <w:spacing w:after="0" w:line="122" w:lineRule="exact"/>
              <w:rPr>
                <w:sz w:val="20"/>
                <w:szCs w:val="20"/>
                <w:color w:val="auto"/>
              </w:rPr>
            </w:pPr>
            <w:r>
              <w:rPr>
                <w:rFonts w:ascii="Arial" w:cs="Arial" w:eastAsia="Arial" w:hAnsi="Arial"/>
                <w:sz w:val="11"/>
                <w:szCs w:val="11"/>
                <w:b w:val="1"/>
                <w:bCs w:val="1"/>
                <w:color w:val="auto"/>
                <w:w w:val="98"/>
              </w:rPr>
              <w:t>Number of</w:t>
            </w:r>
          </w:p>
        </w:tc>
        <w:tc>
          <w:tcPr>
            <w:tcW w:w="140" w:type="dxa"/>
            <w:vAlign w:val="bottom"/>
          </w:tcPr>
          <w:p>
            <w:pPr>
              <w:spacing w:after="0"/>
              <w:rPr>
                <w:sz w:val="10"/>
                <w:szCs w:val="10"/>
                <w:color w:val="auto"/>
              </w:rPr>
            </w:pPr>
          </w:p>
        </w:tc>
        <w:tc>
          <w:tcPr>
            <w:tcW w:w="780" w:type="dxa"/>
            <w:vAlign w:val="bottom"/>
            <w:tcBorders>
              <w:right w:val="single" w:sz="8" w:color="auto"/>
            </w:tcBorders>
          </w:tcPr>
          <w:p>
            <w:pPr>
              <w:spacing w:after="0"/>
              <w:rPr>
                <w:sz w:val="10"/>
                <w:szCs w:val="10"/>
                <w:color w:val="auto"/>
              </w:rPr>
            </w:pPr>
          </w:p>
        </w:tc>
        <w:tc>
          <w:tcPr>
            <w:tcW w:w="1040" w:type="dxa"/>
            <w:vAlign w:val="bottom"/>
            <w:tcBorders>
              <w:right w:val="single" w:sz="8" w:color="auto"/>
            </w:tcBorders>
          </w:tcPr>
          <w:p>
            <w:pPr>
              <w:jc w:val="center"/>
              <w:ind w:right="3"/>
              <w:spacing w:after="0" w:line="122" w:lineRule="exact"/>
              <w:rPr>
                <w:sz w:val="20"/>
                <w:szCs w:val="20"/>
                <w:color w:val="auto"/>
              </w:rPr>
            </w:pPr>
            <w:r>
              <w:rPr>
                <w:rFonts w:ascii="Arial" w:cs="Arial" w:eastAsia="Arial" w:hAnsi="Arial"/>
                <w:sz w:val="11"/>
                <w:szCs w:val="11"/>
                <w:b w:val="1"/>
                <w:bCs w:val="1"/>
                <w:color w:val="auto"/>
                <w:w w:val="98"/>
              </w:rPr>
              <w:t>Number of</w:t>
            </w:r>
          </w:p>
        </w:tc>
        <w:tc>
          <w:tcPr>
            <w:tcW w:w="180" w:type="dxa"/>
            <w:vAlign w:val="bottom"/>
          </w:tcPr>
          <w:p>
            <w:pPr>
              <w:spacing w:after="0"/>
              <w:rPr>
                <w:sz w:val="10"/>
                <w:szCs w:val="10"/>
                <w:color w:val="auto"/>
              </w:rPr>
            </w:pPr>
          </w:p>
        </w:tc>
        <w:tc>
          <w:tcPr>
            <w:tcW w:w="1080" w:type="dxa"/>
            <w:vAlign w:val="bottom"/>
            <w:tcBorders>
              <w:right w:val="single" w:sz="8" w:color="auto"/>
            </w:tcBorders>
          </w:tcPr>
          <w:p>
            <w:pPr>
              <w:jc w:val="center"/>
              <w:ind w:right="259"/>
              <w:spacing w:after="0" w:line="122" w:lineRule="exact"/>
              <w:rPr>
                <w:sz w:val="20"/>
                <w:szCs w:val="20"/>
                <w:color w:val="auto"/>
              </w:rPr>
            </w:pPr>
            <w:r>
              <w:rPr>
                <w:rFonts w:ascii="Arial" w:cs="Arial" w:eastAsia="Arial" w:hAnsi="Arial"/>
                <w:sz w:val="11"/>
                <w:szCs w:val="11"/>
                <w:b w:val="1"/>
                <w:bCs w:val="1"/>
                <w:color w:val="auto"/>
                <w:w w:val="97"/>
              </w:rPr>
              <w:t>Plan Awards:</w:t>
            </w:r>
          </w:p>
        </w:tc>
        <w:tc>
          <w:tcPr>
            <w:tcW w:w="0" w:type="dxa"/>
            <w:vAlign w:val="bottom"/>
          </w:tcPr>
          <w:p>
            <w:pPr>
              <w:spacing w:after="0"/>
              <w:rPr>
                <w:sz w:val="1"/>
                <w:szCs w:val="1"/>
                <w:color w:val="auto"/>
              </w:rPr>
            </w:pPr>
          </w:p>
        </w:tc>
      </w:tr>
      <w:tr>
        <w:trPr>
          <w:trHeight w:val="110"/>
        </w:trPr>
        <w:tc>
          <w:tcPr>
            <w:tcW w:w="2400" w:type="dxa"/>
            <w:vAlign w:val="bottom"/>
            <w:tcBorders>
              <w:left w:val="single" w:sz="8" w:color="auto"/>
              <w:right w:val="single" w:sz="8" w:color="auto"/>
            </w:tcBorders>
          </w:tcPr>
          <w:p>
            <w:pPr>
              <w:spacing w:after="0"/>
              <w:rPr>
                <w:sz w:val="9"/>
                <w:szCs w:val="9"/>
                <w:color w:val="auto"/>
              </w:rPr>
            </w:pPr>
          </w:p>
        </w:tc>
        <w:tc>
          <w:tcPr>
            <w:tcW w:w="880" w:type="dxa"/>
            <w:vAlign w:val="bottom"/>
            <w:tcBorders>
              <w:right w:val="single" w:sz="8" w:color="auto"/>
            </w:tcBorders>
          </w:tcPr>
          <w:p>
            <w:pPr>
              <w:spacing w:after="0"/>
              <w:rPr>
                <w:sz w:val="9"/>
                <w:szCs w:val="9"/>
                <w:color w:val="auto"/>
              </w:rPr>
            </w:pPr>
          </w:p>
        </w:tc>
        <w:tc>
          <w:tcPr>
            <w:tcW w:w="1760" w:type="dxa"/>
            <w:vAlign w:val="bottom"/>
            <w:tcBorders>
              <w:right w:val="single" w:sz="8" w:color="auto"/>
            </w:tcBorders>
            <w:gridSpan w:val="3"/>
            <w:vMerge w:val="continue"/>
          </w:tcPr>
          <w:p>
            <w:pPr>
              <w:spacing w:after="0"/>
              <w:rPr>
                <w:sz w:val="9"/>
                <w:szCs w:val="9"/>
                <w:color w:val="auto"/>
              </w:rPr>
            </w:pPr>
          </w:p>
        </w:tc>
        <w:tc>
          <w:tcPr>
            <w:tcW w:w="160" w:type="dxa"/>
            <w:vAlign w:val="bottom"/>
          </w:tcPr>
          <w:p>
            <w:pPr>
              <w:spacing w:after="0"/>
              <w:rPr>
                <w:sz w:val="9"/>
                <w:szCs w:val="9"/>
                <w:color w:val="auto"/>
              </w:rPr>
            </w:pPr>
          </w:p>
        </w:tc>
        <w:tc>
          <w:tcPr>
            <w:tcW w:w="500" w:type="dxa"/>
            <w:vAlign w:val="bottom"/>
            <w:tcBorders>
              <w:right w:val="single" w:sz="8" w:color="auto"/>
            </w:tcBorders>
          </w:tcPr>
          <w:p>
            <w:pPr>
              <w:spacing w:after="0"/>
              <w:rPr>
                <w:sz w:val="9"/>
                <w:szCs w:val="9"/>
                <w:color w:val="auto"/>
              </w:rPr>
            </w:pPr>
          </w:p>
        </w:tc>
        <w:tc>
          <w:tcPr>
            <w:tcW w:w="880" w:type="dxa"/>
            <w:vAlign w:val="bottom"/>
            <w:tcBorders>
              <w:right w:val="single" w:sz="8" w:color="auto"/>
            </w:tcBorders>
          </w:tcPr>
          <w:p>
            <w:pPr>
              <w:spacing w:after="0"/>
              <w:rPr>
                <w:sz w:val="9"/>
                <w:szCs w:val="9"/>
                <w:color w:val="auto"/>
              </w:rPr>
            </w:pPr>
          </w:p>
        </w:tc>
        <w:tc>
          <w:tcPr>
            <w:tcW w:w="880" w:type="dxa"/>
            <w:vAlign w:val="bottom"/>
            <w:tcBorders>
              <w:right w:val="single" w:sz="8" w:color="auto"/>
            </w:tcBorders>
          </w:tcPr>
          <w:p>
            <w:pPr>
              <w:spacing w:after="0"/>
              <w:rPr>
                <w:sz w:val="9"/>
                <w:szCs w:val="9"/>
                <w:color w:val="auto"/>
              </w:rPr>
            </w:pPr>
          </w:p>
        </w:tc>
        <w:tc>
          <w:tcPr>
            <w:tcW w:w="760" w:type="dxa"/>
            <w:vAlign w:val="bottom"/>
            <w:tcBorders>
              <w:right w:val="single" w:sz="8" w:color="auto"/>
            </w:tcBorders>
          </w:tcPr>
          <w:p>
            <w:pPr>
              <w:jc w:val="center"/>
              <w:ind w:right="1"/>
              <w:spacing w:after="0" w:line="110" w:lineRule="exact"/>
              <w:rPr>
                <w:sz w:val="20"/>
                <w:szCs w:val="20"/>
                <w:color w:val="auto"/>
              </w:rPr>
            </w:pPr>
            <w:r>
              <w:rPr>
                <w:rFonts w:ascii="Arial" w:cs="Arial" w:eastAsia="Arial" w:hAnsi="Arial"/>
                <w:sz w:val="11"/>
                <w:szCs w:val="11"/>
                <w:b w:val="1"/>
                <w:bCs w:val="1"/>
                <w:color w:val="auto"/>
                <w:w w:val="98"/>
              </w:rPr>
              <w:t>Shares or</w:t>
            </w:r>
          </w:p>
        </w:tc>
        <w:tc>
          <w:tcPr>
            <w:tcW w:w="920" w:type="dxa"/>
            <w:vAlign w:val="bottom"/>
            <w:tcBorders>
              <w:right w:val="single" w:sz="8" w:color="auto"/>
            </w:tcBorders>
            <w:gridSpan w:val="2"/>
          </w:tcPr>
          <w:p>
            <w:pPr>
              <w:jc w:val="center"/>
              <w:spacing w:after="0" w:line="110" w:lineRule="exact"/>
              <w:rPr>
                <w:sz w:val="20"/>
                <w:szCs w:val="20"/>
                <w:color w:val="auto"/>
              </w:rPr>
            </w:pPr>
            <w:r>
              <w:rPr>
                <w:rFonts w:ascii="Arial" w:cs="Arial" w:eastAsia="Arial" w:hAnsi="Arial"/>
                <w:sz w:val="11"/>
                <w:szCs w:val="11"/>
                <w:b w:val="1"/>
                <w:bCs w:val="1"/>
                <w:color w:val="auto"/>
                <w:w w:val="97"/>
              </w:rPr>
              <w:t>Market Value</w:t>
            </w:r>
          </w:p>
        </w:tc>
        <w:tc>
          <w:tcPr>
            <w:tcW w:w="1040" w:type="dxa"/>
            <w:vAlign w:val="bottom"/>
            <w:tcBorders>
              <w:right w:val="single" w:sz="8" w:color="auto"/>
            </w:tcBorders>
          </w:tcPr>
          <w:p>
            <w:pPr>
              <w:jc w:val="center"/>
              <w:ind w:right="3"/>
              <w:spacing w:after="0" w:line="110" w:lineRule="exact"/>
              <w:rPr>
                <w:sz w:val="20"/>
                <w:szCs w:val="20"/>
                <w:color w:val="auto"/>
              </w:rPr>
            </w:pPr>
            <w:r>
              <w:rPr>
                <w:rFonts w:ascii="Arial" w:cs="Arial" w:eastAsia="Arial" w:hAnsi="Arial"/>
                <w:sz w:val="11"/>
                <w:szCs w:val="11"/>
                <w:b w:val="1"/>
                <w:bCs w:val="1"/>
                <w:color w:val="auto"/>
                <w:w w:val="98"/>
              </w:rPr>
              <w:t>Unearned</w:t>
            </w:r>
          </w:p>
        </w:tc>
        <w:tc>
          <w:tcPr>
            <w:tcW w:w="1260" w:type="dxa"/>
            <w:vAlign w:val="bottom"/>
            <w:tcBorders>
              <w:right w:val="single" w:sz="8" w:color="auto"/>
            </w:tcBorders>
            <w:gridSpan w:val="2"/>
          </w:tcPr>
          <w:p>
            <w:pPr>
              <w:jc w:val="center"/>
              <w:ind w:right="99"/>
              <w:spacing w:after="0" w:line="110" w:lineRule="exact"/>
              <w:rPr>
                <w:sz w:val="20"/>
                <w:szCs w:val="20"/>
                <w:color w:val="auto"/>
              </w:rPr>
            </w:pPr>
            <w:r>
              <w:rPr>
                <w:rFonts w:ascii="Arial" w:cs="Arial" w:eastAsia="Arial" w:hAnsi="Arial"/>
                <w:sz w:val="11"/>
                <w:szCs w:val="11"/>
                <w:b w:val="1"/>
                <w:bCs w:val="1"/>
                <w:color w:val="auto"/>
                <w:w w:val="96"/>
              </w:rPr>
              <w:t>Market or Payout</w:t>
            </w:r>
          </w:p>
        </w:tc>
        <w:tc>
          <w:tcPr>
            <w:tcW w:w="0" w:type="dxa"/>
            <w:vAlign w:val="bottom"/>
          </w:tcPr>
          <w:p>
            <w:pPr>
              <w:spacing w:after="0"/>
              <w:rPr>
                <w:sz w:val="1"/>
                <w:szCs w:val="1"/>
                <w:color w:val="auto"/>
              </w:rPr>
            </w:pPr>
          </w:p>
        </w:tc>
      </w:tr>
      <w:tr>
        <w:trPr>
          <w:trHeight w:val="122"/>
        </w:trPr>
        <w:tc>
          <w:tcPr>
            <w:tcW w:w="2400" w:type="dxa"/>
            <w:vAlign w:val="bottom"/>
            <w:tcBorders>
              <w:left w:val="single" w:sz="8" w:color="auto"/>
              <w:right w:val="single" w:sz="8" w:color="auto"/>
            </w:tcBorders>
          </w:tcPr>
          <w:p>
            <w:pPr>
              <w:spacing w:after="0"/>
              <w:rPr>
                <w:sz w:val="10"/>
                <w:szCs w:val="10"/>
                <w:color w:val="auto"/>
              </w:rPr>
            </w:pPr>
          </w:p>
        </w:tc>
        <w:tc>
          <w:tcPr>
            <w:tcW w:w="880" w:type="dxa"/>
            <w:vAlign w:val="bottom"/>
            <w:tcBorders>
              <w:right w:val="single" w:sz="8" w:color="auto"/>
            </w:tcBorders>
          </w:tcPr>
          <w:p>
            <w:pPr>
              <w:spacing w:after="0"/>
              <w:rPr>
                <w:sz w:val="10"/>
                <w:szCs w:val="10"/>
                <w:color w:val="auto"/>
              </w:rPr>
            </w:pPr>
          </w:p>
        </w:tc>
        <w:tc>
          <w:tcPr>
            <w:tcW w:w="1760" w:type="dxa"/>
            <w:vAlign w:val="bottom"/>
            <w:tcBorders>
              <w:right w:val="single" w:sz="8" w:color="auto"/>
            </w:tcBorders>
            <w:gridSpan w:val="3"/>
          </w:tcPr>
          <w:p>
            <w:pPr>
              <w:jc w:val="center"/>
              <w:spacing w:after="0" w:line="122" w:lineRule="exact"/>
              <w:rPr>
                <w:sz w:val="20"/>
                <w:szCs w:val="20"/>
                <w:color w:val="auto"/>
              </w:rPr>
            </w:pPr>
            <w:r>
              <w:rPr>
                <w:rFonts w:ascii="Arial" w:cs="Arial" w:eastAsia="Arial" w:hAnsi="Arial"/>
                <w:sz w:val="11"/>
                <w:szCs w:val="11"/>
                <w:b w:val="1"/>
                <w:bCs w:val="1"/>
                <w:color w:val="auto"/>
                <w:w w:val="98"/>
              </w:rPr>
              <w:t>Underlying Unexercised</w:t>
            </w:r>
          </w:p>
        </w:tc>
        <w:tc>
          <w:tcPr>
            <w:tcW w:w="660" w:type="dxa"/>
            <w:vAlign w:val="bottom"/>
            <w:tcBorders>
              <w:right w:val="single" w:sz="8" w:color="auto"/>
            </w:tcBorders>
            <w:gridSpan w:val="2"/>
          </w:tcPr>
          <w:p>
            <w:pPr>
              <w:ind w:left="120"/>
              <w:spacing w:after="0" w:line="122" w:lineRule="exact"/>
              <w:rPr>
                <w:sz w:val="20"/>
                <w:szCs w:val="20"/>
                <w:color w:val="auto"/>
              </w:rPr>
            </w:pPr>
            <w:r>
              <w:rPr>
                <w:rFonts w:ascii="Arial" w:cs="Arial" w:eastAsia="Arial" w:hAnsi="Arial"/>
                <w:sz w:val="11"/>
                <w:szCs w:val="11"/>
                <w:b w:val="1"/>
                <w:bCs w:val="1"/>
                <w:color w:val="auto"/>
              </w:rPr>
              <w:t>Option</w:t>
            </w:r>
          </w:p>
        </w:tc>
        <w:tc>
          <w:tcPr>
            <w:tcW w:w="880" w:type="dxa"/>
            <w:vAlign w:val="bottom"/>
            <w:tcBorders>
              <w:right w:val="single" w:sz="8" w:color="auto"/>
            </w:tcBorders>
          </w:tcPr>
          <w:p>
            <w:pPr>
              <w:spacing w:after="0"/>
              <w:rPr>
                <w:sz w:val="10"/>
                <w:szCs w:val="10"/>
                <w:color w:val="auto"/>
              </w:rPr>
            </w:pPr>
          </w:p>
        </w:tc>
        <w:tc>
          <w:tcPr>
            <w:tcW w:w="880" w:type="dxa"/>
            <w:vAlign w:val="bottom"/>
            <w:tcBorders>
              <w:right w:val="single" w:sz="8" w:color="auto"/>
            </w:tcBorders>
          </w:tcPr>
          <w:p>
            <w:pPr>
              <w:spacing w:after="0"/>
              <w:rPr>
                <w:sz w:val="10"/>
                <w:szCs w:val="10"/>
                <w:color w:val="auto"/>
              </w:rPr>
            </w:pPr>
          </w:p>
        </w:tc>
        <w:tc>
          <w:tcPr>
            <w:tcW w:w="760" w:type="dxa"/>
            <w:vAlign w:val="bottom"/>
            <w:tcBorders>
              <w:right w:val="single" w:sz="8" w:color="auto"/>
            </w:tcBorders>
          </w:tcPr>
          <w:p>
            <w:pPr>
              <w:jc w:val="center"/>
              <w:ind w:right="21"/>
              <w:spacing w:after="0" w:line="122" w:lineRule="exact"/>
              <w:rPr>
                <w:sz w:val="20"/>
                <w:szCs w:val="20"/>
                <w:color w:val="auto"/>
              </w:rPr>
            </w:pPr>
            <w:r>
              <w:rPr>
                <w:rFonts w:ascii="Arial" w:cs="Arial" w:eastAsia="Arial" w:hAnsi="Arial"/>
                <w:sz w:val="11"/>
                <w:szCs w:val="11"/>
                <w:b w:val="1"/>
                <w:bCs w:val="1"/>
                <w:color w:val="auto"/>
                <w:w w:val="97"/>
              </w:rPr>
              <w:t>Units of</w:t>
            </w:r>
          </w:p>
        </w:tc>
        <w:tc>
          <w:tcPr>
            <w:tcW w:w="920" w:type="dxa"/>
            <w:vAlign w:val="bottom"/>
            <w:tcBorders>
              <w:right w:val="single" w:sz="8" w:color="auto"/>
            </w:tcBorders>
            <w:gridSpan w:val="2"/>
          </w:tcPr>
          <w:p>
            <w:pPr>
              <w:jc w:val="center"/>
              <w:spacing w:after="0" w:line="122" w:lineRule="exact"/>
              <w:rPr>
                <w:sz w:val="20"/>
                <w:szCs w:val="20"/>
                <w:color w:val="auto"/>
              </w:rPr>
            </w:pPr>
            <w:r>
              <w:rPr>
                <w:rFonts w:ascii="Arial" w:cs="Arial" w:eastAsia="Arial" w:hAnsi="Arial"/>
                <w:sz w:val="11"/>
                <w:szCs w:val="11"/>
                <w:b w:val="1"/>
                <w:bCs w:val="1"/>
                <w:color w:val="auto"/>
                <w:w w:val="96"/>
              </w:rPr>
              <w:t>of Shares or</w:t>
            </w:r>
          </w:p>
        </w:tc>
        <w:tc>
          <w:tcPr>
            <w:tcW w:w="1040" w:type="dxa"/>
            <w:vAlign w:val="bottom"/>
            <w:tcBorders>
              <w:right w:val="single" w:sz="8" w:color="auto"/>
            </w:tcBorders>
          </w:tcPr>
          <w:p>
            <w:pPr>
              <w:jc w:val="center"/>
              <w:spacing w:after="0" w:line="122" w:lineRule="exact"/>
              <w:rPr>
                <w:sz w:val="20"/>
                <w:szCs w:val="20"/>
                <w:color w:val="auto"/>
              </w:rPr>
            </w:pPr>
            <w:r>
              <w:rPr>
                <w:rFonts w:ascii="Arial" w:cs="Arial" w:eastAsia="Arial" w:hAnsi="Arial"/>
                <w:sz w:val="11"/>
                <w:szCs w:val="11"/>
                <w:b w:val="1"/>
                <w:bCs w:val="1"/>
                <w:color w:val="auto"/>
                <w:w w:val="99"/>
              </w:rPr>
              <w:t>Shares, Units or</w:t>
            </w:r>
          </w:p>
        </w:tc>
        <w:tc>
          <w:tcPr>
            <w:tcW w:w="1260" w:type="dxa"/>
            <w:vAlign w:val="bottom"/>
            <w:tcBorders>
              <w:right w:val="single" w:sz="8" w:color="auto"/>
            </w:tcBorders>
            <w:gridSpan w:val="2"/>
          </w:tcPr>
          <w:p>
            <w:pPr>
              <w:jc w:val="center"/>
              <w:ind w:right="99"/>
              <w:spacing w:after="0" w:line="122" w:lineRule="exact"/>
              <w:rPr>
                <w:sz w:val="20"/>
                <w:szCs w:val="20"/>
                <w:color w:val="auto"/>
              </w:rPr>
            </w:pPr>
            <w:r>
              <w:rPr>
                <w:rFonts w:ascii="Arial" w:cs="Arial" w:eastAsia="Arial" w:hAnsi="Arial"/>
                <w:sz w:val="11"/>
                <w:szCs w:val="11"/>
                <w:b w:val="1"/>
                <w:bCs w:val="1"/>
                <w:color w:val="auto"/>
                <w:w w:val="97"/>
              </w:rPr>
              <w:t>Value of Unearned</w:t>
            </w:r>
          </w:p>
        </w:tc>
        <w:tc>
          <w:tcPr>
            <w:tcW w:w="0" w:type="dxa"/>
            <w:vAlign w:val="bottom"/>
          </w:tcPr>
          <w:p>
            <w:pPr>
              <w:spacing w:after="0"/>
              <w:rPr>
                <w:sz w:val="1"/>
                <w:szCs w:val="1"/>
                <w:color w:val="auto"/>
              </w:rPr>
            </w:pPr>
          </w:p>
        </w:tc>
      </w:tr>
      <w:tr>
        <w:trPr>
          <w:trHeight w:val="122"/>
        </w:trPr>
        <w:tc>
          <w:tcPr>
            <w:tcW w:w="2400" w:type="dxa"/>
            <w:vAlign w:val="bottom"/>
            <w:tcBorders>
              <w:left w:val="single" w:sz="8" w:color="auto"/>
              <w:right w:val="single" w:sz="8" w:color="auto"/>
            </w:tcBorders>
          </w:tcPr>
          <w:p>
            <w:pPr>
              <w:spacing w:after="0"/>
              <w:rPr>
                <w:sz w:val="10"/>
                <w:szCs w:val="10"/>
                <w:color w:val="auto"/>
              </w:rPr>
            </w:pPr>
          </w:p>
        </w:tc>
        <w:tc>
          <w:tcPr>
            <w:tcW w:w="880" w:type="dxa"/>
            <w:vAlign w:val="bottom"/>
            <w:tcBorders>
              <w:right w:val="single" w:sz="8" w:color="auto"/>
            </w:tcBorders>
          </w:tcPr>
          <w:p>
            <w:pPr>
              <w:spacing w:after="0"/>
              <w:rPr>
                <w:sz w:val="10"/>
                <w:szCs w:val="10"/>
                <w:color w:val="auto"/>
              </w:rPr>
            </w:pPr>
          </w:p>
        </w:tc>
        <w:tc>
          <w:tcPr>
            <w:tcW w:w="1760" w:type="dxa"/>
            <w:vAlign w:val="bottom"/>
            <w:tcBorders>
              <w:bottom w:val="single" w:sz="8" w:color="auto"/>
              <w:right w:val="single" w:sz="8" w:color="auto"/>
            </w:tcBorders>
            <w:gridSpan w:val="3"/>
          </w:tcPr>
          <w:p>
            <w:pPr>
              <w:jc w:val="center"/>
              <w:spacing w:after="0" w:line="102" w:lineRule="exact"/>
              <w:rPr>
                <w:sz w:val="20"/>
                <w:szCs w:val="20"/>
                <w:color w:val="auto"/>
              </w:rPr>
            </w:pPr>
            <w:r>
              <w:rPr>
                <w:rFonts w:ascii="Arial" w:cs="Arial" w:eastAsia="Arial" w:hAnsi="Arial"/>
                <w:sz w:val="11"/>
                <w:szCs w:val="11"/>
                <w:b w:val="1"/>
                <w:bCs w:val="1"/>
                <w:color w:val="auto"/>
              </w:rPr>
              <w:t>Options</w:t>
            </w:r>
          </w:p>
        </w:tc>
        <w:tc>
          <w:tcPr>
            <w:tcW w:w="660" w:type="dxa"/>
            <w:vAlign w:val="bottom"/>
            <w:tcBorders>
              <w:right w:val="single" w:sz="8" w:color="auto"/>
            </w:tcBorders>
            <w:gridSpan w:val="2"/>
          </w:tcPr>
          <w:p>
            <w:pPr>
              <w:ind w:left="80"/>
              <w:spacing w:after="0" w:line="102" w:lineRule="exact"/>
              <w:rPr>
                <w:sz w:val="20"/>
                <w:szCs w:val="20"/>
                <w:color w:val="auto"/>
              </w:rPr>
            </w:pPr>
            <w:r>
              <w:rPr>
                <w:rFonts w:ascii="Arial" w:cs="Arial" w:eastAsia="Arial" w:hAnsi="Arial"/>
                <w:sz w:val="11"/>
                <w:szCs w:val="11"/>
                <w:b w:val="1"/>
                <w:bCs w:val="1"/>
                <w:color w:val="auto"/>
              </w:rPr>
              <w:t>Exercise</w:t>
            </w:r>
          </w:p>
        </w:tc>
        <w:tc>
          <w:tcPr>
            <w:tcW w:w="880" w:type="dxa"/>
            <w:vAlign w:val="bottom"/>
            <w:tcBorders>
              <w:right w:val="single" w:sz="8" w:color="auto"/>
            </w:tcBorders>
          </w:tcPr>
          <w:p>
            <w:pPr>
              <w:jc w:val="center"/>
              <w:spacing w:after="0" w:line="102" w:lineRule="exact"/>
              <w:rPr>
                <w:sz w:val="20"/>
                <w:szCs w:val="20"/>
                <w:color w:val="auto"/>
              </w:rPr>
            </w:pPr>
            <w:r>
              <w:rPr>
                <w:rFonts w:ascii="Arial" w:cs="Arial" w:eastAsia="Arial" w:hAnsi="Arial"/>
                <w:sz w:val="11"/>
                <w:szCs w:val="11"/>
                <w:b w:val="1"/>
                <w:bCs w:val="1"/>
                <w:color w:val="auto"/>
                <w:w w:val="95"/>
              </w:rPr>
              <w:t>Option</w:t>
            </w:r>
          </w:p>
        </w:tc>
        <w:tc>
          <w:tcPr>
            <w:tcW w:w="880" w:type="dxa"/>
            <w:vAlign w:val="bottom"/>
            <w:tcBorders>
              <w:right w:val="single" w:sz="8" w:color="auto"/>
            </w:tcBorders>
          </w:tcPr>
          <w:p>
            <w:pPr>
              <w:spacing w:after="0"/>
              <w:rPr>
                <w:sz w:val="10"/>
                <w:szCs w:val="10"/>
                <w:color w:val="auto"/>
              </w:rPr>
            </w:pPr>
          </w:p>
        </w:tc>
        <w:tc>
          <w:tcPr>
            <w:tcW w:w="760" w:type="dxa"/>
            <w:vAlign w:val="bottom"/>
            <w:tcBorders>
              <w:right w:val="single" w:sz="8" w:color="auto"/>
            </w:tcBorders>
          </w:tcPr>
          <w:p>
            <w:pPr>
              <w:jc w:val="center"/>
              <w:ind w:right="1"/>
              <w:spacing w:after="0" w:line="102" w:lineRule="exact"/>
              <w:rPr>
                <w:sz w:val="20"/>
                <w:szCs w:val="20"/>
                <w:color w:val="auto"/>
              </w:rPr>
            </w:pPr>
            <w:r>
              <w:rPr>
                <w:rFonts w:ascii="Arial" w:cs="Arial" w:eastAsia="Arial" w:hAnsi="Arial"/>
                <w:sz w:val="11"/>
                <w:szCs w:val="11"/>
                <w:b w:val="1"/>
                <w:bCs w:val="1"/>
                <w:color w:val="auto"/>
                <w:w w:val="95"/>
              </w:rPr>
              <w:t>Stock That</w:t>
            </w:r>
          </w:p>
        </w:tc>
        <w:tc>
          <w:tcPr>
            <w:tcW w:w="920" w:type="dxa"/>
            <w:vAlign w:val="bottom"/>
            <w:tcBorders>
              <w:right w:val="single" w:sz="8" w:color="auto"/>
            </w:tcBorders>
            <w:gridSpan w:val="2"/>
          </w:tcPr>
          <w:p>
            <w:pPr>
              <w:ind w:left="60"/>
              <w:spacing w:after="0" w:line="102" w:lineRule="exact"/>
              <w:rPr>
                <w:sz w:val="20"/>
                <w:szCs w:val="20"/>
                <w:color w:val="auto"/>
              </w:rPr>
            </w:pPr>
            <w:r>
              <w:rPr>
                <w:rFonts w:ascii="Arial" w:cs="Arial" w:eastAsia="Arial" w:hAnsi="Arial"/>
                <w:sz w:val="11"/>
                <w:szCs w:val="11"/>
                <w:b w:val="1"/>
                <w:bCs w:val="1"/>
                <w:color w:val="auto"/>
              </w:rPr>
              <w:t>Units of Stock</w:t>
            </w:r>
          </w:p>
        </w:tc>
        <w:tc>
          <w:tcPr>
            <w:tcW w:w="1040" w:type="dxa"/>
            <w:vAlign w:val="bottom"/>
            <w:tcBorders>
              <w:right w:val="single" w:sz="8" w:color="auto"/>
            </w:tcBorders>
          </w:tcPr>
          <w:p>
            <w:pPr>
              <w:jc w:val="center"/>
              <w:spacing w:after="0" w:line="102" w:lineRule="exact"/>
              <w:rPr>
                <w:sz w:val="20"/>
                <w:szCs w:val="20"/>
                <w:color w:val="auto"/>
              </w:rPr>
            </w:pPr>
            <w:r>
              <w:rPr>
                <w:rFonts w:ascii="Arial" w:cs="Arial" w:eastAsia="Arial" w:hAnsi="Arial"/>
                <w:sz w:val="11"/>
                <w:szCs w:val="11"/>
                <w:b w:val="1"/>
                <w:bCs w:val="1"/>
                <w:color w:val="auto"/>
                <w:w w:val="95"/>
              </w:rPr>
              <w:t>Other Rights</w:t>
            </w:r>
          </w:p>
        </w:tc>
        <w:tc>
          <w:tcPr>
            <w:tcW w:w="1260" w:type="dxa"/>
            <w:vAlign w:val="bottom"/>
            <w:tcBorders>
              <w:right w:val="single" w:sz="8" w:color="auto"/>
            </w:tcBorders>
            <w:gridSpan w:val="2"/>
          </w:tcPr>
          <w:p>
            <w:pPr>
              <w:jc w:val="center"/>
              <w:ind w:right="99"/>
              <w:spacing w:after="0" w:line="102" w:lineRule="exact"/>
              <w:rPr>
                <w:sz w:val="20"/>
                <w:szCs w:val="20"/>
                <w:color w:val="auto"/>
              </w:rPr>
            </w:pPr>
            <w:r>
              <w:rPr>
                <w:rFonts w:ascii="Arial" w:cs="Arial" w:eastAsia="Arial" w:hAnsi="Arial"/>
                <w:sz w:val="11"/>
                <w:szCs w:val="11"/>
                <w:b w:val="1"/>
                <w:bCs w:val="1"/>
                <w:color w:val="auto"/>
                <w:w w:val="97"/>
              </w:rPr>
              <w:t>Shares, Units or</w:t>
            </w:r>
          </w:p>
        </w:tc>
        <w:tc>
          <w:tcPr>
            <w:tcW w:w="0" w:type="dxa"/>
            <w:vAlign w:val="bottom"/>
          </w:tcPr>
          <w:p>
            <w:pPr>
              <w:spacing w:after="0"/>
              <w:rPr>
                <w:sz w:val="1"/>
                <w:szCs w:val="1"/>
                <w:color w:val="auto"/>
              </w:rPr>
            </w:pPr>
          </w:p>
        </w:tc>
      </w:tr>
      <w:tr>
        <w:trPr>
          <w:trHeight w:val="102"/>
        </w:trPr>
        <w:tc>
          <w:tcPr>
            <w:tcW w:w="2400" w:type="dxa"/>
            <w:vAlign w:val="bottom"/>
            <w:tcBorders>
              <w:left w:val="single" w:sz="8" w:color="auto"/>
              <w:right w:val="single" w:sz="8" w:color="auto"/>
            </w:tcBorders>
          </w:tcPr>
          <w:p>
            <w:pPr>
              <w:spacing w:after="0"/>
              <w:rPr>
                <w:sz w:val="8"/>
                <w:szCs w:val="8"/>
                <w:color w:val="auto"/>
              </w:rPr>
            </w:pPr>
          </w:p>
        </w:tc>
        <w:tc>
          <w:tcPr>
            <w:tcW w:w="880" w:type="dxa"/>
            <w:vAlign w:val="bottom"/>
            <w:tcBorders>
              <w:right w:val="single" w:sz="8" w:color="auto"/>
            </w:tcBorders>
          </w:tcPr>
          <w:p>
            <w:pPr>
              <w:spacing w:after="0"/>
              <w:rPr>
                <w:sz w:val="8"/>
                <w:szCs w:val="8"/>
                <w:color w:val="auto"/>
              </w:rPr>
            </w:pPr>
          </w:p>
        </w:tc>
        <w:tc>
          <w:tcPr>
            <w:tcW w:w="720" w:type="dxa"/>
            <w:vAlign w:val="bottom"/>
          </w:tcPr>
          <w:p>
            <w:pPr>
              <w:spacing w:after="0"/>
              <w:rPr>
                <w:sz w:val="8"/>
                <w:szCs w:val="8"/>
                <w:color w:val="auto"/>
              </w:rPr>
            </w:pPr>
          </w:p>
        </w:tc>
        <w:tc>
          <w:tcPr>
            <w:tcW w:w="100" w:type="dxa"/>
            <w:vAlign w:val="bottom"/>
            <w:tcBorders>
              <w:right w:val="single" w:sz="8" w:color="auto"/>
            </w:tcBorders>
          </w:tcPr>
          <w:p>
            <w:pPr>
              <w:spacing w:after="0"/>
              <w:rPr>
                <w:sz w:val="8"/>
                <w:szCs w:val="8"/>
                <w:color w:val="auto"/>
              </w:rPr>
            </w:pPr>
          </w:p>
        </w:tc>
        <w:tc>
          <w:tcPr>
            <w:tcW w:w="940" w:type="dxa"/>
            <w:vAlign w:val="bottom"/>
            <w:tcBorders>
              <w:right w:val="single" w:sz="8" w:color="auto"/>
            </w:tcBorders>
          </w:tcPr>
          <w:p>
            <w:pPr>
              <w:spacing w:after="0"/>
              <w:rPr>
                <w:sz w:val="8"/>
                <w:szCs w:val="8"/>
                <w:color w:val="auto"/>
              </w:rPr>
            </w:pPr>
          </w:p>
        </w:tc>
        <w:tc>
          <w:tcPr>
            <w:tcW w:w="160" w:type="dxa"/>
            <w:vAlign w:val="bottom"/>
          </w:tcPr>
          <w:p>
            <w:pPr>
              <w:spacing w:after="0"/>
              <w:rPr>
                <w:sz w:val="8"/>
                <w:szCs w:val="8"/>
                <w:color w:val="auto"/>
              </w:rPr>
            </w:pPr>
          </w:p>
        </w:tc>
        <w:tc>
          <w:tcPr>
            <w:tcW w:w="500" w:type="dxa"/>
            <w:vAlign w:val="bottom"/>
            <w:tcBorders>
              <w:right w:val="single" w:sz="8" w:color="auto"/>
            </w:tcBorders>
          </w:tcPr>
          <w:p>
            <w:pPr>
              <w:jc w:val="right"/>
              <w:ind w:right="157"/>
              <w:spacing w:after="0" w:line="102" w:lineRule="exact"/>
              <w:rPr>
                <w:sz w:val="20"/>
                <w:szCs w:val="20"/>
                <w:color w:val="auto"/>
              </w:rPr>
            </w:pPr>
            <w:r>
              <w:rPr>
                <w:rFonts w:ascii="Arial" w:cs="Arial" w:eastAsia="Arial" w:hAnsi="Arial"/>
                <w:sz w:val="11"/>
                <w:szCs w:val="11"/>
                <w:b w:val="1"/>
                <w:bCs w:val="1"/>
                <w:color w:val="auto"/>
                <w:w w:val="96"/>
              </w:rPr>
              <w:t>Price</w:t>
            </w:r>
          </w:p>
        </w:tc>
        <w:tc>
          <w:tcPr>
            <w:tcW w:w="880" w:type="dxa"/>
            <w:vAlign w:val="bottom"/>
            <w:tcBorders>
              <w:right w:val="single" w:sz="8" w:color="auto"/>
            </w:tcBorders>
          </w:tcPr>
          <w:p>
            <w:pPr>
              <w:jc w:val="center"/>
              <w:spacing w:after="0" w:line="102" w:lineRule="exact"/>
              <w:rPr>
                <w:sz w:val="20"/>
                <w:szCs w:val="20"/>
                <w:color w:val="auto"/>
              </w:rPr>
            </w:pPr>
            <w:r>
              <w:rPr>
                <w:rFonts w:ascii="Arial" w:cs="Arial" w:eastAsia="Arial" w:hAnsi="Arial"/>
                <w:sz w:val="11"/>
                <w:szCs w:val="11"/>
                <w:b w:val="1"/>
                <w:bCs w:val="1"/>
                <w:color w:val="auto"/>
              </w:rPr>
              <w:t>Expiration</w:t>
            </w:r>
          </w:p>
        </w:tc>
        <w:tc>
          <w:tcPr>
            <w:tcW w:w="880" w:type="dxa"/>
            <w:vAlign w:val="bottom"/>
            <w:tcBorders>
              <w:right w:val="single" w:sz="8" w:color="auto"/>
            </w:tcBorders>
          </w:tcPr>
          <w:p>
            <w:pPr>
              <w:spacing w:after="0"/>
              <w:rPr>
                <w:sz w:val="8"/>
                <w:szCs w:val="8"/>
                <w:color w:val="auto"/>
              </w:rPr>
            </w:pPr>
          </w:p>
        </w:tc>
        <w:tc>
          <w:tcPr>
            <w:tcW w:w="760" w:type="dxa"/>
            <w:vAlign w:val="bottom"/>
            <w:tcBorders>
              <w:right w:val="single" w:sz="8" w:color="auto"/>
            </w:tcBorders>
          </w:tcPr>
          <w:p>
            <w:pPr>
              <w:jc w:val="center"/>
              <w:ind w:right="1"/>
              <w:spacing w:after="0" w:line="102" w:lineRule="exact"/>
              <w:rPr>
                <w:sz w:val="20"/>
                <w:szCs w:val="20"/>
                <w:color w:val="auto"/>
              </w:rPr>
            </w:pPr>
            <w:r>
              <w:rPr>
                <w:rFonts w:ascii="Arial" w:cs="Arial" w:eastAsia="Arial" w:hAnsi="Arial"/>
                <w:sz w:val="11"/>
                <w:szCs w:val="11"/>
                <w:b w:val="1"/>
                <w:bCs w:val="1"/>
                <w:color w:val="auto"/>
                <w:w w:val="96"/>
              </w:rPr>
              <w:t>Have Not</w:t>
            </w:r>
          </w:p>
        </w:tc>
        <w:tc>
          <w:tcPr>
            <w:tcW w:w="140" w:type="dxa"/>
            <w:vAlign w:val="bottom"/>
          </w:tcPr>
          <w:p>
            <w:pPr>
              <w:spacing w:after="0"/>
              <w:rPr>
                <w:sz w:val="8"/>
                <w:szCs w:val="8"/>
                <w:color w:val="auto"/>
              </w:rPr>
            </w:pPr>
          </w:p>
        </w:tc>
        <w:tc>
          <w:tcPr>
            <w:tcW w:w="780" w:type="dxa"/>
            <w:vAlign w:val="bottom"/>
            <w:tcBorders>
              <w:right w:val="single" w:sz="8" w:color="auto"/>
            </w:tcBorders>
          </w:tcPr>
          <w:p>
            <w:pPr>
              <w:jc w:val="center"/>
              <w:ind w:right="140"/>
              <w:spacing w:after="0" w:line="102" w:lineRule="exact"/>
              <w:rPr>
                <w:sz w:val="20"/>
                <w:szCs w:val="20"/>
                <w:color w:val="auto"/>
              </w:rPr>
            </w:pPr>
            <w:r>
              <w:rPr>
                <w:rFonts w:ascii="Arial" w:cs="Arial" w:eastAsia="Arial" w:hAnsi="Arial"/>
                <w:sz w:val="11"/>
                <w:szCs w:val="11"/>
                <w:b w:val="1"/>
                <w:bCs w:val="1"/>
                <w:color w:val="auto"/>
                <w:w w:val="95"/>
              </w:rPr>
              <w:t>That Have</w:t>
            </w:r>
          </w:p>
        </w:tc>
        <w:tc>
          <w:tcPr>
            <w:tcW w:w="1040" w:type="dxa"/>
            <w:vAlign w:val="bottom"/>
            <w:tcBorders>
              <w:right w:val="single" w:sz="8" w:color="auto"/>
            </w:tcBorders>
          </w:tcPr>
          <w:p>
            <w:pPr>
              <w:jc w:val="center"/>
              <w:spacing w:after="0" w:line="102" w:lineRule="exact"/>
              <w:rPr>
                <w:sz w:val="20"/>
                <w:szCs w:val="20"/>
                <w:color w:val="auto"/>
              </w:rPr>
            </w:pPr>
            <w:r>
              <w:rPr>
                <w:rFonts w:ascii="Arial" w:cs="Arial" w:eastAsia="Arial" w:hAnsi="Arial"/>
                <w:sz w:val="11"/>
                <w:szCs w:val="11"/>
                <w:b w:val="1"/>
                <w:bCs w:val="1"/>
                <w:color w:val="auto"/>
                <w:w w:val="97"/>
              </w:rPr>
              <w:t>That Have Not</w:t>
            </w:r>
          </w:p>
        </w:tc>
        <w:tc>
          <w:tcPr>
            <w:tcW w:w="1260" w:type="dxa"/>
            <w:vAlign w:val="bottom"/>
            <w:tcBorders>
              <w:right w:val="single" w:sz="8" w:color="auto"/>
            </w:tcBorders>
            <w:gridSpan w:val="2"/>
          </w:tcPr>
          <w:p>
            <w:pPr>
              <w:jc w:val="center"/>
              <w:ind w:right="99"/>
              <w:spacing w:after="0" w:line="102" w:lineRule="exact"/>
              <w:rPr>
                <w:sz w:val="20"/>
                <w:szCs w:val="20"/>
                <w:color w:val="auto"/>
              </w:rPr>
            </w:pPr>
            <w:r>
              <w:rPr>
                <w:rFonts w:ascii="Arial" w:cs="Arial" w:eastAsia="Arial" w:hAnsi="Arial"/>
                <w:sz w:val="11"/>
                <w:szCs w:val="11"/>
                <w:b w:val="1"/>
                <w:bCs w:val="1"/>
                <w:color w:val="auto"/>
                <w:w w:val="96"/>
              </w:rPr>
              <w:t>Other Rights That</w:t>
            </w:r>
          </w:p>
        </w:tc>
        <w:tc>
          <w:tcPr>
            <w:tcW w:w="0" w:type="dxa"/>
            <w:vAlign w:val="bottom"/>
          </w:tcPr>
          <w:p>
            <w:pPr>
              <w:spacing w:after="0"/>
              <w:rPr>
                <w:sz w:val="1"/>
                <w:szCs w:val="1"/>
                <w:color w:val="auto"/>
              </w:rPr>
            </w:pPr>
          </w:p>
        </w:tc>
      </w:tr>
      <w:tr>
        <w:trPr>
          <w:trHeight w:val="156"/>
        </w:trPr>
        <w:tc>
          <w:tcPr>
            <w:tcW w:w="2400" w:type="dxa"/>
            <w:vAlign w:val="bottom"/>
            <w:tcBorders>
              <w:left w:val="single" w:sz="8" w:color="auto"/>
              <w:bottom w:val="single" w:sz="8" w:color="auto"/>
              <w:right w:val="single" w:sz="8" w:color="auto"/>
            </w:tcBorders>
          </w:tcPr>
          <w:p>
            <w:pPr>
              <w:ind w:left="160"/>
              <w:spacing w:after="0"/>
              <w:rPr>
                <w:sz w:val="20"/>
                <w:szCs w:val="20"/>
                <w:color w:val="auto"/>
              </w:rPr>
            </w:pPr>
            <w:r>
              <w:rPr>
                <w:rFonts w:ascii="Arial" w:cs="Arial" w:eastAsia="Arial" w:hAnsi="Arial"/>
                <w:sz w:val="11"/>
                <w:szCs w:val="11"/>
                <w:b w:val="1"/>
                <w:bCs w:val="1"/>
                <w:color w:val="auto"/>
              </w:rPr>
              <w:t>Name</w:t>
            </w:r>
          </w:p>
        </w:tc>
        <w:tc>
          <w:tcPr>
            <w:tcW w:w="880" w:type="dxa"/>
            <w:vAlign w:val="bottom"/>
            <w:tcBorders>
              <w:bottom w:val="single" w:sz="8" w:color="auto"/>
              <w:right w:val="single" w:sz="8" w:color="auto"/>
            </w:tcBorders>
          </w:tcPr>
          <w:p>
            <w:pPr>
              <w:jc w:val="right"/>
              <w:ind w:right="117"/>
              <w:spacing w:after="0"/>
              <w:rPr>
                <w:sz w:val="20"/>
                <w:szCs w:val="20"/>
                <w:color w:val="auto"/>
              </w:rPr>
            </w:pPr>
            <w:r>
              <w:rPr>
                <w:rFonts w:ascii="Arial" w:cs="Arial" w:eastAsia="Arial" w:hAnsi="Arial"/>
                <w:sz w:val="11"/>
                <w:szCs w:val="11"/>
                <w:b w:val="1"/>
                <w:bCs w:val="1"/>
                <w:color w:val="auto"/>
              </w:rPr>
              <w:t>Grant Date</w:t>
            </w: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1"/>
                <w:szCs w:val="11"/>
                <w:b w:val="1"/>
                <w:bCs w:val="1"/>
                <w:color w:val="auto"/>
              </w:rPr>
              <w:t>Exercisable</w:t>
            </w:r>
          </w:p>
        </w:tc>
        <w:tc>
          <w:tcPr>
            <w:tcW w:w="100" w:type="dxa"/>
            <w:vAlign w:val="bottom"/>
            <w:tcBorders>
              <w:bottom w:val="single" w:sz="8" w:color="auto"/>
              <w:right w:val="single" w:sz="8" w:color="auto"/>
            </w:tcBorders>
          </w:tcPr>
          <w:p>
            <w:pPr>
              <w:spacing w:after="0"/>
              <w:rPr>
                <w:sz w:val="13"/>
                <w:szCs w:val="13"/>
                <w:color w:val="auto"/>
              </w:rPr>
            </w:pPr>
          </w:p>
        </w:tc>
        <w:tc>
          <w:tcPr>
            <w:tcW w:w="940" w:type="dxa"/>
            <w:vAlign w:val="bottom"/>
            <w:tcBorders>
              <w:bottom w:val="single" w:sz="8" w:color="auto"/>
              <w:right w:val="single" w:sz="8" w:color="auto"/>
            </w:tcBorders>
          </w:tcPr>
          <w:p>
            <w:pPr>
              <w:jc w:val="right"/>
              <w:ind w:right="77"/>
              <w:spacing w:after="0"/>
              <w:rPr>
                <w:sz w:val="20"/>
                <w:szCs w:val="20"/>
                <w:color w:val="auto"/>
              </w:rPr>
            </w:pPr>
            <w:r>
              <w:rPr>
                <w:rFonts w:ascii="Arial" w:cs="Arial" w:eastAsia="Arial" w:hAnsi="Arial"/>
                <w:sz w:val="11"/>
                <w:szCs w:val="11"/>
                <w:b w:val="1"/>
                <w:bCs w:val="1"/>
                <w:color w:val="auto"/>
              </w:rPr>
              <w:t>Unexercisable</w:t>
            </w:r>
          </w:p>
        </w:tc>
        <w:tc>
          <w:tcPr>
            <w:tcW w:w="660" w:type="dxa"/>
            <w:vAlign w:val="bottom"/>
            <w:tcBorders>
              <w:bottom w:val="single" w:sz="8" w:color="auto"/>
              <w:right w:val="single" w:sz="8" w:color="auto"/>
            </w:tcBorders>
            <w:gridSpan w:val="2"/>
          </w:tcPr>
          <w:p>
            <w:pPr>
              <w:ind w:left="80"/>
              <w:spacing w:after="0"/>
              <w:rPr>
                <w:sz w:val="20"/>
                <w:szCs w:val="20"/>
                <w:color w:val="auto"/>
              </w:rPr>
            </w:pPr>
            <w:r>
              <w:rPr>
                <w:rFonts w:ascii="Arial" w:cs="Arial" w:eastAsia="Arial" w:hAnsi="Arial"/>
                <w:sz w:val="11"/>
                <w:szCs w:val="11"/>
                <w:b w:val="1"/>
                <w:bCs w:val="1"/>
                <w:color w:val="auto"/>
              </w:rPr>
              <w:t>($/share)</w:t>
            </w:r>
          </w:p>
        </w:tc>
        <w:tc>
          <w:tcPr>
            <w:tcW w:w="88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1"/>
                <w:szCs w:val="11"/>
                <w:b w:val="1"/>
                <w:bCs w:val="1"/>
                <w:color w:val="auto"/>
                <w:w w:val="92"/>
              </w:rPr>
              <w:t>Date</w:t>
            </w:r>
          </w:p>
        </w:tc>
        <w:tc>
          <w:tcPr>
            <w:tcW w:w="880" w:type="dxa"/>
            <w:vAlign w:val="bottom"/>
            <w:tcBorders>
              <w:bottom w:val="single" w:sz="8" w:color="auto"/>
              <w:right w:val="single" w:sz="8" w:color="auto"/>
            </w:tcBorders>
          </w:tcPr>
          <w:p>
            <w:pPr>
              <w:jc w:val="right"/>
              <w:ind w:right="138"/>
              <w:spacing w:after="0"/>
              <w:rPr>
                <w:sz w:val="20"/>
                <w:szCs w:val="20"/>
                <w:color w:val="auto"/>
              </w:rPr>
            </w:pPr>
            <w:r>
              <w:rPr>
                <w:rFonts w:ascii="Arial" w:cs="Arial" w:eastAsia="Arial" w:hAnsi="Arial"/>
                <w:sz w:val="11"/>
                <w:szCs w:val="11"/>
                <w:b w:val="1"/>
                <w:bCs w:val="1"/>
                <w:color w:val="auto"/>
              </w:rPr>
              <w:t>Grant Date</w:t>
            </w:r>
          </w:p>
        </w:tc>
        <w:tc>
          <w:tcPr>
            <w:tcW w:w="760" w:type="dxa"/>
            <w:vAlign w:val="bottom"/>
            <w:tcBorders>
              <w:bottom w:val="single" w:sz="8" w:color="auto"/>
              <w:right w:val="single" w:sz="8" w:color="auto"/>
            </w:tcBorders>
          </w:tcPr>
          <w:p>
            <w:pPr>
              <w:jc w:val="center"/>
              <w:ind w:right="1"/>
              <w:spacing w:after="0"/>
              <w:rPr>
                <w:sz w:val="20"/>
                <w:szCs w:val="20"/>
                <w:color w:val="auto"/>
              </w:rPr>
            </w:pPr>
            <w:r>
              <w:rPr>
                <w:rFonts w:ascii="Arial" w:cs="Arial" w:eastAsia="Arial" w:hAnsi="Arial"/>
                <w:sz w:val="11"/>
                <w:szCs w:val="11"/>
                <w:b w:val="1"/>
                <w:bCs w:val="1"/>
                <w:color w:val="auto"/>
                <w:w w:val="94"/>
              </w:rPr>
              <w:t>Vested</w:t>
            </w:r>
          </w:p>
        </w:tc>
        <w:tc>
          <w:tcPr>
            <w:tcW w:w="140" w:type="dxa"/>
            <w:vAlign w:val="bottom"/>
            <w:tcBorders>
              <w:bottom w:val="single" w:sz="8" w:color="auto"/>
            </w:tcBorders>
          </w:tcPr>
          <w:p>
            <w:pPr>
              <w:spacing w:after="0"/>
              <w:rPr>
                <w:sz w:val="13"/>
                <w:szCs w:val="13"/>
                <w:color w:val="auto"/>
              </w:rPr>
            </w:pPr>
          </w:p>
        </w:tc>
        <w:tc>
          <w:tcPr>
            <w:tcW w:w="780" w:type="dxa"/>
            <w:vAlign w:val="bottom"/>
            <w:tcBorders>
              <w:bottom w:val="single" w:sz="8" w:color="auto"/>
              <w:right w:val="single" w:sz="8" w:color="auto"/>
            </w:tcBorders>
          </w:tcPr>
          <w:p>
            <w:pPr>
              <w:jc w:val="center"/>
              <w:ind w:right="120"/>
              <w:spacing w:after="0"/>
              <w:rPr>
                <w:sz w:val="20"/>
                <w:szCs w:val="20"/>
                <w:color w:val="auto"/>
              </w:rPr>
            </w:pPr>
            <w:r>
              <w:rPr>
                <w:rFonts w:ascii="Arial" w:cs="Arial" w:eastAsia="Arial" w:hAnsi="Arial"/>
                <w:sz w:val="11"/>
                <w:szCs w:val="11"/>
                <w:b w:val="1"/>
                <w:bCs w:val="1"/>
                <w:color w:val="auto"/>
                <w:w w:val="97"/>
              </w:rPr>
              <w:t>Not Vested</w:t>
            </w:r>
          </w:p>
        </w:tc>
        <w:tc>
          <w:tcPr>
            <w:tcW w:w="104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1"/>
                <w:szCs w:val="11"/>
                <w:b w:val="1"/>
                <w:bCs w:val="1"/>
                <w:color w:val="auto"/>
                <w:w w:val="99"/>
              </w:rPr>
              <w:t>Vested</w:t>
            </w:r>
          </w:p>
        </w:tc>
        <w:tc>
          <w:tcPr>
            <w:tcW w:w="1260" w:type="dxa"/>
            <w:vAlign w:val="bottom"/>
            <w:tcBorders>
              <w:bottom w:val="single" w:sz="8" w:color="auto"/>
              <w:right w:val="single" w:sz="8" w:color="auto"/>
            </w:tcBorders>
            <w:gridSpan w:val="2"/>
          </w:tcPr>
          <w:p>
            <w:pPr>
              <w:jc w:val="center"/>
              <w:ind w:right="99"/>
              <w:spacing w:after="0"/>
              <w:rPr>
                <w:sz w:val="20"/>
                <w:szCs w:val="20"/>
                <w:color w:val="auto"/>
              </w:rPr>
            </w:pPr>
            <w:r>
              <w:rPr>
                <w:rFonts w:ascii="Arial" w:cs="Arial" w:eastAsia="Arial" w:hAnsi="Arial"/>
                <w:sz w:val="11"/>
                <w:szCs w:val="11"/>
                <w:b w:val="1"/>
                <w:bCs w:val="1"/>
                <w:color w:val="auto"/>
                <w:w w:val="99"/>
              </w:rPr>
              <w:t>Have Not Vested</w:t>
            </w:r>
          </w:p>
        </w:tc>
        <w:tc>
          <w:tcPr>
            <w:tcW w:w="0" w:type="dxa"/>
            <w:vAlign w:val="bottom"/>
          </w:tcPr>
          <w:p>
            <w:pPr>
              <w:spacing w:after="0"/>
              <w:rPr>
                <w:sz w:val="1"/>
                <w:szCs w:val="1"/>
                <w:color w:val="auto"/>
              </w:rPr>
            </w:pPr>
          </w:p>
        </w:tc>
      </w:tr>
      <w:tr>
        <w:trPr>
          <w:trHeight w:val="135"/>
        </w:trPr>
        <w:tc>
          <w:tcPr>
            <w:tcW w:w="2400" w:type="dxa"/>
            <w:vAlign w:val="bottom"/>
            <w:tcBorders>
              <w:left w:val="single" w:sz="8" w:color="auto"/>
              <w:right w:val="single" w:sz="8" w:color="auto"/>
            </w:tcBorders>
            <w:shd w:val="clear" w:color="auto" w:fill="CCEEFF"/>
          </w:tcPr>
          <w:p>
            <w:pPr>
              <w:ind w:left="160"/>
              <w:spacing w:after="0" w:line="135" w:lineRule="exact"/>
              <w:rPr>
                <w:sz w:val="20"/>
                <w:szCs w:val="20"/>
                <w:color w:val="auto"/>
              </w:rPr>
            </w:pPr>
            <w:r>
              <w:rPr>
                <w:rFonts w:ascii="Arial" w:cs="Arial" w:eastAsia="Arial" w:hAnsi="Arial"/>
                <w:sz w:val="13"/>
                <w:szCs w:val="13"/>
                <w:color w:val="auto"/>
              </w:rPr>
              <w:t>Ward J.</w:t>
            </w:r>
          </w:p>
        </w:tc>
        <w:tc>
          <w:tcPr>
            <w:tcW w:w="880" w:type="dxa"/>
            <w:vAlign w:val="bottom"/>
            <w:tcBorders>
              <w:right w:val="single" w:sz="8" w:color="auto"/>
            </w:tcBorders>
            <w:shd w:val="clear" w:color="auto" w:fill="CCEEFF"/>
          </w:tcPr>
          <w:p>
            <w:pPr>
              <w:jc w:val="right"/>
              <w:ind w:right="57"/>
              <w:spacing w:after="0" w:line="135" w:lineRule="exact"/>
              <w:rPr>
                <w:sz w:val="20"/>
                <w:szCs w:val="20"/>
                <w:color w:val="auto"/>
              </w:rPr>
            </w:pPr>
            <w:r>
              <w:rPr>
                <w:rFonts w:ascii="Arial" w:cs="Arial" w:eastAsia="Arial" w:hAnsi="Arial"/>
                <w:sz w:val="13"/>
                <w:szCs w:val="13"/>
                <w:color w:val="auto"/>
              </w:rPr>
              <w:t>02/05/2007</w:t>
            </w:r>
          </w:p>
        </w:tc>
        <w:tc>
          <w:tcPr>
            <w:tcW w:w="720" w:type="dxa"/>
            <w:vAlign w:val="bottom"/>
            <w:shd w:val="clear" w:color="auto" w:fill="CCEEFF"/>
          </w:tcPr>
          <w:p>
            <w:pPr>
              <w:jc w:val="right"/>
              <w:spacing w:after="0" w:line="135" w:lineRule="exact"/>
              <w:rPr>
                <w:sz w:val="20"/>
                <w:szCs w:val="20"/>
                <w:color w:val="auto"/>
              </w:rPr>
            </w:pPr>
            <w:r>
              <w:rPr>
                <w:rFonts w:ascii="Arial" w:cs="Arial" w:eastAsia="Arial" w:hAnsi="Arial"/>
                <w:sz w:val="13"/>
                <w:szCs w:val="13"/>
                <w:color w:val="auto"/>
              </w:rPr>
              <w:t>57,000</w:t>
            </w:r>
          </w:p>
        </w:tc>
        <w:tc>
          <w:tcPr>
            <w:tcW w:w="100" w:type="dxa"/>
            <w:vAlign w:val="bottom"/>
            <w:tcBorders>
              <w:right w:val="single" w:sz="8" w:color="auto"/>
            </w:tcBorders>
            <w:shd w:val="clear" w:color="auto" w:fill="CCEEFF"/>
          </w:tcPr>
          <w:p>
            <w:pPr>
              <w:spacing w:after="0"/>
              <w:rPr>
                <w:sz w:val="11"/>
                <w:szCs w:val="11"/>
                <w:color w:val="auto"/>
              </w:rPr>
            </w:pPr>
          </w:p>
        </w:tc>
        <w:tc>
          <w:tcPr>
            <w:tcW w:w="940" w:type="dxa"/>
            <w:vAlign w:val="bottom"/>
            <w:tcBorders>
              <w:right w:val="single" w:sz="8" w:color="auto"/>
            </w:tcBorders>
            <w:shd w:val="clear" w:color="auto" w:fill="CCEEFF"/>
          </w:tcPr>
          <w:p>
            <w:pPr>
              <w:jc w:val="right"/>
              <w:ind w:right="57"/>
              <w:spacing w:after="0" w:line="135" w:lineRule="exact"/>
              <w:rPr>
                <w:sz w:val="20"/>
                <w:szCs w:val="20"/>
                <w:color w:val="auto"/>
              </w:rPr>
            </w:pPr>
            <w:r>
              <w:rPr>
                <w:rFonts w:ascii="Arial" w:cs="Arial" w:eastAsia="Arial" w:hAnsi="Arial"/>
                <w:sz w:val="13"/>
                <w:szCs w:val="13"/>
                <w:color w:val="auto"/>
              </w:rPr>
              <w:t>0</w:t>
            </w:r>
          </w:p>
        </w:tc>
        <w:tc>
          <w:tcPr>
            <w:tcW w:w="160" w:type="dxa"/>
            <w:vAlign w:val="bottom"/>
            <w:shd w:val="clear" w:color="auto" w:fill="CCEEFF"/>
          </w:tcPr>
          <w:p>
            <w:pPr>
              <w:ind w:left="80"/>
              <w:spacing w:after="0" w:line="135" w:lineRule="exact"/>
              <w:rPr>
                <w:sz w:val="20"/>
                <w:szCs w:val="20"/>
                <w:color w:val="auto"/>
              </w:rPr>
            </w:pPr>
            <w:r>
              <w:rPr>
                <w:rFonts w:ascii="Arial" w:cs="Arial" w:eastAsia="Arial" w:hAnsi="Arial"/>
                <w:sz w:val="13"/>
                <w:szCs w:val="13"/>
                <w:color w:val="auto"/>
                <w:w w:val="82"/>
              </w:rPr>
              <w:t>$</w:t>
            </w:r>
          </w:p>
        </w:tc>
        <w:tc>
          <w:tcPr>
            <w:tcW w:w="500" w:type="dxa"/>
            <w:vAlign w:val="bottom"/>
            <w:tcBorders>
              <w:right w:val="single" w:sz="8" w:color="auto"/>
            </w:tcBorders>
            <w:shd w:val="clear" w:color="auto" w:fill="CCEEFF"/>
          </w:tcPr>
          <w:p>
            <w:pPr>
              <w:jc w:val="right"/>
              <w:ind w:right="57"/>
              <w:spacing w:after="0" w:line="135" w:lineRule="exact"/>
              <w:rPr>
                <w:sz w:val="20"/>
                <w:szCs w:val="20"/>
                <w:color w:val="auto"/>
              </w:rPr>
            </w:pPr>
            <w:r>
              <w:rPr>
                <w:rFonts w:ascii="Arial" w:cs="Arial" w:eastAsia="Arial" w:hAnsi="Arial"/>
                <w:sz w:val="13"/>
                <w:szCs w:val="13"/>
                <w:color w:val="auto"/>
              </w:rPr>
              <w:t>17.54</w:t>
            </w:r>
          </w:p>
        </w:tc>
        <w:tc>
          <w:tcPr>
            <w:tcW w:w="880" w:type="dxa"/>
            <w:vAlign w:val="bottom"/>
            <w:tcBorders>
              <w:right w:val="single" w:sz="8" w:color="auto"/>
            </w:tcBorders>
            <w:shd w:val="clear" w:color="auto" w:fill="CCEEFF"/>
          </w:tcPr>
          <w:p>
            <w:pPr>
              <w:jc w:val="right"/>
              <w:ind w:right="58"/>
              <w:spacing w:after="0" w:line="135" w:lineRule="exact"/>
              <w:rPr>
                <w:sz w:val="20"/>
                <w:szCs w:val="20"/>
                <w:color w:val="auto"/>
              </w:rPr>
            </w:pPr>
            <w:r>
              <w:rPr>
                <w:rFonts w:ascii="Arial" w:cs="Arial" w:eastAsia="Arial" w:hAnsi="Arial"/>
                <w:sz w:val="13"/>
                <w:szCs w:val="13"/>
                <w:color w:val="auto"/>
              </w:rPr>
              <w:t>02/05/2017</w:t>
            </w:r>
          </w:p>
        </w:tc>
        <w:tc>
          <w:tcPr>
            <w:tcW w:w="880" w:type="dxa"/>
            <w:vAlign w:val="bottom"/>
            <w:tcBorders>
              <w:right w:val="single" w:sz="8" w:color="auto"/>
            </w:tcBorders>
            <w:shd w:val="clear" w:color="auto" w:fill="CCEEFF"/>
          </w:tcPr>
          <w:p>
            <w:pPr>
              <w:jc w:val="right"/>
              <w:ind w:right="78"/>
              <w:spacing w:after="0" w:line="135" w:lineRule="exact"/>
              <w:rPr>
                <w:sz w:val="20"/>
                <w:szCs w:val="20"/>
                <w:color w:val="auto"/>
              </w:rPr>
            </w:pPr>
            <w:r>
              <w:rPr>
                <w:rFonts w:ascii="Arial" w:cs="Arial" w:eastAsia="Arial" w:hAnsi="Arial"/>
                <w:sz w:val="13"/>
                <w:szCs w:val="13"/>
                <w:color w:val="auto"/>
              </w:rPr>
              <w:t>02/13/2014</w:t>
            </w:r>
          </w:p>
        </w:tc>
        <w:tc>
          <w:tcPr>
            <w:tcW w:w="760" w:type="dxa"/>
            <w:vAlign w:val="bottom"/>
            <w:tcBorders>
              <w:right w:val="single" w:sz="8" w:color="auto"/>
            </w:tcBorders>
            <w:shd w:val="clear" w:color="auto" w:fill="CCEEFF"/>
          </w:tcPr>
          <w:p>
            <w:pPr>
              <w:jc w:val="right"/>
              <w:ind w:right="81"/>
              <w:spacing w:after="0" w:line="135" w:lineRule="exact"/>
              <w:rPr>
                <w:sz w:val="20"/>
                <w:szCs w:val="20"/>
                <w:color w:val="auto"/>
              </w:rPr>
            </w:pPr>
            <w:r>
              <w:rPr>
                <w:rFonts w:ascii="Arial" w:cs="Arial" w:eastAsia="Arial" w:hAnsi="Arial"/>
                <w:sz w:val="13"/>
                <w:szCs w:val="13"/>
                <w:color w:val="auto"/>
              </w:rPr>
              <w:t>12,450</w:t>
            </w:r>
          </w:p>
        </w:tc>
        <w:tc>
          <w:tcPr>
            <w:tcW w:w="140" w:type="dxa"/>
            <w:vAlign w:val="bottom"/>
            <w:shd w:val="clear" w:color="auto" w:fill="CCEEFF"/>
          </w:tcPr>
          <w:p>
            <w:pPr>
              <w:ind w:left="60"/>
              <w:spacing w:after="0" w:line="135" w:lineRule="exact"/>
              <w:rPr>
                <w:sz w:val="20"/>
                <w:szCs w:val="20"/>
                <w:color w:val="auto"/>
              </w:rPr>
            </w:pPr>
            <w:r>
              <w:rPr>
                <w:rFonts w:ascii="Arial" w:cs="Arial" w:eastAsia="Arial" w:hAnsi="Arial"/>
                <w:sz w:val="13"/>
                <w:szCs w:val="13"/>
                <w:color w:val="auto"/>
                <w:w w:val="82"/>
              </w:rPr>
              <w:t>$</w:t>
            </w:r>
          </w:p>
        </w:tc>
        <w:tc>
          <w:tcPr>
            <w:tcW w:w="780" w:type="dxa"/>
            <w:vAlign w:val="bottom"/>
            <w:tcBorders>
              <w:right w:val="single" w:sz="8" w:color="auto"/>
            </w:tcBorders>
            <w:shd w:val="clear" w:color="auto" w:fill="CCEEFF"/>
          </w:tcPr>
          <w:p>
            <w:pPr>
              <w:jc w:val="right"/>
              <w:ind w:right="60"/>
              <w:spacing w:after="0" w:line="135" w:lineRule="exact"/>
              <w:rPr>
                <w:sz w:val="20"/>
                <w:szCs w:val="20"/>
                <w:color w:val="auto"/>
              </w:rPr>
            </w:pPr>
            <w:r>
              <w:rPr>
                <w:rFonts w:ascii="Arial" w:cs="Arial" w:eastAsia="Arial" w:hAnsi="Arial"/>
                <w:sz w:val="13"/>
                <w:szCs w:val="13"/>
                <w:color w:val="auto"/>
              </w:rPr>
              <w:t>104,331</w:t>
            </w:r>
          </w:p>
        </w:tc>
        <w:tc>
          <w:tcPr>
            <w:tcW w:w="1040" w:type="dxa"/>
            <w:vAlign w:val="bottom"/>
            <w:tcBorders>
              <w:right w:val="single" w:sz="8" w:color="auto"/>
            </w:tcBorders>
            <w:shd w:val="clear" w:color="auto" w:fill="CCEEFF"/>
          </w:tcPr>
          <w:p>
            <w:pPr>
              <w:spacing w:after="0"/>
              <w:rPr>
                <w:sz w:val="11"/>
                <w:szCs w:val="11"/>
                <w:color w:val="auto"/>
              </w:rPr>
            </w:pPr>
          </w:p>
        </w:tc>
        <w:tc>
          <w:tcPr>
            <w:tcW w:w="180" w:type="dxa"/>
            <w:vAlign w:val="bottom"/>
            <w:shd w:val="clear" w:color="auto" w:fill="CCEEFF"/>
          </w:tcPr>
          <w:p>
            <w:pPr>
              <w:spacing w:after="0"/>
              <w:rPr>
                <w:sz w:val="11"/>
                <w:szCs w:val="11"/>
                <w:color w:val="auto"/>
              </w:rPr>
            </w:pPr>
          </w:p>
        </w:tc>
        <w:tc>
          <w:tcPr>
            <w:tcW w:w="1080" w:type="dxa"/>
            <w:vAlign w:val="bottom"/>
            <w:tcBorders>
              <w:right w:val="single" w:sz="8" w:color="auto"/>
            </w:tcBorders>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400" w:type="dxa"/>
            <w:vAlign w:val="bottom"/>
            <w:tcBorders>
              <w:left w:val="single" w:sz="8" w:color="auto"/>
              <w:right w:val="single" w:sz="8" w:color="auto"/>
            </w:tcBorders>
          </w:tcPr>
          <w:p>
            <w:pPr>
              <w:ind w:left="160"/>
              <w:spacing w:after="0" w:line="135" w:lineRule="exact"/>
              <w:rPr>
                <w:sz w:val="20"/>
                <w:szCs w:val="20"/>
                <w:color w:val="auto"/>
              </w:rPr>
            </w:pPr>
            <w:r>
              <w:rPr>
                <w:rFonts w:ascii="Arial" w:cs="Arial" w:eastAsia="Arial" w:hAnsi="Arial"/>
                <w:sz w:val="13"/>
                <w:szCs w:val="13"/>
                <w:color w:val="auto"/>
              </w:rPr>
              <w:t>Timken, Jr.</w:t>
            </w:r>
          </w:p>
        </w:tc>
        <w:tc>
          <w:tcPr>
            <w:tcW w:w="880" w:type="dxa"/>
            <w:vAlign w:val="bottom"/>
            <w:tcBorders>
              <w:right w:val="single" w:sz="8" w:color="auto"/>
            </w:tcBorders>
          </w:tcPr>
          <w:p>
            <w:pPr>
              <w:jc w:val="right"/>
              <w:ind w:right="57"/>
              <w:spacing w:after="0" w:line="135" w:lineRule="exact"/>
              <w:rPr>
                <w:sz w:val="20"/>
                <w:szCs w:val="20"/>
                <w:color w:val="auto"/>
              </w:rPr>
            </w:pPr>
            <w:r>
              <w:rPr>
                <w:rFonts w:ascii="Arial" w:cs="Arial" w:eastAsia="Arial" w:hAnsi="Arial"/>
                <w:sz w:val="13"/>
                <w:szCs w:val="13"/>
                <w:color w:val="auto"/>
              </w:rPr>
              <w:t>02/04/2008</w:t>
            </w:r>
          </w:p>
        </w:tc>
        <w:tc>
          <w:tcPr>
            <w:tcW w:w="720" w:type="dxa"/>
            <w:vAlign w:val="bottom"/>
          </w:tcPr>
          <w:p>
            <w:pPr>
              <w:jc w:val="right"/>
              <w:spacing w:after="0" w:line="135" w:lineRule="exact"/>
              <w:rPr>
                <w:sz w:val="20"/>
                <w:szCs w:val="20"/>
                <w:color w:val="auto"/>
              </w:rPr>
            </w:pPr>
            <w:r>
              <w:rPr>
                <w:rFonts w:ascii="Arial" w:cs="Arial" w:eastAsia="Arial" w:hAnsi="Arial"/>
                <w:sz w:val="13"/>
                <w:szCs w:val="13"/>
                <w:color w:val="auto"/>
              </w:rPr>
              <w:t>63,500</w:t>
            </w:r>
          </w:p>
        </w:tc>
        <w:tc>
          <w:tcPr>
            <w:tcW w:w="100" w:type="dxa"/>
            <w:vAlign w:val="bottom"/>
            <w:tcBorders>
              <w:right w:val="single" w:sz="8" w:color="auto"/>
            </w:tcBorders>
          </w:tcPr>
          <w:p>
            <w:pPr>
              <w:spacing w:after="0"/>
              <w:rPr>
                <w:sz w:val="11"/>
                <w:szCs w:val="11"/>
                <w:color w:val="auto"/>
              </w:rPr>
            </w:pPr>
          </w:p>
        </w:tc>
        <w:tc>
          <w:tcPr>
            <w:tcW w:w="940" w:type="dxa"/>
            <w:vAlign w:val="bottom"/>
            <w:tcBorders>
              <w:right w:val="single" w:sz="8" w:color="auto"/>
            </w:tcBorders>
          </w:tcPr>
          <w:p>
            <w:pPr>
              <w:jc w:val="right"/>
              <w:ind w:right="57"/>
              <w:spacing w:after="0" w:line="135" w:lineRule="exact"/>
              <w:rPr>
                <w:sz w:val="20"/>
                <w:szCs w:val="20"/>
                <w:color w:val="auto"/>
              </w:rPr>
            </w:pPr>
            <w:r>
              <w:rPr>
                <w:rFonts w:ascii="Arial" w:cs="Arial" w:eastAsia="Arial" w:hAnsi="Arial"/>
                <w:sz w:val="13"/>
                <w:szCs w:val="13"/>
                <w:color w:val="auto"/>
              </w:rPr>
              <w:t>0</w:t>
            </w:r>
          </w:p>
        </w:tc>
        <w:tc>
          <w:tcPr>
            <w:tcW w:w="160" w:type="dxa"/>
            <w:vAlign w:val="bottom"/>
          </w:tcPr>
          <w:p>
            <w:pPr>
              <w:ind w:left="80"/>
              <w:spacing w:after="0" w:line="135" w:lineRule="exact"/>
              <w:rPr>
                <w:sz w:val="20"/>
                <w:szCs w:val="20"/>
                <w:color w:val="auto"/>
              </w:rPr>
            </w:pPr>
            <w:r>
              <w:rPr>
                <w:rFonts w:ascii="Arial" w:cs="Arial" w:eastAsia="Arial" w:hAnsi="Arial"/>
                <w:sz w:val="13"/>
                <w:szCs w:val="13"/>
                <w:color w:val="auto"/>
                <w:w w:val="82"/>
              </w:rPr>
              <w:t>$</w:t>
            </w:r>
          </w:p>
        </w:tc>
        <w:tc>
          <w:tcPr>
            <w:tcW w:w="500" w:type="dxa"/>
            <w:vAlign w:val="bottom"/>
            <w:tcBorders>
              <w:right w:val="single" w:sz="8" w:color="auto"/>
            </w:tcBorders>
          </w:tcPr>
          <w:p>
            <w:pPr>
              <w:jc w:val="right"/>
              <w:ind w:right="57"/>
              <w:spacing w:after="0" w:line="135" w:lineRule="exact"/>
              <w:rPr>
                <w:sz w:val="20"/>
                <w:szCs w:val="20"/>
                <w:color w:val="auto"/>
              </w:rPr>
            </w:pPr>
            <w:r>
              <w:rPr>
                <w:rFonts w:ascii="Arial" w:cs="Arial" w:eastAsia="Arial" w:hAnsi="Arial"/>
                <w:sz w:val="13"/>
                <w:szCs w:val="13"/>
                <w:color w:val="auto"/>
              </w:rPr>
              <w:t>18.42</w:t>
            </w:r>
          </w:p>
        </w:tc>
        <w:tc>
          <w:tcPr>
            <w:tcW w:w="880" w:type="dxa"/>
            <w:vAlign w:val="bottom"/>
            <w:tcBorders>
              <w:right w:val="single" w:sz="8" w:color="auto"/>
            </w:tcBorders>
          </w:tcPr>
          <w:p>
            <w:pPr>
              <w:jc w:val="right"/>
              <w:ind w:right="58"/>
              <w:spacing w:after="0" w:line="135" w:lineRule="exact"/>
              <w:rPr>
                <w:sz w:val="20"/>
                <w:szCs w:val="20"/>
                <w:color w:val="auto"/>
              </w:rPr>
            </w:pPr>
            <w:r>
              <w:rPr>
                <w:rFonts w:ascii="Arial" w:cs="Arial" w:eastAsia="Arial" w:hAnsi="Arial"/>
                <w:sz w:val="13"/>
                <w:szCs w:val="13"/>
                <w:color w:val="auto"/>
              </w:rPr>
              <w:t>02/04/2018</w:t>
            </w:r>
          </w:p>
        </w:tc>
        <w:tc>
          <w:tcPr>
            <w:tcW w:w="880" w:type="dxa"/>
            <w:vAlign w:val="bottom"/>
            <w:tcBorders>
              <w:right w:val="single" w:sz="8" w:color="auto"/>
            </w:tcBorders>
          </w:tcPr>
          <w:p>
            <w:pPr>
              <w:jc w:val="right"/>
              <w:ind w:right="78"/>
              <w:spacing w:after="0" w:line="135" w:lineRule="exact"/>
              <w:rPr>
                <w:sz w:val="20"/>
                <w:szCs w:val="20"/>
                <w:color w:val="auto"/>
              </w:rPr>
            </w:pPr>
            <w:r>
              <w:rPr>
                <w:rFonts w:ascii="Arial" w:cs="Arial" w:eastAsia="Arial" w:hAnsi="Arial"/>
                <w:sz w:val="13"/>
                <w:szCs w:val="13"/>
                <w:color w:val="auto"/>
              </w:rPr>
              <w:t>01/29/2015</w:t>
            </w:r>
          </w:p>
        </w:tc>
        <w:tc>
          <w:tcPr>
            <w:tcW w:w="760" w:type="dxa"/>
            <w:vAlign w:val="bottom"/>
            <w:tcBorders>
              <w:right w:val="single" w:sz="8" w:color="auto"/>
            </w:tcBorders>
          </w:tcPr>
          <w:p>
            <w:pPr>
              <w:spacing w:after="0"/>
              <w:rPr>
                <w:sz w:val="11"/>
                <w:szCs w:val="11"/>
                <w:color w:val="auto"/>
              </w:rPr>
            </w:pPr>
          </w:p>
        </w:tc>
        <w:tc>
          <w:tcPr>
            <w:tcW w:w="140" w:type="dxa"/>
            <w:vAlign w:val="bottom"/>
          </w:tcPr>
          <w:p>
            <w:pPr>
              <w:spacing w:after="0"/>
              <w:rPr>
                <w:sz w:val="11"/>
                <w:szCs w:val="11"/>
                <w:color w:val="auto"/>
              </w:rPr>
            </w:pPr>
          </w:p>
        </w:tc>
        <w:tc>
          <w:tcPr>
            <w:tcW w:w="780" w:type="dxa"/>
            <w:vAlign w:val="bottom"/>
            <w:tcBorders>
              <w:right w:val="single" w:sz="8" w:color="auto"/>
            </w:tcBorders>
          </w:tcPr>
          <w:p>
            <w:pPr>
              <w:spacing w:after="0"/>
              <w:rPr>
                <w:sz w:val="11"/>
                <w:szCs w:val="11"/>
                <w:color w:val="auto"/>
              </w:rPr>
            </w:pPr>
          </w:p>
        </w:tc>
        <w:tc>
          <w:tcPr>
            <w:tcW w:w="1040" w:type="dxa"/>
            <w:vAlign w:val="bottom"/>
            <w:tcBorders>
              <w:right w:val="single" w:sz="8" w:color="auto"/>
            </w:tcBorders>
          </w:tcPr>
          <w:p>
            <w:pPr>
              <w:jc w:val="right"/>
              <w:ind w:right="63"/>
              <w:spacing w:after="0" w:line="135" w:lineRule="exact"/>
              <w:rPr>
                <w:sz w:val="20"/>
                <w:szCs w:val="20"/>
                <w:color w:val="auto"/>
              </w:rPr>
            </w:pPr>
            <w:r>
              <w:rPr>
                <w:rFonts w:ascii="Arial" w:cs="Arial" w:eastAsia="Arial" w:hAnsi="Arial"/>
                <w:sz w:val="13"/>
                <w:szCs w:val="13"/>
                <w:color w:val="auto"/>
              </w:rPr>
              <w:t>37,400</w:t>
            </w:r>
          </w:p>
        </w:tc>
        <w:tc>
          <w:tcPr>
            <w:tcW w:w="180" w:type="dxa"/>
            <w:vAlign w:val="bottom"/>
          </w:tcPr>
          <w:p>
            <w:pPr>
              <w:jc w:val="right"/>
              <w:spacing w:after="0" w:line="135" w:lineRule="exact"/>
              <w:rPr>
                <w:sz w:val="20"/>
                <w:szCs w:val="20"/>
                <w:color w:val="auto"/>
              </w:rPr>
            </w:pPr>
            <w:r>
              <w:rPr>
                <w:rFonts w:ascii="Arial" w:cs="Arial" w:eastAsia="Arial" w:hAnsi="Arial"/>
                <w:sz w:val="13"/>
                <w:szCs w:val="13"/>
                <w:color w:val="auto"/>
              </w:rPr>
              <w:t>$</w:t>
            </w:r>
          </w:p>
        </w:tc>
        <w:tc>
          <w:tcPr>
            <w:tcW w:w="1080" w:type="dxa"/>
            <w:vAlign w:val="bottom"/>
            <w:tcBorders>
              <w:right w:val="single" w:sz="8" w:color="auto"/>
            </w:tcBorders>
          </w:tcPr>
          <w:p>
            <w:pPr>
              <w:jc w:val="right"/>
              <w:ind w:right="179"/>
              <w:spacing w:after="0" w:line="135" w:lineRule="exact"/>
              <w:rPr>
                <w:sz w:val="20"/>
                <w:szCs w:val="20"/>
                <w:color w:val="auto"/>
              </w:rPr>
            </w:pPr>
            <w:r>
              <w:rPr>
                <w:rFonts w:ascii="Arial" w:cs="Arial" w:eastAsia="Arial" w:hAnsi="Arial"/>
                <w:sz w:val="13"/>
                <w:szCs w:val="13"/>
                <w:color w:val="auto"/>
              </w:rPr>
              <w:t>313,412</w:t>
            </w:r>
          </w:p>
        </w:tc>
        <w:tc>
          <w:tcPr>
            <w:tcW w:w="0" w:type="dxa"/>
            <w:vAlign w:val="bottom"/>
          </w:tcPr>
          <w:p>
            <w:pPr>
              <w:spacing w:after="0"/>
              <w:rPr>
                <w:sz w:val="1"/>
                <w:szCs w:val="1"/>
                <w:color w:val="auto"/>
              </w:rPr>
            </w:pPr>
          </w:p>
        </w:tc>
      </w:tr>
      <w:tr>
        <w:trPr>
          <w:trHeight w:val="135"/>
        </w:trPr>
        <w:tc>
          <w:tcPr>
            <w:tcW w:w="2400" w:type="dxa"/>
            <w:vAlign w:val="bottom"/>
            <w:tcBorders>
              <w:left w:val="single" w:sz="8" w:color="auto"/>
              <w:right w:val="single" w:sz="8" w:color="auto"/>
            </w:tcBorders>
            <w:shd w:val="clear" w:color="auto" w:fill="CCEEFF"/>
          </w:tcPr>
          <w:p>
            <w:pPr>
              <w:spacing w:after="0"/>
              <w:rPr>
                <w:sz w:val="11"/>
                <w:szCs w:val="11"/>
                <w:color w:val="auto"/>
              </w:rPr>
            </w:pPr>
          </w:p>
        </w:tc>
        <w:tc>
          <w:tcPr>
            <w:tcW w:w="880" w:type="dxa"/>
            <w:vAlign w:val="bottom"/>
            <w:tcBorders>
              <w:right w:val="single" w:sz="8" w:color="auto"/>
            </w:tcBorders>
            <w:shd w:val="clear" w:color="auto" w:fill="CCEEFF"/>
          </w:tcPr>
          <w:p>
            <w:pPr>
              <w:jc w:val="right"/>
              <w:ind w:right="57"/>
              <w:spacing w:after="0" w:line="135" w:lineRule="exact"/>
              <w:rPr>
                <w:sz w:val="20"/>
                <w:szCs w:val="20"/>
                <w:color w:val="auto"/>
              </w:rPr>
            </w:pPr>
            <w:r>
              <w:rPr>
                <w:rFonts w:ascii="Arial" w:cs="Arial" w:eastAsia="Arial" w:hAnsi="Arial"/>
                <w:sz w:val="13"/>
                <w:szCs w:val="13"/>
                <w:color w:val="auto"/>
              </w:rPr>
              <w:t>02/08/2010</w:t>
            </w:r>
          </w:p>
        </w:tc>
        <w:tc>
          <w:tcPr>
            <w:tcW w:w="720" w:type="dxa"/>
            <w:vAlign w:val="bottom"/>
            <w:shd w:val="clear" w:color="auto" w:fill="CCEEFF"/>
          </w:tcPr>
          <w:p>
            <w:pPr>
              <w:jc w:val="right"/>
              <w:spacing w:after="0" w:line="135" w:lineRule="exact"/>
              <w:rPr>
                <w:sz w:val="20"/>
                <w:szCs w:val="20"/>
                <w:color w:val="auto"/>
              </w:rPr>
            </w:pPr>
            <w:r>
              <w:rPr>
                <w:rFonts w:ascii="Arial" w:cs="Arial" w:eastAsia="Arial" w:hAnsi="Arial"/>
                <w:sz w:val="13"/>
                <w:szCs w:val="13"/>
                <w:color w:val="auto"/>
              </w:rPr>
              <w:t>52,300</w:t>
            </w:r>
          </w:p>
        </w:tc>
        <w:tc>
          <w:tcPr>
            <w:tcW w:w="100" w:type="dxa"/>
            <w:vAlign w:val="bottom"/>
            <w:tcBorders>
              <w:right w:val="single" w:sz="8" w:color="auto"/>
            </w:tcBorders>
            <w:shd w:val="clear" w:color="auto" w:fill="CCEEFF"/>
          </w:tcPr>
          <w:p>
            <w:pPr>
              <w:spacing w:after="0"/>
              <w:rPr>
                <w:sz w:val="11"/>
                <w:szCs w:val="11"/>
                <w:color w:val="auto"/>
              </w:rPr>
            </w:pPr>
          </w:p>
        </w:tc>
        <w:tc>
          <w:tcPr>
            <w:tcW w:w="940" w:type="dxa"/>
            <w:vAlign w:val="bottom"/>
            <w:tcBorders>
              <w:right w:val="single" w:sz="8" w:color="auto"/>
            </w:tcBorders>
            <w:shd w:val="clear" w:color="auto" w:fill="CCEEFF"/>
          </w:tcPr>
          <w:p>
            <w:pPr>
              <w:jc w:val="right"/>
              <w:ind w:right="57"/>
              <w:spacing w:after="0" w:line="135" w:lineRule="exact"/>
              <w:rPr>
                <w:sz w:val="20"/>
                <w:szCs w:val="20"/>
                <w:color w:val="auto"/>
              </w:rPr>
            </w:pPr>
            <w:r>
              <w:rPr>
                <w:rFonts w:ascii="Arial" w:cs="Arial" w:eastAsia="Arial" w:hAnsi="Arial"/>
                <w:sz w:val="13"/>
                <w:szCs w:val="13"/>
                <w:color w:val="auto"/>
              </w:rPr>
              <w:t>0</w:t>
            </w:r>
          </w:p>
        </w:tc>
        <w:tc>
          <w:tcPr>
            <w:tcW w:w="160" w:type="dxa"/>
            <w:vAlign w:val="bottom"/>
            <w:shd w:val="clear" w:color="auto" w:fill="CCEEFF"/>
          </w:tcPr>
          <w:p>
            <w:pPr>
              <w:ind w:left="80"/>
              <w:spacing w:after="0" w:line="135" w:lineRule="exact"/>
              <w:rPr>
                <w:sz w:val="20"/>
                <w:szCs w:val="20"/>
                <w:color w:val="auto"/>
              </w:rPr>
            </w:pPr>
            <w:r>
              <w:rPr>
                <w:rFonts w:ascii="Arial" w:cs="Arial" w:eastAsia="Arial" w:hAnsi="Arial"/>
                <w:sz w:val="13"/>
                <w:szCs w:val="13"/>
                <w:color w:val="auto"/>
                <w:w w:val="82"/>
              </w:rPr>
              <w:t>$</w:t>
            </w:r>
          </w:p>
        </w:tc>
        <w:tc>
          <w:tcPr>
            <w:tcW w:w="500" w:type="dxa"/>
            <w:vAlign w:val="bottom"/>
            <w:tcBorders>
              <w:right w:val="single" w:sz="8" w:color="auto"/>
            </w:tcBorders>
            <w:shd w:val="clear" w:color="auto" w:fill="CCEEFF"/>
          </w:tcPr>
          <w:p>
            <w:pPr>
              <w:jc w:val="right"/>
              <w:ind w:right="57"/>
              <w:spacing w:after="0" w:line="135" w:lineRule="exact"/>
              <w:rPr>
                <w:sz w:val="20"/>
                <w:szCs w:val="20"/>
                <w:color w:val="auto"/>
              </w:rPr>
            </w:pPr>
            <w:r>
              <w:rPr>
                <w:rFonts w:ascii="Arial" w:cs="Arial" w:eastAsia="Arial" w:hAnsi="Arial"/>
                <w:sz w:val="13"/>
                <w:szCs w:val="13"/>
                <w:color w:val="auto"/>
              </w:rPr>
              <w:t>13.61</w:t>
            </w:r>
          </w:p>
        </w:tc>
        <w:tc>
          <w:tcPr>
            <w:tcW w:w="880" w:type="dxa"/>
            <w:vAlign w:val="bottom"/>
            <w:tcBorders>
              <w:right w:val="single" w:sz="8" w:color="auto"/>
            </w:tcBorders>
            <w:shd w:val="clear" w:color="auto" w:fill="CCEEFF"/>
          </w:tcPr>
          <w:p>
            <w:pPr>
              <w:jc w:val="right"/>
              <w:ind w:right="58"/>
              <w:spacing w:after="0" w:line="135" w:lineRule="exact"/>
              <w:rPr>
                <w:sz w:val="20"/>
                <w:szCs w:val="20"/>
                <w:color w:val="auto"/>
              </w:rPr>
            </w:pPr>
            <w:r>
              <w:rPr>
                <w:rFonts w:ascii="Arial" w:cs="Arial" w:eastAsia="Arial" w:hAnsi="Arial"/>
                <w:sz w:val="13"/>
                <w:szCs w:val="13"/>
                <w:color w:val="auto"/>
              </w:rPr>
              <w:t>02/08/2020</w:t>
            </w:r>
          </w:p>
        </w:tc>
        <w:tc>
          <w:tcPr>
            <w:tcW w:w="880" w:type="dxa"/>
            <w:vAlign w:val="bottom"/>
            <w:tcBorders>
              <w:right w:val="single" w:sz="8" w:color="auto"/>
            </w:tcBorders>
            <w:shd w:val="clear" w:color="auto" w:fill="CCEEFF"/>
          </w:tcPr>
          <w:p>
            <w:pPr>
              <w:spacing w:after="0"/>
              <w:rPr>
                <w:sz w:val="11"/>
                <w:szCs w:val="11"/>
                <w:color w:val="auto"/>
              </w:rPr>
            </w:pPr>
          </w:p>
        </w:tc>
        <w:tc>
          <w:tcPr>
            <w:tcW w:w="760" w:type="dxa"/>
            <w:vAlign w:val="bottom"/>
            <w:tcBorders>
              <w:right w:val="single" w:sz="8" w:color="auto"/>
            </w:tcBorders>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780" w:type="dxa"/>
            <w:vAlign w:val="bottom"/>
            <w:tcBorders>
              <w:right w:val="single" w:sz="8" w:color="auto"/>
            </w:tcBorders>
            <w:shd w:val="clear" w:color="auto" w:fill="CCEEFF"/>
          </w:tcPr>
          <w:p>
            <w:pPr>
              <w:spacing w:after="0"/>
              <w:rPr>
                <w:sz w:val="11"/>
                <w:szCs w:val="11"/>
                <w:color w:val="auto"/>
              </w:rPr>
            </w:pPr>
          </w:p>
        </w:tc>
        <w:tc>
          <w:tcPr>
            <w:tcW w:w="1040" w:type="dxa"/>
            <w:vAlign w:val="bottom"/>
            <w:tcBorders>
              <w:right w:val="single" w:sz="8" w:color="auto"/>
            </w:tcBorders>
            <w:shd w:val="clear" w:color="auto" w:fill="CCEEFF"/>
          </w:tcPr>
          <w:p>
            <w:pPr>
              <w:spacing w:after="0"/>
              <w:rPr>
                <w:sz w:val="11"/>
                <w:szCs w:val="11"/>
                <w:color w:val="auto"/>
              </w:rPr>
            </w:pPr>
          </w:p>
        </w:tc>
        <w:tc>
          <w:tcPr>
            <w:tcW w:w="180" w:type="dxa"/>
            <w:vAlign w:val="bottom"/>
            <w:shd w:val="clear" w:color="auto" w:fill="CCEEFF"/>
          </w:tcPr>
          <w:p>
            <w:pPr>
              <w:spacing w:after="0"/>
              <w:rPr>
                <w:sz w:val="11"/>
                <w:szCs w:val="11"/>
                <w:color w:val="auto"/>
              </w:rPr>
            </w:pPr>
          </w:p>
        </w:tc>
        <w:tc>
          <w:tcPr>
            <w:tcW w:w="1080" w:type="dxa"/>
            <w:vAlign w:val="bottom"/>
            <w:tcBorders>
              <w:right w:val="single" w:sz="8" w:color="auto"/>
            </w:tcBorders>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400" w:type="dxa"/>
            <w:vAlign w:val="bottom"/>
            <w:tcBorders>
              <w:left w:val="single" w:sz="8" w:color="auto"/>
              <w:right w:val="single" w:sz="8" w:color="auto"/>
            </w:tcBorders>
          </w:tcPr>
          <w:p>
            <w:pPr>
              <w:spacing w:after="0"/>
              <w:rPr>
                <w:sz w:val="11"/>
                <w:szCs w:val="11"/>
                <w:color w:val="auto"/>
              </w:rPr>
            </w:pPr>
          </w:p>
        </w:tc>
        <w:tc>
          <w:tcPr>
            <w:tcW w:w="880" w:type="dxa"/>
            <w:vAlign w:val="bottom"/>
            <w:tcBorders>
              <w:right w:val="single" w:sz="8" w:color="auto"/>
            </w:tcBorders>
          </w:tcPr>
          <w:p>
            <w:pPr>
              <w:jc w:val="right"/>
              <w:ind w:right="57"/>
              <w:spacing w:after="0" w:line="135" w:lineRule="exact"/>
              <w:rPr>
                <w:sz w:val="20"/>
                <w:szCs w:val="20"/>
                <w:color w:val="auto"/>
              </w:rPr>
            </w:pPr>
            <w:r>
              <w:rPr>
                <w:rFonts w:ascii="Arial" w:cs="Arial" w:eastAsia="Arial" w:hAnsi="Arial"/>
                <w:sz w:val="13"/>
                <w:szCs w:val="13"/>
                <w:color w:val="auto"/>
              </w:rPr>
              <w:t>02/08/2011</w:t>
            </w:r>
          </w:p>
        </w:tc>
        <w:tc>
          <w:tcPr>
            <w:tcW w:w="720" w:type="dxa"/>
            <w:vAlign w:val="bottom"/>
          </w:tcPr>
          <w:p>
            <w:pPr>
              <w:jc w:val="right"/>
              <w:spacing w:after="0" w:line="135" w:lineRule="exact"/>
              <w:rPr>
                <w:sz w:val="20"/>
                <w:szCs w:val="20"/>
                <w:color w:val="auto"/>
              </w:rPr>
            </w:pPr>
            <w:r>
              <w:rPr>
                <w:rFonts w:ascii="Arial" w:cs="Arial" w:eastAsia="Arial" w:hAnsi="Arial"/>
                <w:sz w:val="13"/>
                <w:szCs w:val="13"/>
                <w:color w:val="auto"/>
              </w:rPr>
              <w:t>53,000</w:t>
            </w:r>
          </w:p>
        </w:tc>
        <w:tc>
          <w:tcPr>
            <w:tcW w:w="100" w:type="dxa"/>
            <w:vAlign w:val="bottom"/>
            <w:tcBorders>
              <w:right w:val="single" w:sz="8" w:color="auto"/>
            </w:tcBorders>
          </w:tcPr>
          <w:p>
            <w:pPr>
              <w:spacing w:after="0"/>
              <w:rPr>
                <w:sz w:val="11"/>
                <w:szCs w:val="11"/>
                <w:color w:val="auto"/>
              </w:rPr>
            </w:pPr>
          </w:p>
        </w:tc>
        <w:tc>
          <w:tcPr>
            <w:tcW w:w="940" w:type="dxa"/>
            <w:vAlign w:val="bottom"/>
            <w:tcBorders>
              <w:right w:val="single" w:sz="8" w:color="auto"/>
            </w:tcBorders>
          </w:tcPr>
          <w:p>
            <w:pPr>
              <w:jc w:val="right"/>
              <w:ind w:right="57"/>
              <w:spacing w:after="0" w:line="135" w:lineRule="exact"/>
              <w:rPr>
                <w:sz w:val="20"/>
                <w:szCs w:val="20"/>
                <w:color w:val="auto"/>
              </w:rPr>
            </w:pPr>
            <w:r>
              <w:rPr>
                <w:rFonts w:ascii="Arial" w:cs="Arial" w:eastAsia="Arial" w:hAnsi="Arial"/>
                <w:sz w:val="13"/>
                <w:szCs w:val="13"/>
                <w:color w:val="auto"/>
              </w:rPr>
              <w:t>0</w:t>
            </w:r>
          </w:p>
        </w:tc>
        <w:tc>
          <w:tcPr>
            <w:tcW w:w="160" w:type="dxa"/>
            <w:vAlign w:val="bottom"/>
          </w:tcPr>
          <w:p>
            <w:pPr>
              <w:ind w:left="80"/>
              <w:spacing w:after="0" w:line="135" w:lineRule="exact"/>
              <w:rPr>
                <w:sz w:val="20"/>
                <w:szCs w:val="20"/>
                <w:color w:val="auto"/>
              </w:rPr>
            </w:pPr>
            <w:r>
              <w:rPr>
                <w:rFonts w:ascii="Arial" w:cs="Arial" w:eastAsia="Arial" w:hAnsi="Arial"/>
                <w:sz w:val="13"/>
                <w:szCs w:val="13"/>
                <w:color w:val="auto"/>
                <w:w w:val="82"/>
              </w:rPr>
              <w:t>$</w:t>
            </w:r>
          </w:p>
        </w:tc>
        <w:tc>
          <w:tcPr>
            <w:tcW w:w="500" w:type="dxa"/>
            <w:vAlign w:val="bottom"/>
            <w:tcBorders>
              <w:right w:val="single" w:sz="8" w:color="auto"/>
            </w:tcBorders>
          </w:tcPr>
          <w:p>
            <w:pPr>
              <w:jc w:val="right"/>
              <w:ind w:right="57"/>
              <w:spacing w:after="0" w:line="135" w:lineRule="exact"/>
              <w:rPr>
                <w:sz w:val="20"/>
                <w:szCs w:val="20"/>
                <w:color w:val="auto"/>
              </w:rPr>
            </w:pPr>
            <w:r>
              <w:rPr>
                <w:rFonts w:ascii="Arial" w:cs="Arial" w:eastAsia="Arial" w:hAnsi="Arial"/>
                <w:sz w:val="13"/>
                <w:szCs w:val="13"/>
                <w:color w:val="auto"/>
              </w:rPr>
              <w:t>29.95</w:t>
            </w:r>
          </w:p>
        </w:tc>
        <w:tc>
          <w:tcPr>
            <w:tcW w:w="880" w:type="dxa"/>
            <w:vAlign w:val="bottom"/>
            <w:tcBorders>
              <w:right w:val="single" w:sz="8" w:color="auto"/>
            </w:tcBorders>
          </w:tcPr>
          <w:p>
            <w:pPr>
              <w:jc w:val="right"/>
              <w:ind w:right="58"/>
              <w:spacing w:after="0" w:line="135" w:lineRule="exact"/>
              <w:rPr>
                <w:sz w:val="20"/>
                <w:szCs w:val="20"/>
                <w:color w:val="auto"/>
              </w:rPr>
            </w:pPr>
            <w:r>
              <w:rPr>
                <w:rFonts w:ascii="Arial" w:cs="Arial" w:eastAsia="Arial" w:hAnsi="Arial"/>
                <w:sz w:val="13"/>
                <w:szCs w:val="13"/>
                <w:color w:val="auto"/>
              </w:rPr>
              <w:t>02/08/2021</w:t>
            </w:r>
          </w:p>
        </w:tc>
        <w:tc>
          <w:tcPr>
            <w:tcW w:w="880" w:type="dxa"/>
            <w:vAlign w:val="bottom"/>
            <w:tcBorders>
              <w:right w:val="single" w:sz="8" w:color="auto"/>
            </w:tcBorders>
          </w:tcPr>
          <w:p>
            <w:pPr>
              <w:spacing w:after="0"/>
              <w:rPr>
                <w:sz w:val="11"/>
                <w:szCs w:val="11"/>
                <w:color w:val="auto"/>
              </w:rPr>
            </w:pPr>
          </w:p>
        </w:tc>
        <w:tc>
          <w:tcPr>
            <w:tcW w:w="760" w:type="dxa"/>
            <w:vAlign w:val="bottom"/>
            <w:tcBorders>
              <w:right w:val="single" w:sz="8" w:color="auto"/>
            </w:tcBorders>
          </w:tcPr>
          <w:p>
            <w:pPr>
              <w:spacing w:after="0"/>
              <w:rPr>
                <w:sz w:val="11"/>
                <w:szCs w:val="11"/>
                <w:color w:val="auto"/>
              </w:rPr>
            </w:pPr>
          </w:p>
        </w:tc>
        <w:tc>
          <w:tcPr>
            <w:tcW w:w="140" w:type="dxa"/>
            <w:vAlign w:val="bottom"/>
          </w:tcPr>
          <w:p>
            <w:pPr>
              <w:spacing w:after="0"/>
              <w:rPr>
                <w:sz w:val="11"/>
                <w:szCs w:val="11"/>
                <w:color w:val="auto"/>
              </w:rPr>
            </w:pPr>
          </w:p>
        </w:tc>
        <w:tc>
          <w:tcPr>
            <w:tcW w:w="780" w:type="dxa"/>
            <w:vAlign w:val="bottom"/>
            <w:tcBorders>
              <w:right w:val="single" w:sz="8" w:color="auto"/>
            </w:tcBorders>
          </w:tcPr>
          <w:p>
            <w:pPr>
              <w:spacing w:after="0"/>
              <w:rPr>
                <w:sz w:val="11"/>
                <w:szCs w:val="11"/>
                <w:color w:val="auto"/>
              </w:rPr>
            </w:pPr>
          </w:p>
        </w:tc>
        <w:tc>
          <w:tcPr>
            <w:tcW w:w="1040" w:type="dxa"/>
            <w:vAlign w:val="bottom"/>
            <w:tcBorders>
              <w:right w:val="single" w:sz="8" w:color="auto"/>
            </w:tcBorders>
          </w:tcPr>
          <w:p>
            <w:pPr>
              <w:spacing w:after="0"/>
              <w:rPr>
                <w:sz w:val="11"/>
                <w:szCs w:val="11"/>
                <w:color w:val="auto"/>
              </w:rPr>
            </w:pPr>
          </w:p>
        </w:tc>
        <w:tc>
          <w:tcPr>
            <w:tcW w:w="180" w:type="dxa"/>
            <w:vAlign w:val="bottom"/>
          </w:tcPr>
          <w:p>
            <w:pPr>
              <w:spacing w:after="0"/>
              <w:rPr>
                <w:sz w:val="11"/>
                <w:szCs w:val="11"/>
                <w:color w:val="auto"/>
              </w:rPr>
            </w:pPr>
          </w:p>
        </w:tc>
        <w:tc>
          <w:tcPr>
            <w:tcW w:w="108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400" w:type="dxa"/>
            <w:vAlign w:val="bottom"/>
            <w:tcBorders>
              <w:left w:val="single" w:sz="8" w:color="auto"/>
              <w:right w:val="single" w:sz="8" w:color="auto"/>
            </w:tcBorders>
            <w:shd w:val="clear" w:color="auto" w:fill="CCEEFF"/>
          </w:tcPr>
          <w:p>
            <w:pPr>
              <w:spacing w:after="0"/>
              <w:rPr>
                <w:sz w:val="11"/>
                <w:szCs w:val="11"/>
                <w:color w:val="auto"/>
              </w:rPr>
            </w:pPr>
          </w:p>
        </w:tc>
        <w:tc>
          <w:tcPr>
            <w:tcW w:w="880" w:type="dxa"/>
            <w:vAlign w:val="bottom"/>
            <w:tcBorders>
              <w:right w:val="single" w:sz="8" w:color="auto"/>
            </w:tcBorders>
            <w:shd w:val="clear" w:color="auto" w:fill="CCEEFF"/>
          </w:tcPr>
          <w:p>
            <w:pPr>
              <w:jc w:val="right"/>
              <w:ind w:right="57"/>
              <w:spacing w:after="0" w:line="135" w:lineRule="exact"/>
              <w:rPr>
                <w:sz w:val="20"/>
                <w:szCs w:val="20"/>
                <w:color w:val="auto"/>
              </w:rPr>
            </w:pPr>
            <w:r>
              <w:rPr>
                <w:rFonts w:ascii="Arial" w:cs="Arial" w:eastAsia="Arial" w:hAnsi="Arial"/>
                <w:sz w:val="13"/>
                <w:szCs w:val="13"/>
                <w:color w:val="auto"/>
              </w:rPr>
              <w:t>02/09/2012</w:t>
            </w:r>
          </w:p>
        </w:tc>
        <w:tc>
          <w:tcPr>
            <w:tcW w:w="720" w:type="dxa"/>
            <w:vAlign w:val="bottom"/>
            <w:shd w:val="clear" w:color="auto" w:fill="CCEEFF"/>
          </w:tcPr>
          <w:p>
            <w:pPr>
              <w:jc w:val="right"/>
              <w:spacing w:after="0" w:line="135" w:lineRule="exact"/>
              <w:rPr>
                <w:sz w:val="20"/>
                <w:szCs w:val="20"/>
                <w:color w:val="auto"/>
              </w:rPr>
            </w:pPr>
            <w:r>
              <w:rPr>
                <w:rFonts w:ascii="Arial" w:cs="Arial" w:eastAsia="Arial" w:hAnsi="Arial"/>
                <w:sz w:val="13"/>
                <w:szCs w:val="13"/>
                <w:color w:val="auto"/>
              </w:rPr>
              <w:t>33,825</w:t>
            </w:r>
          </w:p>
        </w:tc>
        <w:tc>
          <w:tcPr>
            <w:tcW w:w="100" w:type="dxa"/>
            <w:vAlign w:val="bottom"/>
            <w:tcBorders>
              <w:right w:val="single" w:sz="8" w:color="auto"/>
            </w:tcBorders>
            <w:shd w:val="clear" w:color="auto" w:fill="CCEEFF"/>
          </w:tcPr>
          <w:p>
            <w:pPr>
              <w:spacing w:after="0"/>
              <w:rPr>
                <w:sz w:val="11"/>
                <w:szCs w:val="11"/>
                <w:color w:val="auto"/>
              </w:rPr>
            </w:pPr>
          </w:p>
        </w:tc>
        <w:tc>
          <w:tcPr>
            <w:tcW w:w="940" w:type="dxa"/>
            <w:vAlign w:val="bottom"/>
            <w:tcBorders>
              <w:right w:val="single" w:sz="8" w:color="auto"/>
            </w:tcBorders>
            <w:shd w:val="clear" w:color="auto" w:fill="CCEEFF"/>
          </w:tcPr>
          <w:p>
            <w:pPr>
              <w:jc w:val="right"/>
              <w:ind w:right="57"/>
              <w:spacing w:after="0" w:line="135" w:lineRule="exact"/>
              <w:rPr>
                <w:sz w:val="20"/>
                <w:szCs w:val="20"/>
                <w:color w:val="auto"/>
              </w:rPr>
            </w:pPr>
            <w:r>
              <w:rPr>
                <w:rFonts w:ascii="Arial" w:cs="Arial" w:eastAsia="Arial" w:hAnsi="Arial"/>
                <w:sz w:val="13"/>
                <w:szCs w:val="13"/>
                <w:color w:val="auto"/>
              </w:rPr>
              <w:t>11,275</w:t>
            </w:r>
          </w:p>
        </w:tc>
        <w:tc>
          <w:tcPr>
            <w:tcW w:w="160" w:type="dxa"/>
            <w:vAlign w:val="bottom"/>
            <w:shd w:val="clear" w:color="auto" w:fill="CCEEFF"/>
          </w:tcPr>
          <w:p>
            <w:pPr>
              <w:ind w:left="80"/>
              <w:spacing w:after="0" w:line="135" w:lineRule="exact"/>
              <w:rPr>
                <w:sz w:val="20"/>
                <w:szCs w:val="20"/>
                <w:color w:val="auto"/>
              </w:rPr>
            </w:pPr>
            <w:r>
              <w:rPr>
                <w:rFonts w:ascii="Arial" w:cs="Arial" w:eastAsia="Arial" w:hAnsi="Arial"/>
                <w:sz w:val="13"/>
                <w:szCs w:val="13"/>
                <w:color w:val="auto"/>
                <w:w w:val="82"/>
              </w:rPr>
              <w:t>$</w:t>
            </w:r>
          </w:p>
        </w:tc>
        <w:tc>
          <w:tcPr>
            <w:tcW w:w="500" w:type="dxa"/>
            <w:vAlign w:val="bottom"/>
            <w:tcBorders>
              <w:right w:val="single" w:sz="8" w:color="auto"/>
            </w:tcBorders>
            <w:shd w:val="clear" w:color="auto" w:fill="CCEEFF"/>
          </w:tcPr>
          <w:p>
            <w:pPr>
              <w:jc w:val="right"/>
              <w:ind w:right="57"/>
              <w:spacing w:after="0" w:line="135" w:lineRule="exact"/>
              <w:rPr>
                <w:sz w:val="20"/>
                <w:szCs w:val="20"/>
                <w:color w:val="auto"/>
              </w:rPr>
            </w:pPr>
            <w:r>
              <w:rPr>
                <w:rFonts w:ascii="Arial" w:cs="Arial" w:eastAsia="Arial" w:hAnsi="Arial"/>
                <w:sz w:val="13"/>
                <w:szCs w:val="13"/>
                <w:color w:val="auto"/>
              </w:rPr>
              <w:t>31.06</w:t>
            </w:r>
          </w:p>
        </w:tc>
        <w:tc>
          <w:tcPr>
            <w:tcW w:w="880" w:type="dxa"/>
            <w:vAlign w:val="bottom"/>
            <w:tcBorders>
              <w:right w:val="single" w:sz="8" w:color="auto"/>
            </w:tcBorders>
            <w:shd w:val="clear" w:color="auto" w:fill="CCEEFF"/>
          </w:tcPr>
          <w:p>
            <w:pPr>
              <w:jc w:val="right"/>
              <w:ind w:right="58"/>
              <w:spacing w:after="0" w:line="135" w:lineRule="exact"/>
              <w:rPr>
                <w:sz w:val="20"/>
                <w:szCs w:val="20"/>
                <w:color w:val="auto"/>
              </w:rPr>
            </w:pPr>
            <w:r>
              <w:rPr>
                <w:rFonts w:ascii="Arial" w:cs="Arial" w:eastAsia="Arial" w:hAnsi="Arial"/>
                <w:sz w:val="13"/>
                <w:szCs w:val="13"/>
                <w:color w:val="auto"/>
              </w:rPr>
              <w:t>02/09/2022</w:t>
            </w:r>
          </w:p>
        </w:tc>
        <w:tc>
          <w:tcPr>
            <w:tcW w:w="880" w:type="dxa"/>
            <w:vAlign w:val="bottom"/>
            <w:tcBorders>
              <w:right w:val="single" w:sz="8" w:color="auto"/>
            </w:tcBorders>
            <w:shd w:val="clear" w:color="auto" w:fill="CCEEFF"/>
          </w:tcPr>
          <w:p>
            <w:pPr>
              <w:spacing w:after="0"/>
              <w:rPr>
                <w:sz w:val="11"/>
                <w:szCs w:val="11"/>
                <w:color w:val="auto"/>
              </w:rPr>
            </w:pPr>
          </w:p>
        </w:tc>
        <w:tc>
          <w:tcPr>
            <w:tcW w:w="760" w:type="dxa"/>
            <w:vAlign w:val="bottom"/>
            <w:tcBorders>
              <w:right w:val="single" w:sz="8" w:color="auto"/>
            </w:tcBorders>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780" w:type="dxa"/>
            <w:vAlign w:val="bottom"/>
            <w:tcBorders>
              <w:right w:val="single" w:sz="8" w:color="auto"/>
            </w:tcBorders>
            <w:shd w:val="clear" w:color="auto" w:fill="CCEEFF"/>
          </w:tcPr>
          <w:p>
            <w:pPr>
              <w:spacing w:after="0"/>
              <w:rPr>
                <w:sz w:val="11"/>
                <w:szCs w:val="11"/>
                <w:color w:val="auto"/>
              </w:rPr>
            </w:pPr>
          </w:p>
        </w:tc>
        <w:tc>
          <w:tcPr>
            <w:tcW w:w="1040" w:type="dxa"/>
            <w:vAlign w:val="bottom"/>
            <w:tcBorders>
              <w:right w:val="single" w:sz="8" w:color="auto"/>
            </w:tcBorders>
            <w:shd w:val="clear" w:color="auto" w:fill="CCEEFF"/>
          </w:tcPr>
          <w:p>
            <w:pPr>
              <w:spacing w:after="0"/>
              <w:rPr>
                <w:sz w:val="11"/>
                <w:szCs w:val="11"/>
                <w:color w:val="auto"/>
              </w:rPr>
            </w:pPr>
          </w:p>
        </w:tc>
        <w:tc>
          <w:tcPr>
            <w:tcW w:w="180" w:type="dxa"/>
            <w:vAlign w:val="bottom"/>
            <w:shd w:val="clear" w:color="auto" w:fill="CCEEFF"/>
          </w:tcPr>
          <w:p>
            <w:pPr>
              <w:spacing w:after="0"/>
              <w:rPr>
                <w:sz w:val="11"/>
                <w:szCs w:val="11"/>
                <w:color w:val="auto"/>
              </w:rPr>
            </w:pPr>
          </w:p>
        </w:tc>
        <w:tc>
          <w:tcPr>
            <w:tcW w:w="1080" w:type="dxa"/>
            <w:vAlign w:val="bottom"/>
            <w:tcBorders>
              <w:right w:val="single" w:sz="8" w:color="auto"/>
            </w:tcBorders>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400" w:type="dxa"/>
            <w:vAlign w:val="bottom"/>
            <w:tcBorders>
              <w:left w:val="single" w:sz="8" w:color="auto"/>
              <w:right w:val="single" w:sz="8" w:color="auto"/>
            </w:tcBorders>
          </w:tcPr>
          <w:p>
            <w:pPr>
              <w:spacing w:after="0"/>
              <w:rPr>
                <w:sz w:val="11"/>
                <w:szCs w:val="11"/>
                <w:color w:val="auto"/>
              </w:rPr>
            </w:pPr>
          </w:p>
        </w:tc>
        <w:tc>
          <w:tcPr>
            <w:tcW w:w="880" w:type="dxa"/>
            <w:vAlign w:val="bottom"/>
            <w:tcBorders>
              <w:right w:val="single" w:sz="8" w:color="auto"/>
            </w:tcBorders>
          </w:tcPr>
          <w:p>
            <w:pPr>
              <w:jc w:val="right"/>
              <w:ind w:right="57"/>
              <w:spacing w:after="0" w:line="135" w:lineRule="exact"/>
              <w:rPr>
                <w:sz w:val="20"/>
                <w:szCs w:val="20"/>
                <w:color w:val="auto"/>
              </w:rPr>
            </w:pPr>
            <w:r>
              <w:rPr>
                <w:rFonts w:ascii="Arial" w:cs="Arial" w:eastAsia="Arial" w:hAnsi="Arial"/>
                <w:sz w:val="13"/>
                <w:szCs w:val="13"/>
                <w:color w:val="auto"/>
              </w:rPr>
              <w:t>02/07/2013</w:t>
            </w:r>
          </w:p>
        </w:tc>
        <w:tc>
          <w:tcPr>
            <w:tcW w:w="720" w:type="dxa"/>
            <w:vAlign w:val="bottom"/>
          </w:tcPr>
          <w:p>
            <w:pPr>
              <w:jc w:val="right"/>
              <w:spacing w:after="0" w:line="135" w:lineRule="exact"/>
              <w:rPr>
                <w:sz w:val="20"/>
                <w:szCs w:val="20"/>
                <w:color w:val="auto"/>
              </w:rPr>
            </w:pPr>
            <w:r>
              <w:rPr>
                <w:rFonts w:ascii="Arial" w:cs="Arial" w:eastAsia="Arial" w:hAnsi="Arial"/>
                <w:sz w:val="13"/>
                <w:szCs w:val="13"/>
                <w:color w:val="auto"/>
              </w:rPr>
              <w:t>23,224</w:t>
            </w:r>
          </w:p>
        </w:tc>
        <w:tc>
          <w:tcPr>
            <w:tcW w:w="100" w:type="dxa"/>
            <w:vAlign w:val="bottom"/>
            <w:tcBorders>
              <w:right w:val="single" w:sz="8" w:color="auto"/>
            </w:tcBorders>
          </w:tcPr>
          <w:p>
            <w:pPr>
              <w:spacing w:after="0"/>
              <w:rPr>
                <w:sz w:val="11"/>
                <w:szCs w:val="11"/>
                <w:color w:val="auto"/>
              </w:rPr>
            </w:pPr>
          </w:p>
        </w:tc>
        <w:tc>
          <w:tcPr>
            <w:tcW w:w="940" w:type="dxa"/>
            <w:vAlign w:val="bottom"/>
            <w:tcBorders>
              <w:right w:val="single" w:sz="8" w:color="auto"/>
            </w:tcBorders>
          </w:tcPr>
          <w:p>
            <w:pPr>
              <w:jc w:val="right"/>
              <w:ind w:right="57"/>
              <w:spacing w:after="0" w:line="135" w:lineRule="exact"/>
              <w:rPr>
                <w:sz w:val="20"/>
                <w:szCs w:val="20"/>
                <w:color w:val="auto"/>
              </w:rPr>
            </w:pPr>
            <w:r>
              <w:rPr>
                <w:rFonts w:ascii="Arial" w:cs="Arial" w:eastAsia="Arial" w:hAnsi="Arial"/>
                <w:sz w:val="13"/>
                <w:szCs w:val="13"/>
                <w:color w:val="auto"/>
              </w:rPr>
              <w:t>23,226</w:t>
            </w:r>
          </w:p>
        </w:tc>
        <w:tc>
          <w:tcPr>
            <w:tcW w:w="160" w:type="dxa"/>
            <w:vAlign w:val="bottom"/>
          </w:tcPr>
          <w:p>
            <w:pPr>
              <w:ind w:left="80"/>
              <w:spacing w:after="0" w:line="135" w:lineRule="exact"/>
              <w:rPr>
                <w:sz w:val="20"/>
                <w:szCs w:val="20"/>
                <w:color w:val="auto"/>
              </w:rPr>
            </w:pPr>
            <w:r>
              <w:rPr>
                <w:rFonts w:ascii="Arial" w:cs="Arial" w:eastAsia="Arial" w:hAnsi="Arial"/>
                <w:sz w:val="13"/>
                <w:szCs w:val="13"/>
                <w:color w:val="auto"/>
                <w:w w:val="82"/>
              </w:rPr>
              <w:t>$</w:t>
            </w:r>
          </w:p>
        </w:tc>
        <w:tc>
          <w:tcPr>
            <w:tcW w:w="500" w:type="dxa"/>
            <w:vAlign w:val="bottom"/>
            <w:tcBorders>
              <w:right w:val="single" w:sz="8" w:color="auto"/>
            </w:tcBorders>
          </w:tcPr>
          <w:p>
            <w:pPr>
              <w:jc w:val="right"/>
              <w:ind w:right="57"/>
              <w:spacing w:after="0" w:line="135" w:lineRule="exact"/>
              <w:rPr>
                <w:sz w:val="20"/>
                <w:szCs w:val="20"/>
                <w:color w:val="auto"/>
              </w:rPr>
            </w:pPr>
            <w:r>
              <w:rPr>
                <w:rFonts w:ascii="Arial" w:cs="Arial" w:eastAsia="Arial" w:hAnsi="Arial"/>
                <w:sz w:val="13"/>
                <w:szCs w:val="13"/>
                <w:color w:val="auto"/>
              </w:rPr>
              <w:t>33.76</w:t>
            </w:r>
          </w:p>
        </w:tc>
        <w:tc>
          <w:tcPr>
            <w:tcW w:w="880" w:type="dxa"/>
            <w:vAlign w:val="bottom"/>
            <w:tcBorders>
              <w:right w:val="single" w:sz="8" w:color="auto"/>
            </w:tcBorders>
          </w:tcPr>
          <w:p>
            <w:pPr>
              <w:jc w:val="right"/>
              <w:ind w:right="58"/>
              <w:spacing w:after="0" w:line="135" w:lineRule="exact"/>
              <w:rPr>
                <w:sz w:val="20"/>
                <w:szCs w:val="20"/>
                <w:color w:val="auto"/>
              </w:rPr>
            </w:pPr>
            <w:r>
              <w:rPr>
                <w:rFonts w:ascii="Arial" w:cs="Arial" w:eastAsia="Arial" w:hAnsi="Arial"/>
                <w:sz w:val="13"/>
                <w:szCs w:val="13"/>
                <w:color w:val="auto"/>
              </w:rPr>
              <w:t>02/07/2023</w:t>
            </w:r>
          </w:p>
        </w:tc>
        <w:tc>
          <w:tcPr>
            <w:tcW w:w="880" w:type="dxa"/>
            <w:vAlign w:val="bottom"/>
            <w:tcBorders>
              <w:right w:val="single" w:sz="8" w:color="auto"/>
            </w:tcBorders>
          </w:tcPr>
          <w:p>
            <w:pPr>
              <w:spacing w:after="0"/>
              <w:rPr>
                <w:sz w:val="11"/>
                <w:szCs w:val="11"/>
                <w:color w:val="auto"/>
              </w:rPr>
            </w:pPr>
          </w:p>
        </w:tc>
        <w:tc>
          <w:tcPr>
            <w:tcW w:w="760" w:type="dxa"/>
            <w:vAlign w:val="bottom"/>
            <w:tcBorders>
              <w:right w:val="single" w:sz="8" w:color="auto"/>
            </w:tcBorders>
          </w:tcPr>
          <w:p>
            <w:pPr>
              <w:spacing w:after="0"/>
              <w:rPr>
                <w:sz w:val="11"/>
                <w:szCs w:val="11"/>
                <w:color w:val="auto"/>
              </w:rPr>
            </w:pPr>
          </w:p>
        </w:tc>
        <w:tc>
          <w:tcPr>
            <w:tcW w:w="140" w:type="dxa"/>
            <w:vAlign w:val="bottom"/>
          </w:tcPr>
          <w:p>
            <w:pPr>
              <w:spacing w:after="0"/>
              <w:rPr>
                <w:sz w:val="11"/>
                <w:szCs w:val="11"/>
                <w:color w:val="auto"/>
              </w:rPr>
            </w:pPr>
          </w:p>
        </w:tc>
        <w:tc>
          <w:tcPr>
            <w:tcW w:w="780" w:type="dxa"/>
            <w:vAlign w:val="bottom"/>
            <w:tcBorders>
              <w:right w:val="single" w:sz="8" w:color="auto"/>
            </w:tcBorders>
          </w:tcPr>
          <w:p>
            <w:pPr>
              <w:spacing w:after="0"/>
              <w:rPr>
                <w:sz w:val="11"/>
                <w:szCs w:val="11"/>
                <w:color w:val="auto"/>
              </w:rPr>
            </w:pPr>
          </w:p>
        </w:tc>
        <w:tc>
          <w:tcPr>
            <w:tcW w:w="1040" w:type="dxa"/>
            <w:vAlign w:val="bottom"/>
            <w:tcBorders>
              <w:right w:val="single" w:sz="8" w:color="auto"/>
            </w:tcBorders>
          </w:tcPr>
          <w:p>
            <w:pPr>
              <w:spacing w:after="0"/>
              <w:rPr>
                <w:sz w:val="11"/>
                <w:szCs w:val="11"/>
                <w:color w:val="auto"/>
              </w:rPr>
            </w:pPr>
          </w:p>
        </w:tc>
        <w:tc>
          <w:tcPr>
            <w:tcW w:w="180" w:type="dxa"/>
            <w:vAlign w:val="bottom"/>
          </w:tcPr>
          <w:p>
            <w:pPr>
              <w:spacing w:after="0"/>
              <w:rPr>
                <w:sz w:val="11"/>
                <w:szCs w:val="11"/>
                <w:color w:val="auto"/>
              </w:rPr>
            </w:pPr>
          </w:p>
        </w:tc>
        <w:tc>
          <w:tcPr>
            <w:tcW w:w="108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400" w:type="dxa"/>
            <w:vAlign w:val="bottom"/>
            <w:tcBorders>
              <w:left w:val="single" w:sz="8" w:color="auto"/>
              <w:right w:val="single" w:sz="8" w:color="auto"/>
            </w:tcBorders>
            <w:shd w:val="clear" w:color="auto" w:fill="CCEEFF"/>
          </w:tcPr>
          <w:p>
            <w:pPr>
              <w:spacing w:after="0"/>
              <w:rPr>
                <w:sz w:val="11"/>
                <w:szCs w:val="11"/>
                <w:color w:val="auto"/>
              </w:rPr>
            </w:pPr>
          </w:p>
        </w:tc>
        <w:tc>
          <w:tcPr>
            <w:tcW w:w="880" w:type="dxa"/>
            <w:vAlign w:val="bottom"/>
            <w:tcBorders>
              <w:right w:val="single" w:sz="8" w:color="auto"/>
            </w:tcBorders>
            <w:shd w:val="clear" w:color="auto" w:fill="CCEEFF"/>
          </w:tcPr>
          <w:p>
            <w:pPr>
              <w:jc w:val="right"/>
              <w:ind w:right="57"/>
              <w:spacing w:after="0" w:line="135" w:lineRule="exact"/>
              <w:rPr>
                <w:sz w:val="20"/>
                <w:szCs w:val="20"/>
                <w:color w:val="auto"/>
              </w:rPr>
            </w:pPr>
            <w:r>
              <w:rPr>
                <w:rFonts w:ascii="Arial" w:cs="Arial" w:eastAsia="Arial" w:hAnsi="Arial"/>
                <w:sz w:val="13"/>
                <w:szCs w:val="13"/>
                <w:color w:val="auto"/>
              </w:rPr>
              <w:t>02/13/2014</w:t>
            </w:r>
          </w:p>
        </w:tc>
        <w:tc>
          <w:tcPr>
            <w:tcW w:w="720" w:type="dxa"/>
            <w:vAlign w:val="bottom"/>
            <w:shd w:val="clear" w:color="auto" w:fill="CCEEFF"/>
          </w:tcPr>
          <w:p>
            <w:pPr>
              <w:jc w:val="right"/>
              <w:spacing w:after="0" w:line="135" w:lineRule="exact"/>
              <w:rPr>
                <w:sz w:val="20"/>
                <w:szCs w:val="20"/>
                <w:color w:val="auto"/>
              </w:rPr>
            </w:pPr>
            <w:r>
              <w:rPr>
                <w:rFonts w:ascii="Arial" w:cs="Arial" w:eastAsia="Arial" w:hAnsi="Arial"/>
                <w:sz w:val="13"/>
                <w:szCs w:val="13"/>
                <w:color w:val="auto"/>
              </w:rPr>
              <w:t>11,500</w:t>
            </w:r>
          </w:p>
        </w:tc>
        <w:tc>
          <w:tcPr>
            <w:tcW w:w="100" w:type="dxa"/>
            <w:vAlign w:val="bottom"/>
            <w:tcBorders>
              <w:right w:val="single" w:sz="8" w:color="auto"/>
            </w:tcBorders>
            <w:shd w:val="clear" w:color="auto" w:fill="CCEEFF"/>
          </w:tcPr>
          <w:p>
            <w:pPr>
              <w:spacing w:after="0"/>
              <w:rPr>
                <w:sz w:val="11"/>
                <w:szCs w:val="11"/>
                <w:color w:val="auto"/>
              </w:rPr>
            </w:pPr>
          </w:p>
        </w:tc>
        <w:tc>
          <w:tcPr>
            <w:tcW w:w="940" w:type="dxa"/>
            <w:vAlign w:val="bottom"/>
            <w:tcBorders>
              <w:right w:val="single" w:sz="8" w:color="auto"/>
            </w:tcBorders>
            <w:shd w:val="clear" w:color="auto" w:fill="CCEEFF"/>
          </w:tcPr>
          <w:p>
            <w:pPr>
              <w:jc w:val="right"/>
              <w:ind w:right="57"/>
              <w:spacing w:after="0" w:line="135" w:lineRule="exact"/>
              <w:rPr>
                <w:sz w:val="20"/>
                <w:szCs w:val="20"/>
                <w:color w:val="auto"/>
              </w:rPr>
            </w:pPr>
            <w:r>
              <w:rPr>
                <w:rFonts w:ascii="Arial" w:cs="Arial" w:eastAsia="Arial" w:hAnsi="Arial"/>
                <w:sz w:val="13"/>
                <w:szCs w:val="13"/>
                <w:color w:val="auto"/>
              </w:rPr>
              <w:t>34,500</w:t>
            </w:r>
          </w:p>
        </w:tc>
        <w:tc>
          <w:tcPr>
            <w:tcW w:w="160" w:type="dxa"/>
            <w:vAlign w:val="bottom"/>
            <w:shd w:val="clear" w:color="auto" w:fill="CCEEFF"/>
          </w:tcPr>
          <w:p>
            <w:pPr>
              <w:ind w:left="80"/>
              <w:spacing w:after="0" w:line="135" w:lineRule="exact"/>
              <w:rPr>
                <w:sz w:val="20"/>
                <w:szCs w:val="20"/>
                <w:color w:val="auto"/>
              </w:rPr>
            </w:pPr>
            <w:r>
              <w:rPr>
                <w:rFonts w:ascii="Arial" w:cs="Arial" w:eastAsia="Arial" w:hAnsi="Arial"/>
                <w:sz w:val="13"/>
                <w:szCs w:val="13"/>
                <w:color w:val="auto"/>
                <w:w w:val="82"/>
              </w:rPr>
              <w:t>$</w:t>
            </w:r>
          </w:p>
        </w:tc>
        <w:tc>
          <w:tcPr>
            <w:tcW w:w="500" w:type="dxa"/>
            <w:vAlign w:val="bottom"/>
            <w:tcBorders>
              <w:right w:val="single" w:sz="8" w:color="auto"/>
            </w:tcBorders>
            <w:shd w:val="clear" w:color="auto" w:fill="CCEEFF"/>
          </w:tcPr>
          <w:p>
            <w:pPr>
              <w:jc w:val="right"/>
              <w:ind w:right="57"/>
              <w:spacing w:after="0" w:line="135" w:lineRule="exact"/>
              <w:rPr>
                <w:sz w:val="20"/>
                <w:szCs w:val="20"/>
                <w:color w:val="auto"/>
              </w:rPr>
            </w:pPr>
            <w:r>
              <w:rPr>
                <w:rFonts w:ascii="Arial" w:cs="Arial" w:eastAsia="Arial" w:hAnsi="Arial"/>
                <w:sz w:val="13"/>
                <w:szCs w:val="13"/>
                <w:color w:val="auto"/>
              </w:rPr>
              <w:t>34.26</w:t>
            </w:r>
          </w:p>
        </w:tc>
        <w:tc>
          <w:tcPr>
            <w:tcW w:w="880" w:type="dxa"/>
            <w:vAlign w:val="bottom"/>
            <w:tcBorders>
              <w:right w:val="single" w:sz="8" w:color="auto"/>
            </w:tcBorders>
            <w:shd w:val="clear" w:color="auto" w:fill="CCEEFF"/>
          </w:tcPr>
          <w:p>
            <w:pPr>
              <w:jc w:val="right"/>
              <w:ind w:right="58"/>
              <w:spacing w:after="0" w:line="135" w:lineRule="exact"/>
              <w:rPr>
                <w:sz w:val="20"/>
                <w:szCs w:val="20"/>
                <w:color w:val="auto"/>
              </w:rPr>
            </w:pPr>
            <w:r>
              <w:rPr>
                <w:rFonts w:ascii="Arial" w:cs="Arial" w:eastAsia="Arial" w:hAnsi="Arial"/>
                <w:sz w:val="13"/>
                <w:szCs w:val="13"/>
                <w:color w:val="auto"/>
              </w:rPr>
              <w:t>02/13/2024</w:t>
            </w:r>
          </w:p>
        </w:tc>
        <w:tc>
          <w:tcPr>
            <w:tcW w:w="880" w:type="dxa"/>
            <w:vAlign w:val="bottom"/>
            <w:tcBorders>
              <w:right w:val="single" w:sz="8" w:color="auto"/>
            </w:tcBorders>
            <w:shd w:val="clear" w:color="auto" w:fill="CCEEFF"/>
          </w:tcPr>
          <w:p>
            <w:pPr>
              <w:spacing w:after="0"/>
              <w:rPr>
                <w:sz w:val="11"/>
                <w:szCs w:val="11"/>
                <w:color w:val="auto"/>
              </w:rPr>
            </w:pPr>
          </w:p>
        </w:tc>
        <w:tc>
          <w:tcPr>
            <w:tcW w:w="760" w:type="dxa"/>
            <w:vAlign w:val="bottom"/>
            <w:tcBorders>
              <w:right w:val="single" w:sz="8" w:color="auto"/>
            </w:tcBorders>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780" w:type="dxa"/>
            <w:vAlign w:val="bottom"/>
            <w:tcBorders>
              <w:right w:val="single" w:sz="8" w:color="auto"/>
            </w:tcBorders>
            <w:shd w:val="clear" w:color="auto" w:fill="CCEEFF"/>
          </w:tcPr>
          <w:p>
            <w:pPr>
              <w:spacing w:after="0"/>
              <w:rPr>
                <w:sz w:val="11"/>
                <w:szCs w:val="11"/>
                <w:color w:val="auto"/>
              </w:rPr>
            </w:pPr>
          </w:p>
        </w:tc>
        <w:tc>
          <w:tcPr>
            <w:tcW w:w="1040" w:type="dxa"/>
            <w:vAlign w:val="bottom"/>
            <w:tcBorders>
              <w:right w:val="single" w:sz="8" w:color="auto"/>
            </w:tcBorders>
            <w:shd w:val="clear" w:color="auto" w:fill="CCEEFF"/>
          </w:tcPr>
          <w:p>
            <w:pPr>
              <w:spacing w:after="0"/>
              <w:rPr>
                <w:sz w:val="11"/>
                <w:szCs w:val="11"/>
                <w:color w:val="auto"/>
              </w:rPr>
            </w:pPr>
          </w:p>
        </w:tc>
        <w:tc>
          <w:tcPr>
            <w:tcW w:w="180" w:type="dxa"/>
            <w:vAlign w:val="bottom"/>
            <w:shd w:val="clear" w:color="auto" w:fill="CCEEFF"/>
          </w:tcPr>
          <w:p>
            <w:pPr>
              <w:spacing w:after="0"/>
              <w:rPr>
                <w:sz w:val="11"/>
                <w:szCs w:val="11"/>
                <w:color w:val="auto"/>
              </w:rPr>
            </w:pPr>
          </w:p>
        </w:tc>
        <w:tc>
          <w:tcPr>
            <w:tcW w:w="1080" w:type="dxa"/>
            <w:vAlign w:val="bottom"/>
            <w:tcBorders>
              <w:right w:val="single" w:sz="8" w:color="auto"/>
            </w:tcBorders>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400" w:type="dxa"/>
            <w:vAlign w:val="bottom"/>
            <w:tcBorders>
              <w:left w:val="single" w:sz="8" w:color="auto"/>
              <w:bottom w:val="single" w:sz="8" w:color="auto"/>
              <w:right w:val="single" w:sz="8" w:color="auto"/>
            </w:tcBorders>
          </w:tcPr>
          <w:p>
            <w:pPr>
              <w:spacing w:after="0"/>
              <w:rPr>
                <w:sz w:val="11"/>
                <w:szCs w:val="11"/>
                <w:color w:val="auto"/>
              </w:rPr>
            </w:pPr>
          </w:p>
        </w:tc>
        <w:tc>
          <w:tcPr>
            <w:tcW w:w="880" w:type="dxa"/>
            <w:vAlign w:val="bottom"/>
            <w:tcBorders>
              <w:bottom w:val="single" w:sz="8" w:color="auto"/>
              <w:right w:val="single" w:sz="8" w:color="auto"/>
            </w:tcBorders>
          </w:tcPr>
          <w:p>
            <w:pPr>
              <w:jc w:val="right"/>
              <w:ind w:right="57"/>
              <w:spacing w:after="0" w:line="135" w:lineRule="exact"/>
              <w:rPr>
                <w:sz w:val="20"/>
                <w:szCs w:val="20"/>
                <w:color w:val="auto"/>
              </w:rPr>
            </w:pPr>
            <w:r>
              <w:rPr>
                <w:rFonts w:ascii="Arial" w:cs="Arial" w:eastAsia="Arial" w:hAnsi="Arial"/>
                <w:sz w:val="13"/>
                <w:szCs w:val="13"/>
                <w:color w:val="auto"/>
              </w:rPr>
              <w:t>01/29/2015</w:t>
            </w:r>
          </w:p>
        </w:tc>
        <w:tc>
          <w:tcPr>
            <w:tcW w:w="720" w:type="dxa"/>
            <w:vAlign w:val="bottom"/>
            <w:tcBorders>
              <w:bottom w:val="single" w:sz="8" w:color="auto"/>
            </w:tcBorders>
          </w:tcPr>
          <w:p>
            <w:pPr>
              <w:jc w:val="right"/>
              <w:spacing w:after="0" w:line="135" w:lineRule="exact"/>
              <w:rPr>
                <w:sz w:val="20"/>
                <w:szCs w:val="20"/>
                <w:color w:val="auto"/>
              </w:rPr>
            </w:pPr>
            <w:r>
              <w:rPr>
                <w:rFonts w:ascii="Arial" w:cs="Arial" w:eastAsia="Arial" w:hAnsi="Arial"/>
                <w:sz w:val="13"/>
                <w:szCs w:val="13"/>
                <w:color w:val="auto"/>
              </w:rPr>
              <w:t>0</w:t>
            </w:r>
          </w:p>
        </w:tc>
        <w:tc>
          <w:tcPr>
            <w:tcW w:w="100" w:type="dxa"/>
            <w:vAlign w:val="bottom"/>
            <w:tcBorders>
              <w:bottom w:val="single" w:sz="8" w:color="auto"/>
              <w:right w:val="single" w:sz="8" w:color="auto"/>
            </w:tcBorders>
          </w:tcPr>
          <w:p>
            <w:pPr>
              <w:spacing w:after="0"/>
              <w:rPr>
                <w:sz w:val="11"/>
                <w:szCs w:val="11"/>
                <w:color w:val="auto"/>
              </w:rPr>
            </w:pPr>
          </w:p>
        </w:tc>
        <w:tc>
          <w:tcPr>
            <w:tcW w:w="940" w:type="dxa"/>
            <w:vAlign w:val="bottom"/>
            <w:tcBorders>
              <w:bottom w:val="single" w:sz="8" w:color="auto"/>
              <w:right w:val="single" w:sz="8" w:color="auto"/>
            </w:tcBorders>
          </w:tcPr>
          <w:p>
            <w:pPr>
              <w:jc w:val="right"/>
              <w:ind w:right="57"/>
              <w:spacing w:after="0" w:line="135" w:lineRule="exact"/>
              <w:rPr>
                <w:sz w:val="20"/>
                <w:szCs w:val="20"/>
                <w:color w:val="auto"/>
              </w:rPr>
            </w:pPr>
            <w:r>
              <w:rPr>
                <w:rFonts w:ascii="Arial" w:cs="Arial" w:eastAsia="Arial" w:hAnsi="Arial"/>
                <w:sz w:val="13"/>
                <w:szCs w:val="13"/>
                <w:color w:val="auto"/>
              </w:rPr>
              <w:t>95,000</w:t>
            </w:r>
          </w:p>
        </w:tc>
        <w:tc>
          <w:tcPr>
            <w:tcW w:w="160" w:type="dxa"/>
            <w:vAlign w:val="bottom"/>
            <w:tcBorders>
              <w:bottom w:val="single" w:sz="8" w:color="auto"/>
            </w:tcBorders>
          </w:tcPr>
          <w:p>
            <w:pPr>
              <w:ind w:left="80"/>
              <w:spacing w:after="0" w:line="135" w:lineRule="exact"/>
              <w:rPr>
                <w:sz w:val="20"/>
                <w:szCs w:val="20"/>
                <w:color w:val="auto"/>
              </w:rPr>
            </w:pPr>
            <w:r>
              <w:rPr>
                <w:rFonts w:ascii="Arial" w:cs="Arial" w:eastAsia="Arial" w:hAnsi="Arial"/>
                <w:sz w:val="13"/>
                <w:szCs w:val="13"/>
                <w:color w:val="auto"/>
                <w:w w:val="82"/>
              </w:rPr>
              <w:t>$</w:t>
            </w:r>
          </w:p>
        </w:tc>
        <w:tc>
          <w:tcPr>
            <w:tcW w:w="500" w:type="dxa"/>
            <w:vAlign w:val="bottom"/>
            <w:tcBorders>
              <w:bottom w:val="single" w:sz="8" w:color="auto"/>
              <w:right w:val="single" w:sz="8" w:color="auto"/>
            </w:tcBorders>
          </w:tcPr>
          <w:p>
            <w:pPr>
              <w:jc w:val="right"/>
              <w:ind w:right="57"/>
              <w:spacing w:after="0" w:line="135" w:lineRule="exact"/>
              <w:rPr>
                <w:sz w:val="20"/>
                <w:szCs w:val="20"/>
                <w:color w:val="auto"/>
              </w:rPr>
            </w:pPr>
            <w:r>
              <w:rPr>
                <w:rFonts w:ascii="Arial" w:cs="Arial" w:eastAsia="Arial" w:hAnsi="Arial"/>
                <w:sz w:val="13"/>
                <w:szCs w:val="13"/>
                <w:color w:val="auto"/>
              </w:rPr>
              <w:t>29.00</w:t>
            </w:r>
          </w:p>
        </w:tc>
        <w:tc>
          <w:tcPr>
            <w:tcW w:w="880" w:type="dxa"/>
            <w:vAlign w:val="bottom"/>
            <w:tcBorders>
              <w:bottom w:val="single" w:sz="8" w:color="auto"/>
              <w:right w:val="single" w:sz="8" w:color="auto"/>
            </w:tcBorders>
          </w:tcPr>
          <w:p>
            <w:pPr>
              <w:jc w:val="right"/>
              <w:ind w:right="58"/>
              <w:spacing w:after="0" w:line="135" w:lineRule="exact"/>
              <w:rPr>
                <w:sz w:val="20"/>
                <w:szCs w:val="20"/>
                <w:color w:val="auto"/>
              </w:rPr>
            </w:pPr>
            <w:r>
              <w:rPr>
                <w:rFonts w:ascii="Arial" w:cs="Arial" w:eastAsia="Arial" w:hAnsi="Arial"/>
                <w:sz w:val="13"/>
                <w:szCs w:val="13"/>
                <w:color w:val="auto"/>
              </w:rPr>
              <w:t>01/29/2025</w:t>
            </w:r>
          </w:p>
        </w:tc>
        <w:tc>
          <w:tcPr>
            <w:tcW w:w="880" w:type="dxa"/>
            <w:vAlign w:val="bottom"/>
            <w:tcBorders>
              <w:bottom w:val="single" w:sz="8" w:color="auto"/>
              <w:right w:val="single" w:sz="8" w:color="auto"/>
            </w:tcBorders>
          </w:tcPr>
          <w:p>
            <w:pPr>
              <w:spacing w:after="0"/>
              <w:rPr>
                <w:sz w:val="11"/>
                <w:szCs w:val="11"/>
                <w:color w:val="auto"/>
              </w:rPr>
            </w:pPr>
          </w:p>
        </w:tc>
        <w:tc>
          <w:tcPr>
            <w:tcW w:w="760" w:type="dxa"/>
            <w:vAlign w:val="bottom"/>
            <w:tcBorders>
              <w:bottom w:val="single" w:sz="8" w:color="auto"/>
              <w:right w:val="single" w:sz="8" w:color="auto"/>
            </w:tcBorders>
          </w:tcPr>
          <w:p>
            <w:pPr>
              <w:spacing w:after="0"/>
              <w:rPr>
                <w:sz w:val="11"/>
                <w:szCs w:val="11"/>
                <w:color w:val="auto"/>
              </w:rPr>
            </w:pPr>
          </w:p>
        </w:tc>
        <w:tc>
          <w:tcPr>
            <w:tcW w:w="140" w:type="dxa"/>
            <w:vAlign w:val="bottom"/>
            <w:tcBorders>
              <w:bottom w:val="single" w:sz="8" w:color="auto"/>
            </w:tcBorders>
          </w:tcPr>
          <w:p>
            <w:pPr>
              <w:spacing w:after="0"/>
              <w:rPr>
                <w:sz w:val="11"/>
                <w:szCs w:val="11"/>
                <w:color w:val="auto"/>
              </w:rPr>
            </w:pPr>
          </w:p>
        </w:tc>
        <w:tc>
          <w:tcPr>
            <w:tcW w:w="780" w:type="dxa"/>
            <w:vAlign w:val="bottom"/>
            <w:tcBorders>
              <w:bottom w:val="single" w:sz="8" w:color="auto"/>
              <w:right w:val="single" w:sz="8" w:color="auto"/>
            </w:tcBorders>
          </w:tcPr>
          <w:p>
            <w:pPr>
              <w:spacing w:after="0"/>
              <w:rPr>
                <w:sz w:val="11"/>
                <w:szCs w:val="11"/>
                <w:color w:val="auto"/>
              </w:rPr>
            </w:pPr>
          </w:p>
        </w:tc>
        <w:tc>
          <w:tcPr>
            <w:tcW w:w="1040" w:type="dxa"/>
            <w:vAlign w:val="bottom"/>
            <w:tcBorders>
              <w:bottom w:val="single" w:sz="8" w:color="auto"/>
              <w:right w:val="single" w:sz="8" w:color="auto"/>
            </w:tcBorders>
          </w:tcPr>
          <w:p>
            <w:pPr>
              <w:spacing w:after="0"/>
              <w:rPr>
                <w:sz w:val="11"/>
                <w:szCs w:val="11"/>
                <w:color w:val="auto"/>
              </w:rPr>
            </w:pPr>
          </w:p>
        </w:tc>
        <w:tc>
          <w:tcPr>
            <w:tcW w:w="180" w:type="dxa"/>
            <w:vAlign w:val="bottom"/>
            <w:tcBorders>
              <w:bottom w:val="single" w:sz="8" w:color="auto"/>
            </w:tcBorders>
          </w:tcPr>
          <w:p>
            <w:pPr>
              <w:spacing w:after="0"/>
              <w:rPr>
                <w:sz w:val="11"/>
                <w:szCs w:val="11"/>
                <w:color w:val="auto"/>
              </w:rPr>
            </w:pPr>
          </w:p>
        </w:tc>
        <w:tc>
          <w:tcPr>
            <w:tcW w:w="1080" w:type="dxa"/>
            <w:vAlign w:val="bottom"/>
            <w:tcBorders>
              <w:bottom w:val="single" w:sz="8" w:color="auto"/>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29"/>
        </w:trPr>
        <w:tc>
          <w:tcPr>
            <w:tcW w:w="2400" w:type="dxa"/>
            <w:vAlign w:val="bottom"/>
            <w:tcBorders>
              <w:left w:val="single" w:sz="8" w:color="auto"/>
              <w:right w:val="single" w:sz="8" w:color="auto"/>
            </w:tcBorders>
            <w:shd w:val="clear" w:color="auto" w:fill="CCEEFF"/>
          </w:tcPr>
          <w:p>
            <w:pPr>
              <w:ind w:left="160"/>
              <w:spacing w:after="0" w:line="129" w:lineRule="exact"/>
              <w:rPr>
                <w:sz w:val="20"/>
                <w:szCs w:val="20"/>
                <w:color w:val="auto"/>
              </w:rPr>
            </w:pPr>
            <w:r>
              <w:rPr>
                <w:rFonts w:ascii="Arial" w:cs="Arial" w:eastAsia="Arial" w:hAnsi="Arial"/>
                <w:sz w:val="13"/>
                <w:szCs w:val="13"/>
                <w:color w:val="auto"/>
              </w:rPr>
              <w:t>Christopher J.</w:t>
            </w:r>
          </w:p>
        </w:tc>
        <w:tc>
          <w:tcPr>
            <w:tcW w:w="880" w:type="dxa"/>
            <w:vAlign w:val="bottom"/>
            <w:tcBorders>
              <w:right w:val="single" w:sz="8" w:color="auto"/>
            </w:tcBorders>
            <w:shd w:val="clear" w:color="auto" w:fill="CCEEFF"/>
          </w:tcPr>
          <w:p>
            <w:pPr>
              <w:jc w:val="right"/>
              <w:ind w:right="57"/>
              <w:spacing w:after="0" w:line="129" w:lineRule="exact"/>
              <w:rPr>
                <w:sz w:val="20"/>
                <w:szCs w:val="20"/>
                <w:color w:val="auto"/>
              </w:rPr>
            </w:pPr>
            <w:r>
              <w:rPr>
                <w:rFonts w:ascii="Arial" w:cs="Arial" w:eastAsia="Arial" w:hAnsi="Arial"/>
                <w:sz w:val="13"/>
                <w:szCs w:val="13"/>
                <w:color w:val="auto"/>
              </w:rPr>
              <w:t>02/08/2010</w:t>
            </w:r>
          </w:p>
        </w:tc>
        <w:tc>
          <w:tcPr>
            <w:tcW w:w="720" w:type="dxa"/>
            <w:vAlign w:val="bottom"/>
            <w:shd w:val="clear" w:color="auto" w:fill="CCEEFF"/>
          </w:tcPr>
          <w:p>
            <w:pPr>
              <w:jc w:val="right"/>
              <w:spacing w:after="0" w:line="129" w:lineRule="exact"/>
              <w:rPr>
                <w:sz w:val="20"/>
                <w:szCs w:val="20"/>
                <w:color w:val="auto"/>
              </w:rPr>
            </w:pPr>
            <w:r>
              <w:rPr>
                <w:rFonts w:ascii="Arial" w:cs="Arial" w:eastAsia="Arial" w:hAnsi="Arial"/>
                <w:sz w:val="13"/>
                <w:szCs w:val="13"/>
                <w:color w:val="auto"/>
              </w:rPr>
              <w:t>2,250</w:t>
            </w:r>
          </w:p>
        </w:tc>
        <w:tc>
          <w:tcPr>
            <w:tcW w:w="100" w:type="dxa"/>
            <w:vAlign w:val="bottom"/>
            <w:tcBorders>
              <w:right w:val="single" w:sz="8" w:color="auto"/>
            </w:tcBorders>
            <w:shd w:val="clear" w:color="auto" w:fill="CCEEFF"/>
          </w:tcPr>
          <w:p>
            <w:pPr>
              <w:spacing w:after="0"/>
              <w:rPr>
                <w:sz w:val="11"/>
                <w:szCs w:val="11"/>
                <w:color w:val="auto"/>
              </w:rPr>
            </w:pPr>
          </w:p>
        </w:tc>
        <w:tc>
          <w:tcPr>
            <w:tcW w:w="940" w:type="dxa"/>
            <w:vAlign w:val="bottom"/>
            <w:tcBorders>
              <w:right w:val="single" w:sz="8" w:color="auto"/>
            </w:tcBorders>
            <w:shd w:val="clear" w:color="auto" w:fill="CCEEFF"/>
          </w:tcPr>
          <w:p>
            <w:pPr>
              <w:jc w:val="right"/>
              <w:ind w:right="57"/>
              <w:spacing w:after="0" w:line="129" w:lineRule="exact"/>
              <w:rPr>
                <w:sz w:val="20"/>
                <w:szCs w:val="20"/>
                <w:color w:val="auto"/>
              </w:rPr>
            </w:pPr>
            <w:r>
              <w:rPr>
                <w:rFonts w:ascii="Arial" w:cs="Arial" w:eastAsia="Arial" w:hAnsi="Arial"/>
                <w:sz w:val="13"/>
                <w:szCs w:val="13"/>
                <w:color w:val="auto"/>
              </w:rPr>
              <w:t>0</w:t>
            </w:r>
          </w:p>
        </w:tc>
        <w:tc>
          <w:tcPr>
            <w:tcW w:w="160" w:type="dxa"/>
            <w:vAlign w:val="bottom"/>
            <w:shd w:val="clear" w:color="auto" w:fill="CCEEFF"/>
          </w:tcPr>
          <w:p>
            <w:pPr>
              <w:ind w:left="80"/>
              <w:spacing w:after="0" w:line="129" w:lineRule="exact"/>
              <w:rPr>
                <w:sz w:val="20"/>
                <w:szCs w:val="20"/>
                <w:color w:val="auto"/>
              </w:rPr>
            </w:pPr>
            <w:r>
              <w:rPr>
                <w:rFonts w:ascii="Arial" w:cs="Arial" w:eastAsia="Arial" w:hAnsi="Arial"/>
                <w:sz w:val="13"/>
                <w:szCs w:val="13"/>
                <w:color w:val="auto"/>
                <w:w w:val="82"/>
              </w:rPr>
              <w:t>$</w:t>
            </w:r>
          </w:p>
        </w:tc>
        <w:tc>
          <w:tcPr>
            <w:tcW w:w="500" w:type="dxa"/>
            <w:vAlign w:val="bottom"/>
            <w:tcBorders>
              <w:right w:val="single" w:sz="8" w:color="auto"/>
            </w:tcBorders>
            <w:shd w:val="clear" w:color="auto" w:fill="CCEEFF"/>
          </w:tcPr>
          <w:p>
            <w:pPr>
              <w:jc w:val="right"/>
              <w:ind w:right="57"/>
              <w:spacing w:after="0" w:line="129" w:lineRule="exact"/>
              <w:rPr>
                <w:sz w:val="20"/>
                <w:szCs w:val="20"/>
                <w:color w:val="auto"/>
              </w:rPr>
            </w:pPr>
            <w:r>
              <w:rPr>
                <w:rFonts w:ascii="Arial" w:cs="Arial" w:eastAsia="Arial" w:hAnsi="Arial"/>
                <w:sz w:val="13"/>
                <w:szCs w:val="13"/>
                <w:color w:val="auto"/>
              </w:rPr>
              <w:t>13.61</w:t>
            </w:r>
          </w:p>
        </w:tc>
        <w:tc>
          <w:tcPr>
            <w:tcW w:w="880" w:type="dxa"/>
            <w:vAlign w:val="bottom"/>
            <w:tcBorders>
              <w:right w:val="single" w:sz="8" w:color="auto"/>
            </w:tcBorders>
            <w:shd w:val="clear" w:color="auto" w:fill="CCEEFF"/>
          </w:tcPr>
          <w:p>
            <w:pPr>
              <w:jc w:val="right"/>
              <w:ind w:right="58"/>
              <w:spacing w:after="0" w:line="129" w:lineRule="exact"/>
              <w:rPr>
                <w:sz w:val="20"/>
                <w:szCs w:val="20"/>
                <w:color w:val="auto"/>
              </w:rPr>
            </w:pPr>
            <w:r>
              <w:rPr>
                <w:rFonts w:ascii="Arial" w:cs="Arial" w:eastAsia="Arial" w:hAnsi="Arial"/>
                <w:sz w:val="13"/>
                <w:szCs w:val="13"/>
                <w:color w:val="auto"/>
              </w:rPr>
              <w:t>02/08/2020</w:t>
            </w:r>
          </w:p>
        </w:tc>
        <w:tc>
          <w:tcPr>
            <w:tcW w:w="880" w:type="dxa"/>
            <w:vAlign w:val="bottom"/>
            <w:tcBorders>
              <w:right w:val="single" w:sz="8" w:color="auto"/>
            </w:tcBorders>
            <w:shd w:val="clear" w:color="auto" w:fill="CCEEFF"/>
          </w:tcPr>
          <w:p>
            <w:pPr>
              <w:jc w:val="right"/>
              <w:ind w:right="78"/>
              <w:spacing w:after="0" w:line="129" w:lineRule="exact"/>
              <w:rPr>
                <w:sz w:val="20"/>
                <w:szCs w:val="20"/>
                <w:color w:val="auto"/>
              </w:rPr>
            </w:pPr>
            <w:r>
              <w:rPr>
                <w:rFonts w:ascii="Arial" w:cs="Arial" w:eastAsia="Arial" w:hAnsi="Arial"/>
                <w:sz w:val="13"/>
                <w:szCs w:val="13"/>
                <w:color w:val="auto"/>
              </w:rPr>
              <w:t>02/13/2014</w:t>
            </w:r>
          </w:p>
        </w:tc>
        <w:tc>
          <w:tcPr>
            <w:tcW w:w="760" w:type="dxa"/>
            <w:vAlign w:val="bottom"/>
            <w:tcBorders>
              <w:right w:val="single" w:sz="8" w:color="auto"/>
            </w:tcBorders>
            <w:shd w:val="clear" w:color="auto" w:fill="CCEEFF"/>
          </w:tcPr>
          <w:p>
            <w:pPr>
              <w:jc w:val="right"/>
              <w:ind w:right="81"/>
              <w:spacing w:after="0" w:line="129" w:lineRule="exact"/>
              <w:rPr>
                <w:sz w:val="20"/>
                <w:szCs w:val="20"/>
                <w:color w:val="auto"/>
              </w:rPr>
            </w:pPr>
            <w:r>
              <w:rPr>
                <w:rFonts w:ascii="Arial" w:cs="Arial" w:eastAsia="Arial" w:hAnsi="Arial"/>
                <w:sz w:val="13"/>
                <w:szCs w:val="13"/>
                <w:color w:val="auto"/>
              </w:rPr>
              <w:t>2,250</w:t>
            </w:r>
          </w:p>
        </w:tc>
        <w:tc>
          <w:tcPr>
            <w:tcW w:w="140" w:type="dxa"/>
            <w:vAlign w:val="bottom"/>
            <w:shd w:val="clear" w:color="auto" w:fill="CCEEFF"/>
          </w:tcPr>
          <w:p>
            <w:pPr>
              <w:ind w:left="60"/>
              <w:spacing w:after="0" w:line="129" w:lineRule="exact"/>
              <w:rPr>
                <w:sz w:val="20"/>
                <w:szCs w:val="20"/>
                <w:color w:val="auto"/>
              </w:rPr>
            </w:pPr>
            <w:r>
              <w:rPr>
                <w:rFonts w:ascii="Arial" w:cs="Arial" w:eastAsia="Arial" w:hAnsi="Arial"/>
                <w:sz w:val="13"/>
                <w:szCs w:val="13"/>
                <w:color w:val="auto"/>
                <w:w w:val="82"/>
              </w:rPr>
              <w:t>$</w:t>
            </w:r>
          </w:p>
        </w:tc>
        <w:tc>
          <w:tcPr>
            <w:tcW w:w="780" w:type="dxa"/>
            <w:vAlign w:val="bottom"/>
            <w:tcBorders>
              <w:right w:val="single" w:sz="8" w:color="auto"/>
            </w:tcBorders>
            <w:shd w:val="clear" w:color="auto" w:fill="CCEEFF"/>
          </w:tcPr>
          <w:p>
            <w:pPr>
              <w:jc w:val="right"/>
              <w:ind w:right="60"/>
              <w:spacing w:after="0" w:line="129" w:lineRule="exact"/>
              <w:rPr>
                <w:sz w:val="20"/>
                <w:szCs w:val="20"/>
                <w:color w:val="auto"/>
              </w:rPr>
            </w:pPr>
            <w:r>
              <w:rPr>
                <w:rFonts w:ascii="Arial" w:cs="Arial" w:eastAsia="Arial" w:hAnsi="Arial"/>
                <w:sz w:val="13"/>
                <w:szCs w:val="13"/>
                <w:color w:val="auto"/>
              </w:rPr>
              <w:t>18,855</w:t>
            </w:r>
          </w:p>
        </w:tc>
        <w:tc>
          <w:tcPr>
            <w:tcW w:w="1040" w:type="dxa"/>
            <w:vAlign w:val="bottom"/>
            <w:tcBorders>
              <w:right w:val="single" w:sz="8" w:color="auto"/>
            </w:tcBorders>
            <w:shd w:val="clear" w:color="auto" w:fill="CCEEFF"/>
          </w:tcPr>
          <w:p>
            <w:pPr>
              <w:spacing w:after="0"/>
              <w:rPr>
                <w:sz w:val="11"/>
                <w:szCs w:val="11"/>
                <w:color w:val="auto"/>
              </w:rPr>
            </w:pPr>
          </w:p>
        </w:tc>
        <w:tc>
          <w:tcPr>
            <w:tcW w:w="180" w:type="dxa"/>
            <w:vAlign w:val="bottom"/>
            <w:shd w:val="clear" w:color="auto" w:fill="CCEEFF"/>
          </w:tcPr>
          <w:p>
            <w:pPr>
              <w:spacing w:after="0"/>
              <w:rPr>
                <w:sz w:val="11"/>
                <w:szCs w:val="11"/>
                <w:color w:val="auto"/>
              </w:rPr>
            </w:pPr>
          </w:p>
        </w:tc>
        <w:tc>
          <w:tcPr>
            <w:tcW w:w="1080" w:type="dxa"/>
            <w:vAlign w:val="bottom"/>
            <w:tcBorders>
              <w:right w:val="single" w:sz="8" w:color="auto"/>
            </w:tcBorders>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400" w:type="dxa"/>
            <w:vAlign w:val="bottom"/>
            <w:tcBorders>
              <w:left w:val="single" w:sz="8" w:color="auto"/>
              <w:right w:val="single" w:sz="8" w:color="auto"/>
            </w:tcBorders>
          </w:tcPr>
          <w:p>
            <w:pPr>
              <w:ind w:left="160"/>
              <w:spacing w:after="0" w:line="135" w:lineRule="exact"/>
              <w:rPr>
                <w:sz w:val="20"/>
                <w:szCs w:val="20"/>
                <w:color w:val="auto"/>
              </w:rPr>
            </w:pPr>
            <w:r>
              <w:rPr>
                <w:rFonts w:ascii="Arial" w:cs="Arial" w:eastAsia="Arial" w:hAnsi="Arial"/>
                <w:sz w:val="13"/>
                <w:szCs w:val="13"/>
                <w:color w:val="auto"/>
              </w:rPr>
              <w:t>Holding</w:t>
            </w:r>
          </w:p>
        </w:tc>
        <w:tc>
          <w:tcPr>
            <w:tcW w:w="880" w:type="dxa"/>
            <w:vAlign w:val="bottom"/>
            <w:tcBorders>
              <w:right w:val="single" w:sz="8" w:color="auto"/>
            </w:tcBorders>
          </w:tcPr>
          <w:p>
            <w:pPr>
              <w:jc w:val="right"/>
              <w:ind w:right="57"/>
              <w:spacing w:after="0" w:line="135" w:lineRule="exact"/>
              <w:rPr>
                <w:sz w:val="20"/>
                <w:szCs w:val="20"/>
                <w:color w:val="auto"/>
              </w:rPr>
            </w:pPr>
            <w:r>
              <w:rPr>
                <w:rFonts w:ascii="Arial" w:cs="Arial" w:eastAsia="Arial" w:hAnsi="Arial"/>
                <w:sz w:val="13"/>
                <w:szCs w:val="13"/>
                <w:color w:val="auto"/>
              </w:rPr>
              <w:t>02/08/2011</w:t>
            </w:r>
          </w:p>
        </w:tc>
        <w:tc>
          <w:tcPr>
            <w:tcW w:w="720" w:type="dxa"/>
            <w:vAlign w:val="bottom"/>
          </w:tcPr>
          <w:p>
            <w:pPr>
              <w:jc w:val="right"/>
              <w:spacing w:after="0" w:line="135" w:lineRule="exact"/>
              <w:rPr>
                <w:sz w:val="20"/>
                <w:szCs w:val="20"/>
                <w:color w:val="auto"/>
              </w:rPr>
            </w:pPr>
            <w:r>
              <w:rPr>
                <w:rFonts w:ascii="Arial" w:cs="Arial" w:eastAsia="Arial" w:hAnsi="Arial"/>
                <w:sz w:val="13"/>
                <w:szCs w:val="13"/>
                <w:color w:val="auto"/>
              </w:rPr>
              <w:t>2,800</w:t>
            </w:r>
          </w:p>
        </w:tc>
        <w:tc>
          <w:tcPr>
            <w:tcW w:w="100" w:type="dxa"/>
            <w:vAlign w:val="bottom"/>
            <w:tcBorders>
              <w:right w:val="single" w:sz="8" w:color="auto"/>
            </w:tcBorders>
          </w:tcPr>
          <w:p>
            <w:pPr>
              <w:spacing w:after="0"/>
              <w:rPr>
                <w:sz w:val="11"/>
                <w:szCs w:val="11"/>
                <w:color w:val="auto"/>
              </w:rPr>
            </w:pPr>
          </w:p>
        </w:tc>
        <w:tc>
          <w:tcPr>
            <w:tcW w:w="940" w:type="dxa"/>
            <w:vAlign w:val="bottom"/>
            <w:tcBorders>
              <w:right w:val="single" w:sz="8" w:color="auto"/>
            </w:tcBorders>
          </w:tcPr>
          <w:p>
            <w:pPr>
              <w:jc w:val="right"/>
              <w:ind w:right="57"/>
              <w:spacing w:after="0" w:line="135" w:lineRule="exact"/>
              <w:rPr>
                <w:sz w:val="20"/>
                <w:szCs w:val="20"/>
                <w:color w:val="auto"/>
              </w:rPr>
            </w:pPr>
            <w:r>
              <w:rPr>
                <w:rFonts w:ascii="Arial" w:cs="Arial" w:eastAsia="Arial" w:hAnsi="Arial"/>
                <w:sz w:val="13"/>
                <w:szCs w:val="13"/>
                <w:color w:val="auto"/>
              </w:rPr>
              <w:t>0</w:t>
            </w:r>
          </w:p>
        </w:tc>
        <w:tc>
          <w:tcPr>
            <w:tcW w:w="160" w:type="dxa"/>
            <w:vAlign w:val="bottom"/>
          </w:tcPr>
          <w:p>
            <w:pPr>
              <w:ind w:left="80"/>
              <w:spacing w:after="0" w:line="135" w:lineRule="exact"/>
              <w:rPr>
                <w:sz w:val="20"/>
                <w:szCs w:val="20"/>
                <w:color w:val="auto"/>
              </w:rPr>
            </w:pPr>
            <w:r>
              <w:rPr>
                <w:rFonts w:ascii="Arial" w:cs="Arial" w:eastAsia="Arial" w:hAnsi="Arial"/>
                <w:sz w:val="13"/>
                <w:szCs w:val="13"/>
                <w:color w:val="auto"/>
                <w:w w:val="82"/>
              </w:rPr>
              <w:t>$</w:t>
            </w:r>
          </w:p>
        </w:tc>
        <w:tc>
          <w:tcPr>
            <w:tcW w:w="500" w:type="dxa"/>
            <w:vAlign w:val="bottom"/>
            <w:tcBorders>
              <w:right w:val="single" w:sz="8" w:color="auto"/>
            </w:tcBorders>
          </w:tcPr>
          <w:p>
            <w:pPr>
              <w:jc w:val="right"/>
              <w:ind w:right="57"/>
              <w:spacing w:after="0" w:line="135" w:lineRule="exact"/>
              <w:rPr>
                <w:sz w:val="20"/>
                <w:szCs w:val="20"/>
                <w:color w:val="auto"/>
              </w:rPr>
            </w:pPr>
            <w:r>
              <w:rPr>
                <w:rFonts w:ascii="Arial" w:cs="Arial" w:eastAsia="Arial" w:hAnsi="Arial"/>
                <w:sz w:val="13"/>
                <w:szCs w:val="13"/>
                <w:color w:val="auto"/>
              </w:rPr>
              <w:t>29.95</w:t>
            </w:r>
          </w:p>
        </w:tc>
        <w:tc>
          <w:tcPr>
            <w:tcW w:w="880" w:type="dxa"/>
            <w:vAlign w:val="bottom"/>
            <w:tcBorders>
              <w:right w:val="single" w:sz="8" w:color="auto"/>
            </w:tcBorders>
          </w:tcPr>
          <w:p>
            <w:pPr>
              <w:jc w:val="right"/>
              <w:ind w:right="58"/>
              <w:spacing w:after="0" w:line="135" w:lineRule="exact"/>
              <w:rPr>
                <w:sz w:val="20"/>
                <w:szCs w:val="20"/>
                <w:color w:val="auto"/>
              </w:rPr>
            </w:pPr>
            <w:r>
              <w:rPr>
                <w:rFonts w:ascii="Arial" w:cs="Arial" w:eastAsia="Arial" w:hAnsi="Arial"/>
                <w:sz w:val="13"/>
                <w:szCs w:val="13"/>
                <w:color w:val="auto"/>
              </w:rPr>
              <w:t>02/08/2021</w:t>
            </w:r>
          </w:p>
        </w:tc>
        <w:tc>
          <w:tcPr>
            <w:tcW w:w="880" w:type="dxa"/>
            <w:vAlign w:val="bottom"/>
            <w:tcBorders>
              <w:right w:val="single" w:sz="8" w:color="auto"/>
            </w:tcBorders>
          </w:tcPr>
          <w:p>
            <w:pPr>
              <w:jc w:val="right"/>
              <w:ind w:right="78"/>
              <w:spacing w:after="0" w:line="135" w:lineRule="exact"/>
              <w:rPr>
                <w:sz w:val="20"/>
                <w:szCs w:val="20"/>
                <w:color w:val="auto"/>
              </w:rPr>
            </w:pPr>
            <w:r>
              <w:rPr>
                <w:rFonts w:ascii="Arial" w:cs="Arial" w:eastAsia="Arial" w:hAnsi="Arial"/>
                <w:sz w:val="13"/>
                <w:szCs w:val="13"/>
                <w:color w:val="auto"/>
              </w:rPr>
              <w:t>01/29/2015</w:t>
            </w:r>
          </w:p>
        </w:tc>
        <w:tc>
          <w:tcPr>
            <w:tcW w:w="760" w:type="dxa"/>
            <w:vAlign w:val="bottom"/>
            <w:tcBorders>
              <w:right w:val="single" w:sz="8" w:color="auto"/>
            </w:tcBorders>
          </w:tcPr>
          <w:p>
            <w:pPr>
              <w:jc w:val="right"/>
              <w:ind w:right="81"/>
              <w:spacing w:after="0" w:line="135" w:lineRule="exact"/>
              <w:rPr>
                <w:sz w:val="20"/>
                <w:szCs w:val="20"/>
                <w:color w:val="auto"/>
              </w:rPr>
            </w:pPr>
            <w:r>
              <w:rPr>
                <w:rFonts w:ascii="Arial" w:cs="Arial" w:eastAsia="Arial" w:hAnsi="Arial"/>
                <w:sz w:val="13"/>
                <w:szCs w:val="13"/>
                <w:color w:val="auto"/>
              </w:rPr>
              <w:t>4,100</w:t>
            </w:r>
          </w:p>
        </w:tc>
        <w:tc>
          <w:tcPr>
            <w:tcW w:w="140" w:type="dxa"/>
            <w:vAlign w:val="bottom"/>
          </w:tcPr>
          <w:p>
            <w:pPr>
              <w:ind w:left="60"/>
              <w:spacing w:after="0" w:line="135" w:lineRule="exact"/>
              <w:rPr>
                <w:sz w:val="20"/>
                <w:szCs w:val="20"/>
                <w:color w:val="auto"/>
              </w:rPr>
            </w:pPr>
            <w:r>
              <w:rPr>
                <w:rFonts w:ascii="Arial" w:cs="Arial" w:eastAsia="Arial" w:hAnsi="Arial"/>
                <w:sz w:val="13"/>
                <w:szCs w:val="13"/>
                <w:color w:val="auto"/>
                <w:w w:val="82"/>
              </w:rPr>
              <w:t>$</w:t>
            </w:r>
          </w:p>
        </w:tc>
        <w:tc>
          <w:tcPr>
            <w:tcW w:w="780" w:type="dxa"/>
            <w:vAlign w:val="bottom"/>
            <w:tcBorders>
              <w:right w:val="single" w:sz="8" w:color="auto"/>
            </w:tcBorders>
          </w:tcPr>
          <w:p>
            <w:pPr>
              <w:jc w:val="right"/>
              <w:ind w:right="60"/>
              <w:spacing w:after="0" w:line="135" w:lineRule="exact"/>
              <w:rPr>
                <w:sz w:val="20"/>
                <w:szCs w:val="20"/>
                <w:color w:val="auto"/>
              </w:rPr>
            </w:pPr>
            <w:r>
              <w:rPr>
                <w:rFonts w:ascii="Arial" w:cs="Arial" w:eastAsia="Arial" w:hAnsi="Arial"/>
                <w:sz w:val="13"/>
                <w:szCs w:val="13"/>
                <w:color w:val="auto"/>
              </w:rPr>
              <w:t>34,358</w:t>
            </w:r>
          </w:p>
        </w:tc>
        <w:tc>
          <w:tcPr>
            <w:tcW w:w="1040" w:type="dxa"/>
            <w:vAlign w:val="bottom"/>
            <w:tcBorders>
              <w:right w:val="single" w:sz="8" w:color="auto"/>
            </w:tcBorders>
          </w:tcPr>
          <w:p>
            <w:pPr>
              <w:jc w:val="right"/>
              <w:ind w:right="63"/>
              <w:spacing w:after="0" w:line="135" w:lineRule="exact"/>
              <w:rPr>
                <w:sz w:val="20"/>
                <w:szCs w:val="20"/>
                <w:color w:val="auto"/>
              </w:rPr>
            </w:pPr>
            <w:r>
              <w:rPr>
                <w:rFonts w:ascii="Arial" w:cs="Arial" w:eastAsia="Arial" w:hAnsi="Arial"/>
                <w:sz w:val="13"/>
                <w:szCs w:val="13"/>
                <w:color w:val="auto"/>
              </w:rPr>
              <w:t>3,700</w:t>
            </w:r>
          </w:p>
        </w:tc>
        <w:tc>
          <w:tcPr>
            <w:tcW w:w="180" w:type="dxa"/>
            <w:vAlign w:val="bottom"/>
          </w:tcPr>
          <w:p>
            <w:pPr>
              <w:jc w:val="right"/>
              <w:spacing w:after="0" w:line="135" w:lineRule="exact"/>
              <w:rPr>
                <w:sz w:val="20"/>
                <w:szCs w:val="20"/>
                <w:color w:val="auto"/>
              </w:rPr>
            </w:pPr>
            <w:r>
              <w:rPr>
                <w:rFonts w:ascii="Arial" w:cs="Arial" w:eastAsia="Arial" w:hAnsi="Arial"/>
                <w:sz w:val="13"/>
                <w:szCs w:val="13"/>
                <w:color w:val="auto"/>
              </w:rPr>
              <w:t>$</w:t>
            </w:r>
          </w:p>
        </w:tc>
        <w:tc>
          <w:tcPr>
            <w:tcW w:w="1080" w:type="dxa"/>
            <w:vAlign w:val="bottom"/>
            <w:tcBorders>
              <w:right w:val="single" w:sz="8" w:color="auto"/>
            </w:tcBorders>
          </w:tcPr>
          <w:p>
            <w:pPr>
              <w:jc w:val="right"/>
              <w:ind w:right="179"/>
              <w:spacing w:after="0" w:line="135" w:lineRule="exact"/>
              <w:rPr>
                <w:sz w:val="20"/>
                <w:szCs w:val="20"/>
                <w:color w:val="auto"/>
              </w:rPr>
            </w:pPr>
            <w:r>
              <w:rPr>
                <w:rFonts w:ascii="Arial" w:cs="Arial" w:eastAsia="Arial" w:hAnsi="Arial"/>
                <w:sz w:val="13"/>
                <w:szCs w:val="13"/>
                <w:color w:val="auto"/>
              </w:rPr>
              <w:t>31,006</w:t>
            </w:r>
          </w:p>
        </w:tc>
        <w:tc>
          <w:tcPr>
            <w:tcW w:w="0" w:type="dxa"/>
            <w:vAlign w:val="bottom"/>
          </w:tcPr>
          <w:p>
            <w:pPr>
              <w:spacing w:after="0"/>
              <w:rPr>
                <w:sz w:val="1"/>
                <w:szCs w:val="1"/>
                <w:color w:val="auto"/>
              </w:rPr>
            </w:pPr>
          </w:p>
        </w:tc>
      </w:tr>
      <w:tr>
        <w:trPr>
          <w:trHeight w:val="135"/>
        </w:trPr>
        <w:tc>
          <w:tcPr>
            <w:tcW w:w="2400" w:type="dxa"/>
            <w:vAlign w:val="bottom"/>
            <w:tcBorders>
              <w:left w:val="single" w:sz="8" w:color="auto"/>
              <w:right w:val="single" w:sz="8" w:color="auto"/>
            </w:tcBorders>
            <w:shd w:val="clear" w:color="auto" w:fill="CCEEFF"/>
          </w:tcPr>
          <w:p>
            <w:pPr>
              <w:spacing w:after="0"/>
              <w:rPr>
                <w:sz w:val="11"/>
                <w:szCs w:val="11"/>
                <w:color w:val="auto"/>
              </w:rPr>
            </w:pPr>
          </w:p>
        </w:tc>
        <w:tc>
          <w:tcPr>
            <w:tcW w:w="880" w:type="dxa"/>
            <w:vAlign w:val="bottom"/>
            <w:tcBorders>
              <w:right w:val="single" w:sz="8" w:color="auto"/>
            </w:tcBorders>
            <w:shd w:val="clear" w:color="auto" w:fill="CCEEFF"/>
          </w:tcPr>
          <w:p>
            <w:pPr>
              <w:jc w:val="right"/>
              <w:ind w:right="57"/>
              <w:spacing w:after="0" w:line="135" w:lineRule="exact"/>
              <w:rPr>
                <w:sz w:val="20"/>
                <w:szCs w:val="20"/>
                <w:color w:val="auto"/>
              </w:rPr>
            </w:pPr>
            <w:r>
              <w:rPr>
                <w:rFonts w:ascii="Arial" w:cs="Arial" w:eastAsia="Arial" w:hAnsi="Arial"/>
                <w:sz w:val="13"/>
                <w:szCs w:val="13"/>
                <w:color w:val="auto"/>
              </w:rPr>
              <w:t>02/09/2012</w:t>
            </w:r>
          </w:p>
        </w:tc>
        <w:tc>
          <w:tcPr>
            <w:tcW w:w="720" w:type="dxa"/>
            <w:vAlign w:val="bottom"/>
            <w:shd w:val="clear" w:color="auto" w:fill="CCEEFF"/>
          </w:tcPr>
          <w:p>
            <w:pPr>
              <w:jc w:val="right"/>
              <w:spacing w:after="0" w:line="135" w:lineRule="exact"/>
              <w:rPr>
                <w:sz w:val="20"/>
                <w:szCs w:val="20"/>
                <w:color w:val="auto"/>
              </w:rPr>
            </w:pPr>
            <w:r>
              <w:rPr>
                <w:rFonts w:ascii="Arial" w:cs="Arial" w:eastAsia="Arial" w:hAnsi="Arial"/>
                <w:sz w:val="13"/>
                <w:szCs w:val="13"/>
                <w:color w:val="auto"/>
              </w:rPr>
              <w:t>1,500</w:t>
            </w:r>
          </w:p>
        </w:tc>
        <w:tc>
          <w:tcPr>
            <w:tcW w:w="100" w:type="dxa"/>
            <w:vAlign w:val="bottom"/>
            <w:tcBorders>
              <w:right w:val="single" w:sz="8" w:color="auto"/>
            </w:tcBorders>
            <w:shd w:val="clear" w:color="auto" w:fill="CCEEFF"/>
          </w:tcPr>
          <w:p>
            <w:pPr>
              <w:spacing w:after="0"/>
              <w:rPr>
                <w:sz w:val="11"/>
                <w:szCs w:val="11"/>
                <w:color w:val="auto"/>
              </w:rPr>
            </w:pPr>
          </w:p>
        </w:tc>
        <w:tc>
          <w:tcPr>
            <w:tcW w:w="940" w:type="dxa"/>
            <w:vAlign w:val="bottom"/>
            <w:tcBorders>
              <w:right w:val="single" w:sz="8" w:color="auto"/>
            </w:tcBorders>
            <w:shd w:val="clear" w:color="auto" w:fill="CCEEFF"/>
          </w:tcPr>
          <w:p>
            <w:pPr>
              <w:jc w:val="right"/>
              <w:ind w:right="57"/>
              <w:spacing w:after="0" w:line="135" w:lineRule="exact"/>
              <w:rPr>
                <w:sz w:val="20"/>
                <w:szCs w:val="20"/>
                <w:color w:val="auto"/>
              </w:rPr>
            </w:pPr>
            <w:r>
              <w:rPr>
                <w:rFonts w:ascii="Arial" w:cs="Arial" w:eastAsia="Arial" w:hAnsi="Arial"/>
                <w:sz w:val="13"/>
                <w:szCs w:val="13"/>
                <w:color w:val="auto"/>
              </w:rPr>
              <w:t>500</w:t>
            </w:r>
          </w:p>
        </w:tc>
        <w:tc>
          <w:tcPr>
            <w:tcW w:w="160" w:type="dxa"/>
            <w:vAlign w:val="bottom"/>
            <w:shd w:val="clear" w:color="auto" w:fill="CCEEFF"/>
          </w:tcPr>
          <w:p>
            <w:pPr>
              <w:ind w:left="80"/>
              <w:spacing w:after="0" w:line="135" w:lineRule="exact"/>
              <w:rPr>
                <w:sz w:val="20"/>
                <w:szCs w:val="20"/>
                <w:color w:val="auto"/>
              </w:rPr>
            </w:pPr>
            <w:r>
              <w:rPr>
                <w:rFonts w:ascii="Arial" w:cs="Arial" w:eastAsia="Arial" w:hAnsi="Arial"/>
                <w:sz w:val="13"/>
                <w:szCs w:val="13"/>
                <w:color w:val="auto"/>
                <w:w w:val="82"/>
              </w:rPr>
              <w:t>$</w:t>
            </w:r>
          </w:p>
        </w:tc>
        <w:tc>
          <w:tcPr>
            <w:tcW w:w="500" w:type="dxa"/>
            <w:vAlign w:val="bottom"/>
            <w:tcBorders>
              <w:right w:val="single" w:sz="8" w:color="auto"/>
            </w:tcBorders>
            <w:shd w:val="clear" w:color="auto" w:fill="CCEEFF"/>
          </w:tcPr>
          <w:p>
            <w:pPr>
              <w:jc w:val="right"/>
              <w:ind w:right="57"/>
              <w:spacing w:after="0" w:line="135" w:lineRule="exact"/>
              <w:rPr>
                <w:sz w:val="20"/>
                <w:szCs w:val="20"/>
                <w:color w:val="auto"/>
              </w:rPr>
            </w:pPr>
            <w:r>
              <w:rPr>
                <w:rFonts w:ascii="Arial" w:cs="Arial" w:eastAsia="Arial" w:hAnsi="Arial"/>
                <w:sz w:val="13"/>
                <w:szCs w:val="13"/>
                <w:color w:val="auto"/>
              </w:rPr>
              <w:t>31.06</w:t>
            </w:r>
          </w:p>
        </w:tc>
        <w:tc>
          <w:tcPr>
            <w:tcW w:w="880" w:type="dxa"/>
            <w:vAlign w:val="bottom"/>
            <w:tcBorders>
              <w:right w:val="single" w:sz="8" w:color="auto"/>
            </w:tcBorders>
            <w:shd w:val="clear" w:color="auto" w:fill="CCEEFF"/>
          </w:tcPr>
          <w:p>
            <w:pPr>
              <w:jc w:val="right"/>
              <w:ind w:right="58"/>
              <w:spacing w:after="0" w:line="135" w:lineRule="exact"/>
              <w:rPr>
                <w:sz w:val="20"/>
                <w:szCs w:val="20"/>
                <w:color w:val="auto"/>
              </w:rPr>
            </w:pPr>
            <w:r>
              <w:rPr>
                <w:rFonts w:ascii="Arial" w:cs="Arial" w:eastAsia="Arial" w:hAnsi="Arial"/>
                <w:sz w:val="13"/>
                <w:szCs w:val="13"/>
                <w:color w:val="auto"/>
              </w:rPr>
              <w:t>02/09/2022</w:t>
            </w:r>
          </w:p>
        </w:tc>
        <w:tc>
          <w:tcPr>
            <w:tcW w:w="880" w:type="dxa"/>
            <w:vAlign w:val="bottom"/>
            <w:tcBorders>
              <w:right w:val="single" w:sz="8" w:color="auto"/>
            </w:tcBorders>
            <w:shd w:val="clear" w:color="auto" w:fill="CCEEFF"/>
          </w:tcPr>
          <w:p>
            <w:pPr>
              <w:spacing w:after="0"/>
              <w:rPr>
                <w:sz w:val="11"/>
                <w:szCs w:val="11"/>
                <w:color w:val="auto"/>
              </w:rPr>
            </w:pPr>
          </w:p>
        </w:tc>
        <w:tc>
          <w:tcPr>
            <w:tcW w:w="760" w:type="dxa"/>
            <w:vAlign w:val="bottom"/>
            <w:tcBorders>
              <w:right w:val="single" w:sz="8" w:color="auto"/>
            </w:tcBorders>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780" w:type="dxa"/>
            <w:vAlign w:val="bottom"/>
            <w:tcBorders>
              <w:right w:val="single" w:sz="8" w:color="auto"/>
            </w:tcBorders>
            <w:shd w:val="clear" w:color="auto" w:fill="CCEEFF"/>
          </w:tcPr>
          <w:p>
            <w:pPr>
              <w:spacing w:after="0"/>
              <w:rPr>
                <w:sz w:val="11"/>
                <w:szCs w:val="11"/>
                <w:color w:val="auto"/>
              </w:rPr>
            </w:pPr>
          </w:p>
        </w:tc>
        <w:tc>
          <w:tcPr>
            <w:tcW w:w="1040" w:type="dxa"/>
            <w:vAlign w:val="bottom"/>
            <w:tcBorders>
              <w:right w:val="single" w:sz="8" w:color="auto"/>
            </w:tcBorders>
            <w:shd w:val="clear" w:color="auto" w:fill="CCEEFF"/>
          </w:tcPr>
          <w:p>
            <w:pPr>
              <w:spacing w:after="0"/>
              <w:rPr>
                <w:sz w:val="11"/>
                <w:szCs w:val="11"/>
                <w:color w:val="auto"/>
              </w:rPr>
            </w:pPr>
          </w:p>
        </w:tc>
        <w:tc>
          <w:tcPr>
            <w:tcW w:w="180" w:type="dxa"/>
            <w:vAlign w:val="bottom"/>
            <w:shd w:val="clear" w:color="auto" w:fill="CCEEFF"/>
          </w:tcPr>
          <w:p>
            <w:pPr>
              <w:spacing w:after="0"/>
              <w:rPr>
                <w:sz w:val="11"/>
                <w:szCs w:val="11"/>
                <w:color w:val="auto"/>
              </w:rPr>
            </w:pPr>
          </w:p>
        </w:tc>
        <w:tc>
          <w:tcPr>
            <w:tcW w:w="1080" w:type="dxa"/>
            <w:vAlign w:val="bottom"/>
            <w:tcBorders>
              <w:right w:val="single" w:sz="8" w:color="auto"/>
            </w:tcBorders>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400" w:type="dxa"/>
            <w:vAlign w:val="bottom"/>
            <w:tcBorders>
              <w:left w:val="single" w:sz="8" w:color="auto"/>
              <w:right w:val="single" w:sz="8" w:color="auto"/>
            </w:tcBorders>
          </w:tcPr>
          <w:p>
            <w:pPr>
              <w:spacing w:after="0"/>
              <w:rPr>
                <w:sz w:val="11"/>
                <w:szCs w:val="11"/>
                <w:color w:val="auto"/>
              </w:rPr>
            </w:pPr>
          </w:p>
        </w:tc>
        <w:tc>
          <w:tcPr>
            <w:tcW w:w="880" w:type="dxa"/>
            <w:vAlign w:val="bottom"/>
            <w:tcBorders>
              <w:right w:val="single" w:sz="8" w:color="auto"/>
            </w:tcBorders>
          </w:tcPr>
          <w:p>
            <w:pPr>
              <w:jc w:val="right"/>
              <w:ind w:right="57"/>
              <w:spacing w:after="0" w:line="135" w:lineRule="exact"/>
              <w:rPr>
                <w:sz w:val="20"/>
                <w:szCs w:val="20"/>
                <w:color w:val="auto"/>
              </w:rPr>
            </w:pPr>
            <w:r>
              <w:rPr>
                <w:rFonts w:ascii="Arial" w:cs="Arial" w:eastAsia="Arial" w:hAnsi="Arial"/>
                <w:sz w:val="13"/>
                <w:szCs w:val="13"/>
                <w:color w:val="auto"/>
              </w:rPr>
              <w:t>02/07/2013</w:t>
            </w:r>
          </w:p>
        </w:tc>
        <w:tc>
          <w:tcPr>
            <w:tcW w:w="720" w:type="dxa"/>
            <w:vAlign w:val="bottom"/>
          </w:tcPr>
          <w:p>
            <w:pPr>
              <w:jc w:val="right"/>
              <w:spacing w:after="0" w:line="135" w:lineRule="exact"/>
              <w:rPr>
                <w:sz w:val="20"/>
                <w:szCs w:val="20"/>
                <w:color w:val="auto"/>
              </w:rPr>
            </w:pPr>
            <w:r>
              <w:rPr>
                <w:rFonts w:ascii="Arial" w:cs="Arial" w:eastAsia="Arial" w:hAnsi="Arial"/>
                <w:sz w:val="13"/>
                <w:szCs w:val="13"/>
                <w:color w:val="auto"/>
              </w:rPr>
              <w:t>900</w:t>
            </w:r>
          </w:p>
        </w:tc>
        <w:tc>
          <w:tcPr>
            <w:tcW w:w="100" w:type="dxa"/>
            <w:vAlign w:val="bottom"/>
            <w:tcBorders>
              <w:right w:val="single" w:sz="8" w:color="auto"/>
            </w:tcBorders>
          </w:tcPr>
          <w:p>
            <w:pPr>
              <w:spacing w:after="0"/>
              <w:rPr>
                <w:sz w:val="11"/>
                <w:szCs w:val="11"/>
                <w:color w:val="auto"/>
              </w:rPr>
            </w:pPr>
          </w:p>
        </w:tc>
        <w:tc>
          <w:tcPr>
            <w:tcW w:w="940" w:type="dxa"/>
            <w:vAlign w:val="bottom"/>
            <w:tcBorders>
              <w:right w:val="single" w:sz="8" w:color="auto"/>
            </w:tcBorders>
          </w:tcPr>
          <w:p>
            <w:pPr>
              <w:jc w:val="right"/>
              <w:ind w:right="57"/>
              <w:spacing w:after="0" w:line="135" w:lineRule="exact"/>
              <w:rPr>
                <w:sz w:val="20"/>
                <w:szCs w:val="20"/>
                <w:color w:val="auto"/>
              </w:rPr>
            </w:pPr>
            <w:r>
              <w:rPr>
                <w:rFonts w:ascii="Arial" w:cs="Arial" w:eastAsia="Arial" w:hAnsi="Arial"/>
                <w:sz w:val="13"/>
                <w:szCs w:val="13"/>
                <w:color w:val="auto"/>
              </w:rPr>
              <w:t>900</w:t>
            </w:r>
          </w:p>
        </w:tc>
        <w:tc>
          <w:tcPr>
            <w:tcW w:w="160" w:type="dxa"/>
            <w:vAlign w:val="bottom"/>
          </w:tcPr>
          <w:p>
            <w:pPr>
              <w:ind w:left="80"/>
              <w:spacing w:after="0" w:line="135" w:lineRule="exact"/>
              <w:rPr>
                <w:sz w:val="20"/>
                <w:szCs w:val="20"/>
                <w:color w:val="auto"/>
              </w:rPr>
            </w:pPr>
            <w:r>
              <w:rPr>
                <w:rFonts w:ascii="Arial" w:cs="Arial" w:eastAsia="Arial" w:hAnsi="Arial"/>
                <w:sz w:val="13"/>
                <w:szCs w:val="13"/>
                <w:color w:val="auto"/>
                <w:w w:val="82"/>
              </w:rPr>
              <w:t>$</w:t>
            </w:r>
          </w:p>
        </w:tc>
        <w:tc>
          <w:tcPr>
            <w:tcW w:w="500" w:type="dxa"/>
            <w:vAlign w:val="bottom"/>
            <w:tcBorders>
              <w:right w:val="single" w:sz="8" w:color="auto"/>
            </w:tcBorders>
          </w:tcPr>
          <w:p>
            <w:pPr>
              <w:jc w:val="right"/>
              <w:ind w:right="57"/>
              <w:spacing w:after="0" w:line="135" w:lineRule="exact"/>
              <w:rPr>
                <w:sz w:val="20"/>
                <w:szCs w:val="20"/>
                <w:color w:val="auto"/>
              </w:rPr>
            </w:pPr>
            <w:r>
              <w:rPr>
                <w:rFonts w:ascii="Arial" w:cs="Arial" w:eastAsia="Arial" w:hAnsi="Arial"/>
                <w:sz w:val="13"/>
                <w:szCs w:val="13"/>
                <w:color w:val="auto"/>
              </w:rPr>
              <w:t>33.76</w:t>
            </w:r>
          </w:p>
        </w:tc>
        <w:tc>
          <w:tcPr>
            <w:tcW w:w="880" w:type="dxa"/>
            <w:vAlign w:val="bottom"/>
            <w:tcBorders>
              <w:right w:val="single" w:sz="8" w:color="auto"/>
            </w:tcBorders>
          </w:tcPr>
          <w:p>
            <w:pPr>
              <w:jc w:val="right"/>
              <w:ind w:right="58"/>
              <w:spacing w:after="0" w:line="135" w:lineRule="exact"/>
              <w:rPr>
                <w:sz w:val="20"/>
                <w:szCs w:val="20"/>
                <w:color w:val="auto"/>
              </w:rPr>
            </w:pPr>
            <w:r>
              <w:rPr>
                <w:rFonts w:ascii="Arial" w:cs="Arial" w:eastAsia="Arial" w:hAnsi="Arial"/>
                <w:sz w:val="13"/>
                <w:szCs w:val="13"/>
                <w:color w:val="auto"/>
              </w:rPr>
              <w:t>02/07/2023</w:t>
            </w:r>
          </w:p>
        </w:tc>
        <w:tc>
          <w:tcPr>
            <w:tcW w:w="880" w:type="dxa"/>
            <w:vAlign w:val="bottom"/>
            <w:tcBorders>
              <w:right w:val="single" w:sz="8" w:color="auto"/>
            </w:tcBorders>
          </w:tcPr>
          <w:p>
            <w:pPr>
              <w:spacing w:after="0"/>
              <w:rPr>
                <w:sz w:val="11"/>
                <w:szCs w:val="11"/>
                <w:color w:val="auto"/>
              </w:rPr>
            </w:pPr>
          </w:p>
        </w:tc>
        <w:tc>
          <w:tcPr>
            <w:tcW w:w="760" w:type="dxa"/>
            <w:vAlign w:val="bottom"/>
            <w:tcBorders>
              <w:right w:val="single" w:sz="8" w:color="auto"/>
            </w:tcBorders>
          </w:tcPr>
          <w:p>
            <w:pPr>
              <w:spacing w:after="0"/>
              <w:rPr>
                <w:sz w:val="11"/>
                <w:szCs w:val="11"/>
                <w:color w:val="auto"/>
              </w:rPr>
            </w:pPr>
          </w:p>
        </w:tc>
        <w:tc>
          <w:tcPr>
            <w:tcW w:w="140" w:type="dxa"/>
            <w:vAlign w:val="bottom"/>
          </w:tcPr>
          <w:p>
            <w:pPr>
              <w:spacing w:after="0"/>
              <w:rPr>
                <w:sz w:val="11"/>
                <w:szCs w:val="11"/>
                <w:color w:val="auto"/>
              </w:rPr>
            </w:pPr>
          </w:p>
        </w:tc>
        <w:tc>
          <w:tcPr>
            <w:tcW w:w="780" w:type="dxa"/>
            <w:vAlign w:val="bottom"/>
            <w:tcBorders>
              <w:right w:val="single" w:sz="8" w:color="auto"/>
            </w:tcBorders>
          </w:tcPr>
          <w:p>
            <w:pPr>
              <w:spacing w:after="0"/>
              <w:rPr>
                <w:sz w:val="11"/>
                <w:szCs w:val="11"/>
                <w:color w:val="auto"/>
              </w:rPr>
            </w:pPr>
          </w:p>
        </w:tc>
        <w:tc>
          <w:tcPr>
            <w:tcW w:w="1040" w:type="dxa"/>
            <w:vAlign w:val="bottom"/>
            <w:tcBorders>
              <w:right w:val="single" w:sz="8" w:color="auto"/>
            </w:tcBorders>
          </w:tcPr>
          <w:p>
            <w:pPr>
              <w:spacing w:after="0"/>
              <w:rPr>
                <w:sz w:val="11"/>
                <w:szCs w:val="11"/>
                <w:color w:val="auto"/>
              </w:rPr>
            </w:pPr>
          </w:p>
        </w:tc>
        <w:tc>
          <w:tcPr>
            <w:tcW w:w="180" w:type="dxa"/>
            <w:vAlign w:val="bottom"/>
          </w:tcPr>
          <w:p>
            <w:pPr>
              <w:spacing w:after="0"/>
              <w:rPr>
                <w:sz w:val="11"/>
                <w:szCs w:val="11"/>
                <w:color w:val="auto"/>
              </w:rPr>
            </w:pPr>
          </w:p>
        </w:tc>
        <w:tc>
          <w:tcPr>
            <w:tcW w:w="108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400" w:type="dxa"/>
            <w:vAlign w:val="bottom"/>
            <w:tcBorders>
              <w:left w:val="single" w:sz="8" w:color="auto"/>
              <w:right w:val="single" w:sz="8" w:color="auto"/>
            </w:tcBorders>
            <w:shd w:val="clear" w:color="auto" w:fill="CCEEFF"/>
          </w:tcPr>
          <w:p>
            <w:pPr>
              <w:spacing w:after="0"/>
              <w:rPr>
                <w:sz w:val="11"/>
                <w:szCs w:val="11"/>
                <w:color w:val="auto"/>
              </w:rPr>
            </w:pPr>
          </w:p>
        </w:tc>
        <w:tc>
          <w:tcPr>
            <w:tcW w:w="880" w:type="dxa"/>
            <w:vAlign w:val="bottom"/>
            <w:tcBorders>
              <w:right w:val="single" w:sz="8" w:color="auto"/>
            </w:tcBorders>
            <w:shd w:val="clear" w:color="auto" w:fill="CCEEFF"/>
          </w:tcPr>
          <w:p>
            <w:pPr>
              <w:jc w:val="right"/>
              <w:ind w:right="57"/>
              <w:spacing w:after="0" w:line="135" w:lineRule="exact"/>
              <w:rPr>
                <w:sz w:val="20"/>
                <w:szCs w:val="20"/>
                <w:color w:val="auto"/>
              </w:rPr>
            </w:pPr>
            <w:r>
              <w:rPr>
                <w:rFonts w:ascii="Arial" w:cs="Arial" w:eastAsia="Arial" w:hAnsi="Arial"/>
                <w:sz w:val="13"/>
                <w:szCs w:val="13"/>
                <w:color w:val="auto"/>
              </w:rPr>
              <w:t>02/13/2014</w:t>
            </w:r>
          </w:p>
        </w:tc>
        <w:tc>
          <w:tcPr>
            <w:tcW w:w="720" w:type="dxa"/>
            <w:vAlign w:val="bottom"/>
            <w:shd w:val="clear" w:color="auto" w:fill="CCEEFF"/>
          </w:tcPr>
          <w:p>
            <w:pPr>
              <w:jc w:val="right"/>
              <w:spacing w:after="0" w:line="135" w:lineRule="exact"/>
              <w:rPr>
                <w:sz w:val="20"/>
                <w:szCs w:val="20"/>
                <w:color w:val="auto"/>
              </w:rPr>
            </w:pPr>
            <w:r>
              <w:rPr>
                <w:rFonts w:ascii="Arial" w:cs="Arial" w:eastAsia="Arial" w:hAnsi="Arial"/>
                <w:sz w:val="13"/>
                <w:szCs w:val="13"/>
                <w:color w:val="auto"/>
              </w:rPr>
              <w:t>1,400</w:t>
            </w:r>
          </w:p>
        </w:tc>
        <w:tc>
          <w:tcPr>
            <w:tcW w:w="100" w:type="dxa"/>
            <w:vAlign w:val="bottom"/>
            <w:tcBorders>
              <w:right w:val="single" w:sz="8" w:color="auto"/>
            </w:tcBorders>
            <w:shd w:val="clear" w:color="auto" w:fill="CCEEFF"/>
          </w:tcPr>
          <w:p>
            <w:pPr>
              <w:spacing w:after="0"/>
              <w:rPr>
                <w:sz w:val="11"/>
                <w:szCs w:val="11"/>
                <w:color w:val="auto"/>
              </w:rPr>
            </w:pPr>
          </w:p>
        </w:tc>
        <w:tc>
          <w:tcPr>
            <w:tcW w:w="940" w:type="dxa"/>
            <w:vAlign w:val="bottom"/>
            <w:tcBorders>
              <w:right w:val="single" w:sz="8" w:color="auto"/>
            </w:tcBorders>
            <w:shd w:val="clear" w:color="auto" w:fill="CCEEFF"/>
          </w:tcPr>
          <w:p>
            <w:pPr>
              <w:jc w:val="right"/>
              <w:ind w:right="57"/>
              <w:spacing w:after="0" w:line="135" w:lineRule="exact"/>
              <w:rPr>
                <w:sz w:val="20"/>
                <w:szCs w:val="20"/>
                <w:color w:val="auto"/>
              </w:rPr>
            </w:pPr>
            <w:r>
              <w:rPr>
                <w:rFonts w:ascii="Arial" w:cs="Arial" w:eastAsia="Arial" w:hAnsi="Arial"/>
                <w:sz w:val="13"/>
                <w:szCs w:val="13"/>
                <w:color w:val="auto"/>
              </w:rPr>
              <w:t>4,200</w:t>
            </w:r>
          </w:p>
        </w:tc>
        <w:tc>
          <w:tcPr>
            <w:tcW w:w="160" w:type="dxa"/>
            <w:vAlign w:val="bottom"/>
            <w:shd w:val="clear" w:color="auto" w:fill="CCEEFF"/>
          </w:tcPr>
          <w:p>
            <w:pPr>
              <w:ind w:left="80"/>
              <w:spacing w:after="0" w:line="135" w:lineRule="exact"/>
              <w:rPr>
                <w:sz w:val="20"/>
                <w:szCs w:val="20"/>
                <w:color w:val="auto"/>
              </w:rPr>
            </w:pPr>
            <w:r>
              <w:rPr>
                <w:rFonts w:ascii="Arial" w:cs="Arial" w:eastAsia="Arial" w:hAnsi="Arial"/>
                <w:sz w:val="13"/>
                <w:szCs w:val="13"/>
                <w:color w:val="auto"/>
                <w:w w:val="82"/>
              </w:rPr>
              <w:t>$</w:t>
            </w:r>
          </w:p>
        </w:tc>
        <w:tc>
          <w:tcPr>
            <w:tcW w:w="500" w:type="dxa"/>
            <w:vAlign w:val="bottom"/>
            <w:tcBorders>
              <w:right w:val="single" w:sz="8" w:color="auto"/>
            </w:tcBorders>
            <w:shd w:val="clear" w:color="auto" w:fill="CCEEFF"/>
          </w:tcPr>
          <w:p>
            <w:pPr>
              <w:jc w:val="right"/>
              <w:ind w:right="57"/>
              <w:spacing w:after="0" w:line="135" w:lineRule="exact"/>
              <w:rPr>
                <w:sz w:val="20"/>
                <w:szCs w:val="20"/>
                <w:color w:val="auto"/>
              </w:rPr>
            </w:pPr>
            <w:r>
              <w:rPr>
                <w:rFonts w:ascii="Arial" w:cs="Arial" w:eastAsia="Arial" w:hAnsi="Arial"/>
                <w:sz w:val="13"/>
                <w:szCs w:val="13"/>
                <w:color w:val="auto"/>
              </w:rPr>
              <w:t>34.26</w:t>
            </w:r>
          </w:p>
        </w:tc>
        <w:tc>
          <w:tcPr>
            <w:tcW w:w="880" w:type="dxa"/>
            <w:vAlign w:val="bottom"/>
            <w:tcBorders>
              <w:right w:val="single" w:sz="8" w:color="auto"/>
            </w:tcBorders>
            <w:shd w:val="clear" w:color="auto" w:fill="CCEEFF"/>
          </w:tcPr>
          <w:p>
            <w:pPr>
              <w:jc w:val="right"/>
              <w:ind w:right="58"/>
              <w:spacing w:after="0" w:line="135" w:lineRule="exact"/>
              <w:rPr>
                <w:sz w:val="20"/>
                <w:szCs w:val="20"/>
                <w:color w:val="auto"/>
              </w:rPr>
            </w:pPr>
            <w:r>
              <w:rPr>
                <w:rFonts w:ascii="Arial" w:cs="Arial" w:eastAsia="Arial" w:hAnsi="Arial"/>
                <w:sz w:val="13"/>
                <w:szCs w:val="13"/>
                <w:color w:val="auto"/>
              </w:rPr>
              <w:t>02/13/2024</w:t>
            </w:r>
          </w:p>
        </w:tc>
        <w:tc>
          <w:tcPr>
            <w:tcW w:w="880" w:type="dxa"/>
            <w:vAlign w:val="bottom"/>
            <w:tcBorders>
              <w:right w:val="single" w:sz="8" w:color="auto"/>
            </w:tcBorders>
            <w:shd w:val="clear" w:color="auto" w:fill="CCEEFF"/>
          </w:tcPr>
          <w:p>
            <w:pPr>
              <w:spacing w:after="0"/>
              <w:rPr>
                <w:sz w:val="11"/>
                <w:szCs w:val="11"/>
                <w:color w:val="auto"/>
              </w:rPr>
            </w:pPr>
          </w:p>
        </w:tc>
        <w:tc>
          <w:tcPr>
            <w:tcW w:w="760" w:type="dxa"/>
            <w:vAlign w:val="bottom"/>
            <w:tcBorders>
              <w:right w:val="single" w:sz="8" w:color="auto"/>
            </w:tcBorders>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780" w:type="dxa"/>
            <w:vAlign w:val="bottom"/>
            <w:tcBorders>
              <w:right w:val="single" w:sz="8" w:color="auto"/>
            </w:tcBorders>
            <w:shd w:val="clear" w:color="auto" w:fill="CCEEFF"/>
          </w:tcPr>
          <w:p>
            <w:pPr>
              <w:spacing w:after="0"/>
              <w:rPr>
                <w:sz w:val="11"/>
                <w:szCs w:val="11"/>
                <w:color w:val="auto"/>
              </w:rPr>
            </w:pPr>
          </w:p>
        </w:tc>
        <w:tc>
          <w:tcPr>
            <w:tcW w:w="1040" w:type="dxa"/>
            <w:vAlign w:val="bottom"/>
            <w:tcBorders>
              <w:right w:val="single" w:sz="8" w:color="auto"/>
            </w:tcBorders>
            <w:shd w:val="clear" w:color="auto" w:fill="CCEEFF"/>
          </w:tcPr>
          <w:p>
            <w:pPr>
              <w:spacing w:after="0"/>
              <w:rPr>
                <w:sz w:val="11"/>
                <w:szCs w:val="11"/>
                <w:color w:val="auto"/>
              </w:rPr>
            </w:pPr>
          </w:p>
        </w:tc>
        <w:tc>
          <w:tcPr>
            <w:tcW w:w="180" w:type="dxa"/>
            <w:vAlign w:val="bottom"/>
            <w:shd w:val="clear" w:color="auto" w:fill="CCEEFF"/>
          </w:tcPr>
          <w:p>
            <w:pPr>
              <w:spacing w:after="0"/>
              <w:rPr>
                <w:sz w:val="11"/>
                <w:szCs w:val="11"/>
                <w:color w:val="auto"/>
              </w:rPr>
            </w:pPr>
          </w:p>
        </w:tc>
        <w:tc>
          <w:tcPr>
            <w:tcW w:w="1080" w:type="dxa"/>
            <w:vAlign w:val="bottom"/>
            <w:tcBorders>
              <w:right w:val="single" w:sz="8" w:color="auto"/>
            </w:tcBorders>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400" w:type="dxa"/>
            <w:vAlign w:val="bottom"/>
            <w:tcBorders>
              <w:left w:val="single" w:sz="8" w:color="auto"/>
              <w:bottom w:val="single" w:sz="8" w:color="auto"/>
              <w:right w:val="single" w:sz="8" w:color="auto"/>
            </w:tcBorders>
          </w:tcPr>
          <w:p>
            <w:pPr>
              <w:spacing w:after="0"/>
              <w:rPr>
                <w:sz w:val="11"/>
                <w:szCs w:val="11"/>
                <w:color w:val="auto"/>
              </w:rPr>
            </w:pPr>
          </w:p>
        </w:tc>
        <w:tc>
          <w:tcPr>
            <w:tcW w:w="880" w:type="dxa"/>
            <w:vAlign w:val="bottom"/>
            <w:tcBorders>
              <w:bottom w:val="single" w:sz="8" w:color="auto"/>
              <w:right w:val="single" w:sz="8" w:color="auto"/>
            </w:tcBorders>
          </w:tcPr>
          <w:p>
            <w:pPr>
              <w:jc w:val="right"/>
              <w:ind w:right="57"/>
              <w:spacing w:after="0" w:line="135" w:lineRule="exact"/>
              <w:rPr>
                <w:sz w:val="20"/>
                <w:szCs w:val="20"/>
                <w:color w:val="auto"/>
              </w:rPr>
            </w:pPr>
            <w:r>
              <w:rPr>
                <w:rFonts w:ascii="Arial" w:cs="Arial" w:eastAsia="Arial" w:hAnsi="Arial"/>
                <w:sz w:val="13"/>
                <w:szCs w:val="13"/>
                <w:color w:val="auto"/>
              </w:rPr>
              <w:t>01/29/2015</w:t>
            </w:r>
          </w:p>
        </w:tc>
        <w:tc>
          <w:tcPr>
            <w:tcW w:w="720" w:type="dxa"/>
            <w:vAlign w:val="bottom"/>
            <w:tcBorders>
              <w:bottom w:val="single" w:sz="8" w:color="auto"/>
            </w:tcBorders>
          </w:tcPr>
          <w:p>
            <w:pPr>
              <w:jc w:val="right"/>
              <w:spacing w:after="0" w:line="135" w:lineRule="exact"/>
              <w:rPr>
                <w:sz w:val="20"/>
                <w:szCs w:val="20"/>
                <w:color w:val="auto"/>
              </w:rPr>
            </w:pPr>
            <w:r>
              <w:rPr>
                <w:rFonts w:ascii="Arial" w:cs="Arial" w:eastAsia="Arial" w:hAnsi="Arial"/>
                <w:sz w:val="13"/>
                <w:szCs w:val="13"/>
                <w:color w:val="auto"/>
              </w:rPr>
              <w:t>0</w:t>
            </w:r>
          </w:p>
        </w:tc>
        <w:tc>
          <w:tcPr>
            <w:tcW w:w="100" w:type="dxa"/>
            <w:vAlign w:val="bottom"/>
            <w:tcBorders>
              <w:bottom w:val="single" w:sz="8" w:color="auto"/>
              <w:right w:val="single" w:sz="8" w:color="auto"/>
            </w:tcBorders>
          </w:tcPr>
          <w:p>
            <w:pPr>
              <w:spacing w:after="0"/>
              <w:rPr>
                <w:sz w:val="11"/>
                <w:szCs w:val="11"/>
                <w:color w:val="auto"/>
              </w:rPr>
            </w:pPr>
          </w:p>
        </w:tc>
        <w:tc>
          <w:tcPr>
            <w:tcW w:w="940" w:type="dxa"/>
            <w:vAlign w:val="bottom"/>
            <w:tcBorders>
              <w:bottom w:val="single" w:sz="8" w:color="auto"/>
              <w:right w:val="single" w:sz="8" w:color="auto"/>
            </w:tcBorders>
          </w:tcPr>
          <w:p>
            <w:pPr>
              <w:jc w:val="right"/>
              <w:ind w:right="57"/>
              <w:spacing w:after="0" w:line="135" w:lineRule="exact"/>
              <w:rPr>
                <w:sz w:val="20"/>
                <w:szCs w:val="20"/>
                <w:color w:val="auto"/>
              </w:rPr>
            </w:pPr>
            <w:r>
              <w:rPr>
                <w:rFonts w:ascii="Arial" w:cs="Arial" w:eastAsia="Arial" w:hAnsi="Arial"/>
                <w:sz w:val="13"/>
                <w:szCs w:val="13"/>
                <w:color w:val="auto"/>
              </w:rPr>
              <w:t>14,600</w:t>
            </w:r>
          </w:p>
        </w:tc>
        <w:tc>
          <w:tcPr>
            <w:tcW w:w="160" w:type="dxa"/>
            <w:vAlign w:val="bottom"/>
            <w:tcBorders>
              <w:bottom w:val="single" w:sz="8" w:color="auto"/>
            </w:tcBorders>
          </w:tcPr>
          <w:p>
            <w:pPr>
              <w:ind w:left="80"/>
              <w:spacing w:after="0" w:line="135" w:lineRule="exact"/>
              <w:rPr>
                <w:sz w:val="20"/>
                <w:szCs w:val="20"/>
                <w:color w:val="auto"/>
              </w:rPr>
            </w:pPr>
            <w:r>
              <w:rPr>
                <w:rFonts w:ascii="Arial" w:cs="Arial" w:eastAsia="Arial" w:hAnsi="Arial"/>
                <w:sz w:val="13"/>
                <w:szCs w:val="13"/>
                <w:color w:val="auto"/>
                <w:w w:val="82"/>
              </w:rPr>
              <w:t>$</w:t>
            </w:r>
          </w:p>
        </w:tc>
        <w:tc>
          <w:tcPr>
            <w:tcW w:w="500" w:type="dxa"/>
            <w:vAlign w:val="bottom"/>
            <w:tcBorders>
              <w:bottom w:val="single" w:sz="8" w:color="auto"/>
              <w:right w:val="single" w:sz="8" w:color="auto"/>
            </w:tcBorders>
          </w:tcPr>
          <w:p>
            <w:pPr>
              <w:jc w:val="right"/>
              <w:ind w:right="57"/>
              <w:spacing w:after="0" w:line="135" w:lineRule="exact"/>
              <w:rPr>
                <w:sz w:val="20"/>
                <w:szCs w:val="20"/>
                <w:color w:val="auto"/>
              </w:rPr>
            </w:pPr>
            <w:r>
              <w:rPr>
                <w:rFonts w:ascii="Arial" w:cs="Arial" w:eastAsia="Arial" w:hAnsi="Arial"/>
                <w:sz w:val="13"/>
                <w:szCs w:val="13"/>
                <w:color w:val="auto"/>
              </w:rPr>
              <w:t>29.00</w:t>
            </w:r>
          </w:p>
        </w:tc>
        <w:tc>
          <w:tcPr>
            <w:tcW w:w="880" w:type="dxa"/>
            <w:vAlign w:val="bottom"/>
            <w:tcBorders>
              <w:bottom w:val="single" w:sz="8" w:color="auto"/>
              <w:right w:val="single" w:sz="8" w:color="auto"/>
            </w:tcBorders>
          </w:tcPr>
          <w:p>
            <w:pPr>
              <w:jc w:val="right"/>
              <w:ind w:right="58"/>
              <w:spacing w:after="0" w:line="135" w:lineRule="exact"/>
              <w:rPr>
                <w:sz w:val="20"/>
                <w:szCs w:val="20"/>
                <w:color w:val="auto"/>
              </w:rPr>
            </w:pPr>
            <w:r>
              <w:rPr>
                <w:rFonts w:ascii="Arial" w:cs="Arial" w:eastAsia="Arial" w:hAnsi="Arial"/>
                <w:sz w:val="13"/>
                <w:szCs w:val="13"/>
                <w:color w:val="auto"/>
              </w:rPr>
              <w:t>01/29/2025</w:t>
            </w:r>
          </w:p>
        </w:tc>
        <w:tc>
          <w:tcPr>
            <w:tcW w:w="880" w:type="dxa"/>
            <w:vAlign w:val="bottom"/>
            <w:tcBorders>
              <w:bottom w:val="single" w:sz="8" w:color="auto"/>
              <w:right w:val="single" w:sz="8" w:color="auto"/>
            </w:tcBorders>
          </w:tcPr>
          <w:p>
            <w:pPr>
              <w:spacing w:after="0"/>
              <w:rPr>
                <w:sz w:val="11"/>
                <w:szCs w:val="11"/>
                <w:color w:val="auto"/>
              </w:rPr>
            </w:pPr>
          </w:p>
        </w:tc>
        <w:tc>
          <w:tcPr>
            <w:tcW w:w="760" w:type="dxa"/>
            <w:vAlign w:val="bottom"/>
            <w:tcBorders>
              <w:bottom w:val="single" w:sz="8" w:color="auto"/>
              <w:right w:val="single" w:sz="8" w:color="auto"/>
            </w:tcBorders>
          </w:tcPr>
          <w:p>
            <w:pPr>
              <w:spacing w:after="0"/>
              <w:rPr>
                <w:sz w:val="11"/>
                <w:szCs w:val="11"/>
                <w:color w:val="auto"/>
              </w:rPr>
            </w:pPr>
          </w:p>
        </w:tc>
        <w:tc>
          <w:tcPr>
            <w:tcW w:w="140" w:type="dxa"/>
            <w:vAlign w:val="bottom"/>
            <w:tcBorders>
              <w:bottom w:val="single" w:sz="8" w:color="auto"/>
            </w:tcBorders>
          </w:tcPr>
          <w:p>
            <w:pPr>
              <w:spacing w:after="0"/>
              <w:rPr>
                <w:sz w:val="11"/>
                <w:szCs w:val="11"/>
                <w:color w:val="auto"/>
              </w:rPr>
            </w:pPr>
          </w:p>
        </w:tc>
        <w:tc>
          <w:tcPr>
            <w:tcW w:w="780" w:type="dxa"/>
            <w:vAlign w:val="bottom"/>
            <w:tcBorders>
              <w:bottom w:val="single" w:sz="8" w:color="auto"/>
              <w:right w:val="single" w:sz="8" w:color="auto"/>
            </w:tcBorders>
          </w:tcPr>
          <w:p>
            <w:pPr>
              <w:spacing w:after="0"/>
              <w:rPr>
                <w:sz w:val="11"/>
                <w:szCs w:val="11"/>
                <w:color w:val="auto"/>
              </w:rPr>
            </w:pPr>
          </w:p>
        </w:tc>
        <w:tc>
          <w:tcPr>
            <w:tcW w:w="1040" w:type="dxa"/>
            <w:vAlign w:val="bottom"/>
            <w:tcBorders>
              <w:bottom w:val="single" w:sz="8" w:color="auto"/>
              <w:right w:val="single" w:sz="8" w:color="auto"/>
            </w:tcBorders>
          </w:tcPr>
          <w:p>
            <w:pPr>
              <w:spacing w:after="0"/>
              <w:rPr>
                <w:sz w:val="11"/>
                <w:szCs w:val="11"/>
                <w:color w:val="auto"/>
              </w:rPr>
            </w:pPr>
          </w:p>
        </w:tc>
        <w:tc>
          <w:tcPr>
            <w:tcW w:w="180" w:type="dxa"/>
            <w:vAlign w:val="bottom"/>
            <w:tcBorders>
              <w:bottom w:val="single" w:sz="8" w:color="auto"/>
            </w:tcBorders>
          </w:tcPr>
          <w:p>
            <w:pPr>
              <w:spacing w:after="0"/>
              <w:rPr>
                <w:sz w:val="11"/>
                <w:szCs w:val="11"/>
                <w:color w:val="auto"/>
              </w:rPr>
            </w:pPr>
          </w:p>
        </w:tc>
        <w:tc>
          <w:tcPr>
            <w:tcW w:w="1080" w:type="dxa"/>
            <w:vAlign w:val="bottom"/>
            <w:tcBorders>
              <w:bottom w:val="single" w:sz="8" w:color="auto"/>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29"/>
        </w:trPr>
        <w:tc>
          <w:tcPr>
            <w:tcW w:w="2400" w:type="dxa"/>
            <w:vAlign w:val="bottom"/>
            <w:tcBorders>
              <w:left w:val="single" w:sz="8" w:color="auto"/>
              <w:right w:val="single" w:sz="8" w:color="auto"/>
            </w:tcBorders>
            <w:shd w:val="clear" w:color="auto" w:fill="CCEEFF"/>
          </w:tcPr>
          <w:p>
            <w:pPr>
              <w:ind w:left="160"/>
              <w:spacing w:after="0" w:line="129" w:lineRule="exact"/>
              <w:rPr>
                <w:sz w:val="20"/>
                <w:szCs w:val="20"/>
                <w:color w:val="auto"/>
              </w:rPr>
            </w:pPr>
            <w:r>
              <w:rPr>
                <w:rFonts w:ascii="Arial" w:cs="Arial" w:eastAsia="Arial" w:hAnsi="Arial"/>
                <w:sz w:val="13"/>
                <w:szCs w:val="13"/>
                <w:color w:val="auto"/>
              </w:rPr>
              <w:t>Donald L.</w:t>
            </w:r>
          </w:p>
        </w:tc>
        <w:tc>
          <w:tcPr>
            <w:tcW w:w="880" w:type="dxa"/>
            <w:vAlign w:val="bottom"/>
            <w:tcBorders>
              <w:right w:val="single" w:sz="8" w:color="auto"/>
            </w:tcBorders>
            <w:shd w:val="clear" w:color="auto" w:fill="CCEEFF"/>
          </w:tcPr>
          <w:p>
            <w:pPr>
              <w:jc w:val="right"/>
              <w:ind w:right="57"/>
              <w:spacing w:after="0" w:line="129" w:lineRule="exact"/>
              <w:rPr>
                <w:sz w:val="20"/>
                <w:szCs w:val="20"/>
                <w:color w:val="auto"/>
              </w:rPr>
            </w:pPr>
            <w:r>
              <w:rPr>
                <w:rFonts w:ascii="Arial" w:cs="Arial" w:eastAsia="Arial" w:hAnsi="Arial"/>
                <w:sz w:val="13"/>
                <w:szCs w:val="13"/>
                <w:color w:val="auto"/>
              </w:rPr>
              <w:t>02/08/2011</w:t>
            </w:r>
          </w:p>
        </w:tc>
        <w:tc>
          <w:tcPr>
            <w:tcW w:w="720" w:type="dxa"/>
            <w:vAlign w:val="bottom"/>
            <w:shd w:val="clear" w:color="auto" w:fill="CCEEFF"/>
          </w:tcPr>
          <w:p>
            <w:pPr>
              <w:jc w:val="right"/>
              <w:spacing w:after="0" w:line="129" w:lineRule="exact"/>
              <w:rPr>
                <w:sz w:val="20"/>
                <w:szCs w:val="20"/>
                <w:color w:val="auto"/>
              </w:rPr>
            </w:pPr>
            <w:r>
              <w:rPr>
                <w:rFonts w:ascii="Arial" w:cs="Arial" w:eastAsia="Arial" w:hAnsi="Arial"/>
                <w:sz w:val="13"/>
                <w:szCs w:val="13"/>
                <w:color w:val="auto"/>
              </w:rPr>
              <w:t>1,039</w:t>
            </w:r>
          </w:p>
        </w:tc>
        <w:tc>
          <w:tcPr>
            <w:tcW w:w="100" w:type="dxa"/>
            <w:vAlign w:val="bottom"/>
            <w:tcBorders>
              <w:right w:val="single" w:sz="8" w:color="auto"/>
            </w:tcBorders>
            <w:shd w:val="clear" w:color="auto" w:fill="CCEEFF"/>
          </w:tcPr>
          <w:p>
            <w:pPr>
              <w:spacing w:after="0"/>
              <w:rPr>
                <w:sz w:val="11"/>
                <w:szCs w:val="11"/>
                <w:color w:val="auto"/>
              </w:rPr>
            </w:pPr>
          </w:p>
        </w:tc>
        <w:tc>
          <w:tcPr>
            <w:tcW w:w="940" w:type="dxa"/>
            <w:vAlign w:val="bottom"/>
            <w:tcBorders>
              <w:right w:val="single" w:sz="8" w:color="auto"/>
            </w:tcBorders>
            <w:shd w:val="clear" w:color="auto" w:fill="CCEEFF"/>
          </w:tcPr>
          <w:p>
            <w:pPr>
              <w:jc w:val="right"/>
              <w:ind w:right="57"/>
              <w:spacing w:after="0" w:line="129" w:lineRule="exact"/>
              <w:rPr>
                <w:sz w:val="20"/>
                <w:szCs w:val="20"/>
                <w:color w:val="auto"/>
              </w:rPr>
            </w:pPr>
            <w:r>
              <w:rPr>
                <w:rFonts w:ascii="Arial" w:cs="Arial" w:eastAsia="Arial" w:hAnsi="Arial"/>
                <w:sz w:val="13"/>
                <w:szCs w:val="13"/>
                <w:color w:val="auto"/>
              </w:rPr>
              <w:t>0</w:t>
            </w:r>
          </w:p>
        </w:tc>
        <w:tc>
          <w:tcPr>
            <w:tcW w:w="160" w:type="dxa"/>
            <w:vAlign w:val="bottom"/>
            <w:shd w:val="clear" w:color="auto" w:fill="CCEEFF"/>
          </w:tcPr>
          <w:p>
            <w:pPr>
              <w:ind w:left="80"/>
              <w:spacing w:after="0" w:line="129" w:lineRule="exact"/>
              <w:rPr>
                <w:sz w:val="20"/>
                <w:szCs w:val="20"/>
                <w:color w:val="auto"/>
              </w:rPr>
            </w:pPr>
            <w:r>
              <w:rPr>
                <w:rFonts w:ascii="Arial" w:cs="Arial" w:eastAsia="Arial" w:hAnsi="Arial"/>
                <w:sz w:val="13"/>
                <w:szCs w:val="13"/>
                <w:color w:val="auto"/>
                <w:w w:val="82"/>
              </w:rPr>
              <w:t>$</w:t>
            </w:r>
          </w:p>
        </w:tc>
        <w:tc>
          <w:tcPr>
            <w:tcW w:w="500" w:type="dxa"/>
            <w:vAlign w:val="bottom"/>
            <w:tcBorders>
              <w:right w:val="single" w:sz="8" w:color="auto"/>
            </w:tcBorders>
            <w:shd w:val="clear" w:color="auto" w:fill="CCEEFF"/>
          </w:tcPr>
          <w:p>
            <w:pPr>
              <w:jc w:val="right"/>
              <w:ind w:right="57"/>
              <w:spacing w:after="0" w:line="129" w:lineRule="exact"/>
              <w:rPr>
                <w:sz w:val="20"/>
                <w:szCs w:val="20"/>
                <w:color w:val="auto"/>
              </w:rPr>
            </w:pPr>
            <w:r>
              <w:rPr>
                <w:rFonts w:ascii="Arial" w:cs="Arial" w:eastAsia="Arial" w:hAnsi="Arial"/>
                <w:sz w:val="13"/>
                <w:szCs w:val="13"/>
                <w:color w:val="auto"/>
              </w:rPr>
              <w:t>29.95</w:t>
            </w:r>
          </w:p>
        </w:tc>
        <w:tc>
          <w:tcPr>
            <w:tcW w:w="880" w:type="dxa"/>
            <w:vAlign w:val="bottom"/>
            <w:tcBorders>
              <w:right w:val="single" w:sz="8" w:color="auto"/>
            </w:tcBorders>
            <w:shd w:val="clear" w:color="auto" w:fill="CCEEFF"/>
          </w:tcPr>
          <w:p>
            <w:pPr>
              <w:jc w:val="right"/>
              <w:ind w:right="58"/>
              <w:spacing w:after="0" w:line="129" w:lineRule="exact"/>
              <w:rPr>
                <w:sz w:val="20"/>
                <w:szCs w:val="20"/>
                <w:color w:val="auto"/>
              </w:rPr>
            </w:pPr>
            <w:r>
              <w:rPr>
                <w:rFonts w:ascii="Arial" w:cs="Arial" w:eastAsia="Arial" w:hAnsi="Arial"/>
                <w:sz w:val="13"/>
                <w:szCs w:val="13"/>
                <w:color w:val="auto"/>
              </w:rPr>
              <w:t>02/08/2021</w:t>
            </w:r>
          </w:p>
        </w:tc>
        <w:tc>
          <w:tcPr>
            <w:tcW w:w="880" w:type="dxa"/>
            <w:vAlign w:val="bottom"/>
            <w:tcBorders>
              <w:right w:val="single" w:sz="8" w:color="auto"/>
            </w:tcBorders>
            <w:shd w:val="clear" w:color="auto" w:fill="CCEEFF"/>
          </w:tcPr>
          <w:p>
            <w:pPr>
              <w:jc w:val="right"/>
              <w:ind w:right="78"/>
              <w:spacing w:after="0" w:line="129" w:lineRule="exact"/>
              <w:rPr>
                <w:sz w:val="20"/>
                <w:szCs w:val="20"/>
                <w:color w:val="auto"/>
              </w:rPr>
            </w:pPr>
            <w:r>
              <w:rPr>
                <w:rFonts w:ascii="Arial" w:cs="Arial" w:eastAsia="Arial" w:hAnsi="Arial"/>
                <w:sz w:val="13"/>
                <w:szCs w:val="13"/>
                <w:color w:val="auto"/>
              </w:rPr>
              <w:t>02/13/2014</w:t>
            </w:r>
          </w:p>
        </w:tc>
        <w:tc>
          <w:tcPr>
            <w:tcW w:w="760" w:type="dxa"/>
            <w:vAlign w:val="bottom"/>
            <w:tcBorders>
              <w:right w:val="single" w:sz="8" w:color="auto"/>
            </w:tcBorders>
            <w:shd w:val="clear" w:color="auto" w:fill="CCEEFF"/>
          </w:tcPr>
          <w:p>
            <w:pPr>
              <w:jc w:val="right"/>
              <w:ind w:right="81"/>
              <w:spacing w:after="0" w:line="129" w:lineRule="exact"/>
              <w:rPr>
                <w:sz w:val="20"/>
                <w:szCs w:val="20"/>
                <w:color w:val="auto"/>
              </w:rPr>
            </w:pPr>
            <w:r>
              <w:rPr>
                <w:rFonts w:ascii="Arial" w:cs="Arial" w:eastAsia="Arial" w:hAnsi="Arial"/>
                <w:sz w:val="13"/>
                <w:szCs w:val="13"/>
                <w:color w:val="auto"/>
              </w:rPr>
              <w:t>2,000</w:t>
            </w:r>
          </w:p>
        </w:tc>
        <w:tc>
          <w:tcPr>
            <w:tcW w:w="140" w:type="dxa"/>
            <w:vAlign w:val="bottom"/>
            <w:shd w:val="clear" w:color="auto" w:fill="CCEEFF"/>
          </w:tcPr>
          <w:p>
            <w:pPr>
              <w:ind w:left="60"/>
              <w:spacing w:after="0" w:line="129" w:lineRule="exact"/>
              <w:rPr>
                <w:sz w:val="20"/>
                <w:szCs w:val="20"/>
                <w:color w:val="auto"/>
              </w:rPr>
            </w:pPr>
            <w:r>
              <w:rPr>
                <w:rFonts w:ascii="Arial" w:cs="Arial" w:eastAsia="Arial" w:hAnsi="Arial"/>
                <w:sz w:val="13"/>
                <w:szCs w:val="13"/>
                <w:color w:val="auto"/>
                <w:w w:val="82"/>
              </w:rPr>
              <w:t>$</w:t>
            </w:r>
          </w:p>
        </w:tc>
        <w:tc>
          <w:tcPr>
            <w:tcW w:w="780" w:type="dxa"/>
            <w:vAlign w:val="bottom"/>
            <w:tcBorders>
              <w:right w:val="single" w:sz="8" w:color="auto"/>
            </w:tcBorders>
            <w:shd w:val="clear" w:color="auto" w:fill="CCEEFF"/>
          </w:tcPr>
          <w:p>
            <w:pPr>
              <w:jc w:val="right"/>
              <w:ind w:right="60"/>
              <w:spacing w:after="0" w:line="129" w:lineRule="exact"/>
              <w:rPr>
                <w:sz w:val="20"/>
                <w:szCs w:val="20"/>
                <w:color w:val="auto"/>
              </w:rPr>
            </w:pPr>
            <w:r>
              <w:rPr>
                <w:rFonts w:ascii="Arial" w:cs="Arial" w:eastAsia="Arial" w:hAnsi="Arial"/>
                <w:sz w:val="13"/>
                <w:szCs w:val="13"/>
                <w:color w:val="auto"/>
              </w:rPr>
              <w:t>16,760</w:t>
            </w:r>
          </w:p>
        </w:tc>
        <w:tc>
          <w:tcPr>
            <w:tcW w:w="1040" w:type="dxa"/>
            <w:vAlign w:val="bottom"/>
            <w:tcBorders>
              <w:right w:val="single" w:sz="8" w:color="auto"/>
            </w:tcBorders>
            <w:shd w:val="clear" w:color="auto" w:fill="CCEEFF"/>
          </w:tcPr>
          <w:p>
            <w:pPr>
              <w:spacing w:after="0"/>
              <w:rPr>
                <w:sz w:val="11"/>
                <w:szCs w:val="11"/>
                <w:color w:val="auto"/>
              </w:rPr>
            </w:pPr>
          </w:p>
        </w:tc>
        <w:tc>
          <w:tcPr>
            <w:tcW w:w="180" w:type="dxa"/>
            <w:vAlign w:val="bottom"/>
            <w:shd w:val="clear" w:color="auto" w:fill="CCEEFF"/>
          </w:tcPr>
          <w:p>
            <w:pPr>
              <w:spacing w:after="0"/>
              <w:rPr>
                <w:sz w:val="11"/>
                <w:szCs w:val="11"/>
                <w:color w:val="auto"/>
              </w:rPr>
            </w:pPr>
          </w:p>
        </w:tc>
        <w:tc>
          <w:tcPr>
            <w:tcW w:w="1080" w:type="dxa"/>
            <w:vAlign w:val="bottom"/>
            <w:tcBorders>
              <w:right w:val="single" w:sz="8" w:color="auto"/>
            </w:tcBorders>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400" w:type="dxa"/>
            <w:vAlign w:val="bottom"/>
            <w:tcBorders>
              <w:left w:val="single" w:sz="8" w:color="auto"/>
              <w:right w:val="single" w:sz="8" w:color="auto"/>
            </w:tcBorders>
          </w:tcPr>
          <w:p>
            <w:pPr>
              <w:ind w:left="160"/>
              <w:spacing w:after="0" w:line="135" w:lineRule="exact"/>
              <w:rPr>
                <w:sz w:val="20"/>
                <w:szCs w:val="20"/>
                <w:color w:val="auto"/>
              </w:rPr>
            </w:pPr>
            <w:r>
              <w:rPr>
                <w:rFonts w:ascii="Arial" w:cs="Arial" w:eastAsia="Arial" w:hAnsi="Arial"/>
                <w:sz w:val="13"/>
                <w:szCs w:val="13"/>
                <w:color w:val="auto"/>
              </w:rPr>
              <w:t>Walker</w:t>
            </w:r>
          </w:p>
        </w:tc>
        <w:tc>
          <w:tcPr>
            <w:tcW w:w="880" w:type="dxa"/>
            <w:vAlign w:val="bottom"/>
            <w:tcBorders>
              <w:right w:val="single" w:sz="8" w:color="auto"/>
            </w:tcBorders>
          </w:tcPr>
          <w:p>
            <w:pPr>
              <w:jc w:val="right"/>
              <w:ind w:right="57"/>
              <w:spacing w:after="0" w:line="135" w:lineRule="exact"/>
              <w:rPr>
                <w:sz w:val="20"/>
                <w:szCs w:val="20"/>
                <w:color w:val="auto"/>
              </w:rPr>
            </w:pPr>
            <w:r>
              <w:rPr>
                <w:rFonts w:ascii="Arial" w:cs="Arial" w:eastAsia="Arial" w:hAnsi="Arial"/>
                <w:sz w:val="13"/>
                <w:szCs w:val="13"/>
                <w:color w:val="auto"/>
              </w:rPr>
              <w:t>02/09/2012</w:t>
            </w:r>
          </w:p>
        </w:tc>
        <w:tc>
          <w:tcPr>
            <w:tcW w:w="720" w:type="dxa"/>
            <w:vAlign w:val="bottom"/>
          </w:tcPr>
          <w:p>
            <w:pPr>
              <w:jc w:val="right"/>
              <w:spacing w:after="0" w:line="135" w:lineRule="exact"/>
              <w:rPr>
                <w:sz w:val="20"/>
                <w:szCs w:val="20"/>
                <w:color w:val="auto"/>
              </w:rPr>
            </w:pPr>
            <w:r>
              <w:rPr>
                <w:rFonts w:ascii="Arial" w:cs="Arial" w:eastAsia="Arial" w:hAnsi="Arial"/>
                <w:sz w:val="13"/>
                <w:szCs w:val="13"/>
                <w:color w:val="auto"/>
              </w:rPr>
              <w:t>2,736</w:t>
            </w:r>
          </w:p>
        </w:tc>
        <w:tc>
          <w:tcPr>
            <w:tcW w:w="100" w:type="dxa"/>
            <w:vAlign w:val="bottom"/>
            <w:tcBorders>
              <w:right w:val="single" w:sz="8" w:color="auto"/>
            </w:tcBorders>
          </w:tcPr>
          <w:p>
            <w:pPr>
              <w:spacing w:after="0"/>
              <w:rPr>
                <w:sz w:val="11"/>
                <w:szCs w:val="11"/>
                <w:color w:val="auto"/>
              </w:rPr>
            </w:pPr>
          </w:p>
        </w:tc>
        <w:tc>
          <w:tcPr>
            <w:tcW w:w="940" w:type="dxa"/>
            <w:vAlign w:val="bottom"/>
            <w:tcBorders>
              <w:right w:val="single" w:sz="8" w:color="auto"/>
            </w:tcBorders>
          </w:tcPr>
          <w:p>
            <w:pPr>
              <w:jc w:val="right"/>
              <w:ind w:right="57"/>
              <w:spacing w:after="0" w:line="135" w:lineRule="exact"/>
              <w:rPr>
                <w:sz w:val="20"/>
                <w:szCs w:val="20"/>
                <w:color w:val="auto"/>
              </w:rPr>
            </w:pPr>
            <w:r>
              <w:rPr>
                <w:rFonts w:ascii="Arial" w:cs="Arial" w:eastAsia="Arial" w:hAnsi="Arial"/>
                <w:sz w:val="13"/>
                <w:szCs w:val="13"/>
                <w:color w:val="auto"/>
              </w:rPr>
              <w:t>914</w:t>
            </w:r>
          </w:p>
        </w:tc>
        <w:tc>
          <w:tcPr>
            <w:tcW w:w="160" w:type="dxa"/>
            <w:vAlign w:val="bottom"/>
          </w:tcPr>
          <w:p>
            <w:pPr>
              <w:ind w:left="80"/>
              <w:spacing w:after="0" w:line="135" w:lineRule="exact"/>
              <w:rPr>
                <w:sz w:val="20"/>
                <w:szCs w:val="20"/>
                <w:color w:val="auto"/>
              </w:rPr>
            </w:pPr>
            <w:r>
              <w:rPr>
                <w:rFonts w:ascii="Arial" w:cs="Arial" w:eastAsia="Arial" w:hAnsi="Arial"/>
                <w:sz w:val="13"/>
                <w:szCs w:val="13"/>
                <w:color w:val="auto"/>
                <w:w w:val="82"/>
              </w:rPr>
              <w:t>$</w:t>
            </w:r>
          </w:p>
        </w:tc>
        <w:tc>
          <w:tcPr>
            <w:tcW w:w="500" w:type="dxa"/>
            <w:vAlign w:val="bottom"/>
            <w:tcBorders>
              <w:right w:val="single" w:sz="8" w:color="auto"/>
            </w:tcBorders>
          </w:tcPr>
          <w:p>
            <w:pPr>
              <w:jc w:val="right"/>
              <w:ind w:right="57"/>
              <w:spacing w:after="0" w:line="135" w:lineRule="exact"/>
              <w:rPr>
                <w:sz w:val="20"/>
                <w:szCs w:val="20"/>
                <w:color w:val="auto"/>
              </w:rPr>
            </w:pPr>
            <w:r>
              <w:rPr>
                <w:rFonts w:ascii="Arial" w:cs="Arial" w:eastAsia="Arial" w:hAnsi="Arial"/>
                <w:sz w:val="13"/>
                <w:szCs w:val="13"/>
                <w:color w:val="auto"/>
              </w:rPr>
              <w:t>31.06</w:t>
            </w:r>
          </w:p>
        </w:tc>
        <w:tc>
          <w:tcPr>
            <w:tcW w:w="880" w:type="dxa"/>
            <w:vAlign w:val="bottom"/>
            <w:tcBorders>
              <w:right w:val="single" w:sz="8" w:color="auto"/>
            </w:tcBorders>
          </w:tcPr>
          <w:p>
            <w:pPr>
              <w:jc w:val="right"/>
              <w:ind w:right="58"/>
              <w:spacing w:after="0" w:line="135" w:lineRule="exact"/>
              <w:rPr>
                <w:sz w:val="20"/>
                <w:szCs w:val="20"/>
                <w:color w:val="auto"/>
              </w:rPr>
            </w:pPr>
            <w:r>
              <w:rPr>
                <w:rFonts w:ascii="Arial" w:cs="Arial" w:eastAsia="Arial" w:hAnsi="Arial"/>
                <w:sz w:val="13"/>
                <w:szCs w:val="13"/>
                <w:color w:val="auto"/>
              </w:rPr>
              <w:t>02/09/2022</w:t>
            </w:r>
          </w:p>
        </w:tc>
        <w:tc>
          <w:tcPr>
            <w:tcW w:w="880" w:type="dxa"/>
            <w:vAlign w:val="bottom"/>
            <w:tcBorders>
              <w:right w:val="single" w:sz="8" w:color="auto"/>
            </w:tcBorders>
          </w:tcPr>
          <w:p>
            <w:pPr>
              <w:jc w:val="right"/>
              <w:ind w:right="78"/>
              <w:spacing w:after="0" w:line="135" w:lineRule="exact"/>
              <w:rPr>
                <w:sz w:val="20"/>
                <w:szCs w:val="20"/>
                <w:color w:val="auto"/>
              </w:rPr>
            </w:pPr>
            <w:r>
              <w:rPr>
                <w:rFonts w:ascii="Arial" w:cs="Arial" w:eastAsia="Arial" w:hAnsi="Arial"/>
                <w:sz w:val="13"/>
                <w:szCs w:val="13"/>
                <w:color w:val="auto"/>
              </w:rPr>
              <w:t>01/29/2015</w:t>
            </w:r>
          </w:p>
        </w:tc>
        <w:tc>
          <w:tcPr>
            <w:tcW w:w="760" w:type="dxa"/>
            <w:vAlign w:val="bottom"/>
            <w:tcBorders>
              <w:right w:val="single" w:sz="8" w:color="auto"/>
            </w:tcBorders>
          </w:tcPr>
          <w:p>
            <w:pPr>
              <w:jc w:val="right"/>
              <w:ind w:right="81"/>
              <w:spacing w:after="0" w:line="135" w:lineRule="exact"/>
              <w:rPr>
                <w:sz w:val="20"/>
                <w:szCs w:val="20"/>
                <w:color w:val="auto"/>
              </w:rPr>
            </w:pPr>
            <w:r>
              <w:rPr>
                <w:rFonts w:ascii="Arial" w:cs="Arial" w:eastAsia="Arial" w:hAnsi="Arial"/>
                <w:sz w:val="13"/>
                <w:szCs w:val="13"/>
                <w:color w:val="auto"/>
              </w:rPr>
              <w:t>3,000</w:t>
            </w:r>
          </w:p>
        </w:tc>
        <w:tc>
          <w:tcPr>
            <w:tcW w:w="140" w:type="dxa"/>
            <w:vAlign w:val="bottom"/>
          </w:tcPr>
          <w:p>
            <w:pPr>
              <w:ind w:left="60"/>
              <w:spacing w:after="0" w:line="135" w:lineRule="exact"/>
              <w:rPr>
                <w:sz w:val="20"/>
                <w:szCs w:val="20"/>
                <w:color w:val="auto"/>
              </w:rPr>
            </w:pPr>
            <w:r>
              <w:rPr>
                <w:rFonts w:ascii="Arial" w:cs="Arial" w:eastAsia="Arial" w:hAnsi="Arial"/>
                <w:sz w:val="13"/>
                <w:szCs w:val="13"/>
                <w:color w:val="auto"/>
                <w:w w:val="82"/>
              </w:rPr>
              <w:t>$</w:t>
            </w:r>
          </w:p>
        </w:tc>
        <w:tc>
          <w:tcPr>
            <w:tcW w:w="780" w:type="dxa"/>
            <w:vAlign w:val="bottom"/>
            <w:tcBorders>
              <w:right w:val="single" w:sz="8" w:color="auto"/>
            </w:tcBorders>
          </w:tcPr>
          <w:p>
            <w:pPr>
              <w:jc w:val="right"/>
              <w:ind w:right="60"/>
              <w:spacing w:after="0" w:line="135" w:lineRule="exact"/>
              <w:rPr>
                <w:sz w:val="20"/>
                <w:szCs w:val="20"/>
                <w:color w:val="auto"/>
              </w:rPr>
            </w:pPr>
            <w:r>
              <w:rPr>
                <w:rFonts w:ascii="Arial" w:cs="Arial" w:eastAsia="Arial" w:hAnsi="Arial"/>
                <w:sz w:val="13"/>
                <w:szCs w:val="13"/>
                <w:color w:val="auto"/>
              </w:rPr>
              <w:t>25,140</w:t>
            </w:r>
          </w:p>
        </w:tc>
        <w:tc>
          <w:tcPr>
            <w:tcW w:w="1040" w:type="dxa"/>
            <w:vAlign w:val="bottom"/>
            <w:tcBorders>
              <w:right w:val="single" w:sz="8" w:color="auto"/>
            </w:tcBorders>
          </w:tcPr>
          <w:p>
            <w:pPr>
              <w:jc w:val="right"/>
              <w:ind w:right="63"/>
              <w:spacing w:after="0" w:line="135" w:lineRule="exact"/>
              <w:rPr>
                <w:sz w:val="20"/>
                <w:szCs w:val="20"/>
                <w:color w:val="auto"/>
              </w:rPr>
            </w:pPr>
            <w:r>
              <w:rPr>
                <w:rFonts w:ascii="Arial" w:cs="Arial" w:eastAsia="Arial" w:hAnsi="Arial"/>
                <w:sz w:val="13"/>
                <w:szCs w:val="13"/>
                <w:color w:val="auto"/>
              </w:rPr>
              <w:t>2,700</w:t>
            </w:r>
          </w:p>
        </w:tc>
        <w:tc>
          <w:tcPr>
            <w:tcW w:w="180" w:type="dxa"/>
            <w:vAlign w:val="bottom"/>
          </w:tcPr>
          <w:p>
            <w:pPr>
              <w:jc w:val="right"/>
              <w:spacing w:after="0" w:line="135" w:lineRule="exact"/>
              <w:rPr>
                <w:sz w:val="20"/>
                <w:szCs w:val="20"/>
                <w:color w:val="auto"/>
              </w:rPr>
            </w:pPr>
            <w:r>
              <w:rPr>
                <w:rFonts w:ascii="Arial" w:cs="Arial" w:eastAsia="Arial" w:hAnsi="Arial"/>
                <w:sz w:val="13"/>
                <w:szCs w:val="13"/>
                <w:color w:val="auto"/>
              </w:rPr>
              <w:t>$</w:t>
            </w:r>
          </w:p>
        </w:tc>
        <w:tc>
          <w:tcPr>
            <w:tcW w:w="1080" w:type="dxa"/>
            <w:vAlign w:val="bottom"/>
            <w:tcBorders>
              <w:right w:val="single" w:sz="8" w:color="auto"/>
            </w:tcBorders>
          </w:tcPr>
          <w:p>
            <w:pPr>
              <w:jc w:val="right"/>
              <w:ind w:right="179"/>
              <w:spacing w:after="0" w:line="135" w:lineRule="exact"/>
              <w:rPr>
                <w:sz w:val="20"/>
                <w:szCs w:val="20"/>
                <w:color w:val="auto"/>
              </w:rPr>
            </w:pPr>
            <w:r>
              <w:rPr>
                <w:rFonts w:ascii="Arial" w:cs="Arial" w:eastAsia="Arial" w:hAnsi="Arial"/>
                <w:sz w:val="13"/>
                <w:szCs w:val="13"/>
                <w:color w:val="auto"/>
              </w:rPr>
              <w:t>22,626</w:t>
            </w:r>
          </w:p>
        </w:tc>
        <w:tc>
          <w:tcPr>
            <w:tcW w:w="0" w:type="dxa"/>
            <w:vAlign w:val="bottom"/>
          </w:tcPr>
          <w:p>
            <w:pPr>
              <w:spacing w:after="0"/>
              <w:rPr>
                <w:sz w:val="1"/>
                <w:szCs w:val="1"/>
                <w:color w:val="auto"/>
              </w:rPr>
            </w:pPr>
          </w:p>
        </w:tc>
      </w:tr>
      <w:tr>
        <w:trPr>
          <w:trHeight w:val="135"/>
        </w:trPr>
        <w:tc>
          <w:tcPr>
            <w:tcW w:w="2400" w:type="dxa"/>
            <w:vAlign w:val="bottom"/>
            <w:tcBorders>
              <w:left w:val="single" w:sz="8" w:color="auto"/>
              <w:right w:val="single" w:sz="8" w:color="auto"/>
            </w:tcBorders>
            <w:shd w:val="clear" w:color="auto" w:fill="CCEEFF"/>
          </w:tcPr>
          <w:p>
            <w:pPr>
              <w:spacing w:after="0"/>
              <w:rPr>
                <w:sz w:val="11"/>
                <w:szCs w:val="11"/>
                <w:color w:val="auto"/>
              </w:rPr>
            </w:pPr>
          </w:p>
        </w:tc>
        <w:tc>
          <w:tcPr>
            <w:tcW w:w="880" w:type="dxa"/>
            <w:vAlign w:val="bottom"/>
            <w:tcBorders>
              <w:right w:val="single" w:sz="8" w:color="auto"/>
            </w:tcBorders>
            <w:shd w:val="clear" w:color="auto" w:fill="CCEEFF"/>
          </w:tcPr>
          <w:p>
            <w:pPr>
              <w:jc w:val="right"/>
              <w:ind w:right="57"/>
              <w:spacing w:after="0" w:line="135" w:lineRule="exact"/>
              <w:rPr>
                <w:sz w:val="20"/>
                <w:szCs w:val="20"/>
                <w:color w:val="auto"/>
              </w:rPr>
            </w:pPr>
            <w:r>
              <w:rPr>
                <w:rFonts w:ascii="Arial" w:cs="Arial" w:eastAsia="Arial" w:hAnsi="Arial"/>
                <w:sz w:val="13"/>
                <w:szCs w:val="13"/>
                <w:color w:val="auto"/>
              </w:rPr>
              <w:t>02/07/2013</w:t>
            </w:r>
          </w:p>
        </w:tc>
        <w:tc>
          <w:tcPr>
            <w:tcW w:w="720" w:type="dxa"/>
            <w:vAlign w:val="bottom"/>
            <w:shd w:val="clear" w:color="auto" w:fill="CCEEFF"/>
          </w:tcPr>
          <w:p>
            <w:pPr>
              <w:jc w:val="right"/>
              <w:spacing w:after="0" w:line="135" w:lineRule="exact"/>
              <w:rPr>
                <w:sz w:val="20"/>
                <w:szCs w:val="20"/>
                <w:color w:val="auto"/>
              </w:rPr>
            </w:pPr>
            <w:r>
              <w:rPr>
                <w:rFonts w:ascii="Arial" w:cs="Arial" w:eastAsia="Arial" w:hAnsi="Arial"/>
                <w:sz w:val="13"/>
                <w:szCs w:val="13"/>
                <w:color w:val="auto"/>
              </w:rPr>
              <w:t>2,174</w:t>
            </w:r>
          </w:p>
        </w:tc>
        <w:tc>
          <w:tcPr>
            <w:tcW w:w="100" w:type="dxa"/>
            <w:vAlign w:val="bottom"/>
            <w:tcBorders>
              <w:right w:val="single" w:sz="8" w:color="auto"/>
            </w:tcBorders>
            <w:shd w:val="clear" w:color="auto" w:fill="CCEEFF"/>
          </w:tcPr>
          <w:p>
            <w:pPr>
              <w:spacing w:after="0"/>
              <w:rPr>
                <w:sz w:val="11"/>
                <w:szCs w:val="11"/>
                <w:color w:val="auto"/>
              </w:rPr>
            </w:pPr>
          </w:p>
        </w:tc>
        <w:tc>
          <w:tcPr>
            <w:tcW w:w="940" w:type="dxa"/>
            <w:vAlign w:val="bottom"/>
            <w:tcBorders>
              <w:right w:val="single" w:sz="8" w:color="auto"/>
            </w:tcBorders>
            <w:shd w:val="clear" w:color="auto" w:fill="CCEEFF"/>
          </w:tcPr>
          <w:p>
            <w:pPr>
              <w:jc w:val="right"/>
              <w:ind w:right="57"/>
              <w:spacing w:after="0" w:line="135" w:lineRule="exact"/>
              <w:rPr>
                <w:sz w:val="20"/>
                <w:szCs w:val="20"/>
                <w:color w:val="auto"/>
              </w:rPr>
            </w:pPr>
            <w:r>
              <w:rPr>
                <w:rFonts w:ascii="Arial" w:cs="Arial" w:eastAsia="Arial" w:hAnsi="Arial"/>
                <w:sz w:val="13"/>
                <w:szCs w:val="13"/>
                <w:color w:val="auto"/>
              </w:rPr>
              <w:t>2,176</w:t>
            </w:r>
          </w:p>
        </w:tc>
        <w:tc>
          <w:tcPr>
            <w:tcW w:w="160" w:type="dxa"/>
            <w:vAlign w:val="bottom"/>
            <w:shd w:val="clear" w:color="auto" w:fill="CCEEFF"/>
          </w:tcPr>
          <w:p>
            <w:pPr>
              <w:ind w:left="80"/>
              <w:spacing w:after="0" w:line="135" w:lineRule="exact"/>
              <w:rPr>
                <w:sz w:val="20"/>
                <w:szCs w:val="20"/>
                <w:color w:val="auto"/>
              </w:rPr>
            </w:pPr>
            <w:r>
              <w:rPr>
                <w:rFonts w:ascii="Arial" w:cs="Arial" w:eastAsia="Arial" w:hAnsi="Arial"/>
                <w:sz w:val="13"/>
                <w:szCs w:val="13"/>
                <w:color w:val="auto"/>
                <w:w w:val="82"/>
              </w:rPr>
              <w:t>$</w:t>
            </w:r>
          </w:p>
        </w:tc>
        <w:tc>
          <w:tcPr>
            <w:tcW w:w="500" w:type="dxa"/>
            <w:vAlign w:val="bottom"/>
            <w:tcBorders>
              <w:right w:val="single" w:sz="8" w:color="auto"/>
            </w:tcBorders>
            <w:shd w:val="clear" w:color="auto" w:fill="CCEEFF"/>
          </w:tcPr>
          <w:p>
            <w:pPr>
              <w:jc w:val="right"/>
              <w:ind w:right="57"/>
              <w:spacing w:after="0" w:line="135" w:lineRule="exact"/>
              <w:rPr>
                <w:sz w:val="20"/>
                <w:szCs w:val="20"/>
                <w:color w:val="auto"/>
              </w:rPr>
            </w:pPr>
            <w:r>
              <w:rPr>
                <w:rFonts w:ascii="Arial" w:cs="Arial" w:eastAsia="Arial" w:hAnsi="Arial"/>
                <w:sz w:val="13"/>
                <w:szCs w:val="13"/>
                <w:color w:val="auto"/>
              </w:rPr>
              <w:t>33.76</w:t>
            </w:r>
          </w:p>
        </w:tc>
        <w:tc>
          <w:tcPr>
            <w:tcW w:w="880" w:type="dxa"/>
            <w:vAlign w:val="bottom"/>
            <w:tcBorders>
              <w:right w:val="single" w:sz="8" w:color="auto"/>
            </w:tcBorders>
            <w:shd w:val="clear" w:color="auto" w:fill="CCEEFF"/>
          </w:tcPr>
          <w:p>
            <w:pPr>
              <w:jc w:val="right"/>
              <w:ind w:right="58"/>
              <w:spacing w:after="0" w:line="135" w:lineRule="exact"/>
              <w:rPr>
                <w:sz w:val="20"/>
                <w:szCs w:val="20"/>
                <w:color w:val="auto"/>
              </w:rPr>
            </w:pPr>
            <w:r>
              <w:rPr>
                <w:rFonts w:ascii="Arial" w:cs="Arial" w:eastAsia="Arial" w:hAnsi="Arial"/>
                <w:sz w:val="13"/>
                <w:szCs w:val="13"/>
                <w:color w:val="auto"/>
              </w:rPr>
              <w:t>02/07/2023</w:t>
            </w:r>
          </w:p>
        </w:tc>
        <w:tc>
          <w:tcPr>
            <w:tcW w:w="880" w:type="dxa"/>
            <w:vAlign w:val="bottom"/>
            <w:tcBorders>
              <w:right w:val="single" w:sz="8" w:color="auto"/>
            </w:tcBorders>
            <w:shd w:val="clear" w:color="auto" w:fill="CCEEFF"/>
          </w:tcPr>
          <w:p>
            <w:pPr>
              <w:spacing w:after="0"/>
              <w:rPr>
                <w:sz w:val="11"/>
                <w:szCs w:val="11"/>
                <w:color w:val="auto"/>
              </w:rPr>
            </w:pPr>
          </w:p>
        </w:tc>
        <w:tc>
          <w:tcPr>
            <w:tcW w:w="760" w:type="dxa"/>
            <w:vAlign w:val="bottom"/>
            <w:tcBorders>
              <w:right w:val="single" w:sz="8" w:color="auto"/>
            </w:tcBorders>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780" w:type="dxa"/>
            <w:vAlign w:val="bottom"/>
            <w:tcBorders>
              <w:right w:val="single" w:sz="8" w:color="auto"/>
            </w:tcBorders>
            <w:shd w:val="clear" w:color="auto" w:fill="CCEEFF"/>
          </w:tcPr>
          <w:p>
            <w:pPr>
              <w:spacing w:after="0"/>
              <w:rPr>
                <w:sz w:val="11"/>
                <w:szCs w:val="11"/>
                <w:color w:val="auto"/>
              </w:rPr>
            </w:pPr>
          </w:p>
        </w:tc>
        <w:tc>
          <w:tcPr>
            <w:tcW w:w="1040" w:type="dxa"/>
            <w:vAlign w:val="bottom"/>
            <w:tcBorders>
              <w:right w:val="single" w:sz="8" w:color="auto"/>
            </w:tcBorders>
            <w:shd w:val="clear" w:color="auto" w:fill="CCEEFF"/>
          </w:tcPr>
          <w:p>
            <w:pPr>
              <w:spacing w:after="0"/>
              <w:rPr>
                <w:sz w:val="11"/>
                <w:szCs w:val="11"/>
                <w:color w:val="auto"/>
              </w:rPr>
            </w:pPr>
          </w:p>
        </w:tc>
        <w:tc>
          <w:tcPr>
            <w:tcW w:w="180" w:type="dxa"/>
            <w:vAlign w:val="bottom"/>
            <w:shd w:val="clear" w:color="auto" w:fill="CCEEFF"/>
          </w:tcPr>
          <w:p>
            <w:pPr>
              <w:spacing w:after="0"/>
              <w:rPr>
                <w:sz w:val="11"/>
                <w:szCs w:val="11"/>
                <w:color w:val="auto"/>
              </w:rPr>
            </w:pPr>
          </w:p>
        </w:tc>
        <w:tc>
          <w:tcPr>
            <w:tcW w:w="1080" w:type="dxa"/>
            <w:vAlign w:val="bottom"/>
            <w:tcBorders>
              <w:right w:val="single" w:sz="8" w:color="auto"/>
            </w:tcBorders>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400" w:type="dxa"/>
            <w:vAlign w:val="bottom"/>
            <w:tcBorders>
              <w:left w:val="single" w:sz="8" w:color="auto"/>
              <w:right w:val="single" w:sz="8" w:color="auto"/>
            </w:tcBorders>
          </w:tcPr>
          <w:p>
            <w:pPr>
              <w:spacing w:after="0"/>
              <w:rPr>
                <w:sz w:val="11"/>
                <w:szCs w:val="11"/>
                <w:color w:val="auto"/>
              </w:rPr>
            </w:pPr>
          </w:p>
        </w:tc>
        <w:tc>
          <w:tcPr>
            <w:tcW w:w="880" w:type="dxa"/>
            <w:vAlign w:val="bottom"/>
            <w:tcBorders>
              <w:right w:val="single" w:sz="8" w:color="auto"/>
            </w:tcBorders>
          </w:tcPr>
          <w:p>
            <w:pPr>
              <w:jc w:val="right"/>
              <w:ind w:right="57"/>
              <w:spacing w:after="0" w:line="135" w:lineRule="exact"/>
              <w:rPr>
                <w:sz w:val="20"/>
                <w:szCs w:val="20"/>
                <w:color w:val="auto"/>
              </w:rPr>
            </w:pPr>
            <w:r>
              <w:rPr>
                <w:rFonts w:ascii="Arial" w:cs="Arial" w:eastAsia="Arial" w:hAnsi="Arial"/>
                <w:sz w:val="13"/>
                <w:szCs w:val="13"/>
                <w:color w:val="auto"/>
              </w:rPr>
              <w:t>02/13/2014</w:t>
            </w:r>
          </w:p>
        </w:tc>
        <w:tc>
          <w:tcPr>
            <w:tcW w:w="720" w:type="dxa"/>
            <w:vAlign w:val="bottom"/>
          </w:tcPr>
          <w:p>
            <w:pPr>
              <w:jc w:val="right"/>
              <w:spacing w:after="0" w:line="135" w:lineRule="exact"/>
              <w:rPr>
                <w:sz w:val="20"/>
                <w:szCs w:val="20"/>
                <w:color w:val="auto"/>
              </w:rPr>
            </w:pPr>
            <w:r>
              <w:rPr>
                <w:rFonts w:ascii="Arial" w:cs="Arial" w:eastAsia="Arial" w:hAnsi="Arial"/>
                <w:sz w:val="13"/>
                <w:szCs w:val="13"/>
                <w:color w:val="auto"/>
              </w:rPr>
              <w:t>1,225</w:t>
            </w:r>
          </w:p>
        </w:tc>
        <w:tc>
          <w:tcPr>
            <w:tcW w:w="100" w:type="dxa"/>
            <w:vAlign w:val="bottom"/>
            <w:tcBorders>
              <w:right w:val="single" w:sz="8" w:color="auto"/>
            </w:tcBorders>
          </w:tcPr>
          <w:p>
            <w:pPr>
              <w:spacing w:after="0"/>
              <w:rPr>
                <w:sz w:val="11"/>
                <w:szCs w:val="11"/>
                <w:color w:val="auto"/>
              </w:rPr>
            </w:pPr>
          </w:p>
        </w:tc>
        <w:tc>
          <w:tcPr>
            <w:tcW w:w="940" w:type="dxa"/>
            <w:vAlign w:val="bottom"/>
            <w:tcBorders>
              <w:right w:val="single" w:sz="8" w:color="auto"/>
            </w:tcBorders>
          </w:tcPr>
          <w:p>
            <w:pPr>
              <w:jc w:val="right"/>
              <w:ind w:right="57"/>
              <w:spacing w:after="0" w:line="135" w:lineRule="exact"/>
              <w:rPr>
                <w:sz w:val="20"/>
                <w:szCs w:val="20"/>
                <w:color w:val="auto"/>
              </w:rPr>
            </w:pPr>
            <w:r>
              <w:rPr>
                <w:rFonts w:ascii="Arial" w:cs="Arial" w:eastAsia="Arial" w:hAnsi="Arial"/>
                <w:sz w:val="13"/>
                <w:szCs w:val="13"/>
                <w:color w:val="auto"/>
              </w:rPr>
              <w:t>3,675</w:t>
            </w:r>
          </w:p>
        </w:tc>
        <w:tc>
          <w:tcPr>
            <w:tcW w:w="160" w:type="dxa"/>
            <w:vAlign w:val="bottom"/>
          </w:tcPr>
          <w:p>
            <w:pPr>
              <w:ind w:left="80"/>
              <w:spacing w:after="0" w:line="135" w:lineRule="exact"/>
              <w:rPr>
                <w:sz w:val="20"/>
                <w:szCs w:val="20"/>
                <w:color w:val="auto"/>
              </w:rPr>
            </w:pPr>
            <w:r>
              <w:rPr>
                <w:rFonts w:ascii="Arial" w:cs="Arial" w:eastAsia="Arial" w:hAnsi="Arial"/>
                <w:sz w:val="13"/>
                <w:szCs w:val="13"/>
                <w:color w:val="auto"/>
                <w:w w:val="82"/>
              </w:rPr>
              <w:t>$</w:t>
            </w:r>
          </w:p>
        </w:tc>
        <w:tc>
          <w:tcPr>
            <w:tcW w:w="500" w:type="dxa"/>
            <w:vAlign w:val="bottom"/>
            <w:tcBorders>
              <w:right w:val="single" w:sz="8" w:color="auto"/>
            </w:tcBorders>
          </w:tcPr>
          <w:p>
            <w:pPr>
              <w:jc w:val="right"/>
              <w:ind w:right="57"/>
              <w:spacing w:after="0" w:line="135" w:lineRule="exact"/>
              <w:rPr>
                <w:sz w:val="20"/>
                <w:szCs w:val="20"/>
                <w:color w:val="auto"/>
              </w:rPr>
            </w:pPr>
            <w:r>
              <w:rPr>
                <w:rFonts w:ascii="Arial" w:cs="Arial" w:eastAsia="Arial" w:hAnsi="Arial"/>
                <w:sz w:val="13"/>
                <w:szCs w:val="13"/>
                <w:color w:val="auto"/>
              </w:rPr>
              <w:t>34.26</w:t>
            </w:r>
          </w:p>
        </w:tc>
        <w:tc>
          <w:tcPr>
            <w:tcW w:w="880" w:type="dxa"/>
            <w:vAlign w:val="bottom"/>
            <w:tcBorders>
              <w:right w:val="single" w:sz="8" w:color="auto"/>
            </w:tcBorders>
          </w:tcPr>
          <w:p>
            <w:pPr>
              <w:jc w:val="right"/>
              <w:ind w:right="58"/>
              <w:spacing w:after="0" w:line="135" w:lineRule="exact"/>
              <w:rPr>
                <w:sz w:val="20"/>
                <w:szCs w:val="20"/>
                <w:color w:val="auto"/>
              </w:rPr>
            </w:pPr>
            <w:r>
              <w:rPr>
                <w:rFonts w:ascii="Arial" w:cs="Arial" w:eastAsia="Arial" w:hAnsi="Arial"/>
                <w:sz w:val="13"/>
                <w:szCs w:val="13"/>
                <w:color w:val="auto"/>
              </w:rPr>
              <w:t>02/13/2024</w:t>
            </w:r>
          </w:p>
        </w:tc>
        <w:tc>
          <w:tcPr>
            <w:tcW w:w="880" w:type="dxa"/>
            <w:vAlign w:val="bottom"/>
            <w:tcBorders>
              <w:right w:val="single" w:sz="8" w:color="auto"/>
            </w:tcBorders>
          </w:tcPr>
          <w:p>
            <w:pPr>
              <w:spacing w:after="0"/>
              <w:rPr>
                <w:sz w:val="11"/>
                <w:szCs w:val="11"/>
                <w:color w:val="auto"/>
              </w:rPr>
            </w:pPr>
          </w:p>
        </w:tc>
        <w:tc>
          <w:tcPr>
            <w:tcW w:w="760" w:type="dxa"/>
            <w:vAlign w:val="bottom"/>
            <w:tcBorders>
              <w:right w:val="single" w:sz="8" w:color="auto"/>
            </w:tcBorders>
          </w:tcPr>
          <w:p>
            <w:pPr>
              <w:spacing w:after="0"/>
              <w:rPr>
                <w:sz w:val="11"/>
                <w:szCs w:val="11"/>
                <w:color w:val="auto"/>
              </w:rPr>
            </w:pPr>
          </w:p>
        </w:tc>
        <w:tc>
          <w:tcPr>
            <w:tcW w:w="140" w:type="dxa"/>
            <w:vAlign w:val="bottom"/>
          </w:tcPr>
          <w:p>
            <w:pPr>
              <w:spacing w:after="0"/>
              <w:rPr>
                <w:sz w:val="11"/>
                <w:szCs w:val="11"/>
                <w:color w:val="auto"/>
              </w:rPr>
            </w:pPr>
          </w:p>
        </w:tc>
        <w:tc>
          <w:tcPr>
            <w:tcW w:w="780" w:type="dxa"/>
            <w:vAlign w:val="bottom"/>
            <w:tcBorders>
              <w:right w:val="single" w:sz="8" w:color="auto"/>
            </w:tcBorders>
          </w:tcPr>
          <w:p>
            <w:pPr>
              <w:spacing w:after="0"/>
              <w:rPr>
                <w:sz w:val="11"/>
                <w:szCs w:val="11"/>
                <w:color w:val="auto"/>
              </w:rPr>
            </w:pPr>
          </w:p>
        </w:tc>
        <w:tc>
          <w:tcPr>
            <w:tcW w:w="1040" w:type="dxa"/>
            <w:vAlign w:val="bottom"/>
            <w:tcBorders>
              <w:right w:val="single" w:sz="8" w:color="auto"/>
            </w:tcBorders>
          </w:tcPr>
          <w:p>
            <w:pPr>
              <w:spacing w:after="0"/>
              <w:rPr>
                <w:sz w:val="11"/>
                <w:szCs w:val="11"/>
                <w:color w:val="auto"/>
              </w:rPr>
            </w:pPr>
          </w:p>
        </w:tc>
        <w:tc>
          <w:tcPr>
            <w:tcW w:w="180" w:type="dxa"/>
            <w:vAlign w:val="bottom"/>
          </w:tcPr>
          <w:p>
            <w:pPr>
              <w:spacing w:after="0"/>
              <w:rPr>
                <w:sz w:val="11"/>
                <w:szCs w:val="11"/>
                <w:color w:val="auto"/>
              </w:rPr>
            </w:pPr>
          </w:p>
        </w:tc>
        <w:tc>
          <w:tcPr>
            <w:tcW w:w="108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400" w:type="dxa"/>
            <w:vAlign w:val="bottom"/>
            <w:tcBorders>
              <w:left w:val="single" w:sz="8" w:color="auto"/>
              <w:bottom w:val="single" w:sz="8" w:color="auto"/>
              <w:right w:val="single" w:sz="8" w:color="auto"/>
            </w:tcBorders>
            <w:shd w:val="clear" w:color="auto" w:fill="CCEEFF"/>
          </w:tcPr>
          <w:p>
            <w:pPr>
              <w:spacing w:after="0"/>
              <w:rPr>
                <w:sz w:val="11"/>
                <w:szCs w:val="11"/>
                <w:color w:val="auto"/>
              </w:rPr>
            </w:pPr>
          </w:p>
        </w:tc>
        <w:tc>
          <w:tcPr>
            <w:tcW w:w="880" w:type="dxa"/>
            <w:vAlign w:val="bottom"/>
            <w:tcBorders>
              <w:bottom w:val="single" w:sz="8" w:color="auto"/>
              <w:right w:val="single" w:sz="8" w:color="auto"/>
            </w:tcBorders>
            <w:shd w:val="clear" w:color="auto" w:fill="CCEEFF"/>
          </w:tcPr>
          <w:p>
            <w:pPr>
              <w:jc w:val="right"/>
              <w:ind w:right="57"/>
              <w:spacing w:after="0" w:line="135" w:lineRule="exact"/>
              <w:rPr>
                <w:sz w:val="20"/>
                <w:szCs w:val="20"/>
                <w:color w:val="auto"/>
              </w:rPr>
            </w:pPr>
            <w:r>
              <w:rPr>
                <w:rFonts w:ascii="Arial" w:cs="Arial" w:eastAsia="Arial" w:hAnsi="Arial"/>
                <w:sz w:val="13"/>
                <w:szCs w:val="13"/>
                <w:color w:val="auto"/>
              </w:rPr>
              <w:t>01/29/2015</w:t>
            </w:r>
          </w:p>
        </w:tc>
        <w:tc>
          <w:tcPr>
            <w:tcW w:w="720" w:type="dxa"/>
            <w:vAlign w:val="bottom"/>
            <w:tcBorders>
              <w:bottom w:val="single" w:sz="8" w:color="auto"/>
            </w:tcBorders>
            <w:shd w:val="clear" w:color="auto" w:fill="CCEEFF"/>
          </w:tcPr>
          <w:p>
            <w:pPr>
              <w:jc w:val="right"/>
              <w:spacing w:after="0" w:line="135" w:lineRule="exact"/>
              <w:rPr>
                <w:sz w:val="20"/>
                <w:szCs w:val="20"/>
                <w:color w:val="auto"/>
              </w:rPr>
            </w:pPr>
            <w:r>
              <w:rPr>
                <w:rFonts w:ascii="Arial" w:cs="Arial" w:eastAsia="Arial" w:hAnsi="Arial"/>
                <w:sz w:val="13"/>
                <w:szCs w:val="13"/>
                <w:color w:val="auto"/>
              </w:rPr>
              <w:t>0</w:t>
            </w:r>
          </w:p>
        </w:tc>
        <w:tc>
          <w:tcPr>
            <w:tcW w:w="100" w:type="dxa"/>
            <w:vAlign w:val="bottom"/>
            <w:tcBorders>
              <w:bottom w:val="single" w:sz="8" w:color="auto"/>
              <w:right w:val="single" w:sz="8" w:color="auto"/>
            </w:tcBorders>
            <w:shd w:val="clear" w:color="auto" w:fill="CCEEFF"/>
          </w:tcPr>
          <w:p>
            <w:pPr>
              <w:spacing w:after="0"/>
              <w:rPr>
                <w:sz w:val="11"/>
                <w:szCs w:val="11"/>
                <w:color w:val="auto"/>
              </w:rPr>
            </w:pPr>
          </w:p>
        </w:tc>
        <w:tc>
          <w:tcPr>
            <w:tcW w:w="940" w:type="dxa"/>
            <w:vAlign w:val="bottom"/>
            <w:tcBorders>
              <w:bottom w:val="single" w:sz="8" w:color="auto"/>
              <w:right w:val="single" w:sz="8" w:color="auto"/>
            </w:tcBorders>
            <w:shd w:val="clear" w:color="auto" w:fill="CCEEFF"/>
          </w:tcPr>
          <w:p>
            <w:pPr>
              <w:jc w:val="right"/>
              <w:ind w:right="57"/>
              <w:spacing w:after="0" w:line="135" w:lineRule="exact"/>
              <w:rPr>
                <w:sz w:val="20"/>
                <w:szCs w:val="20"/>
                <w:color w:val="auto"/>
              </w:rPr>
            </w:pPr>
            <w:r>
              <w:rPr>
                <w:rFonts w:ascii="Arial" w:cs="Arial" w:eastAsia="Arial" w:hAnsi="Arial"/>
                <w:sz w:val="13"/>
                <w:szCs w:val="13"/>
                <w:color w:val="auto"/>
              </w:rPr>
              <w:t>10,700</w:t>
            </w:r>
          </w:p>
        </w:tc>
        <w:tc>
          <w:tcPr>
            <w:tcW w:w="160" w:type="dxa"/>
            <w:vAlign w:val="bottom"/>
            <w:tcBorders>
              <w:bottom w:val="single" w:sz="8" w:color="auto"/>
            </w:tcBorders>
            <w:shd w:val="clear" w:color="auto" w:fill="CCEEFF"/>
          </w:tcPr>
          <w:p>
            <w:pPr>
              <w:ind w:left="80"/>
              <w:spacing w:after="0" w:line="135" w:lineRule="exact"/>
              <w:rPr>
                <w:sz w:val="20"/>
                <w:szCs w:val="20"/>
                <w:color w:val="auto"/>
              </w:rPr>
            </w:pPr>
            <w:r>
              <w:rPr>
                <w:rFonts w:ascii="Arial" w:cs="Arial" w:eastAsia="Arial" w:hAnsi="Arial"/>
                <w:sz w:val="13"/>
                <w:szCs w:val="13"/>
                <w:color w:val="auto"/>
                <w:w w:val="82"/>
              </w:rPr>
              <w:t>$</w:t>
            </w:r>
          </w:p>
        </w:tc>
        <w:tc>
          <w:tcPr>
            <w:tcW w:w="500" w:type="dxa"/>
            <w:vAlign w:val="bottom"/>
            <w:tcBorders>
              <w:bottom w:val="single" w:sz="8" w:color="auto"/>
              <w:right w:val="single" w:sz="8" w:color="auto"/>
            </w:tcBorders>
            <w:shd w:val="clear" w:color="auto" w:fill="CCEEFF"/>
          </w:tcPr>
          <w:p>
            <w:pPr>
              <w:jc w:val="right"/>
              <w:ind w:right="57"/>
              <w:spacing w:after="0" w:line="135" w:lineRule="exact"/>
              <w:rPr>
                <w:sz w:val="20"/>
                <w:szCs w:val="20"/>
                <w:color w:val="auto"/>
              </w:rPr>
            </w:pPr>
            <w:r>
              <w:rPr>
                <w:rFonts w:ascii="Arial" w:cs="Arial" w:eastAsia="Arial" w:hAnsi="Arial"/>
                <w:sz w:val="13"/>
                <w:szCs w:val="13"/>
                <w:color w:val="auto"/>
              </w:rPr>
              <w:t>29.00</w:t>
            </w:r>
          </w:p>
        </w:tc>
        <w:tc>
          <w:tcPr>
            <w:tcW w:w="880" w:type="dxa"/>
            <w:vAlign w:val="bottom"/>
            <w:tcBorders>
              <w:bottom w:val="single" w:sz="8" w:color="auto"/>
              <w:right w:val="single" w:sz="8" w:color="auto"/>
            </w:tcBorders>
            <w:shd w:val="clear" w:color="auto" w:fill="CCEEFF"/>
          </w:tcPr>
          <w:p>
            <w:pPr>
              <w:jc w:val="right"/>
              <w:ind w:right="58"/>
              <w:spacing w:after="0" w:line="135" w:lineRule="exact"/>
              <w:rPr>
                <w:sz w:val="20"/>
                <w:szCs w:val="20"/>
                <w:color w:val="auto"/>
              </w:rPr>
            </w:pPr>
            <w:r>
              <w:rPr>
                <w:rFonts w:ascii="Arial" w:cs="Arial" w:eastAsia="Arial" w:hAnsi="Arial"/>
                <w:sz w:val="13"/>
                <w:szCs w:val="13"/>
                <w:color w:val="auto"/>
              </w:rPr>
              <w:t>01/29/2025</w:t>
            </w:r>
          </w:p>
        </w:tc>
        <w:tc>
          <w:tcPr>
            <w:tcW w:w="880" w:type="dxa"/>
            <w:vAlign w:val="bottom"/>
            <w:tcBorders>
              <w:bottom w:val="single" w:sz="8" w:color="auto"/>
              <w:right w:val="single" w:sz="8" w:color="auto"/>
            </w:tcBorders>
            <w:shd w:val="clear" w:color="auto" w:fill="CCEEFF"/>
          </w:tcPr>
          <w:p>
            <w:pPr>
              <w:spacing w:after="0"/>
              <w:rPr>
                <w:sz w:val="11"/>
                <w:szCs w:val="11"/>
                <w:color w:val="auto"/>
              </w:rPr>
            </w:pPr>
          </w:p>
        </w:tc>
        <w:tc>
          <w:tcPr>
            <w:tcW w:w="760" w:type="dxa"/>
            <w:vAlign w:val="bottom"/>
            <w:tcBorders>
              <w:bottom w:val="single" w:sz="8" w:color="auto"/>
              <w:right w:val="single" w:sz="8" w:color="auto"/>
            </w:tcBorders>
            <w:shd w:val="clear" w:color="auto" w:fill="CCEEFF"/>
          </w:tcPr>
          <w:p>
            <w:pPr>
              <w:spacing w:after="0"/>
              <w:rPr>
                <w:sz w:val="11"/>
                <w:szCs w:val="11"/>
                <w:color w:val="auto"/>
              </w:rPr>
            </w:pPr>
          </w:p>
        </w:tc>
        <w:tc>
          <w:tcPr>
            <w:tcW w:w="140" w:type="dxa"/>
            <w:vAlign w:val="bottom"/>
            <w:tcBorders>
              <w:bottom w:val="single" w:sz="8" w:color="auto"/>
            </w:tcBorders>
            <w:shd w:val="clear" w:color="auto" w:fill="CCEEFF"/>
          </w:tcPr>
          <w:p>
            <w:pPr>
              <w:spacing w:after="0"/>
              <w:rPr>
                <w:sz w:val="11"/>
                <w:szCs w:val="11"/>
                <w:color w:val="auto"/>
              </w:rPr>
            </w:pPr>
          </w:p>
        </w:tc>
        <w:tc>
          <w:tcPr>
            <w:tcW w:w="780" w:type="dxa"/>
            <w:vAlign w:val="bottom"/>
            <w:tcBorders>
              <w:bottom w:val="single" w:sz="8" w:color="auto"/>
              <w:right w:val="single" w:sz="8" w:color="auto"/>
            </w:tcBorders>
            <w:shd w:val="clear" w:color="auto" w:fill="CCEEFF"/>
          </w:tcPr>
          <w:p>
            <w:pPr>
              <w:spacing w:after="0"/>
              <w:rPr>
                <w:sz w:val="11"/>
                <w:szCs w:val="11"/>
                <w:color w:val="auto"/>
              </w:rPr>
            </w:pPr>
          </w:p>
        </w:tc>
        <w:tc>
          <w:tcPr>
            <w:tcW w:w="1040" w:type="dxa"/>
            <w:vAlign w:val="bottom"/>
            <w:tcBorders>
              <w:bottom w:val="single" w:sz="8" w:color="auto"/>
              <w:right w:val="single" w:sz="8" w:color="auto"/>
            </w:tcBorders>
            <w:shd w:val="clear" w:color="auto" w:fill="CCEEFF"/>
          </w:tcPr>
          <w:p>
            <w:pPr>
              <w:spacing w:after="0"/>
              <w:rPr>
                <w:sz w:val="11"/>
                <w:szCs w:val="11"/>
                <w:color w:val="auto"/>
              </w:rPr>
            </w:pPr>
          </w:p>
        </w:tc>
        <w:tc>
          <w:tcPr>
            <w:tcW w:w="180" w:type="dxa"/>
            <w:vAlign w:val="bottom"/>
            <w:tcBorders>
              <w:bottom w:val="single" w:sz="8" w:color="auto"/>
            </w:tcBorders>
            <w:shd w:val="clear" w:color="auto" w:fill="CCEEFF"/>
          </w:tcPr>
          <w:p>
            <w:pPr>
              <w:spacing w:after="0"/>
              <w:rPr>
                <w:sz w:val="11"/>
                <w:szCs w:val="11"/>
                <w:color w:val="auto"/>
              </w:rPr>
            </w:pPr>
          </w:p>
        </w:tc>
        <w:tc>
          <w:tcPr>
            <w:tcW w:w="1080" w:type="dxa"/>
            <w:vAlign w:val="bottom"/>
            <w:tcBorders>
              <w:bottom w:val="single" w:sz="8" w:color="auto"/>
              <w:right w:val="single" w:sz="8" w:color="auto"/>
            </w:tcBorders>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29"/>
        </w:trPr>
        <w:tc>
          <w:tcPr>
            <w:tcW w:w="2400" w:type="dxa"/>
            <w:vAlign w:val="bottom"/>
            <w:tcBorders>
              <w:left w:val="single" w:sz="8" w:color="auto"/>
              <w:right w:val="single" w:sz="8" w:color="auto"/>
            </w:tcBorders>
          </w:tcPr>
          <w:p>
            <w:pPr>
              <w:ind w:left="160"/>
              <w:spacing w:after="0" w:line="129" w:lineRule="exact"/>
              <w:rPr>
                <w:sz w:val="20"/>
                <w:szCs w:val="20"/>
                <w:color w:val="auto"/>
              </w:rPr>
            </w:pPr>
            <w:r>
              <w:rPr>
                <w:rFonts w:ascii="Arial" w:cs="Arial" w:eastAsia="Arial" w:hAnsi="Arial"/>
                <w:sz w:val="13"/>
                <w:szCs w:val="13"/>
                <w:color w:val="auto"/>
              </w:rPr>
              <w:t>Frank A.</w:t>
            </w:r>
          </w:p>
        </w:tc>
        <w:tc>
          <w:tcPr>
            <w:tcW w:w="880" w:type="dxa"/>
            <w:vAlign w:val="bottom"/>
            <w:tcBorders>
              <w:right w:val="single" w:sz="8" w:color="auto"/>
            </w:tcBorders>
          </w:tcPr>
          <w:p>
            <w:pPr>
              <w:jc w:val="right"/>
              <w:ind w:right="57"/>
              <w:spacing w:after="0" w:line="129" w:lineRule="exact"/>
              <w:rPr>
                <w:sz w:val="20"/>
                <w:szCs w:val="20"/>
                <w:color w:val="auto"/>
              </w:rPr>
            </w:pPr>
            <w:r>
              <w:rPr>
                <w:rFonts w:ascii="Arial" w:cs="Arial" w:eastAsia="Arial" w:hAnsi="Arial"/>
                <w:sz w:val="13"/>
                <w:szCs w:val="13"/>
                <w:color w:val="auto"/>
              </w:rPr>
              <w:t>08/05/2014</w:t>
            </w:r>
          </w:p>
        </w:tc>
        <w:tc>
          <w:tcPr>
            <w:tcW w:w="720" w:type="dxa"/>
            <w:vAlign w:val="bottom"/>
          </w:tcPr>
          <w:p>
            <w:pPr>
              <w:jc w:val="right"/>
              <w:spacing w:after="0" w:line="129" w:lineRule="exact"/>
              <w:rPr>
                <w:sz w:val="20"/>
                <w:szCs w:val="20"/>
                <w:color w:val="auto"/>
              </w:rPr>
            </w:pPr>
            <w:r>
              <w:rPr>
                <w:rFonts w:ascii="Arial" w:cs="Arial" w:eastAsia="Arial" w:hAnsi="Arial"/>
                <w:sz w:val="13"/>
                <w:szCs w:val="13"/>
                <w:color w:val="auto"/>
              </w:rPr>
              <w:t>2,175</w:t>
            </w:r>
          </w:p>
        </w:tc>
        <w:tc>
          <w:tcPr>
            <w:tcW w:w="100" w:type="dxa"/>
            <w:vAlign w:val="bottom"/>
            <w:tcBorders>
              <w:right w:val="single" w:sz="8" w:color="auto"/>
            </w:tcBorders>
          </w:tcPr>
          <w:p>
            <w:pPr>
              <w:spacing w:after="0"/>
              <w:rPr>
                <w:sz w:val="11"/>
                <w:szCs w:val="11"/>
                <w:color w:val="auto"/>
              </w:rPr>
            </w:pPr>
          </w:p>
        </w:tc>
        <w:tc>
          <w:tcPr>
            <w:tcW w:w="940" w:type="dxa"/>
            <w:vAlign w:val="bottom"/>
            <w:tcBorders>
              <w:right w:val="single" w:sz="8" w:color="auto"/>
            </w:tcBorders>
          </w:tcPr>
          <w:p>
            <w:pPr>
              <w:jc w:val="right"/>
              <w:ind w:right="57"/>
              <w:spacing w:after="0" w:line="129" w:lineRule="exact"/>
              <w:rPr>
                <w:sz w:val="20"/>
                <w:szCs w:val="20"/>
                <w:color w:val="auto"/>
              </w:rPr>
            </w:pPr>
            <w:r>
              <w:rPr>
                <w:rFonts w:ascii="Arial" w:cs="Arial" w:eastAsia="Arial" w:hAnsi="Arial"/>
                <w:sz w:val="13"/>
                <w:szCs w:val="13"/>
                <w:color w:val="auto"/>
              </w:rPr>
              <w:t>6,525</w:t>
            </w:r>
          </w:p>
        </w:tc>
        <w:tc>
          <w:tcPr>
            <w:tcW w:w="160" w:type="dxa"/>
            <w:vAlign w:val="bottom"/>
          </w:tcPr>
          <w:p>
            <w:pPr>
              <w:ind w:left="80"/>
              <w:spacing w:after="0" w:line="129" w:lineRule="exact"/>
              <w:rPr>
                <w:sz w:val="20"/>
                <w:szCs w:val="20"/>
                <w:color w:val="auto"/>
              </w:rPr>
            </w:pPr>
            <w:r>
              <w:rPr>
                <w:rFonts w:ascii="Arial" w:cs="Arial" w:eastAsia="Arial" w:hAnsi="Arial"/>
                <w:sz w:val="13"/>
                <w:szCs w:val="13"/>
                <w:color w:val="auto"/>
                <w:w w:val="82"/>
              </w:rPr>
              <w:t>$</w:t>
            </w:r>
          </w:p>
        </w:tc>
        <w:tc>
          <w:tcPr>
            <w:tcW w:w="500" w:type="dxa"/>
            <w:vAlign w:val="bottom"/>
            <w:tcBorders>
              <w:right w:val="single" w:sz="8" w:color="auto"/>
            </w:tcBorders>
          </w:tcPr>
          <w:p>
            <w:pPr>
              <w:jc w:val="right"/>
              <w:ind w:right="57"/>
              <w:spacing w:after="0" w:line="129" w:lineRule="exact"/>
              <w:rPr>
                <w:sz w:val="20"/>
                <w:szCs w:val="20"/>
                <w:color w:val="auto"/>
              </w:rPr>
            </w:pPr>
            <w:r>
              <w:rPr>
                <w:rFonts w:ascii="Arial" w:cs="Arial" w:eastAsia="Arial" w:hAnsi="Arial"/>
                <w:sz w:val="13"/>
                <w:szCs w:val="13"/>
                <w:color w:val="auto"/>
              </w:rPr>
              <w:t>46.08</w:t>
            </w:r>
          </w:p>
        </w:tc>
        <w:tc>
          <w:tcPr>
            <w:tcW w:w="880" w:type="dxa"/>
            <w:vAlign w:val="bottom"/>
            <w:tcBorders>
              <w:right w:val="single" w:sz="8" w:color="auto"/>
            </w:tcBorders>
          </w:tcPr>
          <w:p>
            <w:pPr>
              <w:jc w:val="right"/>
              <w:ind w:right="58"/>
              <w:spacing w:after="0" w:line="129" w:lineRule="exact"/>
              <w:rPr>
                <w:sz w:val="20"/>
                <w:szCs w:val="20"/>
                <w:color w:val="auto"/>
              </w:rPr>
            </w:pPr>
            <w:r>
              <w:rPr>
                <w:rFonts w:ascii="Arial" w:cs="Arial" w:eastAsia="Arial" w:hAnsi="Arial"/>
                <w:sz w:val="13"/>
                <w:szCs w:val="13"/>
                <w:color w:val="auto"/>
              </w:rPr>
              <w:t>08/05/2024</w:t>
            </w:r>
          </w:p>
        </w:tc>
        <w:tc>
          <w:tcPr>
            <w:tcW w:w="880" w:type="dxa"/>
            <w:vAlign w:val="bottom"/>
            <w:tcBorders>
              <w:right w:val="single" w:sz="8" w:color="auto"/>
            </w:tcBorders>
          </w:tcPr>
          <w:p>
            <w:pPr>
              <w:jc w:val="right"/>
              <w:ind w:right="78"/>
              <w:spacing w:after="0" w:line="129" w:lineRule="exact"/>
              <w:rPr>
                <w:sz w:val="20"/>
                <w:szCs w:val="20"/>
                <w:color w:val="auto"/>
              </w:rPr>
            </w:pPr>
            <w:r>
              <w:rPr>
                <w:rFonts w:ascii="Arial" w:cs="Arial" w:eastAsia="Arial" w:hAnsi="Arial"/>
                <w:sz w:val="13"/>
                <w:szCs w:val="13"/>
                <w:color w:val="auto"/>
              </w:rPr>
              <w:t>08/05/2014</w:t>
            </w:r>
          </w:p>
        </w:tc>
        <w:tc>
          <w:tcPr>
            <w:tcW w:w="760" w:type="dxa"/>
            <w:vAlign w:val="bottom"/>
            <w:tcBorders>
              <w:right w:val="single" w:sz="8" w:color="auto"/>
            </w:tcBorders>
          </w:tcPr>
          <w:p>
            <w:pPr>
              <w:jc w:val="right"/>
              <w:ind w:right="81"/>
              <w:spacing w:after="0" w:line="129" w:lineRule="exact"/>
              <w:rPr>
                <w:sz w:val="20"/>
                <w:szCs w:val="20"/>
                <w:color w:val="auto"/>
              </w:rPr>
            </w:pPr>
            <w:r>
              <w:rPr>
                <w:rFonts w:ascii="Arial" w:cs="Arial" w:eastAsia="Arial" w:hAnsi="Arial"/>
                <w:sz w:val="13"/>
                <w:szCs w:val="13"/>
                <w:color w:val="auto"/>
              </w:rPr>
              <w:t>3,400</w:t>
            </w:r>
          </w:p>
        </w:tc>
        <w:tc>
          <w:tcPr>
            <w:tcW w:w="140" w:type="dxa"/>
            <w:vAlign w:val="bottom"/>
          </w:tcPr>
          <w:p>
            <w:pPr>
              <w:ind w:left="60"/>
              <w:spacing w:after="0" w:line="129" w:lineRule="exact"/>
              <w:rPr>
                <w:sz w:val="20"/>
                <w:szCs w:val="20"/>
                <w:color w:val="auto"/>
              </w:rPr>
            </w:pPr>
            <w:r>
              <w:rPr>
                <w:rFonts w:ascii="Arial" w:cs="Arial" w:eastAsia="Arial" w:hAnsi="Arial"/>
                <w:sz w:val="13"/>
                <w:szCs w:val="13"/>
                <w:color w:val="auto"/>
                <w:w w:val="82"/>
              </w:rPr>
              <w:t>$</w:t>
            </w:r>
          </w:p>
        </w:tc>
        <w:tc>
          <w:tcPr>
            <w:tcW w:w="780" w:type="dxa"/>
            <w:vAlign w:val="bottom"/>
            <w:tcBorders>
              <w:right w:val="single" w:sz="8" w:color="auto"/>
            </w:tcBorders>
          </w:tcPr>
          <w:p>
            <w:pPr>
              <w:jc w:val="right"/>
              <w:ind w:right="60"/>
              <w:spacing w:after="0" w:line="129" w:lineRule="exact"/>
              <w:rPr>
                <w:sz w:val="20"/>
                <w:szCs w:val="20"/>
                <w:color w:val="auto"/>
              </w:rPr>
            </w:pPr>
            <w:r>
              <w:rPr>
                <w:rFonts w:ascii="Arial" w:cs="Arial" w:eastAsia="Arial" w:hAnsi="Arial"/>
                <w:sz w:val="13"/>
                <w:szCs w:val="13"/>
                <w:color w:val="auto"/>
              </w:rPr>
              <w:t>28,492</w:t>
            </w:r>
          </w:p>
        </w:tc>
        <w:tc>
          <w:tcPr>
            <w:tcW w:w="1040" w:type="dxa"/>
            <w:vAlign w:val="bottom"/>
            <w:tcBorders>
              <w:right w:val="single" w:sz="8" w:color="auto"/>
            </w:tcBorders>
          </w:tcPr>
          <w:p>
            <w:pPr>
              <w:spacing w:after="0"/>
              <w:rPr>
                <w:sz w:val="11"/>
                <w:szCs w:val="11"/>
                <w:color w:val="auto"/>
              </w:rPr>
            </w:pPr>
          </w:p>
        </w:tc>
        <w:tc>
          <w:tcPr>
            <w:tcW w:w="180" w:type="dxa"/>
            <w:vAlign w:val="bottom"/>
          </w:tcPr>
          <w:p>
            <w:pPr>
              <w:spacing w:after="0"/>
              <w:rPr>
                <w:sz w:val="11"/>
                <w:szCs w:val="11"/>
                <w:color w:val="auto"/>
              </w:rPr>
            </w:pPr>
          </w:p>
        </w:tc>
        <w:tc>
          <w:tcPr>
            <w:tcW w:w="108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400" w:type="dxa"/>
            <w:vAlign w:val="bottom"/>
            <w:tcBorders>
              <w:left w:val="single" w:sz="8" w:color="auto"/>
              <w:bottom w:val="single" w:sz="8" w:color="auto"/>
              <w:right w:val="single" w:sz="8" w:color="auto"/>
            </w:tcBorders>
            <w:shd w:val="clear" w:color="auto" w:fill="CCEEFF"/>
          </w:tcPr>
          <w:p>
            <w:pPr>
              <w:ind w:left="160"/>
              <w:spacing w:after="0" w:line="135" w:lineRule="exact"/>
              <w:rPr>
                <w:sz w:val="20"/>
                <w:szCs w:val="20"/>
                <w:color w:val="auto"/>
              </w:rPr>
            </w:pPr>
            <w:r>
              <w:rPr>
                <w:rFonts w:ascii="Arial" w:cs="Arial" w:eastAsia="Arial" w:hAnsi="Arial"/>
                <w:sz w:val="13"/>
                <w:szCs w:val="13"/>
                <w:color w:val="auto"/>
              </w:rPr>
              <w:t>DiPiero</w:t>
            </w:r>
          </w:p>
        </w:tc>
        <w:tc>
          <w:tcPr>
            <w:tcW w:w="880" w:type="dxa"/>
            <w:vAlign w:val="bottom"/>
            <w:tcBorders>
              <w:bottom w:val="single" w:sz="8" w:color="auto"/>
              <w:right w:val="single" w:sz="8" w:color="auto"/>
            </w:tcBorders>
            <w:shd w:val="clear" w:color="auto" w:fill="CCEEFF"/>
          </w:tcPr>
          <w:p>
            <w:pPr>
              <w:jc w:val="right"/>
              <w:ind w:right="57"/>
              <w:spacing w:after="0" w:line="135" w:lineRule="exact"/>
              <w:rPr>
                <w:sz w:val="20"/>
                <w:szCs w:val="20"/>
                <w:color w:val="auto"/>
              </w:rPr>
            </w:pPr>
            <w:r>
              <w:rPr>
                <w:rFonts w:ascii="Arial" w:cs="Arial" w:eastAsia="Arial" w:hAnsi="Arial"/>
                <w:sz w:val="13"/>
                <w:szCs w:val="13"/>
                <w:color w:val="auto"/>
              </w:rPr>
              <w:t>01/29/2015</w:t>
            </w:r>
          </w:p>
        </w:tc>
        <w:tc>
          <w:tcPr>
            <w:tcW w:w="720" w:type="dxa"/>
            <w:vAlign w:val="bottom"/>
            <w:tcBorders>
              <w:bottom w:val="single" w:sz="8" w:color="auto"/>
            </w:tcBorders>
            <w:shd w:val="clear" w:color="auto" w:fill="CCEEFF"/>
          </w:tcPr>
          <w:p>
            <w:pPr>
              <w:jc w:val="right"/>
              <w:spacing w:after="0" w:line="135" w:lineRule="exact"/>
              <w:rPr>
                <w:sz w:val="20"/>
                <w:szCs w:val="20"/>
                <w:color w:val="auto"/>
              </w:rPr>
            </w:pPr>
            <w:r>
              <w:rPr>
                <w:rFonts w:ascii="Arial" w:cs="Arial" w:eastAsia="Arial" w:hAnsi="Arial"/>
                <w:sz w:val="13"/>
                <w:szCs w:val="13"/>
                <w:color w:val="auto"/>
              </w:rPr>
              <w:t>0</w:t>
            </w:r>
          </w:p>
        </w:tc>
        <w:tc>
          <w:tcPr>
            <w:tcW w:w="100" w:type="dxa"/>
            <w:vAlign w:val="bottom"/>
            <w:tcBorders>
              <w:bottom w:val="single" w:sz="8" w:color="auto"/>
              <w:right w:val="single" w:sz="8" w:color="auto"/>
            </w:tcBorders>
            <w:shd w:val="clear" w:color="auto" w:fill="CCEEFF"/>
          </w:tcPr>
          <w:p>
            <w:pPr>
              <w:spacing w:after="0"/>
              <w:rPr>
                <w:sz w:val="11"/>
                <w:szCs w:val="11"/>
                <w:color w:val="auto"/>
              </w:rPr>
            </w:pPr>
          </w:p>
        </w:tc>
        <w:tc>
          <w:tcPr>
            <w:tcW w:w="940" w:type="dxa"/>
            <w:vAlign w:val="bottom"/>
            <w:tcBorders>
              <w:bottom w:val="single" w:sz="8" w:color="auto"/>
              <w:right w:val="single" w:sz="8" w:color="auto"/>
            </w:tcBorders>
            <w:shd w:val="clear" w:color="auto" w:fill="CCEEFF"/>
          </w:tcPr>
          <w:p>
            <w:pPr>
              <w:jc w:val="right"/>
              <w:ind w:right="57"/>
              <w:spacing w:after="0" w:line="135" w:lineRule="exact"/>
              <w:rPr>
                <w:sz w:val="20"/>
                <w:szCs w:val="20"/>
                <w:color w:val="auto"/>
              </w:rPr>
            </w:pPr>
            <w:r>
              <w:rPr>
                <w:rFonts w:ascii="Arial" w:cs="Arial" w:eastAsia="Arial" w:hAnsi="Arial"/>
                <w:sz w:val="13"/>
                <w:szCs w:val="13"/>
                <w:color w:val="auto"/>
              </w:rPr>
              <w:t>9,000</w:t>
            </w:r>
          </w:p>
        </w:tc>
        <w:tc>
          <w:tcPr>
            <w:tcW w:w="160" w:type="dxa"/>
            <w:vAlign w:val="bottom"/>
            <w:tcBorders>
              <w:bottom w:val="single" w:sz="8" w:color="auto"/>
            </w:tcBorders>
            <w:shd w:val="clear" w:color="auto" w:fill="CCEEFF"/>
          </w:tcPr>
          <w:p>
            <w:pPr>
              <w:ind w:left="80"/>
              <w:spacing w:after="0" w:line="135" w:lineRule="exact"/>
              <w:rPr>
                <w:sz w:val="20"/>
                <w:szCs w:val="20"/>
                <w:color w:val="auto"/>
              </w:rPr>
            </w:pPr>
            <w:r>
              <w:rPr>
                <w:rFonts w:ascii="Arial" w:cs="Arial" w:eastAsia="Arial" w:hAnsi="Arial"/>
                <w:sz w:val="13"/>
                <w:szCs w:val="13"/>
                <w:color w:val="auto"/>
                <w:w w:val="82"/>
              </w:rPr>
              <w:t>$</w:t>
            </w:r>
          </w:p>
        </w:tc>
        <w:tc>
          <w:tcPr>
            <w:tcW w:w="500" w:type="dxa"/>
            <w:vAlign w:val="bottom"/>
            <w:tcBorders>
              <w:bottom w:val="single" w:sz="8" w:color="auto"/>
              <w:right w:val="single" w:sz="8" w:color="auto"/>
            </w:tcBorders>
            <w:shd w:val="clear" w:color="auto" w:fill="CCEEFF"/>
          </w:tcPr>
          <w:p>
            <w:pPr>
              <w:jc w:val="right"/>
              <w:ind w:right="57"/>
              <w:spacing w:after="0" w:line="135" w:lineRule="exact"/>
              <w:rPr>
                <w:sz w:val="20"/>
                <w:szCs w:val="20"/>
                <w:color w:val="auto"/>
              </w:rPr>
            </w:pPr>
            <w:r>
              <w:rPr>
                <w:rFonts w:ascii="Arial" w:cs="Arial" w:eastAsia="Arial" w:hAnsi="Arial"/>
                <w:sz w:val="13"/>
                <w:szCs w:val="13"/>
                <w:color w:val="auto"/>
              </w:rPr>
              <w:t>29.00</w:t>
            </w:r>
          </w:p>
        </w:tc>
        <w:tc>
          <w:tcPr>
            <w:tcW w:w="880" w:type="dxa"/>
            <w:vAlign w:val="bottom"/>
            <w:tcBorders>
              <w:bottom w:val="single" w:sz="8" w:color="auto"/>
              <w:right w:val="single" w:sz="8" w:color="auto"/>
            </w:tcBorders>
            <w:shd w:val="clear" w:color="auto" w:fill="CCEEFF"/>
          </w:tcPr>
          <w:p>
            <w:pPr>
              <w:jc w:val="right"/>
              <w:ind w:right="58"/>
              <w:spacing w:after="0" w:line="135" w:lineRule="exact"/>
              <w:rPr>
                <w:sz w:val="20"/>
                <w:szCs w:val="20"/>
                <w:color w:val="auto"/>
              </w:rPr>
            </w:pPr>
            <w:r>
              <w:rPr>
                <w:rFonts w:ascii="Arial" w:cs="Arial" w:eastAsia="Arial" w:hAnsi="Arial"/>
                <w:sz w:val="13"/>
                <w:szCs w:val="13"/>
                <w:color w:val="auto"/>
              </w:rPr>
              <w:t>01/29/2025</w:t>
            </w:r>
          </w:p>
        </w:tc>
        <w:tc>
          <w:tcPr>
            <w:tcW w:w="880" w:type="dxa"/>
            <w:vAlign w:val="bottom"/>
            <w:tcBorders>
              <w:bottom w:val="single" w:sz="8" w:color="auto"/>
              <w:right w:val="single" w:sz="8" w:color="auto"/>
            </w:tcBorders>
            <w:shd w:val="clear" w:color="auto" w:fill="CCEEFF"/>
          </w:tcPr>
          <w:p>
            <w:pPr>
              <w:jc w:val="right"/>
              <w:ind w:right="78"/>
              <w:spacing w:after="0" w:line="135" w:lineRule="exact"/>
              <w:rPr>
                <w:sz w:val="20"/>
                <w:szCs w:val="20"/>
                <w:color w:val="auto"/>
              </w:rPr>
            </w:pPr>
            <w:r>
              <w:rPr>
                <w:rFonts w:ascii="Arial" w:cs="Arial" w:eastAsia="Arial" w:hAnsi="Arial"/>
                <w:sz w:val="13"/>
                <w:szCs w:val="13"/>
                <w:color w:val="auto"/>
              </w:rPr>
              <w:t>01/29/2015</w:t>
            </w:r>
          </w:p>
        </w:tc>
        <w:tc>
          <w:tcPr>
            <w:tcW w:w="760" w:type="dxa"/>
            <w:vAlign w:val="bottom"/>
            <w:tcBorders>
              <w:bottom w:val="single" w:sz="8" w:color="auto"/>
              <w:right w:val="single" w:sz="8" w:color="auto"/>
            </w:tcBorders>
            <w:shd w:val="clear" w:color="auto" w:fill="CCEEFF"/>
          </w:tcPr>
          <w:p>
            <w:pPr>
              <w:jc w:val="right"/>
              <w:ind w:right="81"/>
              <w:spacing w:after="0" w:line="135" w:lineRule="exact"/>
              <w:rPr>
                <w:sz w:val="20"/>
                <w:szCs w:val="20"/>
                <w:color w:val="auto"/>
              </w:rPr>
            </w:pPr>
            <w:r>
              <w:rPr>
                <w:rFonts w:ascii="Arial" w:cs="Arial" w:eastAsia="Arial" w:hAnsi="Arial"/>
                <w:sz w:val="13"/>
                <w:szCs w:val="13"/>
                <w:color w:val="auto"/>
              </w:rPr>
              <w:t>2,500</w:t>
            </w:r>
          </w:p>
        </w:tc>
        <w:tc>
          <w:tcPr>
            <w:tcW w:w="140" w:type="dxa"/>
            <w:vAlign w:val="bottom"/>
            <w:tcBorders>
              <w:bottom w:val="single" w:sz="8" w:color="auto"/>
            </w:tcBorders>
            <w:shd w:val="clear" w:color="auto" w:fill="CCEEFF"/>
          </w:tcPr>
          <w:p>
            <w:pPr>
              <w:ind w:left="60"/>
              <w:spacing w:after="0" w:line="135" w:lineRule="exact"/>
              <w:rPr>
                <w:sz w:val="20"/>
                <w:szCs w:val="20"/>
                <w:color w:val="auto"/>
              </w:rPr>
            </w:pPr>
            <w:r>
              <w:rPr>
                <w:rFonts w:ascii="Arial" w:cs="Arial" w:eastAsia="Arial" w:hAnsi="Arial"/>
                <w:sz w:val="13"/>
                <w:szCs w:val="13"/>
                <w:color w:val="auto"/>
                <w:w w:val="82"/>
              </w:rPr>
              <w:t>$</w:t>
            </w:r>
          </w:p>
        </w:tc>
        <w:tc>
          <w:tcPr>
            <w:tcW w:w="780" w:type="dxa"/>
            <w:vAlign w:val="bottom"/>
            <w:tcBorders>
              <w:bottom w:val="single" w:sz="8" w:color="auto"/>
              <w:right w:val="single" w:sz="8" w:color="auto"/>
            </w:tcBorders>
            <w:shd w:val="clear" w:color="auto" w:fill="CCEEFF"/>
          </w:tcPr>
          <w:p>
            <w:pPr>
              <w:jc w:val="right"/>
              <w:ind w:right="60"/>
              <w:spacing w:after="0" w:line="135" w:lineRule="exact"/>
              <w:rPr>
                <w:sz w:val="20"/>
                <w:szCs w:val="20"/>
                <w:color w:val="auto"/>
              </w:rPr>
            </w:pPr>
            <w:r>
              <w:rPr>
                <w:rFonts w:ascii="Arial" w:cs="Arial" w:eastAsia="Arial" w:hAnsi="Arial"/>
                <w:sz w:val="13"/>
                <w:szCs w:val="13"/>
                <w:color w:val="auto"/>
              </w:rPr>
              <w:t>20,950</w:t>
            </w:r>
          </w:p>
        </w:tc>
        <w:tc>
          <w:tcPr>
            <w:tcW w:w="1040" w:type="dxa"/>
            <w:vAlign w:val="bottom"/>
            <w:tcBorders>
              <w:bottom w:val="single" w:sz="8" w:color="auto"/>
              <w:right w:val="single" w:sz="8" w:color="auto"/>
            </w:tcBorders>
            <w:shd w:val="clear" w:color="auto" w:fill="CCEEFF"/>
          </w:tcPr>
          <w:p>
            <w:pPr>
              <w:jc w:val="right"/>
              <w:ind w:right="63"/>
              <w:spacing w:after="0" w:line="135" w:lineRule="exact"/>
              <w:rPr>
                <w:sz w:val="20"/>
                <w:szCs w:val="20"/>
                <w:color w:val="auto"/>
              </w:rPr>
            </w:pPr>
            <w:r>
              <w:rPr>
                <w:rFonts w:ascii="Arial" w:cs="Arial" w:eastAsia="Arial" w:hAnsi="Arial"/>
                <w:sz w:val="13"/>
                <w:szCs w:val="13"/>
                <w:color w:val="auto"/>
              </w:rPr>
              <w:t>2,250</w:t>
            </w:r>
          </w:p>
        </w:tc>
        <w:tc>
          <w:tcPr>
            <w:tcW w:w="180" w:type="dxa"/>
            <w:vAlign w:val="bottom"/>
            <w:tcBorders>
              <w:bottom w:val="single" w:sz="8" w:color="auto"/>
            </w:tcBorders>
            <w:shd w:val="clear" w:color="auto" w:fill="CCEEFF"/>
          </w:tcPr>
          <w:p>
            <w:pPr>
              <w:jc w:val="right"/>
              <w:spacing w:after="0" w:line="135" w:lineRule="exact"/>
              <w:rPr>
                <w:sz w:val="20"/>
                <w:szCs w:val="20"/>
                <w:color w:val="auto"/>
              </w:rPr>
            </w:pPr>
            <w:r>
              <w:rPr>
                <w:rFonts w:ascii="Arial" w:cs="Arial" w:eastAsia="Arial" w:hAnsi="Arial"/>
                <w:sz w:val="13"/>
                <w:szCs w:val="13"/>
                <w:color w:val="auto"/>
              </w:rPr>
              <w:t>$</w:t>
            </w:r>
          </w:p>
        </w:tc>
        <w:tc>
          <w:tcPr>
            <w:tcW w:w="1080" w:type="dxa"/>
            <w:vAlign w:val="bottom"/>
            <w:tcBorders>
              <w:bottom w:val="single" w:sz="8" w:color="auto"/>
              <w:right w:val="single" w:sz="8" w:color="auto"/>
            </w:tcBorders>
            <w:shd w:val="clear" w:color="auto" w:fill="CCEEFF"/>
          </w:tcPr>
          <w:p>
            <w:pPr>
              <w:jc w:val="right"/>
              <w:ind w:right="179"/>
              <w:spacing w:after="0" w:line="135" w:lineRule="exact"/>
              <w:rPr>
                <w:sz w:val="20"/>
                <w:szCs w:val="20"/>
                <w:color w:val="auto"/>
              </w:rPr>
            </w:pPr>
            <w:r>
              <w:rPr>
                <w:rFonts w:ascii="Arial" w:cs="Arial" w:eastAsia="Arial" w:hAnsi="Arial"/>
                <w:sz w:val="13"/>
                <w:szCs w:val="13"/>
                <w:color w:val="auto"/>
              </w:rPr>
              <w:t>18,855</w:t>
            </w:r>
          </w:p>
        </w:tc>
        <w:tc>
          <w:tcPr>
            <w:tcW w:w="0" w:type="dxa"/>
            <w:vAlign w:val="bottom"/>
          </w:tcPr>
          <w:p>
            <w:pPr>
              <w:spacing w:after="0"/>
              <w:rPr>
                <w:sz w:val="1"/>
                <w:szCs w:val="1"/>
                <w:color w:val="auto"/>
              </w:rPr>
            </w:pPr>
          </w:p>
        </w:tc>
      </w:tr>
    </w:tbl>
    <w:p>
      <w:pPr>
        <w:spacing w:after="0" w:line="210" w:lineRule="exact"/>
        <w:rPr>
          <w:sz w:val="20"/>
          <w:szCs w:val="20"/>
          <w:color w:val="auto"/>
        </w:rPr>
      </w:pPr>
    </w:p>
    <w:p>
      <w:pPr>
        <w:ind w:left="460" w:right="300" w:hanging="452"/>
        <w:spacing w:after="0" w:line="243" w:lineRule="auto"/>
        <w:tabs>
          <w:tab w:leader="none" w:pos="460" w:val="left"/>
        </w:tabs>
        <w:numPr>
          <w:ilvl w:val="0"/>
          <w:numId w:val="29"/>
        </w:numPr>
        <w:rPr>
          <w:rFonts w:ascii="Arial" w:cs="Arial" w:eastAsia="Arial" w:hAnsi="Arial"/>
          <w:sz w:val="15"/>
          <w:szCs w:val="15"/>
          <w:color w:val="auto"/>
        </w:rPr>
      </w:pPr>
      <w:r>
        <w:rPr>
          <w:rFonts w:ascii="Arial" w:cs="Arial" w:eastAsia="Arial" w:hAnsi="Arial"/>
          <w:sz w:val="17"/>
          <w:szCs w:val="17"/>
          <w:color w:val="auto"/>
        </w:rPr>
        <w:t>All option awards reported in this table are nonqualified stock options that vest ratably 25% per year over the four-year period from the date of grant.</w:t>
      </w:r>
    </w:p>
    <w:p>
      <w:pPr>
        <w:spacing w:after="0" w:line="198" w:lineRule="exact"/>
        <w:rPr>
          <w:rFonts w:ascii="Arial" w:cs="Arial" w:eastAsia="Arial" w:hAnsi="Arial"/>
          <w:sz w:val="15"/>
          <w:szCs w:val="15"/>
          <w:color w:val="auto"/>
        </w:rPr>
      </w:pPr>
    </w:p>
    <w:p>
      <w:pPr>
        <w:ind w:left="460" w:right="60" w:hanging="452"/>
        <w:spacing w:after="0" w:line="234" w:lineRule="auto"/>
        <w:tabs>
          <w:tab w:leader="none" w:pos="460" w:val="left"/>
        </w:tabs>
        <w:numPr>
          <w:ilvl w:val="0"/>
          <w:numId w:val="29"/>
        </w:numPr>
        <w:rPr>
          <w:rFonts w:ascii="Arial" w:cs="Arial" w:eastAsia="Arial" w:hAnsi="Arial"/>
          <w:sz w:val="15"/>
          <w:szCs w:val="15"/>
          <w:color w:val="auto"/>
        </w:rPr>
      </w:pPr>
      <w:r>
        <w:rPr>
          <w:rFonts w:ascii="Arial" w:cs="Arial" w:eastAsia="Arial" w:hAnsi="Arial"/>
          <w:sz w:val="17"/>
          <w:szCs w:val="17"/>
          <w:color w:val="auto"/>
        </w:rPr>
        <w:t>Stock awards reported in this table for each NEO include performance shares and cliff-vested restricted stock units. Performance shares (reported under the Equity Incentive Plan Awards column) were granted on January 29, 2015, and vest at the end of a designated performance period on December 31, 2017, contingent upon the achievement of the established performance objectives. The number of shares reflected for the performance shares granted on January 29, 2015, includes the amounts to be paid to each respective NEO assuming threshold performance is achieved under the established performance objectives. The settlement for the performance shares will be in cash for Messrs. Timken and Walker and in stock for Messrs. Holding and DiPiero. Cliff-vested restricted stock units were granted to Mr. Timken on February 13, 2014; to Messrs. Holding and Walker on February 13, 2014 and January 29, 2015; and to Mr. DiPiero on August 5, 2014 and January 29, 2015. Each of these grants of RSUs will vest on the third anniversary of grant date, except the RSUs granted to Mr. DiPiero on August 5, 2014, will vest on February 13, 2017. The market value of all shares shown in these columns was determined based upon the closing price of our common shares on December 31, 2015, which was $8.38.</w:t>
      </w:r>
    </w:p>
    <w:p>
      <w:pPr>
        <w:spacing w:after="0" w:line="144" w:lineRule="exact"/>
        <w:rPr>
          <w:sz w:val="20"/>
          <w:szCs w:val="20"/>
          <w:color w:val="auto"/>
        </w:rPr>
      </w:pPr>
    </w:p>
    <w:p>
      <w:pPr>
        <w:spacing w:after="0"/>
        <w:rPr>
          <w:sz w:val="20"/>
          <w:szCs w:val="20"/>
          <w:color w:val="auto"/>
        </w:rPr>
      </w:pPr>
      <w:r>
        <w:rPr>
          <w:rFonts w:ascii="Arial" w:cs="Arial" w:eastAsia="Arial" w:hAnsi="Arial"/>
          <w:sz w:val="14"/>
          <w:szCs w:val="14"/>
          <w:color w:val="auto"/>
        </w:rPr>
        <w:t>48</w:t>
      </w:r>
    </w:p>
    <w:p>
      <w:pPr>
        <w:sectPr>
          <w:pgSz w:w="11900" w:h="16838" w:orient="portrait"/>
          <w:cols w:equalWidth="0" w:num="1">
            <w:col w:w="11440"/>
          </w:cols>
          <w:pgMar w:left="240" w:top="459" w:right="219" w:bottom="1440" w:gutter="0" w:footer="0" w:header="0"/>
        </w:sectPr>
      </w:pPr>
    </w:p>
    <w:bookmarkStart w:id="54" w:name="page55"/>
    <w:bookmarkEnd w:id="5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62">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2715260</wp:posOffset>
            </wp:positionH>
            <wp:positionV relativeFrom="paragraph">
              <wp:posOffset>205740</wp:posOffset>
            </wp:positionV>
            <wp:extent cx="1826895" cy="205740"/>
            <wp:wrapNone/>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63">
                      <a:extLst>
                        <a:ext uri="{28A0092B-C50C-407E-A947-70E740481C1C}"/>
                      </a:extLst>
                    </a:blip>
                    <a:srcRect/>
                    <a:stretch>
                      <a:fillRect/>
                    </a:stretch>
                  </pic:blipFill>
                  <pic:spPr bwMode="auto">
                    <a:xfrm>
                      <a:off x="0" y="0"/>
                      <a:ext cx="1826895" cy="20574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76" w:lineRule="exact"/>
        <w:rPr>
          <w:sz w:val="20"/>
          <w:szCs w:val="20"/>
          <w:color w:val="auto"/>
        </w:rPr>
      </w:pPr>
    </w:p>
    <w:p>
      <w:pPr>
        <w:spacing w:after="0"/>
        <w:rPr>
          <w:sz w:val="20"/>
          <w:szCs w:val="20"/>
          <w:color w:val="auto"/>
        </w:rPr>
      </w:pPr>
      <w:r>
        <w:rPr>
          <w:rFonts w:ascii="Arial" w:cs="Arial" w:eastAsia="Arial" w:hAnsi="Arial"/>
          <w:sz w:val="18"/>
          <w:szCs w:val="18"/>
          <w:color w:val="auto"/>
        </w:rPr>
        <w:t>2015 OPTION EXERCISES AND STOCK VESTED TABLE</w:t>
      </w:r>
    </w:p>
    <w:p>
      <w:pPr>
        <w:spacing w:after="0" w:line="179" w:lineRule="exact"/>
        <w:rPr>
          <w:sz w:val="20"/>
          <w:szCs w:val="20"/>
          <w:color w:val="auto"/>
        </w:rPr>
      </w:pPr>
    </w:p>
    <w:p>
      <w:pPr>
        <w:spacing w:after="0"/>
        <w:rPr>
          <w:sz w:val="20"/>
          <w:szCs w:val="20"/>
          <w:color w:val="auto"/>
        </w:rPr>
      </w:pPr>
      <w:r>
        <w:rPr>
          <w:rFonts w:ascii="Arial" w:cs="Arial" w:eastAsia="Arial" w:hAnsi="Arial"/>
          <w:sz w:val="17"/>
          <w:szCs w:val="17"/>
          <w:color w:val="auto"/>
        </w:rPr>
        <w:t>The following table sets forth information with respect to the exercise of stock options by and vesting of stock-based awards for our NEOs during 2015.</w:t>
      </w:r>
    </w:p>
    <w:p>
      <w:pPr>
        <w:spacing w:after="0" w:line="196" w:lineRule="exact"/>
        <w:rPr>
          <w:sz w:val="20"/>
          <w:szCs w:val="20"/>
          <w:color w:val="auto"/>
        </w:rPr>
      </w:pPr>
    </w:p>
    <w:tbl>
      <w:tblPr>
        <w:tblLayout w:type="fixed"/>
        <w:tblInd w:w="10" w:type="dxa"/>
        <w:tblCellMar>
          <w:top w:w="0" w:type="dxa"/>
          <w:left w:w="0" w:type="dxa"/>
          <w:bottom w:w="0" w:type="dxa"/>
          <w:right w:w="0" w:type="dxa"/>
        </w:tblCellMar>
      </w:tblPr>
      <w:tr>
        <w:trPr>
          <w:trHeight w:val="203"/>
        </w:trPr>
        <w:tc>
          <w:tcPr>
            <w:tcW w:w="4640" w:type="dxa"/>
            <w:vAlign w:val="bottom"/>
            <w:tcBorders>
              <w:top w:val="single" w:sz="8" w:color="auto"/>
              <w:left w:val="single" w:sz="8" w:color="auto"/>
              <w:bottom w:val="single" w:sz="8" w:color="auto"/>
              <w:right w:val="single" w:sz="8" w:color="auto"/>
            </w:tcBorders>
          </w:tcPr>
          <w:p>
            <w:pPr>
              <w:spacing w:after="0"/>
              <w:rPr>
                <w:sz w:val="17"/>
                <w:szCs w:val="17"/>
                <w:color w:val="auto"/>
              </w:rPr>
            </w:pPr>
          </w:p>
        </w:tc>
        <w:tc>
          <w:tcPr>
            <w:tcW w:w="2380" w:type="dxa"/>
            <w:vAlign w:val="bottom"/>
            <w:tcBorders>
              <w:top w:val="single" w:sz="8" w:color="auto"/>
              <w:bottom w:val="single" w:sz="8" w:color="auto"/>
            </w:tcBorders>
            <w:gridSpan w:val="2"/>
          </w:tcPr>
          <w:p>
            <w:pPr>
              <w:ind w:left="1000"/>
              <w:spacing w:after="0"/>
              <w:rPr>
                <w:sz w:val="20"/>
                <w:szCs w:val="20"/>
                <w:color w:val="auto"/>
              </w:rPr>
            </w:pPr>
            <w:r>
              <w:rPr>
                <w:rFonts w:ascii="Arial" w:cs="Arial" w:eastAsia="Arial" w:hAnsi="Arial"/>
                <w:sz w:val="17"/>
                <w:szCs w:val="17"/>
                <w:b w:val="1"/>
                <w:bCs w:val="1"/>
                <w:color w:val="auto"/>
              </w:rPr>
              <w:t>Option Awards</w:t>
            </w:r>
          </w:p>
        </w:tc>
        <w:tc>
          <w:tcPr>
            <w:tcW w:w="580" w:type="dxa"/>
            <w:vAlign w:val="bottom"/>
            <w:tcBorders>
              <w:top w:val="single" w:sz="8" w:color="auto"/>
              <w:bottom w:val="single" w:sz="8" w:color="auto"/>
            </w:tcBorders>
          </w:tcPr>
          <w:p>
            <w:pPr>
              <w:spacing w:after="0"/>
              <w:rPr>
                <w:sz w:val="17"/>
                <w:szCs w:val="17"/>
                <w:color w:val="auto"/>
              </w:rPr>
            </w:pPr>
          </w:p>
        </w:tc>
        <w:tc>
          <w:tcPr>
            <w:tcW w:w="320" w:type="dxa"/>
            <w:vAlign w:val="bottom"/>
            <w:tcBorders>
              <w:top w:val="single" w:sz="8" w:color="auto"/>
              <w:bottom w:val="single" w:sz="8" w:color="auto"/>
              <w:right w:val="single" w:sz="8" w:color="auto"/>
            </w:tcBorders>
          </w:tcPr>
          <w:p>
            <w:pPr>
              <w:spacing w:after="0"/>
              <w:rPr>
                <w:sz w:val="17"/>
                <w:szCs w:val="17"/>
                <w:color w:val="auto"/>
              </w:rPr>
            </w:pPr>
          </w:p>
        </w:tc>
        <w:tc>
          <w:tcPr>
            <w:tcW w:w="2420" w:type="dxa"/>
            <w:vAlign w:val="bottom"/>
            <w:tcBorders>
              <w:top w:val="single" w:sz="8" w:color="auto"/>
              <w:bottom w:val="single" w:sz="8" w:color="auto"/>
            </w:tcBorders>
            <w:gridSpan w:val="3"/>
          </w:tcPr>
          <w:p>
            <w:pPr>
              <w:ind w:left="1100"/>
              <w:spacing w:after="0"/>
              <w:rPr>
                <w:sz w:val="20"/>
                <w:szCs w:val="20"/>
                <w:color w:val="auto"/>
              </w:rPr>
            </w:pPr>
            <w:r>
              <w:rPr>
                <w:rFonts w:ascii="Arial" w:cs="Arial" w:eastAsia="Arial" w:hAnsi="Arial"/>
                <w:sz w:val="17"/>
                <w:szCs w:val="17"/>
                <w:b w:val="1"/>
                <w:bCs w:val="1"/>
                <w:color w:val="auto"/>
              </w:rPr>
              <w:t>Stock Awards</w:t>
            </w:r>
          </w:p>
        </w:tc>
        <w:tc>
          <w:tcPr>
            <w:tcW w:w="1100" w:type="dxa"/>
            <w:vAlign w:val="bottom"/>
            <w:tcBorders>
              <w:top w:val="single" w:sz="8" w:color="auto"/>
              <w:bottom w:val="single" w:sz="8" w:color="auto"/>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156"/>
        </w:trPr>
        <w:tc>
          <w:tcPr>
            <w:tcW w:w="4640" w:type="dxa"/>
            <w:vAlign w:val="bottom"/>
            <w:tcBorders>
              <w:left w:val="single" w:sz="8" w:color="auto"/>
              <w:right w:val="single" w:sz="8" w:color="auto"/>
            </w:tcBorders>
          </w:tcPr>
          <w:p>
            <w:pPr>
              <w:spacing w:after="0"/>
              <w:rPr>
                <w:sz w:val="13"/>
                <w:szCs w:val="13"/>
                <w:color w:val="auto"/>
              </w:rPr>
            </w:pPr>
          </w:p>
        </w:tc>
        <w:tc>
          <w:tcPr>
            <w:tcW w:w="1920" w:type="dxa"/>
            <w:vAlign w:val="bottom"/>
            <w:tcBorders>
              <w:right w:val="single" w:sz="8" w:color="auto"/>
            </w:tcBorders>
          </w:tcPr>
          <w:p>
            <w:pPr>
              <w:jc w:val="right"/>
              <w:ind w:right="175"/>
              <w:spacing w:after="0" w:line="157" w:lineRule="exact"/>
              <w:rPr>
                <w:sz w:val="20"/>
                <w:szCs w:val="20"/>
                <w:color w:val="auto"/>
              </w:rPr>
            </w:pPr>
            <w:r>
              <w:rPr>
                <w:rFonts w:ascii="Arial" w:cs="Arial" w:eastAsia="Arial" w:hAnsi="Arial"/>
                <w:sz w:val="17"/>
                <w:szCs w:val="17"/>
                <w:b w:val="1"/>
                <w:bCs w:val="1"/>
                <w:color w:val="auto"/>
              </w:rPr>
              <w:t>Number of Shares</w:t>
            </w:r>
          </w:p>
        </w:tc>
        <w:tc>
          <w:tcPr>
            <w:tcW w:w="1360" w:type="dxa"/>
            <w:vAlign w:val="bottom"/>
            <w:tcBorders>
              <w:right w:val="single" w:sz="8" w:color="auto"/>
            </w:tcBorders>
            <w:gridSpan w:val="3"/>
          </w:tcPr>
          <w:p>
            <w:pPr>
              <w:ind w:left="60"/>
              <w:spacing w:after="0" w:line="157" w:lineRule="exact"/>
              <w:rPr>
                <w:sz w:val="20"/>
                <w:szCs w:val="20"/>
                <w:color w:val="auto"/>
              </w:rPr>
            </w:pPr>
            <w:r>
              <w:rPr>
                <w:rFonts w:ascii="Arial" w:cs="Arial" w:eastAsia="Arial" w:hAnsi="Arial"/>
                <w:sz w:val="17"/>
                <w:szCs w:val="17"/>
                <w:b w:val="1"/>
                <w:bCs w:val="1"/>
                <w:color w:val="auto"/>
              </w:rPr>
              <w:t>Value Realized</w:t>
            </w:r>
          </w:p>
        </w:tc>
        <w:tc>
          <w:tcPr>
            <w:tcW w:w="1720" w:type="dxa"/>
            <w:vAlign w:val="bottom"/>
          </w:tcPr>
          <w:p>
            <w:pPr>
              <w:jc w:val="right"/>
              <w:spacing w:after="0" w:line="157" w:lineRule="exact"/>
              <w:rPr>
                <w:sz w:val="20"/>
                <w:szCs w:val="20"/>
                <w:color w:val="auto"/>
              </w:rPr>
            </w:pPr>
            <w:r>
              <w:rPr>
                <w:rFonts w:ascii="Arial" w:cs="Arial" w:eastAsia="Arial" w:hAnsi="Arial"/>
                <w:sz w:val="17"/>
                <w:szCs w:val="17"/>
                <w:b w:val="1"/>
                <w:bCs w:val="1"/>
                <w:color w:val="auto"/>
              </w:rPr>
              <w:t>Number of Shares</w:t>
            </w:r>
          </w:p>
        </w:tc>
        <w:tc>
          <w:tcPr>
            <w:tcW w:w="300" w:type="dxa"/>
            <w:vAlign w:val="bottom"/>
            <w:tcBorders>
              <w:right w:val="single" w:sz="8" w:color="auto"/>
            </w:tcBorders>
          </w:tcPr>
          <w:p>
            <w:pPr>
              <w:spacing w:after="0"/>
              <w:rPr>
                <w:sz w:val="13"/>
                <w:szCs w:val="13"/>
                <w:color w:val="auto"/>
              </w:rPr>
            </w:pPr>
          </w:p>
        </w:tc>
        <w:tc>
          <w:tcPr>
            <w:tcW w:w="1500" w:type="dxa"/>
            <w:vAlign w:val="bottom"/>
            <w:tcBorders>
              <w:right w:val="single" w:sz="8" w:color="auto"/>
            </w:tcBorders>
            <w:gridSpan w:val="2"/>
          </w:tcPr>
          <w:p>
            <w:pPr>
              <w:ind w:left="40"/>
              <w:spacing w:after="0" w:line="157" w:lineRule="exact"/>
              <w:rPr>
                <w:sz w:val="20"/>
                <w:szCs w:val="20"/>
                <w:color w:val="auto"/>
              </w:rPr>
            </w:pPr>
            <w:r>
              <w:rPr>
                <w:rFonts w:ascii="Arial" w:cs="Arial" w:eastAsia="Arial" w:hAnsi="Arial"/>
                <w:sz w:val="17"/>
                <w:szCs w:val="17"/>
                <w:b w:val="1"/>
                <w:bCs w:val="1"/>
                <w:color w:val="auto"/>
              </w:rPr>
              <w:t>Value Realized</w:t>
            </w:r>
          </w:p>
        </w:tc>
        <w:tc>
          <w:tcPr>
            <w:tcW w:w="0" w:type="dxa"/>
            <w:vAlign w:val="bottom"/>
          </w:tcPr>
          <w:p>
            <w:pPr>
              <w:spacing w:after="0"/>
              <w:rPr>
                <w:sz w:val="1"/>
                <w:szCs w:val="1"/>
                <w:color w:val="auto"/>
              </w:rPr>
            </w:pPr>
          </w:p>
        </w:tc>
      </w:tr>
      <w:tr>
        <w:trPr>
          <w:trHeight w:val="161"/>
        </w:trPr>
        <w:tc>
          <w:tcPr>
            <w:tcW w:w="4640" w:type="dxa"/>
            <w:vAlign w:val="bottom"/>
            <w:tcBorders>
              <w:left w:val="single" w:sz="8" w:color="auto"/>
              <w:right w:val="single" w:sz="8" w:color="auto"/>
            </w:tcBorders>
            <w:vMerge w:val="restart"/>
          </w:tcPr>
          <w:p>
            <w:pPr>
              <w:ind w:left="160"/>
              <w:spacing w:after="0"/>
              <w:rPr>
                <w:sz w:val="20"/>
                <w:szCs w:val="20"/>
                <w:color w:val="auto"/>
              </w:rPr>
            </w:pPr>
            <w:r>
              <w:rPr>
                <w:rFonts w:ascii="Arial" w:cs="Arial" w:eastAsia="Arial" w:hAnsi="Arial"/>
                <w:sz w:val="17"/>
                <w:szCs w:val="17"/>
                <w:b w:val="1"/>
                <w:bCs w:val="1"/>
                <w:color w:val="auto"/>
              </w:rPr>
              <w:t>Name</w:t>
            </w:r>
          </w:p>
        </w:tc>
        <w:tc>
          <w:tcPr>
            <w:tcW w:w="1920" w:type="dxa"/>
            <w:vAlign w:val="bottom"/>
            <w:tcBorders>
              <w:right w:val="single" w:sz="8" w:color="auto"/>
            </w:tcBorders>
            <w:vMerge w:val="restart"/>
          </w:tcPr>
          <w:p>
            <w:pPr>
              <w:jc w:val="right"/>
              <w:ind w:right="35"/>
              <w:spacing w:after="0"/>
              <w:rPr>
                <w:sz w:val="20"/>
                <w:szCs w:val="20"/>
                <w:color w:val="auto"/>
              </w:rPr>
            </w:pPr>
            <w:r>
              <w:rPr>
                <w:rFonts w:ascii="Arial" w:cs="Arial" w:eastAsia="Arial" w:hAnsi="Arial"/>
                <w:sz w:val="17"/>
                <w:szCs w:val="17"/>
                <w:b w:val="1"/>
                <w:bCs w:val="1"/>
                <w:color w:val="auto"/>
              </w:rPr>
              <w:t>Acquired on Exercise</w:t>
            </w:r>
          </w:p>
        </w:tc>
        <w:tc>
          <w:tcPr>
            <w:tcW w:w="1040" w:type="dxa"/>
            <w:vAlign w:val="bottom"/>
            <w:gridSpan w:val="2"/>
            <w:vMerge w:val="restart"/>
          </w:tcPr>
          <w:p>
            <w:pPr>
              <w:ind w:left="80"/>
              <w:spacing w:after="0"/>
              <w:rPr>
                <w:sz w:val="20"/>
                <w:szCs w:val="20"/>
                <w:color w:val="auto"/>
              </w:rPr>
            </w:pPr>
            <w:r>
              <w:rPr>
                <w:rFonts w:ascii="Arial" w:cs="Arial" w:eastAsia="Arial" w:hAnsi="Arial"/>
                <w:sz w:val="17"/>
                <w:szCs w:val="17"/>
                <w:b w:val="1"/>
                <w:bCs w:val="1"/>
                <w:color w:val="auto"/>
                <w:w w:val="98"/>
              </w:rPr>
              <w:t>on Exercise</w:t>
            </w:r>
          </w:p>
        </w:tc>
        <w:tc>
          <w:tcPr>
            <w:tcW w:w="320" w:type="dxa"/>
            <w:vAlign w:val="bottom"/>
            <w:tcBorders>
              <w:right w:val="single" w:sz="8" w:color="auto"/>
            </w:tcBorders>
          </w:tcPr>
          <w:p>
            <w:pPr>
              <w:jc w:val="right"/>
              <w:ind w:right="58"/>
              <w:spacing w:after="0" w:line="161" w:lineRule="exact"/>
              <w:rPr>
                <w:sz w:val="20"/>
                <w:szCs w:val="20"/>
                <w:color w:val="auto"/>
              </w:rPr>
            </w:pPr>
            <w:r>
              <w:rPr>
                <w:rFonts w:ascii="Arial" w:cs="Arial" w:eastAsia="Arial" w:hAnsi="Arial"/>
                <w:sz w:val="15"/>
                <w:szCs w:val="15"/>
                <w:b w:val="1"/>
                <w:bCs w:val="1"/>
                <w:color w:val="auto"/>
                <w:w w:val="87"/>
              </w:rPr>
              <w:t>(1)</w:t>
            </w:r>
          </w:p>
        </w:tc>
        <w:tc>
          <w:tcPr>
            <w:tcW w:w="1720" w:type="dxa"/>
            <w:vAlign w:val="bottom"/>
            <w:vMerge w:val="restart"/>
          </w:tcPr>
          <w:p>
            <w:pPr>
              <w:jc w:val="right"/>
              <w:spacing w:after="0"/>
              <w:rPr>
                <w:sz w:val="20"/>
                <w:szCs w:val="20"/>
                <w:color w:val="auto"/>
              </w:rPr>
            </w:pPr>
            <w:r>
              <w:rPr>
                <w:rFonts w:ascii="Arial" w:cs="Arial" w:eastAsia="Arial" w:hAnsi="Arial"/>
                <w:sz w:val="17"/>
                <w:szCs w:val="17"/>
                <w:b w:val="1"/>
                <w:bCs w:val="1"/>
                <w:color w:val="auto"/>
              </w:rPr>
              <w:t>Acquired on Vesting</w:t>
            </w:r>
          </w:p>
        </w:tc>
        <w:tc>
          <w:tcPr>
            <w:tcW w:w="300" w:type="dxa"/>
            <w:vAlign w:val="bottom"/>
            <w:tcBorders>
              <w:right w:val="single" w:sz="8" w:color="auto"/>
            </w:tcBorders>
          </w:tcPr>
          <w:p>
            <w:pPr>
              <w:jc w:val="right"/>
              <w:ind w:right="61"/>
              <w:spacing w:after="0" w:line="161" w:lineRule="exact"/>
              <w:rPr>
                <w:sz w:val="20"/>
                <w:szCs w:val="20"/>
                <w:color w:val="auto"/>
              </w:rPr>
            </w:pPr>
            <w:r>
              <w:rPr>
                <w:rFonts w:ascii="Arial" w:cs="Arial" w:eastAsia="Arial" w:hAnsi="Arial"/>
                <w:sz w:val="15"/>
                <w:szCs w:val="15"/>
                <w:b w:val="1"/>
                <w:bCs w:val="1"/>
                <w:color w:val="auto"/>
                <w:w w:val="76"/>
              </w:rPr>
              <w:t>(2)</w:t>
            </w:r>
          </w:p>
        </w:tc>
        <w:tc>
          <w:tcPr>
            <w:tcW w:w="400" w:type="dxa"/>
            <w:vAlign w:val="bottom"/>
          </w:tcPr>
          <w:p>
            <w:pPr>
              <w:spacing w:after="0"/>
              <w:rPr>
                <w:sz w:val="14"/>
                <w:szCs w:val="14"/>
                <w:color w:val="auto"/>
              </w:rPr>
            </w:pPr>
          </w:p>
        </w:tc>
        <w:tc>
          <w:tcPr>
            <w:tcW w:w="1100" w:type="dxa"/>
            <w:vAlign w:val="bottom"/>
            <w:tcBorders>
              <w:right w:val="single" w:sz="8" w:color="auto"/>
            </w:tcBorders>
          </w:tcPr>
          <w:p>
            <w:pPr>
              <w:jc w:val="right"/>
              <w:ind w:right="257"/>
              <w:spacing w:after="0" w:line="161" w:lineRule="exact"/>
              <w:rPr>
                <w:sz w:val="20"/>
                <w:szCs w:val="20"/>
                <w:color w:val="auto"/>
              </w:rPr>
            </w:pPr>
            <w:r>
              <w:rPr>
                <w:rFonts w:ascii="Arial" w:cs="Arial" w:eastAsia="Arial" w:hAnsi="Arial"/>
                <w:sz w:val="15"/>
                <w:szCs w:val="15"/>
                <w:b w:val="1"/>
                <w:bCs w:val="1"/>
                <w:color w:val="auto"/>
              </w:rPr>
              <w:t>(3)</w:t>
            </w:r>
          </w:p>
        </w:tc>
        <w:tc>
          <w:tcPr>
            <w:tcW w:w="0" w:type="dxa"/>
            <w:vAlign w:val="bottom"/>
          </w:tcPr>
          <w:p>
            <w:pPr>
              <w:spacing w:after="0"/>
              <w:rPr>
                <w:sz w:val="1"/>
                <w:szCs w:val="1"/>
                <w:color w:val="auto"/>
              </w:rPr>
            </w:pPr>
          </w:p>
        </w:tc>
      </w:tr>
      <w:tr>
        <w:trPr>
          <w:trHeight w:val="68"/>
        </w:trPr>
        <w:tc>
          <w:tcPr>
            <w:tcW w:w="4640" w:type="dxa"/>
            <w:vAlign w:val="bottom"/>
            <w:tcBorders>
              <w:left w:val="single" w:sz="8" w:color="auto"/>
              <w:bottom w:val="single" w:sz="8" w:color="auto"/>
              <w:right w:val="single" w:sz="8" w:color="auto"/>
            </w:tcBorders>
            <w:vMerge w:val="continue"/>
          </w:tcPr>
          <w:p>
            <w:pPr>
              <w:spacing w:after="0"/>
              <w:rPr>
                <w:sz w:val="5"/>
                <w:szCs w:val="5"/>
                <w:color w:val="auto"/>
              </w:rPr>
            </w:pPr>
          </w:p>
        </w:tc>
        <w:tc>
          <w:tcPr>
            <w:tcW w:w="1920" w:type="dxa"/>
            <w:vAlign w:val="bottom"/>
            <w:tcBorders>
              <w:bottom w:val="single" w:sz="8" w:color="auto"/>
              <w:right w:val="single" w:sz="8" w:color="auto"/>
            </w:tcBorders>
            <w:vMerge w:val="continue"/>
          </w:tcPr>
          <w:p>
            <w:pPr>
              <w:spacing w:after="0"/>
              <w:rPr>
                <w:sz w:val="5"/>
                <w:szCs w:val="5"/>
                <w:color w:val="auto"/>
              </w:rPr>
            </w:pPr>
          </w:p>
        </w:tc>
        <w:tc>
          <w:tcPr>
            <w:tcW w:w="1040" w:type="dxa"/>
            <w:vAlign w:val="bottom"/>
            <w:tcBorders>
              <w:bottom w:val="single" w:sz="8" w:color="auto"/>
            </w:tcBorders>
            <w:gridSpan w:val="2"/>
            <w:vMerge w:val="continue"/>
          </w:tcPr>
          <w:p>
            <w:pPr>
              <w:spacing w:after="0"/>
              <w:rPr>
                <w:sz w:val="5"/>
                <w:szCs w:val="5"/>
                <w:color w:val="auto"/>
              </w:rPr>
            </w:pPr>
          </w:p>
        </w:tc>
        <w:tc>
          <w:tcPr>
            <w:tcW w:w="320" w:type="dxa"/>
            <w:vAlign w:val="bottom"/>
            <w:tcBorders>
              <w:bottom w:val="single" w:sz="8" w:color="auto"/>
              <w:right w:val="single" w:sz="8" w:color="auto"/>
            </w:tcBorders>
          </w:tcPr>
          <w:p>
            <w:pPr>
              <w:spacing w:after="0"/>
              <w:rPr>
                <w:sz w:val="5"/>
                <w:szCs w:val="5"/>
                <w:color w:val="auto"/>
              </w:rPr>
            </w:pPr>
          </w:p>
        </w:tc>
        <w:tc>
          <w:tcPr>
            <w:tcW w:w="1720" w:type="dxa"/>
            <w:vAlign w:val="bottom"/>
            <w:tcBorders>
              <w:bottom w:val="single" w:sz="8" w:color="auto"/>
            </w:tcBorders>
            <w:vMerge w:val="continue"/>
          </w:tcPr>
          <w:p>
            <w:pPr>
              <w:spacing w:after="0"/>
              <w:rPr>
                <w:sz w:val="5"/>
                <w:szCs w:val="5"/>
                <w:color w:val="auto"/>
              </w:rPr>
            </w:pPr>
          </w:p>
        </w:tc>
        <w:tc>
          <w:tcPr>
            <w:tcW w:w="300" w:type="dxa"/>
            <w:vAlign w:val="bottom"/>
            <w:tcBorders>
              <w:bottom w:val="single" w:sz="8" w:color="auto"/>
              <w:right w:val="single" w:sz="8" w:color="auto"/>
            </w:tcBorders>
          </w:tcPr>
          <w:p>
            <w:pPr>
              <w:spacing w:after="0"/>
              <w:rPr>
                <w:sz w:val="5"/>
                <w:szCs w:val="5"/>
                <w:color w:val="auto"/>
              </w:rPr>
            </w:pPr>
          </w:p>
        </w:tc>
        <w:tc>
          <w:tcPr>
            <w:tcW w:w="1500" w:type="dxa"/>
            <w:vAlign w:val="bottom"/>
            <w:tcBorders>
              <w:bottom w:val="single" w:sz="8" w:color="auto"/>
              <w:right w:val="single" w:sz="8" w:color="auto"/>
            </w:tcBorders>
            <w:gridSpan w:val="2"/>
          </w:tcPr>
          <w:p>
            <w:pPr>
              <w:ind w:left="120"/>
              <w:spacing w:after="0" w:line="68" w:lineRule="exact"/>
              <w:rPr>
                <w:sz w:val="20"/>
                <w:szCs w:val="20"/>
                <w:color w:val="auto"/>
              </w:rPr>
            </w:pPr>
            <w:r>
              <w:rPr>
                <w:rFonts w:ascii="Arial" w:cs="Arial" w:eastAsia="Arial" w:hAnsi="Arial"/>
                <w:sz w:val="7"/>
                <w:szCs w:val="7"/>
                <w:b w:val="1"/>
                <w:bCs w:val="1"/>
                <w:color w:val="auto"/>
              </w:rPr>
              <w:t>on Vesting</w:t>
            </w:r>
          </w:p>
        </w:tc>
        <w:tc>
          <w:tcPr>
            <w:tcW w:w="0" w:type="dxa"/>
            <w:vAlign w:val="bottom"/>
          </w:tcPr>
          <w:p>
            <w:pPr>
              <w:spacing w:after="0"/>
              <w:rPr>
                <w:sz w:val="1"/>
                <w:szCs w:val="1"/>
                <w:color w:val="auto"/>
              </w:rPr>
            </w:pPr>
          </w:p>
        </w:tc>
      </w:tr>
      <w:tr>
        <w:trPr>
          <w:trHeight w:val="183"/>
        </w:trPr>
        <w:tc>
          <w:tcPr>
            <w:tcW w:w="4640" w:type="dxa"/>
            <w:vAlign w:val="bottom"/>
            <w:tcBorders>
              <w:left w:val="single" w:sz="8" w:color="auto"/>
              <w:bottom w:val="single" w:sz="8" w:color="auto"/>
              <w:right w:val="single" w:sz="8" w:color="auto"/>
            </w:tcBorders>
            <w:shd w:val="clear" w:color="auto" w:fill="CCEEFF"/>
          </w:tcPr>
          <w:p>
            <w:pPr>
              <w:ind w:left="160"/>
              <w:spacing w:after="0" w:line="183" w:lineRule="exact"/>
              <w:rPr>
                <w:sz w:val="20"/>
                <w:szCs w:val="20"/>
                <w:color w:val="auto"/>
              </w:rPr>
            </w:pPr>
            <w:r>
              <w:rPr>
                <w:rFonts w:ascii="Arial" w:cs="Arial" w:eastAsia="Arial" w:hAnsi="Arial"/>
                <w:sz w:val="17"/>
                <w:szCs w:val="17"/>
                <w:color w:val="auto"/>
              </w:rPr>
              <w:t>Ward J. Timken, Jr.</w:t>
            </w:r>
          </w:p>
        </w:tc>
        <w:tc>
          <w:tcPr>
            <w:tcW w:w="1920" w:type="dxa"/>
            <w:vAlign w:val="bottom"/>
            <w:tcBorders>
              <w:bottom w:val="single" w:sz="8" w:color="auto"/>
              <w:right w:val="single" w:sz="8" w:color="auto"/>
            </w:tcBorders>
            <w:shd w:val="clear" w:color="auto" w:fill="CCEEFF"/>
          </w:tcPr>
          <w:p>
            <w:pPr>
              <w:jc w:val="right"/>
              <w:ind w:right="35"/>
              <w:spacing w:after="0" w:line="183" w:lineRule="exact"/>
              <w:rPr>
                <w:sz w:val="20"/>
                <w:szCs w:val="20"/>
                <w:color w:val="auto"/>
              </w:rPr>
            </w:pPr>
            <w:r>
              <w:rPr>
                <w:rFonts w:ascii="Arial" w:cs="Arial" w:eastAsia="Arial" w:hAnsi="Arial"/>
                <w:sz w:val="17"/>
                <w:szCs w:val="17"/>
                <w:color w:val="auto"/>
              </w:rPr>
              <w:t>57,000</w:t>
            </w:r>
          </w:p>
        </w:tc>
        <w:tc>
          <w:tcPr>
            <w:tcW w:w="460" w:type="dxa"/>
            <w:vAlign w:val="bottom"/>
            <w:tcBorders>
              <w:bottom w:val="single" w:sz="8" w:color="auto"/>
            </w:tcBorders>
            <w:shd w:val="clear" w:color="auto" w:fill="CCEEFF"/>
          </w:tcPr>
          <w:p>
            <w:pPr>
              <w:ind w:left="60"/>
              <w:spacing w:after="0" w:line="183" w:lineRule="exact"/>
              <w:rPr>
                <w:sz w:val="20"/>
                <w:szCs w:val="20"/>
                <w:color w:val="auto"/>
              </w:rPr>
            </w:pPr>
            <w:r>
              <w:rPr>
                <w:rFonts w:ascii="Arial" w:cs="Arial" w:eastAsia="Arial" w:hAnsi="Arial"/>
                <w:sz w:val="17"/>
                <w:szCs w:val="17"/>
                <w:color w:val="auto"/>
              </w:rPr>
              <w:t>$</w:t>
            </w:r>
          </w:p>
        </w:tc>
        <w:tc>
          <w:tcPr>
            <w:tcW w:w="900" w:type="dxa"/>
            <w:vAlign w:val="bottom"/>
            <w:tcBorders>
              <w:bottom w:val="single" w:sz="8" w:color="auto"/>
              <w:right w:val="single" w:sz="8" w:color="auto"/>
            </w:tcBorders>
            <w:gridSpan w:val="2"/>
            <w:shd w:val="clear" w:color="auto" w:fill="CCEEFF"/>
          </w:tcPr>
          <w:p>
            <w:pPr>
              <w:jc w:val="right"/>
              <w:ind w:right="38"/>
              <w:spacing w:after="0" w:line="183" w:lineRule="exact"/>
              <w:rPr>
                <w:sz w:val="20"/>
                <w:szCs w:val="20"/>
                <w:color w:val="auto"/>
              </w:rPr>
            </w:pPr>
            <w:r>
              <w:rPr>
                <w:rFonts w:ascii="Arial" w:cs="Arial" w:eastAsia="Arial" w:hAnsi="Arial"/>
                <w:sz w:val="17"/>
                <w:szCs w:val="17"/>
                <w:color w:val="auto"/>
              </w:rPr>
              <w:t>676,590</w:t>
            </w:r>
          </w:p>
        </w:tc>
        <w:tc>
          <w:tcPr>
            <w:tcW w:w="2020" w:type="dxa"/>
            <w:vAlign w:val="bottom"/>
            <w:tcBorders>
              <w:bottom w:val="single" w:sz="8" w:color="auto"/>
              <w:right w:val="single" w:sz="8" w:color="auto"/>
            </w:tcBorders>
            <w:gridSpan w:val="2"/>
            <w:shd w:val="clear" w:color="auto" w:fill="CCEEFF"/>
          </w:tcPr>
          <w:p>
            <w:pPr>
              <w:jc w:val="right"/>
              <w:ind w:right="41"/>
              <w:spacing w:after="0" w:line="183" w:lineRule="exact"/>
              <w:rPr>
                <w:sz w:val="20"/>
                <w:szCs w:val="20"/>
                <w:color w:val="auto"/>
              </w:rPr>
            </w:pPr>
            <w:r>
              <w:rPr>
                <w:rFonts w:ascii="Arial" w:cs="Arial" w:eastAsia="Arial" w:hAnsi="Arial"/>
                <w:sz w:val="17"/>
                <w:szCs w:val="17"/>
                <w:color w:val="auto"/>
              </w:rPr>
              <w:t>11,409</w:t>
            </w:r>
          </w:p>
        </w:tc>
        <w:tc>
          <w:tcPr>
            <w:tcW w:w="400" w:type="dxa"/>
            <w:vAlign w:val="bottom"/>
            <w:tcBorders>
              <w:bottom w:val="single" w:sz="8" w:color="auto"/>
            </w:tcBorders>
            <w:shd w:val="clear" w:color="auto" w:fill="CCEEFF"/>
          </w:tcPr>
          <w:p>
            <w:pPr>
              <w:ind w:left="40"/>
              <w:spacing w:after="0" w:line="183" w:lineRule="exact"/>
              <w:rPr>
                <w:sz w:val="20"/>
                <w:szCs w:val="20"/>
                <w:color w:val="auto"/>
              </w:rPr>
            </w:pPr>
            <w:r>
              <w:rPr>
                <w:rFonts w:ascii="Arial" w:cs="Arial" w:eastAsia="Arial" w:hAnsi="Arial"/>
                <w:sz w:val="17"/>
                <w:szCs w:val="17"/>
                <w:color w:val="auto"/>
              </w:rPr>
              <w:t>$</w:t>
            </w:r>
          </w:p>
        </w:tc>
        <w:tc>
          <w:tcPr>
            <w:tcW w:w="1100" w:type="dxa"/>
            <w:vAlign w:val="bottom"/>
            <w:tcBorders>
              <w:bottom w:val="single" w:sz="8" w:color="auto"/>
              <w:right w:val="single" w:sz="8" w:color="auto"/>
            </w:tcBorders>
            <w:shd w:val="clear" w:color="auto" w:fill="CCEEFF"/>
          </w:tcPr>
          <w:p>
            <w:pPr>
              <w:jc w:val="right"/>
              <w:ind w:right="177"/>
              <w:spacing w:after="0" w:line="183" w:lineRule="exact"/>
              <w:rPr>
                <w:sz w:val="20"/>
                <w:szCs w:val="20"/>
                <w:color w:val="auto"/>
              </w:rPr>
            </w:pPr>
            <w:r>
              <w:rPr>
                <w:rFonts w:ascii="Arial" w:cs="Arial" w:eastAsia="Arial" w:hAnsi="Arial"/>
                <w:sz w:val="17"/>
                <w:szCs w:val="17"/>
                <w:color w:val="auto"/>
              </w:rPr>
              <w:t>682,823</w:t>
            </w:r>
          </w:p>
        </w:tc>
        <w:tc>
          <w:tcPr>
            <w:tcW w:w="0" w:type="dxa"/>
            <w:vAlign w:val="bottom"/>
          </w:tcPr>
          <w:p>
            <w:pPr>
              <w:spacing w:after="0"/>
              <w:rPr>
                <w:sz w:val="1"/>
                <w:szCs w:val="1"/>
                <w:color w:val="auto"/>
              </w:rPr>
            </w:pPr>
          </w:p>
        </w:tc>
      </w:tr>
      <w:tr>
        <w:trPr>
          <w:trHeight w:val="183"/>
        </w:trPr>
        <w:tc>
          <w:tcPr>
            <w:tcW w:w="4640" w:type="dxa"/>
            <w:vAlign w:val="bottom"/>
            <w:tcBorders>
              <w:left w:val="single" w:sz="8" w:color="auto"/>
              <w:bottom w:val="single" w:sz="8" w:color="auto"/>
              <w:right w:val="single" w:sz="8" w:color="auto"/>
            </w:tcBorders>
          </w:tcPr>
          <w:p>
            <w:pPr>
              <w:ind w:left="160"/>
              <w:spacing w:after="0" w:line="183" w:lineRule="exact"/>
              <w:rPr>
                <w:sz w:val="20"/>
                <w:szCs w:val="20"/>
                <w:color w:val="auto"/>
              </w:rPr>
            </w:pPr>
            <w:r>
              <w:rPr>
                <w:rFonts w:ascii="Arial" w:cs="Arial" w:eastAsia="Arial" w:hAnsi="Arial"/>
                <w:sz w:val="17"/>
                <w:szCs w:val="17"/>
                <w:color w:val="auto"/>
              </w:rPr>
              <w:t>Christopher J. Holding</w:t>
            </w:r>
          </w:p>
        </w:tc>
        <w:tc>
          <w:tcPr>
            <w:tcW w:w="1920" w:type="dxa"/>
            <w:vAlign w:val="bottom"/>
            <w:tcBorders>
              <w:bottom w:val="single" w:sz="8" w:color="auto"/>
              <w:right w:val="single" w:sz="8" w:color="auto"/>
            </w:tcBorders>
          </w:tcPr>
          <w:p>
            <w:pPr>
              <w:jc w:val="right"/>
              <w:ind w:right="35"/>
              <w:spacing w:after="0" w:line="183" w:lineRule="exact"/>
              <w:rPr>
                <w:sz w:val="20"/>
                <w:szCs w:val="20"/>
                <w:color w:val="auto"/>
              </w:rPr>
            </w:pPr>
            <w:r>
              <w:rPr>
                <w:rFonts w:ascii="Arial" w:cs="Arial" w:eastAsia="Arial" w:hAnsi="Arial"/>
                <w:sz w:val="17"/>
                <w:szCs w:val="17"/>
                <w:color w:val="auto"/>
              </w:rPr>
              <w:t>0</w:t>
            </w:r>
          </w:p>
        </w:tc>
        <w:tc>
          <w:tcPr>
            <w:tcW w:w="460" w:type="dxa"/>
            <w:vAlign w:val="bottom"/>
            <w:tcBorders>
              <w:bottom w:val="single" w:sz="8" w:color="auto"/>
            </w:tcBorders>
          </w:tcPr>
          <w:p>
            <w:pPr>
              <w:ind w:left="60"/>
              <w:spacing w:after="0" w:line="183" w:lineRule="exact"/>
              <w:rPr>
                <w:sz w:val="20"/>
                <w:szCs w:val="20"/>
                <w:color w:val="auto"/>
              </w:rPr>
            </w:pPr>
            <w:r>
              <w:rPr>
                <w:rFonts w:ascii="Arial" w:cs="Arial" w:eastAsia="Arial" w:hAnsi="Arial"/>
                <w:sz w:val="17"/>
                <w:szCs w:val="17"/>
                <w:color w:val="auto"/>
              </w:rPr>
              <w:t>$</w:t>
            </w:r>
          </w:p>
        </w:tc>
        <w:tc>
          <w:tcPr>
            <w:tcW w:w="580" w:type="dxa"/>
            <w:vAlign w:val="bottom"/>
            <w:tcBorders>
              <w:bottom w:val="single" w:sz="8" w:color="auto"/>
            </w:tcBorders>
          </w:tcPr>
          <w:p>
            <w:pPr>
              <w:spacing w:after="0"/>
              <w:rPr>
                <w:sz w:val="15"/>
                <w:szCs w:val="15"/>
                <w:color w:val="auto"/>
              </w:rPr>
            </w:pPr>
          </w:p>
        </w:tc>
        <w:tc>
          <w:tcPr>
            <w:tcW w:w="320" w:type="dxa"/>
            <w:vAlign w:val="bottom"/>
            <w:tcBorders>
              <w:bottom w:val="single" w:sz="8" w:color="auto"/>
              <w:right w:val="single" w:sz="8" w:color="auto"/>
            </w:tcBorders>
          </w:tcPr>
          <w:p>
            <w:pPr>
              <w:jc w:val="right"/>
              <w:ind w:right="38"/>
              <w:spacing w:after="0" w:line="183" w:lineRule="exact"/>
              <w:rPr>
                <w:sz w:val="20"/>
                <w:szCs w:val="20"/>
                <w:color w:val="auto"/>
              </w:rPr>
            </w:pPr>
            <w:r>
              <w:rPr>
                <w:rFonts w:ascii="Arial" w:cs="Arial" w:eastAsia="Arial" w:hAnsi="Arial"/>
                <w:sz w:val="17"/>
                <w:szCs w:val="17"/>
                <w:color w:val="auto"/>
              </w:rPr>
              <w:t>0</w:t>
            </w:r>
          </w:p>
        </w:tc>
        <w:tc>
          <w:tcPr>
            <w:tcW w:w="2020" w:type="dxa"/>
            <w:vAlign w:val="bottom"/>
            <w:tcBorders>
              <w:bottom w:val="single" w:sz="8" w:color="auto"/>
              <w:right w:val="single" w:sz="8" w:color="auto"/>
            </w:tcBorders>
            <w:gridSpan w:val="2"/>
          </w:tcPr>
          <w:p>
            <w:pPr>
              <w:jc w:val="right"/>
              <w:ind w:right="41"/>
              <w:spacing w:after="0" w:line="183" w:lineRule="exact"/>
              <w:rPr>
                <w:sz w:val="20"/>
                <w:szCs w:val="20"/>
                <w:color w:val="auto"/>
              </w:rPr>
            </w:pPr>
            <w:r>
              <w:rPr>
                <w:rFonts w:ascii="Arial" w:cs="Arial" w:eastAsia="Arial" w:hAnsi="Arial"/>
                <w:sz w:val="17"/>
                <w:szCs w:val="17"/>
                <w:color w:val="auto"/>
              </w:rPr>
              <w:t>897</w:t>
            </w:r>
          </w:p>
        </w:tc>
        <w:tc>
          <w:tcPr>
            <w:tcW w:w="400" w:type="dxa"/>
            <w:vAlign w:val="bottom"/>
            <w:tcBorders>
              <w:bottom w:val="single" w:sz="8" w:color="auto"/>
            </w:tcBorders>
          </w:tcPr>
          <w:p>
            <w:pPr>
              <w:ind w:left="40"/>
              <w:spacing w:after="0" w:line="183" w:lineRule="exact"/>
              <w:rPr>
                <w:sz w:val="20"/>
                <w:szCs w:val="20"/>
                <w:color w:val="auto"/>
              </w:rPr>
            </w:pPr>
            <w:r>
              <w:rPr>
                <w:rFonts w:ascii="Arial" w:cs="Arial" w:eastAsia="Arial" w:hAnsi="Arial"/>
                <w:sz w:val="17"/>
                <w:szCs w:val="17"/>
                <w:color w:val="auto"/>
              </w:rPr>
              <w:t>$</w:t>
            </w:r>
          </w:p>
        </w:tc>
        <w:tc>
          <w:tcPr>
            <w:tcW w:w="1100" w:type="dxa"/>
            <w:vAlign w:val="bottom"/>
            <w:tcBorders>
              <w:bottom w:val="single" w:sz="8" w:color="auto"/>
              <w:right w:val="single" w:sz="8" w:color="auto"/>
            </w:tcBorders>
          </w:tcPr>
          <w:p>
            <w:pPr>
              <w:jc w:val="right"/>
              <w:ind w:right="177"/>
              <w:spacing w:after="0" w:line="183" w:lineRule="exact"/>
              <w:rPr>
                <w:sz w:val="20"/>
                <w:szCs w:val="20"/>
                <w:color w:val="auto"/>
              </w:rPr>
            </w:pPr>
            <w:r>
              <w:rPr>
                <w:rFonts w:ascii="Arial" w:cs="Arial" w:eastAsia="Arial" w:hAnsi="Arial"/>
                <w:sz w:val="17"/>
                <w:szCs w:val="17"/>
                <w:color w:val="auto"/>
              </w:rPr>
              <w:t>56,131</w:t>
            </w:r>
          </w:p>
        </w:tc>
        <w:tc>
          <w:tcPr>
            <w:tcW w:w="0" w:type="dxa"/>
            <w:vAlign w:val="bottom"/>
          </w:tcPr>
          <w:p>
            <w:pPr>
              <w:spacing w:after="0"/>
              <w:rPr>
                <w:sz w:val="1"/>
                <w:szCs w:val="1"/>
                <w:color w:val="auto"/>
              </w:rPr>
            </w:pPr>
          </w:p>
        </w:tc>
      </w:tr>
      <w:tr>
        <w:trPr>
          <w:trHeight w:val="183"/>
        </w:trPr>
        <w:tc>
          <w:tcPr>
            <w:tcW w:w="4640" w:type="dxa"/>
            <w:vAlign w:val="bottom"/>
            <w:tcBorders>
              <w:left w:val="single" w:sz="8" w:color="auto"/>
              <w:bottom w:val="single" w:sz="8" w:color="auto"/>
              <w:right w:val="single" w:sz="8" w:color="auto"/>
            </w:tcBorders>
            <w:shd w:val="clear" w:color="auto" w:fill="CCEEFF"/>
          </w:tcPr>
          <w:p>
            <w:pPr>
              <w:ind w:left="160"/>
              <w:spacing w:after="0" w:line="183" w:lineRule="exact"/>
              <w:rPr>
                <w:sz w:val="20"/>
                <w:szCs w:val="20"/>
                <w:color w:val="auto"/>
              </w:rPr>
            </w:pPr>
            <w:r>
              <w:rPr>
                <w:rFonts w:ascii="Arial" w:cs="Arial" w:eastAsia="Arial" w:hAnsi="Arial"/>
                <w:sz w:val="17"/>
                <w:szCs w:val="17"/>
                <w:color w:val="auto"/>
              </w:rPr>
              <w:t>Donald L. Walker</w:t>
            </w:r>
          </w:p>
        </w:tc>
        <w:tc>
          <w:tcPr>
            <w:tcW w:w="1920" w:type="dxa"/>
            <w:vAlign w:val="bottom"/>
            <w:tcBorders>
              <w:bottom w:val="single" w:sz="8" w:color="auto"/>
              <w:right w:val="single" w:sz="8" w:color="auto"/>
            </w:tcBorders>
            <w:shd w:val="clear" w:color="auto" w:fill="CCEEFF"/>
          </w:tcPr>
          <w:p>
            <w:pPr>
              <w:jc w:val="right"/>
              <w:ind w:right="35"/>
              <w:spacing w:after="0" w:line="183" w:lineRule="exact"/>
              <w:rPr>
                <w:sz w:val="20"/>
                <w:szCs w:val="20"/>
                <w:color w:val="auto"/>
              </w:rPr>
            </w:pPr>
            <w:r>
              <w:rPr>
                <w:rFonts w:ascii="Arial" w:cs="Arial" w:eastAsia="Arial" w:hAnsi="Arial"/>
                <w:sz w:val="17"/>
                <w:szCs w:val="17"/>
                <w:color w:val="auto"/>
              </w:rPr>
              <w:t>0</w:t>
            </w:r>
          </w:p>
        </w:tc>
        <w:tc>
          <w:tcPr>
            <w:tcW w:w="460" w:type="dxa"/>
            <w:vAlign w:val="bottom"/>
            <w:tcBorders>
              <w:bottom w:val="single" w:sz="8" w:color="auto"/>
            </w:tcBorders>
            <w:shd w:val="clear" w:color="auto" w:fill="CCEEFF"/>
          </w:tcPr>
          <w:p>
            <w:pPr>
              <w:ind w:left="60"/>
              <w:spacing w:after="0" w:line="183" w:lineRule="exact"/>
              <w:rPr>
                <w:sz w:val="20"/>
                <w:szCs w:val="20"/>
                <w:color w:val="auto"/>
              </w:rPr>
            </w:pPr>
            <w:r>
              <w:rPr>
                <w:rFonts w:ascii="Arial" w:cs="Arial" w:eastAsia="Arial" w:hAnsi="Arial"/>
                <w:sz w:val="17"/>
                <w:szCs w:val="17"/>
                <w:color w:val="auto"/>
              </w:rPr>
              <w:t>$</w:t>
            </w:r>
          </w:p>
        </w:tc>
        <w:tc>
          <w:tcPr>
            <w:tcW w:w="580" w:type="dxa"/>
            <w:vAlign w:val="bottom"/>
            <w:tcBorders>
              <w:bottom w:val="single" w:sz="8" w:color="auto"/>
            </w:tcBorders>
            <w:shd w:val="clear" w:color="auto" w:fill="CCEEFF"/>
          </w:tcPr>
          <w:p>
            <w:pPr>
              <w:spacing w:after="0"/>
              <w:rPr>
                <w:sz w:val="15"/>
                <w:szCs w:val="15"/>
                <w:color w:val="auto"/>
              </w:rPr>
            </w:pPr>
          </w:p>
        </w:tc>
        <w:tc>
          <w:tcPr>
            <w:tcW w:w="320" w:type="dxa"/>
            <w:vAlign w:val="bottom"/>
            <w:tcBorders>
              <w:bottom w:val="single" w:sz="8" w:color="auto"/>
              <w:right w:val="single" w:sz="8" w:color="auto"/>
            </w:tcBorders>
            <w:shd w:val="clear" w:color="auto" w:fill="CCEEFF"/>
          </w:tcPr>
          <w:p>
            <w:pPr>
              <w:jc w:val="right"/>
              <w:ind w:right="38"/>
              <w:spacing w:after="0" w:line="183" w:lineRule="exact"/>
              <w:rPr>
                <w:sz w:val="20"/>
                <w:szCs w:val="20"/>
                <w:color w:val="auto"/>
              </w:rPr>
            </w:pPr>
            <w:r>
              <w:rPr>
                <w:rFonts w:ascii="Arial" w:cs="Arial" w:eastAsia="Arial" w:hAnsi="Arial"/>
                <w:sz w:val="17"/>
                <w:szCs w:val="17"/>
                <w:color w:val="auto"/>
              </w:rPr>
              <w:t>0</w:t>
            </w:r>
          </w:p>
        </w:tc>
        <w:tc>
          <w:tcPr>
            <w:tcW w:w="2020" w:type="dxa"/>
            <w:vAlign w:val="bottom"/>
            <w:tcBorders>
              <w:bottom w:val="single" w:sz="8" w:color="auto"/>
              <w:right w:val="single" w:sz="8" w:color="auto"/>
            </w:tcBorders>
            <w:gridSpan w:val="2"/>
            <w:shd w:val="clear" w:color="auto" w:fill="CCEEFF"/>
          </w:tcPr>
          <w:p>
            <w:pPr>
              <w:jc w:val="right"/>
              <w:ind w:right="41"/>
              <w:spacing w:after="0" w:line="183" w:lineRule="exact"/>
              <w:rPr>
                <w:sz w:val="20"/>
                <w:szCs w:val="20"/>
                <w:color w:val="auto"/>
              </w:rPr>
            </w:pPr>
            <w:r>
              <w:rPr>
                <w:rFonts w:ascii="Arial" w:cs="Arial" w:eastAsia="Arial" w:hAnsi="Arial"/>
                <w:sz w:val="17"/>
                <w:szCs w:val="17"/>
                <w:color w:val="auto"/>
              </w:rPr>
              <w:t>5,545</w:t>
            </w:r>
          </w:p>
        </w:tc>
        <w:tc>
          <w:tcPr>
            <w:tcW w:w="400" w:type="dxa"/>
            <w:vAlign w:val="bottom"/>
            <w:tcBorders>
              <w:bottom w:val="single" w:sz="8" w:color="auto"/>
            </w:tcBorders>
            <w:shd w:val="clear" w:color="auto" w:fill="CCEEFF"/>
          </w:tcPr>
          <w:p>
            <w:pPr>
              <w:ind w:left="40"/>
              <w:spacing w:after="0" w:line="183" w:lineRule="exact"/>
              <w:rPr>
                <w:sz w:val="20"/>
                <w:szCs w:val="20"/>
                <w:color w:val="auto"/>
              </w:rPr>
            </w:pPr>
            <w:r>
              <w:rPr>
                <w:rFonts w:ascii="Arial" w:cs="Arial" w:eastAsia="Arial" w:hAnsi="Arial"/>
                <w:sz w:val="17"/>
                <w:szCs w:val="17"/>
                <w:color w:val="auto"/>
              </w:rPr>
              <w:t>$</w:t>
            </w:r>
          </w:p>
        </w:tc>
        <w:tc>
          <w:tcPr>
            <w:tcW w:w="1100" w:type="dxa"/>
            <w:vAlign w:val="bottom"/>
            <w:tcBorders>
              <w:bottom w:val="single" w:sz="8" w:color="auto"/>
              <w:right w:val="single" w:sz="8" w:color="auto"/>
            </w:tcBorders>
            <w:shd w:val="clear" w:color="auto" w:fill="CCEEFF"/>
          </w:tcPr>
          <w:p>
            <w:pPr>
              <w:jc w:val="right"/>
              <w:ind w:right="177"/>
              <w:spacing w:after="0" w:line="183" w:lineRule="exact"/>
              <w:rPr>
                <w:sz w:val="20"/>
                <w:szCs w:val="20"/>
                <w:color w:val="auto"/>
              </w:rPr>
            </w:pPr>
            <w:r>
              <w:rPr>
                <w:rFonts w:ascii="Arial" w:cs="Arial" w:eastAsia="Arial" w:hAnsi="Arial"/>
                <w:sz w:val="17"/>
                <w:szCs w:val="17"/>
                <w:color w:val="auto"/>
              </w:rPr>
              <w:t>128,362</w:t>
            </w:r>
          </w:p>
        </w:tc>
        <w:tc>
          <w:tcPr>
            <w:tcW w:w="0" w:type="dxa"/>
            <w:vAlign w:val="bottom"/>
          </w:tcPr>
          <w:p>
            <w:pPr>
              <w:spacing w:after="0"/>
              <w:rPr>
                <w:sz w:val="1"/>
                <w:szCs w:val="1"/>
                <w:color w:val="auto"/>
              </w:rPr>
            </w:pPr>
          </w:p>
        </w:tc>
      </w:tr>
      <w:tr>
        <w:trPr>
          <w:trHeight w:val="183"/>
        </w:trPr>
        <w:tc>
          <w:tcPr>
            <w:tcW w:w="4640" w:type="dxa"/>
            <w:vAlign w:val="bottom"/>
            <w:tcBorders>
              <w:left w:val="single" w:sz="8" w:color="auto"/>
              <w:bottom w:val="single" w:sz="8" w:color="auto"/>
              <w:right w:val="single" w:sz="8" w:color="auto"/>
            </w:tcBorders>
          </w:tcPr>
          <w:p>
            <w:pPr>
              <w:ind w:left="160"/>
              <w:spacing w:after="0" w:line="183" w:lineRule="exact"/>
              <w:rPr>
                <w:sz w:val="20"/>
                <w:szCs w:val="20"/>
                <w:color w:val="auto"/>
              </w:rPr>
            </w:pPr>
            <w:r>
              <w:rPr>
                <w:rFonts w:ascii="Arial" w:cs="Arial" w:eastAsia="Arial" w:hAnsi="Arial"/>
                <w:sz w:val="17"/>
                <w:szCs w:val="17"/>
                <w:color w:val="auto"/>
              </w:rPr>
              <w:t>Frank A. DiPiero</w:t>
            </w:r>
          </w:p>
        </w:tc>
        <w:tc>
          <w:tcPr>
            <w:tcW w:w="1920" w:type="dxa"/>
            <w:vAlign w:val="bottom"/>
            <w:tcBorders>
              <w:bottom w:val="single" w:sz="8" w:color="auto"/>
              <w:right w:val="single" w:sz="8" w:color="auto"/>
            </w:tcBorders>
          </w:tcPr>
          <w:p>
            <w:pPr>
              <w:jc w:val="right"/>
              <w:ind w:right="35"/>
              <w:spacing w:after="0" w:line="183" w:lineRule="exact"/>
              <w:rPr>
                <w:sz w:val="20"/>
                <w:szCs w:val="20"/>
                <w:color w:val="auto"/>
              </w:rPr>
            </w:pPr>
            <w:r>
              <w:rPr>
                <w:rFonts w:ascii="Arial" w:cs="Arial" w:eastAsia="Arial" w:hAnsi="Arial"/>
                <w:sz w:val="17"/>
                <w:szCs w:val="17"/>
                <w:color w:val="auto"/>
              </w:rPr>
              <w:t>0</w:t>
            </w:r>
          </w:p>
        </w:tc>
        <w:tc>
          <w:tcPr>
            <w:tcW w:w="460" w:type="dxa"/>
            <w:vAlign w:val="bottom"/>
            <w:tcBorders>
              <w:bottom w:val="single" w:sz="8" w:color="auto"/>
            </w:tcBorders>
          </w:tcPr>
          <w:p>
            <w:pPr>
              <w:ind w:left="60"/>
              <w:spacing w:after="0" w:line="183" w:lineRule="exact"/>
              <w:rPr>
                <w:sz w:val="20"/>
                <w:szCs w:val="20"/>
                <w:color w:val="auto"/>
              </w:rPr>
            </w:pPr>
            <w:r>
              <w:rPr>
                <w:rFonts w:ascii="Arial" w:cs="Arial" w:eastAsia="Arial" w:hAnsi="Arial"/>
                <w:sz w:val="17"/>
                <w:szCs w:val="17"/>
                <w:color w:val="auto"/>
              </w:rPr>
              <w:t>$</w:t>
            </w:r>
          </w:p>
        </w:tc>
        <w:tc>
          <w:tcPr>
            <w:tcW w:w="580" w:type="dxa"/>
            <w:vAlign w:val="bottom"/>
            <w:tcBorders>
              <w:bottom w:val="single" w:sz="8" w:color="auto"/>
            </w:tcBorders>
          </w:tcPr>
          <w:p>
            <w:pPr>
              <w:spacing w:after="0"/>
              <w:rPr>
                <w:sz w:val="15"/>
                <w:szCs w:val="15"/>
                <w:color w:val="auto"/>
              </w:rPr>
            </w:pPr>
          </w:p>
        </w:tc>
        <w:tc>
          <w:tcPr>
            <w:tcW w:w="320" w:type="dxa"/>
            <w:vAlign w:val="bottom"/>
            <w:tcBorders>
              <w:bottom w:val="single" w:sz="8" w:color="auto"/>
              <w:right w:val="single" w:sz="8" w:color="auto"/>
            </w:tcBorders>
          </w:tcPr>
          <w:p>
            <w:pPr>
              <w:jc w:val="right"/>
              <w:ind w:right="38"/>
              <w:spacing w:after="0" w:line="183" w:lineRule="exact"/>
              <w:rPr>
                <w:sz w:val="20"/>
                <w:szCs w:val="20"/>
                <w:color w:val="auto"/>
              </w:rPr>
            </w:pPr>
            <w:r>
              <w:rPr>
                <w:rFonts w:ascii="Arial" w:cs="Arial" w:eastAsia="Arial" w:hAnsi="Arial"/>
                <w:sz w:val="17"/>
                <w:szCs w:val="17"/>
                <w:color w:val="auto"/>
              </w:rPr>
              <w:t>0</w:t>
            </w:r>
          </w:p>
        </w:tc>
        <w:tc>
          <w:tcPr>
            <w:tcW w:w="1720" w:type="dxa"/>
            <w:vAlign w:val="bottom"/>
            <w:tcBorders>
              <w:bottom w:val="single" w:sz="8" w:color="auto"/>
            </w:tcBorders>
          </w:tcPr>
          <w:p>
            <w:pPr>
              <w:spacing w:after="0"/>
              <w:rPr>
                <w:sz w:val="15"/>
                <w:szCs w:val="15"/>
                <w:color w:val="auto"/>
              </w:rPr>
            </w:pPr>
          </w:p>
        </w:tc>
        <w:tc>
          <w:tcPr>
            <w:tcW w:w="300" w:type="dxa"/>
            <w:vAlign w:val="bottom"/>
            <w:tcBorders>
              <w:bottom w:val="single" w:sz="8" w:color="auto"/>
              <w:right w:val="single" w:sz="8" w:color="auto"/>
            </w:tcBorders>
          </w:tcPr>
          <w:p>
            <w:pPr>
              <w:jc w:val="right"/>
              <w:ind w:right="41"/>
              <w:spacing w:after="0" w:line="183" w:lineRule="exact"/>
              <w:rPr>
                <w:sz w:val="20"/>
                <w:szCs w:val="20"/>
                <w:color w:val="auto"/>
              </w:rPr>
            </w:pPr>
            <w:r>
              <w:rPr>
                <w:rFonts w:ascii="Arial" w:cs="Arial" w:eastAsia="Arial" w:hAnsi="Arial"/>
                <w:sz w:val="17"/>
                <w:szCs w:val="17"/>
                <w:color w:val="auto"/>
              </w:rPr>
              <w:t>0</w:t>
            </w:r>
          </w:p>
        </w:tc>
        <w:tc>
          <w:tcPr>
            <w:tcW w:w="400" w:type="dxa"/>
            <w:vAlign w:val="bottom"/>
            <w:tcBorders>
              <w:bottom w:val="single" w:sz="8" w:color="auto"/>
            </w:tcBorders>
          </w:tcPr>
          <w:p>
            <w:pPr>
              <w:ind w:left="40"/>
              <w:spacing w:after="0" w:line="183" w:lineRule="exact"/>
              <w:rPr>
                <w:sz w:val="20"/>
                <w:szCs w:val="20"/>
                <w:color w:val="auto"/>
              </w:rPr>
            </w:pPr>
            <w:r>
              <w:rPr>
                <w:rFonts w:ascii="Arial" w:cs="Arial" w:eastAsia="Arial" w:hAnsi="Arial"/>
                <w:sz w:val="17"/>
                <w:szCs w:val="17"/>
                <w:color w:val="auto"/>
              </w:rPr>
              <w:t>$</w:t>
            </w:r>
          </w:p>
        </w:tc>
        <w:tc>
          <w:tcPr>
            <w:tcW w:w="1100" w:type="dxa"/>
            <w:vAlign w:val="bottom"/>
            <w:tcBorders>
              <w:bottom w:val="single" w:sz="8" w:color="auto"/>
              <w:right w:val="single" w:sz="8" w:color="auto"/>
            </w:tcBorders>
          </w:tcPr>
          <w:p>
            <w:pPr>
              <w:jc w:val="right"/>
              <w:ind w:right="177"/>
              <w:spacing w:after="0" w:line="183" w:lineRule="exact"/>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bl>
    <w:p>
      <w:pPr>
        <w:spacing w:after="0" w:line="210" w:lineRule="exact"/>
        <w:rPr>
          <w:sz w:val="20"/>
          <w:szCs w:val="20"/>
          <w:color w:val="auto"/>
        </w:rPr>
      </w:pPr>
    </w:p>
    <w:p>
      <w:pPr>
        <w:jc w:val="both"/>
        <w:ind w:left="460" w:right="60" w:hanging="452"/>
        <w:spacing w:after="0" w:line="238" w:lineRule="auto"/>
        <w:tabs>
          <w:tab w:leader="none" w:pos="460" w:val="left"/>
        </w:tabs>
        <w:numPr>
          <w:ilvl w:val="0"/>
          <w:numId w:val="30"/>
        </w:numPr>
        <w:rPr>
          <w:rFonts w:ascii="Arial" w:cs="Arial" w:eastAsia="Arial" w:hAnsi="Arial"/>
          <w:sz w:val="15"/>
          <w:szCs w:val="15"/>
          <w:color w:val="auto"/>
        </w:rPr>
      </w:pPr>
      <w:r>
        <w:rPr>
          <w:rFonts w:ascii="Arial" w:cs="Arial" w:eastAsia="Arial" w:hAnsi="Arial"/>
          <w:sz w:val="17"/>
          <w:szCs w:val="17"/>
          <w:color w:val="auto"/>
        </w:rPr>
        <w:t>The value realized on the exercise of options is the difference between the exercise price and the fair market value of our common shares on the date of exercise. For this purpose, fair market value is determined by a real-time trading quote from the New York Stock Exchange at the time of exercise.</w:t>
      </w:r>
    </w:p>
    <w:p>
      <w:pPr>
        <w:spacing w:after="0" w:line="201" w:lineRule="exact"/>
        <w:rPr>
          <w:rFonts w:ascii="Arial" w:cs="Arial" w:eastAsia="Arial" w:hAnsi="Arial"/>
          <w:sz w:val="15"/>
          <w:szCs w:val="15"/>
          <w:color w:val="auto"/>
        </w:rPr>
      </w:pPr>
    </w:p>
    <w:p>
      <w:pPr>
        <w:ind w:left="460" w:right="80" w:hanging="452"/>
        <w:spacing w:after="0" w:line="238" w:lineRule="auto"/>
        <w:tabs>
          <w:tab w:leader="none" w:pos="460" w:val="left"/>
        </w:tabs>
        <w:numPr>
          <w:ilvl w:val="0"/>
          <w:numId w:val="30"/>
        </w:numPr>
        <w:rPr>
          <w:rFonts w:ascii="Arial" w:cs="Arial" w:eastAsia="Arial" w:hAnsi="Arial"/>
          <w:sz w:val="15"/>
          <w:szCs w:val="15"/>
          <w:color w:val="auto"/>
        </w:rPr>
      </w:pPr>
      <w:r>
        <w:rPr>
          <w:rFonts w:ascii="Arial" w:cs="Arial" w:eastAsia="Arial" w:hAnsi="Arial"/>
          <w:sz w:val="17"/>
          <w:szCs w:val="17"/>
          <w:color w:val="auto"/>
        </w:rPr>
        <w:t>The number of shares acquired on vesting is, for each NEO, the sum of the strategic performance shares earned for the first half of the 2013-2015 performance cycle and performance shares or restricted shares which vested on February 8, 2015. Additionally, for Mr. Walker, the number of shares acquired on vesting also includes time-vested deferred shares which vested on December 31, 2015.</w:t>
      </w:r>
    </w:p>
    <w:p>
      <w:pPr>
        <w:spacing w:after="0" w:line="161" w:lineRule="exact"/>
        <w:rPr>
          <w:rFonts w:ascii="Arial" w:cs="Arial" w:eastAsia="Arial" w:hAnsi="Arial"/>
          <w:sz w:val="15"/>
          <w:szCs w:val="15"/>
          <w:color w:val="auto"/>
        </w:rPr>
      </w:pPr>
    </w:p>
    <w:p>
      <w:pPr>
        <w:ind w:left="460" w:right="20"/>
        <w:spacing w:after="0" w:line="232" w:lineRule="auto"/>
        <w:rPr>
          <w:rFonts w:ascii="Arial" w:cs="Arial" w:eastAsia="Arial" w:hAnsi="Arial"/>
          <w:sz w:val="15"/>
          <w:szCs w:val="15"/>
          <w:color w:val="auto"/>
        </w:rPr>
      </w:pPr>
      <w:r>
        <w:rPr>
          <w:rFonts w:ascii="Arial" w:cs="Arial" w:eastAsia="Arial" w:hAnsi="Arial"/>
          <w:sz w:val="17"/>
          <w:szCs w:val="17"/>
          <w:color w:val="auto"/>
        </w:rPr>
        <w:t>At the time of the spinoff of TimkenSteel from The Timken Company, the 2013-2015 performance period was closed out and a shortened performance period was used to calculate a prorated award based on results of The Timken Company through June 30, 2014. The original target number of strategic performance shares granted in 2013 was cut in half, reflecting the fact that the performance period was truncated due to the spinoff. The remaining strategic performance shares awarded in 2013 were cancelled. Strategic performance shares earned by each of the NEOs for the first half of the 2013-2015 performance cycle were as follows: Mr. Timken – 9,184 shares; Mr. Holding – 785 shares; and</w:t>
      </w:r>
    </w:p>
    <w:p>
      <w:pPr>
        <w:ind w:left="460" w:right="120"/>
        <w:spacing w:after="0" w:line="235" w:lineRule="auto"/>
        <w:rPr>
          <w:rFonts w:ascii="Arial" w:cs="Arial" w:eastAsia="Arial" w:hAnsi="Arial"/>
          <w:sz w:val="15"/>
          <w:szCs w:val="15"/>
          <w:color w:val="auto"/>
        </w:rPr>
      </w:pPr>
      <w:r>
        <w:rPr>
          <w:rFonts w:ascii="Arial" w:cs="Arial" w:eastAsia="Arial" w:hAnsi="Arial"/>
          <w:sz w:val="17"/>
          <w:szCs w:val="17"/>
          <w:color w:val="auto"/>
        </w:rPr>
        <w:t>Mr. Walker – 1,295 shares. These strategic performance shares were settled in cash at the time the award would otherwise have been paid in early 2016. On August 5, 2014, strategic performance shares were awarded to track performance for the second half of the 2013-2015 cycle of the strategic performance shares originally granted in 2013 but cancelled at the time of spinoff. Company performance for the second half of the 2013-2015 cycle fell below threshold. As a result, there was no payout earned on the strategic performance shares awarded for the second half of the 2013-2015 performance cycle.</w:t>
      </w:r>
    </w:p>
    <w:p>
      <w:pPr>
        <w:spacing w:after="0" w:line="163" w:lineRule="exact"/>
        <w:rPr>
          <w:rFonts w:ascii="Arial" w:cs="Arial" w:eastAsia="Arial" w:hAnsi="Arial"/>
          <w:sz w:val="15"/>
          <w:szCs w:val="15"/>
          <w:color w:val="auto"/>
        </w:rPr>
      </w:pPr>
    </w:p>
    <w:p>
      <w:pPr>
        <w:ind w:left="460" w:right="60"/>
        <w:spacing w:after="0" w:line="232" w:lineRule="auto"/>
        <w:rPr>
          <w:rFonts w:ascii="Arial" w:cs="Arial" w:eastAsia="Arial" w:hAnsi="Arial"/>
          <w:sz w:val="15"/>
          <w:szCs w:val="15"/>
          <w:color w:val="auto"/>
        </w:rPr>
      </w:pPr>
      <w:r>
        <w:rPr>
          <w:rFonts w:ascii="Arial" w:cs="Arial" w:eastAsia="Arial" w:hAnsi="Arial"/>
          <w:sz w:val="17"/>
          <w:szCs w:val="17"/>
          <w:color w:val="auto"/>
        </w:rPr>
        <w:t>Other shares acquired on vesting by the NEOs and reflected in the table above include performance shares and restricted shares which vested on February 8, 2015, and deferred shares which vested on December 31, 2015, as follows: Mr. Timken – 2,225 performance shares; Mr. Holding</w:t>
      </w:r>
    </w:p>
    <w:p>
      <w:pPr>
        <w:ind w:left="460"/>
        <w:spacing w:after="0"/>
        <w:rPr>
          <w:rFonts w:ascii="Arial" w:cs="Arial" w:eastAsia="Arial" w:hAnsi="Arial"/>
          <w:sz w:val="15"/>
          <w:szCs w:val="15"/>
          <w:color w:val="auto"/>
        </w:rPr>
      </w:pPr>
      <w:r>
        <w:rPr>
          <w:rFonts w:ascii="Arial" w:cs="Arial" w:eastAsia="Arial" w:hAnsi="Arial"/>
          <w:sz w:val="17"/>
          <w:szCs w:val="17"/>
          <w:color w:val="auto"/>
        </w:rPr>
        <w:t>– 112 restricted shares; Mr. Walker – 250 restricted shares and 4,000 deferred shares; and Mr. DiPiero – 0 shares.</w:t>
      </w:r>
    </w:p>
    <w:p>
      <w:pPr>
        <w:spacing w:after="0" w:line="209" w:lineRule="exact"/>
        <w:rPr>
          <w:rFonts w:ascii="Arial" w:cs="Arial" w:eastAsia="Arial" w:hAnsi="Arial"/>
          <w:sz w:val="15"/>
          <w:szCs w:val="15"/>
          <w:color w:val="auto"/>
        </w:rPr>
      </w:pPr>
    </w:p>
    <w:p>
      <w:pPr>
        <w:ind w:left="460" w:right="160" w:hanging="452"/>
        <w:spacing w:after="0" w:line="235" w:lineRule="auto"/>
        <w:tabs>
          <w:tab w:leader="none" w:pos="460" w:val="left"/>
        </w:tabs>
        <w:numPr>
          <w:ilvl w:val="0"/>
          <w:numId w:val="30"/>
        </w:numPr>
        <w:rPr>
          <w:rFonts w:ascii="Arial" w:cs="Arial" w:eastAsia="Arial" w:hAnsi="Arial"/>
          <w:sz w:val="15"/>
          <w:szCs w:val="15"/>
          <w:color w:val="auto"/>
        </w:rPr>
      </w:pPr>
      <w:r>
        <w:rPr>
          <w:rFonts w:ascii="Arial" w:cs="Arial" w:eastAsia="Arial" w:hAnsi="Arial"/>
          <w:sz w:val="17"/>
          <w:szCs w:val="17"/>
          <w:color w:val="auto"/>
        </w:rPr>
        <w:t>The value realized on vesting for stock awards is calculated by multiplying the number of shares acquired on vesting by the fair market value of our common shares on the vesting date. For purposes of this calculation, fair market value for performance shares, restricted shares and deferred shares which vested is equal to the closing price of our common shares on the vesting date. With respect to the strategic performance shares which were earned for the first half of the 2013-2015 performance cycle, the value shown in the table reflects the cash payment made in settlement of these strategic performance shares in February 2016.</w:t>
      </w:r>
    </w:p>
    <w:p>
      <w:pPr>
        <w:spacing w:after="0" w:line="148" w:lineRule="exact"/>
        <w:rPr>
          <w:sz w:val="20"/>
          <w:szCs w:val="20"/>
          <w:color w:val="auto"/>
        </w:rPr>
      </w:pPr>
    </w:p>
    <w:p>
      <w:pPr>
        <w:ind w:left="11180"/>
        <w:spacing w:after="0"/>
        <w:rPr>
          <w:sz w:val="20"/>
          <w:szCs w:val="20"/>
          <w:color w:val="auto"/>
        </w:rPr>
      </w:pPr>
      <w:r>
        <w:rPr>
          <w:rFonts w:ascii="Arial" w:cs="Arial" w:eastAsia="Arial" w:hAnsi="Arial"/>
          <w:sz w:val="14"/>
          <w:szCs w:val="14"/>
          <w:color w:val="auto"/>
        </w:rPr>
        <w:t>49</w:t>
      </w:r>
    </w:p>
    <w:p>
      <w:pPr>
        <w:sectPr>
          <w:pgSz w:w="11900" w:h="16838" w:orient="portrait"/>
          <w:cols w:equalWidth="0" w:num="1">
            <w:col w:w="11440"/>
          </w:cols>
          <w:pgMar w:left="240" w:top="459" w:right="219" w:bottom="1440" w:gutter="0" w:footer="0" w:header="0"/>
        </w:sectPr>
      </w:pPr>
    </w:p>
    <w:bookmarkStart w:id="55" w:name="page56"/>
    <w:bookmarkEnd w:id="5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64">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3109595</wp:posOffset>
            </wp:positionH>
            <wp:positionV relativeFrom="paragraph">
              <wp:posOffset>205740</wp:posOffset>
            </wp:positionV>
            <wp:extent cx="1046480" cy="205740"/>
            <wp:wrapNone/>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65">
                      <a:extLst>
                        <a:ext uri="{28A0092B-C50C-407E-A947-70E740481C1C}"/>
                      </a:extLst>
                    </a:blip>
                    <a:srcRect/>
                    <a:stretch>
                      <a:fillRect/>
                    </a:stretch>
                  </pic:blipFill>
                  <pic:spPr bwMode="auto">
                    <a:xfrm>
                      <a:off x="0" y="0"/>
                      <a:ext cx="1046480" cy="20574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76" w:lineRule="exact"/>
        <w:rPr>
          <w:sz w:val="20"/>
          <w:szCs w:val="20"/>
          <w:color w:val="auto"/>
        </w:rPr>
      </w:pPr>
    </w:p>
    <w:p>
      <w:pPr>
        <w:spacing w:after="0"/>
        <w:rPr>
          <w:sz w:val="20"/>
          <w:szCs w:val="20"/>
          <w:color w:val="auto"/>
        </w:rPr>
      </w:pPr>
      <w:r>
        <w:rPr>
          <w:rFonts w:ascii="Arial" w:cs="Arial" w:eastAsia="Arial" w:hAnsi="Arial"/>
          <w:sz w:val="18"/>
          <w:szCs w:val="18"/>
          <w:color w:val="auto"/>
        </w:rPr>
        <w:t>PENSION BENEFITS</w:t>
      </w:r>
    </w:p>
    <w:p>
      <w:pPr>
        <w:spacing w:after="0" w:line="159" w:lineRule="exact"/>
        <w:rPr>
          <w:sz w:val="20"/>
          <w:szCs w:val="20"/>
          <w:color w:val="auto"/>
        </w:rPr>
      </w:pPr>
    </w:p>
    <w:p>
      <w:pPr>
        <w:spacing w:after="0"/>
        <w:rPr>
          <w:sz w:val="20"/>
          <w:szCs w:val="20"/>
          <w:color w:val="auto"/>
        </w:rPr>
      </w:pPr>
      <w:r>
        <w:rPr>
          <w:rFonts w:ascii="Arial" w:cs="Arial" w:eastAsia="Arial" w:hAnsi="Arial"/>
          <w:sz w:val="17"/>
          <w:szCs w:val="17"/>
          <w:b w:val="1"/>
          <w:bCs w:val="1"/>
          <w:color w:val="666666"/>
        </w:rPr>
        <w:t>QUALIFIED PLAN</w:t>
      </w:r>
    </w:p>
    <w:p>
      <w:pPr>
        <w:spacing w:after="0" w:line="14" w:lineRule="exact"/>
        <w:rPr>
          <w:sz w:val="20"/>
          <w:szCs w:val="20"/>
          <w:color w:val="auto"/>
        </w:rPr>
      </w:pPr>
    </w:p>
    <w:p>
      <w:pPr>
        <w:jc w:val="both"/>
        <w:ind w:right="400"/>
        <w:spacing w:after="0" w:line="238" w:lineRule="auto"/>
        <w:rPr>
          <w:sz w:val="20"/>
          <w:szCs w:val="20"/>
          <w:color w:val="auto"/>
        </w:rPr>
      </w:pPr>
      <w:r>
        <w:rPr>
          <w:rFonts w:ascii="Arial" w:cs="Arial" w:eastAsia="Arial" w:hAnsi="Arial"/>
          <w:sz w:val="17"/>
          <w:szCs w:val="17"/>
          <w:color w:val="auto"/>
        </w:rPr>
        <w:t>In connection with the spinoff of TimkenSteel from The Timken Company, TimkenSteel adopted a tax-qualified defined benefit retirement plan (the “Qualified Plan”) which is substantially similar to the defined benefit retirement plan maintained by The Timken Company prior to spinoff. Years of service with The Timken Company prior to spinoff constitute years of service under the Qualified Plan.</w:t>
      </w:r>
    </w:p>
    <w:p>
      <w:pPr>
        <w:spacing w:after="0" w:line="161" w:lineRule="exact"/>
        <w:rPr>
          <w:sz w:val="20"/>
          <w:szCs w:val="20"/>
          <w:color w:val="auto"/>
        </w:rPr>
      </w:pPr>
    </w:p>
    <w:p>
      <w:pPr>
        <w:spacing w:after="0" w:line="235" w:lineRule="auto"/>
        <w:rPr>
          <w:sz w:val="20"/>
          <w:szCs w:val="20"/>
          <w:color w:val="auto"/>
        </w:rPr>
      </w:pPr>
      <w:r>
        <w:rPr>
          <w:rFonts w:ascii="Arial" w:cs="Arial" w:eastAsia="Arial" w:hAnsi="Arial"/>
          <w:sz w:val="17"/>
          <w:szCs w:val="17"/>
          <w:color w:val="auto"/>
        </w:rPr>
        <w:t>Pursuant to the Qualified Plan, salaried employees whose age plus years of service equaled or exceeded 50 as of December 31, 2003, participate in a defined benefit plan with a formula of 0.75% per year of service times average earnings, including base salary and cash annual incentive compensation, for the highest five non-consecutive years of the ten years preceding retirement (“Final Average Earnings”). For all employees in a defined benefit plan as of December 31, 2003, the formula in effect at the time of service, using Final Average Earnings at retirement, would be applied to such service.</w:t>
      </w:r>
    </w:p>
    <w:p>
      <w:pPr>
        <w:spacing w:after="0" w:line="164" w:lineRule="exact"/>
        <w:rPr>
          <w:sz w:val="20"/>
          <w:szCs w:val="20"/>
          <w:color w:val="auto"/>
        </w:rPr>
      </w:pPr>
    </w:p>
    <w:p>
      <w:pPr>
        <w:ind w:right="680"/>
        <w:spacing w:after="0" w:line="243" w:lineRule="auto"/>
        <w:rPr>
          <w:sz w:val="20"/>
          <w:szCs w:val="20"/>
          <w:color w:val="auto"/>
        </w:rPr>
      </w:pPr>
      <w:r>
        <w:rPr>
          <w:rFonts w:ascii="Arial" w:cs="Arial" w:eastAsia="Arial" w:hAnsi="Arial"/>
          <w:sz w:val="17"/>
          <w:szCs w:val="17"/>
          <w:color w:val="auto"/>
        </w:rPr>
        <w:t>The benefit is generally payable beginning at age 65 for the lifetime of the employee, with alternative forms of payment available with actuarial adjustments. Participants may retire early for purposes of the Qualified Plan if they meet any of the following eligibility requirements:</w:t>
      </w:r>
    </w:p>
    <w:p>
      <w:pPr>
        <w:spacing w:after="0" w:line="198" w:lineRule="exact"/>
        <w:rPr>
          <w:sz w:val="20"/>
          <w:szCs w:val="20"/>
          <w:color w:val="auto"/>
        </w:rPr>
      </w:pPr>
    </w:p>
    <w:p>
      <w:pPr>
        <w:ind w:left="220" w:hanging="212"/>
        <w:spacing w:after="0"/>
        <w:tabs>
          <w:tab w:leader="none" w:pos="220" w:val="left"/>
        </w:tabs>
        <w:numPr>
          <w:ilvl w:val="0"/>
          <w:numId w:val="31"/>
        </w:numPr>
        <w:rPr>
          <w:rFonts w:ascii="Arial" w:cs="Arial" w:eastAsia="Arial" w:hAnsi="Arial"/>
          <w:sz w:val="17"/>
          <w:szCs w:val="17"/>
          <w:color w:val="auto"/>
        </w:rPr>
      </w:pPr>
      <w:r>
        <w:rPr>
          <w:rFonts w:ascii="Arial" w:cs="Arial" w:eastAsia="Arial" w:hAnsi="Arial"/>
          <w:sz w:val="17"/>
          <w:szCs w:val="17"/>
          <w:color w:val="auto"/>
        </w:rPr>
        <w:t>Age 62 and 15 years of service;</w:t>
      </w:r>
    </w:p>
    <w:p>
      <w:pPr>
        <w:spacing w:after="0" w:line="209" w:lineRule="exact"/>
        <w:rPr>
          <w:rFonts w:ascii="Arial" w:cs="Arial" w:eastAsia="Arial" w:hAnsi="Arial"/>
          <w:sz w:val="17"/>
          <w:szCs w:val="17"/>
          <w:color w:val="auto"/>
        </w:rPr>
      </w:pPr>
    </w:p>
    <w:p>
      <w:pPr>
        <w:ind w:left="220" w:hanging="212"/>
        <w:spacing w:after="0"/>
        <w:tabs>
          <w:tab w:leader="none" w:pos="220" w:val="left"/>
        </w:tabs>
        <w:numPr>
          <w:ilvl w:val="0"/>
          <w:numId w:val="31"/>
        </w:numPr>
        <w:rPr>
          <w:rFonts w:ascii="Arial" w:cs="Arial" w:eastAsia="Arial" w:hAnsi="Arial"/>
          <w:sz w:val="17"/>
          <w:szCs w:val="17"/>
          <w:color w:val="auto"/>
        </w:rPr>
      </w:pPr>
      <w:r>
        <w:rPr>
          <w:rFonts w:ascii="Arial" w:cs="Arial" w:eastAsia="Arial" w:hAnsi="Arial"/>
          <w:sz w:val="17"/>
          <w:szCs w:val="17"/>
          <w:color w:val="auto"/>
        </w:rPr>
        <w:t>Age 60 and 25 years of service; or</w:t>
      </w:r>
    </w:p>
    <w:p>
      <w:pPr>
        <w:spacing w:after="0" w:line="209" w:lineRule="exact"/>
        <w:rPr>
          <w:rFonts w:ascii="Arial" w:cs="Arial" w:eastAsia="Arial" w:hAnsi="Arial"/>
          <w:sz w:val="17"/>
          <w:szCs w:val="17"/>
          <w:color w:val="auto"/>
        </w:rPr>
      </w:pPr>
    </w:p>
    <w:p>
      <w:pPr>
        <w:ind w:left="220" w:hanging="212"/>
        <w:spacing w:after="0"/>
        <w:tabs>
          <w:tab w:leader="none" w:pos="220" w:val="left"/>
        </w:tabs>
        <w:numPr>
          <w:ilvl w:val="0"/>
          <w:numId w:val="31"/>
        </w:numPr>
        <w:rPr>
          <w:rFonts w:ascii="Arial" w:cs="Arial" w:eastAsia="Arial" w:hAnsi="Arial"/>
          <w:sz w:val="17"/>
          <w:szCs w:val="17"/>
          <w:color w:val="auto"/>
        </w:rPr>
      </w:pPr>
      <w:r>
        <w:rPr>
          <w:rFonts w:ascii="Arial" w:cs="Arial" w:eastAsia="Arial" w:hAnsi="Arial"/>
          <w:sz w:val="17"/>
          <w:szCs w:val="17"/>
          <w:color w:val="auto"/>
        </w:rPr>
        <w:t>Any age and 30 years of service.</w:t>
      </w:r>
    </w:p>
    <w:p>
      <w:pPr>
        <w:spacing w:after="0" w:line="183" w:lineRule="exact"/>
        <w:rPr>
          <w:sz w:val="20"/>
          <w:szCs w:val="20"/>
          <w:color w:val="auto"/>
        </w:rPr>
      </w:pPr>
    </w:p>
    <w:p>
      <w:pPr>
        <w:ind w:right="120"/>
        <w:spacing w:after="0" w:line="243" w:lineRule="auto"/>
        <w:rPr>
          <w:sz w:val="20"/>
          <w:szCs w:val="20"/>
          <w:color w:val="auto"/>
        </w:rPr>
      </w:pPr>
      <w:r>
        <w:rPr>
          <w:rFonts w:ascii="Arial" w:cs="Arial" w:eastAsia="Arial" w:hAnsi="Arial"/>
          <w:sz w:val="17"/>
          <w:szCs w:val="17"/>
          <w:color w:val="auto"/>
        </w:rPr>
        <w:t>In addition, participants age 55 with at least 15 years of service may retire and receive the portion of their Qualified Plan benefit attributable to service earned after 2003.</w:t>
      </w:r>
    </w:p>
    <w:p>
      <w:pPr>
        <w:spacing w:after="0" w:line="158" w:lineRule="exact"/>
        <w:rPr>
          <w:sz w:val="20"/>
          <w:szCs w:val="20"/>
          <w:color w:val="auto"/>
        </w:rPr>
      </w:pPr>
    </w:p>
    <w:p>
      <w:pPr>
        <w:ind w:right="80"/>
        <w:spacing w:after="0" w:line="238" w:lineRule="auto"/>
        <w:rPr>
          <w:sz w:val="20"/>
          <w:szCs w:val="20"/>
          <w:color w:val="auto"/>
        </w:rPr>
      </w:pPr>
      <w:r>
        <w:rPr>
          <w:rFonts w:ascii="Arial" w:cs="Arial" w:eastAsia="Arial" w:hAnsi="Arial"/>
          <w:sz w:val="17"/>
          <w:szCs w:val="17"/>
          <w:color w:val="auto"/>
        </w:rPr>
        <w:t>Benefits for service after December 31, 1991, are reduced for early commencement at a rate of 3% per year before the age of 60 for the portion of the benefit attributable to service earned between 1992 and 2003, and 4% per year before age 62 for the portion of the benefit attributable to service earned after 2003.</w:t>
      </w:r>
    </w:p>
    <w:p>
      <w:pPr>
        <w:spacing w:after="0" w:line="161" w:lineRule="exact"/>
        <w:rPr>
          <w:sz w:val="20"/>
          <w:szCs w:val="20"/>
          <w:color w:val="auto"/>
        </w:rPr>
      </w:pPr>
    </w:p>
    <w:p>
      <w:pPr>
        <w:ind w:right="140"/>
        <w:spacing w:after="0" w:line="235" w:lineRule="auto"/>
        <w:rPr>
          <w:sz w:val="20"/>
          <w:szCs w:val="20"/>
          <w:color w:val="auto"/>
        </w:rPr>
      </w:pPr>
      <w:r>
        <w:rPr>
          <w:rFonts w:ascii="Arial" w:cs="Arial" w:eastAsia="Arial" w:hAnsi="Arial"/>
          <w:sz w:val="17"/>
          <w:szCs w:val="17"/>
          <w:color w:val="auto"/>
        </w:rPr>
        <w:t>Benefits for a NEO who dies while actively employed are payable to the surviving spouse from the defined benefit pension plans at the NEO’s normal retirement date (or on a reduced basis at an early retirement date) if the NEO had at least five years of service. The benefit is equal to 50% of the benefit payable if the NEO had terminated employment on the date of his death, survived to the payment date (as elected by his spouse), elected the 50% joint and survivor form of payment and died the next day. If the NEO has at least 15 years of service at the time of his death, the benefit is equal to 50% of the accrued benefit at time of death payable immediately, but with any applicable early commencement reduction.</w:t>
      </w:r>
    </w:p>
    <w:p>
      <w:pPr>
        <w:spacing w:after="0" w:line="157" w:lineRule="exact"/>
        <w:rPr>
          <w:sz w:val="20"/>
          <w:szCs w:val="20"/>
          <w:color w:val="auto"/>
        </w:rPr>
      </w:pPr>
    </w:p>
    <w:p>
      <w:pPr>
        <w:spacing w:after="0"/>
        <w:rPr>
          <w:sz w:val="20"/>
          <w:szCs w:val="20"/>
          <w:color w:val="auto"/>
        </w:rPr>
      </w:pPr>
      <w:r>
        <w:rPr>
          <w:rFonts w:ascii="Arial" w:cs="Arial" w:eastAsia="Arial" w:hAnsi="Arial"/>
          <w:sz w:val="17"/>
          <w:szCs w:val="17"/>
          <w:b w:val="1"/>
          <w:bCs w:val="1"/>
          <w:color w:val="666666"/>
        </w:rPr>
        <w:t>SUPPLEMENTAL PENSION PLAN</w:t>
      </w:r>
    </w:p>
    <w:p>
      <w:pPr>
        <w:spacing w:after="0" w:line="14" w:lineRule="exact"/>
        <w:rPr>
          <w:sz w:val="20"/>
          <w:szCs w:val="20"/>
          <w:color w:val="auto"/>
        </w:rPr>
      </w:pPr>
    </w:p>
    <w:p>
      <w:pPr>
        <w:ind w:right="20"/>
        <w:spacing w:after="0" w:line="234" w:lineRule="auto"/>
        <w:rPr>
          <w:sz w:val="20"/>
          <w:szCs w:val="20"/>
          <w:color w:val="auto"/>
        </w:rPr>
      </w:pPr>
      <w:r>
        <w:rPr>
          <w:rFonts w:ascii="Arial" w:cs="Arial" w:eastAsia="Arial" w:hAnsi="Arial"/>
          <w:sz w:val="17"/>
          <w:szCs w:val="17"/>
          <w:color w:val="auto"/>
        </w:rPr>
        <w:t>In connection with the spinoff, the Company also adopted the Supplemental Pension Plan of TimkenSteel Corporation (effective June 30, 2014), or the TimkenSteel SERP, which is substantially similar to the supplemental pension plan maintained by The Timken Company prior to the spinoff. Supplemental retirement income benefits under the TimkenSteel SERP will be calculated using a target benefit of 60% of Final Average Earnings, offset by any defined benefit plan payments provided by the Company and the aggregate earnings opportunity provided by any Company contributions under the core defined contribution program, the TimkenSteel Corporation Savings &amp; Investment Pension Plan and the Post-Tax Savings Benefit. The supplemental benefit will vest after five years of service as an officer of the Company, with normal retirement being considered as of age 62. Early retirement at age</w:t>
      </w:r>
    </w:p>
    <w:p>
      <w:pPr>
        <w:spacing w:after="0" w:line="149" w:lineRule="exact"/>
        <w:rPr>
          <w:sz w:val="20"/>
          <w:szCs w:val="20"/>
          <w:color w:val="auto"/>
        </w:rPr>
      </w:pPr>
    </w:p>
    <w:p>
      <w:pPr>
        <w:spacing w:after="0"/>
        <w:rPr>
          <w:sz w:val="20"/>
          <w:szCs w:val="20"/>
          <w:color w:val="auto"/>
        </w:rPr>
      </w:pPr>
      <w:r>
        <w:rPr>
          <w:rFonts w:ascii="Arial" w:cs="Arial" w:eastAsia="Arial" w:hAnsi="Arial"/>
          <w:sz w:val="14"/>
          <w:szCs w:val="14"/>
          <w:color w:val="auto"/>
        </w:rPr>
        <w:t>50</w:t>
      </w:r>
    </w:p>
    <w:p>
      <w:pPr>
        <w:sectPr>
          <w:pgSz w:w="11900" w:h="16838" w:orient="portrait"/>
          <w:cols w:equalWidth="0" w:num="1">
            <w:col w:w="11400"/>
          </w:cols>
          <w:pgMar w:left="240" w:top="459" w:right="259" w:bottom="1440" w:gutter="0" w:footer="0" w:header="0"/>
        </w:sectPr>
      </w:pPr>
    </w:p>
    <w:bookmarkStart w:id="56" w:name="page57"/>
    <w:bookmarkEnd w:id="5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66">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2715260</wp:posOffset>
            </wp:positionH>
            <wp:positionV relativeFrom="paragraph">
              <wp:posOffset>205740</wp:posOffset>
            </wp:positionV>
            <wp:extent cx="1826895" cy="205740"/>
            <wp:wrapNone/>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67">
                      <a:extLst>
                        <a:ext uri="{28A0092B-C50C-407E-A947-70E740481C1C}"/>
                      </a:extLst>
                    </a:blip>
                    <a:srcRect/>
                    <a:stretch>
                      <a:fillRect/>
                    </a:stretch>
                  </pic:blipFill>
                  <pic:spPr bwMode="auto">
                    <a:xfrm>
                      <a:off x="0" y="0"/>
                      <a:ext cx="1826895" cy="20574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70" w:lineRule="exact"/>
        <w:rPr>
          <w:sz w:val="20"/>
          <w:szCs w:val="20"/>
          <w:color w:val="auto"/>
        </w:rPr>
      </w:pPr>
    </w:p>
    <w:p>
      <w:pPr>
        <w:ind w:right="300"/>
        <w:spacing w:after="0" w:line="243" w:lineRule="auto"/>
        <w:rPr>
          <w:sz w:val="20"/>
          <w:szCs w:val="20"/>
          <w:color w:val="auto"/>
        </w:rPr>
      </w:pPr>
      <w:r>
        <w:rPr>
          <w:rFonts w:ascii="Arial" w:cs="Arial" w:eastAsia="Arial" w:hAnsi="Arial"/>
          <w:sz w:val="17"/>
          <w:szCs w:val="17"/>
          <w:color w:val="auto"/>
        </w:rPr>
        <w:t>55 with at least 15 years of Company service is available, but if benefits are commenced early, they will be reduced by 4% per year for each year of early commencement prior to age 62.</w:t>
      </w:r>
    </w:p>
    <w:p>
      <w:pPr>
        <w:spacing w:after="0" w:line="171" w:lineRule="exact"/>
        <w:rPr>
          <w:sz w:val="20"/>
          <w:szCs w:val="20"/>
          <w:color w:val="auto"/>
        </w:rPr>
      </w:pPr>
    </w:p>
    <w:p>
      <w:pPr>
        <w:ind w:right="120"/>
        <w:spacing w:after="0" w:line="238" w:lineRule="auto"/>
        <w:rPr>
          <w:sz w:val="20"/>
          <w:szCs w:val="20"/>
          <w:color w:val="auto"/>
        </w:rPr>
      </w:pPr>
      <w:r>
        <w:rPr>
          <w:rFonts w:ascii="Arial" w:cs="Arial" w:eastAsia="Arial" w:hAnsi="Arial"/>
          <w:sz w:val="17"/>
          <w:szCs w:val="17"/>
          <w:color w:val="auto"/>
        </w:rPr>
        <w:t>For both the Qualified Plan and the TimkenSteel SERP, only actual years of service (with TimkenSteel and, prior to the spinoff, The Timken Company) are counted in calculating pension benefits, except in the case of involuntary termination without cause, in which case up to two additional years of service will be credited.</w:t>
      </w:r>
    </w:p>
    <w:p>
      <w:pPr>
        <w:spacing w:after="0" w:line="141" w:lineRule="exact"/>
        <w:rPr>
          <w:sz w:val="20"/>
          <w:szCs w:val="20"/>
          <w:color w:val="auto"/>
        </w:rPr>
      </w:pPr>
    </w:p>
    <w:p>
      <w:pPr>
        <w:spacing w:after="0"/>
        <w:rPr>
          <w:sz w:val="20"/>
          <w:szCs w:val="20"/>
          <w:color w:val="auto"/>
        </w:rPr>
      </w:pPr>
      <w:r>
        <w:rPr>
          <w:rFonts w:ascii="Arial" w:cs="Arial" w:eastAsia="Arial" w:hAnsi="Arial"/>
          <w:sz w:val="17"/>
          <w:szCs w:val="17"/>
          <w:b w:val="1"/>
          <w:bCs w:val="1"/>
          <w:color w:val="666666"/>
        </w:rPr>
        <w:t>2015 PENSION BENEFITS TABLE</w:t>
      </w:r>
    </w:p>
    <w:p>
      <w:pPr>
        <w:spacing w:after="0" w:line="7" w:lineRule="exact"/>
        <w:rPr>
          <w:sz w:val="20"/>
          <w:szCs w:val="20"/>
          <w:color w:val="auto"/>
        </w:rPr>
      </w:pPr>
    </w:p>
    <w:p>
      <w:pPr>
        <w:spacing w:after="0"/>
        <w:rPr>
          <w:sz w:val="20"/>
          <w:szCs w:val="20"/>
          <w:color w:val="auto"/>
        </w:rPr>
      </w:pPr>
      <w:r>
        <w:rPr>
          <w:rFonts w:ascii="Arial" w:cs="Arial" w:eastAsia="Arial" w:hAnsi="Arial"/>
          <w:sz w:val="17"/>
          <w:szCs w:val="17"/>
          <w:color w:val="auto"/>
        </w:rPr>
        <w:t>The following table sets forth the number of years of credited service and actuarial value of the defined benefit pension plans for our NEOs as of</w:t>
      </w:r>
    </w:p>
    <w:p>
      <w:pPr>
        <w:spacing w:after="0"/>
        <w:rPr>
          <w:sz w:val="20"/>
          <w:szCs w:val="20"/>
          <w:color w:val="auto"/>
        </w:rPr>
      </w:pPr>
      <w:r>
        <w:rPr>
          <w:rFonts w:ascii="Arial" w:cs="Arial" w:eastAsia="Arial" w:hAnsi="Arial"/>
          <w:sz w:val="17"/>
          <w:szCs w:val="17"/>
          <w:color w:val="auto"/>
        </w:rPr>
        <w:t>December 31, 2015:</w:t>
      </w:r>
    </w:p>
    <w:p>
      <w:pPr>
        <w:spacing w:after="0" w:line="196" w:lineRule="exact"/>
        <w:rPr>
          <w:sz w:val="20"/>
          <w:szCs w:val="20"/>
          <w:color w:val="auto"/>
        </w:rPr>
      </w:pPr>
    </w:p>
    <w:tbl>
      <w:tblPr>
        <w:tblLayout w:type="fixed"/>
        <w:tblInd w:w="10" w:type="dxa"/>
        <w:tblCellMar>
          <w:top w:w="0" w:type="dxa"/>
          <w:left w:w="0" w:type="dxa"/>
          <w:bottom w:w="0" w:type="dxa"/>
          <w:right w:w="0" w:type="dxa"/>
        </w:tblCellMar>
      </w:tblPr>
      <w:tr>
        <w:trPr>
          <w:trHeight w:val="176"/>
        </w:trPr>
        <w:tc>
          <w:tcPr>
            <w:tcW w:w="1860" w:type="dxa"/>
            <w:vAlign w:val="bottom"/>
            <w:tcBorders>
              <w:top w:val="single" w:sz="8" w:color="auto"/>
              <w:left w:val="single" w:sz="8" w:color="auto"/>
            </w:tcBorders>
          </w:tcPr>
          <w:p>
            <w:pPr>
              <w:spacing w:after="0"/>
              <w:rPr>
                <w:sz w:val="15"/>
                <w:szCs w:val="15"/>
                <w:color w:val="auto"/>
              </w:rPr>
            </w:pPr>
          </w:p>
        </w:tc>
        <w:tc>
          <w:tcPr>
            <w:tcW w:w="4560" w:type="dxa"/>
            <w:vAlign w:val="bottom"/>
            <w:tcBorders>
              <w:top w:val="single" w:sz="8" w:color="auto"/>
              <w:right w:val="single" w:sz="8" w:color="auto"/>
            </w:tcBorders>
          </w:tcPr>
          <w:p>
            <w:pPr>
              <w:spacing w:after="0"/>
              <w:rPr>
                <w:sz w:val="15"/>
                <w:szCs w:val="15"/>
                <w:color w:val="auto"/>
              </w:rPr>
            </w:pPr>
          </w:p>
        </w:tc>
        <w:tc>
          <w:tcPr>
            <w:tcW w:w="1680" w:type="dxa"/>
            <w:vAlign w:val="bottom"/>
            <w:tcBorders>
              <w:top w:val="single" w:sz="8" w:color="auto"/>
              <w:right w:val="single" w:sz="8" w:color="auto"/>
            </w:tcBorders>
          </w:tcPr>
          <w:p>
            <w:pPr>
              <w:spacing w:after="0"/>
              <w:rPr>
                <w:sz w:val="15"/>
                <w:szCs w:val="15"/>
                <w:color w:val="auto"/>
              </w:rPr>
            </w:pPr>
          </w:p>
        </w:tc>
        <w:tc>
          <w:tcPr>
            <w:tcW w:w="1420" w:type="dxa"/>
            <w:vAlign w:val="bottom"/>
            <w:tcBorders>
              <w:top w:val="single" w:sz="8" w:color="auto"/>
              <w:right w:val="single" w:sz="8" w:color="auto"/>
            </w:tcBorders>
          </w:tcPr>
          <w:p>
            <w:pPr>
              <w:jc w:val="center"/>
              <w:ind w:right="75"/>
              <w:spacing w:after="0" w:line="176" w:lineRule="exact"/>
              <w:rPr>
                <w:sz w:val="20"/>
                <w:szCs w:val="20"/>
                <w:color w:val="auto"/>
              </w:rPr>
            </w:pPr>
            <w:r>
              <w:rPr>
                <w:rFonts w:ascii="Arial" w:cs="Arial" w:eastAsia="Arial" w:hAnsi="Arial"/>
                <w:sz w:val="17"/>
                <w:szCs w:val="17"/>
                <w:b w:val="1"/>
                <w:bCs w:val="1"/>
                <w:color w:val="auto"/>
              </w:rPr>
              <w:t>Number of</w:t>
            </w:r>
          </w:p>
        </w:tc>
        <w:tc>
          <w:tcPr>
            <w:tcW w:w="320" w:type="dxa"/>
            <w:vAlign w:val="bottom"/>
            <w:tcBorders>
              <w:top w:val="single" w:sz="8" w:color="auto"/>
            </w:tcBorders>
          </w:tcPr>
          <w:p>
            <w:pPr>
              <w:spacing w:after="0"/>
              <w:rPr>
                <w:sz w:val="15"/>
                <w:szCs w:val="15"/>
                <w:color w:val="auto"/>
              </w:rPr>
            </w:pPr>
          </w:p>
        </w:tc>
        <w:tc>
          <w:tcPr>
            <w:tcW w:w="1600" w:type="dxa"/>
            <w:vAlign w:val="bottom"/>
            <w:tcBorders>
              <w:top w:val="single" w:sz="8" w:color="auto"/>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89"/>
        </w:trPr>
        <w:tc>
          <w:tcPr>
            <w:tcW w:w="1860" w:type="dxa"/>
            <w:vAlign w:val="bottom"/>
            <w:tcBorders>
              <w:left w:val="single" w:sz="8" w:color="auto"/>
            </w:tcBorders>
          </w:tcPr>
          <w:p>
            <w:pPr>
              <w:spacing w:after="0"/>
              <w:rPr>
                <w:sz w:val="16"/>
                <w:szCs w:val="16"/>
                <w:color w:val="auto"/>
              </w:rPr>
            </w:pPr>
          </w:p>
        </w:tc>
        <w:tc>
          <w:tcPr>
            <w:tcW w:w="4560" w:type="dxa"/>
            <w:vAlign w:val="bottom"/>
            <w:tcBorders>
              <w:right w:val="single" w:sz="8" w:color="auto"/>
            </w:tcBorders>
          </w:tcPr>
          <w:p>
            <w:pPr>
              <w:spacing w:after="0"/>
              <w:rPr>
                <w:sz w:val="16"/>
                <w:szCs w:val="16"/>
                <w:color w:val="auto"/>
              </w:rPr>
            </w:pPr>
          </w:p>
        </w:tc>
        <w:tc>
          <w:tcPr>
            <w:tcW w:w="1680" w:type="dxa"/>
            <w:vAlign w:val="bottom"/>
            <w:tcBorders>
              <w:right w:val="single" w:sz="8" w:color="auto"/>
            </w:tcBorders>
          </w:tcPr>
          <w:p>
            <w:pPr>
              <w:spacing w:after="0"/>
              <w:rPr>
                <w:sz w:val="16"/>
                <w:szCs w:val="16"/>
                <w:color w:val="auto"/>
              </w:rPr>
            </w:pPr>
          </w:p>
        </w:tc>
        <w:tc>
          <w:tcPr>
            <w:tcW w:w="1420" w:type="dxa"/>
            <w:vAlign w:val="bottom"/>
            <w:tcBorders>
              <w:right w:val="single" w:sz="8" w:color="auto"/>
            </w:tcBorders>
          </w:tcPr>
          <w:p>
            <w:pPr>
              <w:jc w:val="center"/>
              <w:ind w:right="75"/>
              <w:spacing w:after="0" w:line="189" w:lineRule="exact"/>
              <w:rPr>
                <w:sz w:val="20"/>
                <w:szCs w:val="20"/>
                <w:color w:val="auto"/>
              </w:rPr>
            </w:pPr>
            <w:r>
              <w:rPr>
                <w:rFonts w:ascii="Arial" w:cs="Arial" w:eastAsia="Arial" w:hAnsi="Arial"/>
                <w:sz w:val="17"/>
                <w:szCs w:val="17"/>
                <w:b w:val="1"/>
                <w:bCs w:val="1"/>
                <w:color w:val="auto"/>
                <w:w w:val="98"/>
              </w:rPr>
              <w:t>Years of</w:t>
            </w:r>
          </w:p>
        </w:tc>
        <w:tc>
          <w:tcPr>
            <w:tcW w:w="1920" w:type="dxa"/>
            <w:vAlign w:val="bottom"/>
            <w:tcBorders>
              <w:right w:val="single" w:sz="8" w:color="auto"/>
            </w:tcBorders>
            <w:gridSpan w:val="2"/>
          </w:tcPr>
          <w:p>
            <w:pPr>
              <w:ind w:left="220"/>
              <w:spacing w:after="0" w:line="189" w:lineRule="exact"/>
              <w:rPr>
                <w:sz w:val="20"/>
                <w:szCs w:val="20"/>
                <w:color w:val="auto"/>
              </w:rPr>
            </w:pPr>
            <w:r>
              <w:rPr>
                <w:rFonts w:ascii="Arial" w:cs="Arial" w:eastAsia="Arial" w:hAnsi="Arial"/>
                <w:sz w:val="17"/>
                <w:szCs w:val="17"/>
                <w:b w:val="1"/>
                <w:bCs w:val="1"/>
                <w:color w:val="auto"/>
              </w:rPr>
              <w:t>Present Value of</w:t>
            </w:r>
          </w:p>
        </w:tc>
        <w:tc>
          <w:tcPr>
            <w:tcW w:w="0" w:type="dxa"/>
            <w:vAlign w:val="bottom"/>
          </w:tcPr>
          <w:p>
            <w:pPr>
              <w:spacing w:after="0"/>
              <w:rPr>
                <w:sz w:val="1"/>
                <w:szCs w:val="1"/>
                <w:color w:val="auto"/>
              </w:rPr>
            </w:pPr>
          </w:p>
        </w:tc>
      </w:tr>
      <w:tr>
        <w:trPr>
          <w:trHeight w:val="189"/>
        </w:trPr>
        <w:tc>
          <w:tcPr>
            <w:tcW w:w="1860" w:type="dxa"/>
            <w:vAlign w:val="bottom"/>
            <w:tcBorders>
              <w:left w:val="single" w:sz="8" w:color="auto"/>
            </w:tcBorders>
          </w:tcPr>
          <w:p>
            <w:pPr>
              <w:spacing w:after="0"/>
              <w:rPr>
                <w:sz w:val="16"/>
                <w:szCs w:val="16"/>
                <w:color w:val="auto"/>
              </w:rPr>
            </w:pPr>
          </w:p>
        </w:tc>
        <w:tc>
          <w:tcPr>
            <w:tcW w:w="4560" w:type="dxa"/>
            <w:vAlign w:val="bottom"/>
            <w:tcBorders>
              <w:right w:val="single" w:sz="8" w:color="auto"/>
            </w:tcBorders>
          </w:tcPr>
          <w:p>
            <w:pPr>
              <w:spacing w:after="0"/>
              <w:rPr>
                <w:sz w:val="16"/>
                <w:szCs w:val="16"/>
                <w:color w:val="auto"/>
              </w:rPr>
            </w:pPr>
          </w:p>
        </w:tc>
        <w:tc>
          <w:tcPr>
            <w:tcW w:w="1680" w:type="dxa"/>
            <w:vAlign w:val="bottom"/>
            <w:tcBorders>
              <w:right w:val="single" w:sz="8" w:color="auto"/>
            </w:tcBorders>
          </w:tcPr>
          <w:p>
            <w:pPr>
              <w:spacing w:after="0"/>
              <w:rPr>
                <w:sz w:val="16"/>
                <w:szCs w:val="16"/>
                <w:color w:val="auto"/>
              </w:rPr>
            </w:pPr>
          </w:p>
        </w:tc>
        <w:tc>
          <w:tcPr>
            <w:tcW w:w="1420" w:type="dxa"/>
            <w:vAlign w:val="bottom"/>
            <w:tcBorders>
              <w:right w:val="single" w:sz="8" w:color="auto"/>
            </w:tcBorders>
          </w:tcPr>
          <w:p>
            <w:pPr>
              <w:jc w:val="center"/>
              <w:ind w:right="75"/>
              <w:spacing w:after="0" w:line="189" w:lineRule="exact"/>
              <w:rPr>
                <w:sz w:val="20"/>
                <w:szCs w:val="20"/>
                <w:color w:val="auto"/>
              </w:rPr>
            </w:pPr>
            <w:r>
              <w:rPr>
                <w:rFonts w:ascii="Arial" w:cs="Arial" w:eastAsia="Arial" w:hAnsi="Arial"/>
                <w:sz w:val="17"/>
                <w:szCs w:val="17"/>
                <w:b w:val="1"/>
                <w:bCs w:val="1"/>
                <w:color w:val="auto"/>
              </w:rPr>
              <w:t>Credited</w:t>
            </w:r>
          </w:p>
        </w:tc>
        <w:tc>
          <w:tcPr>
            <w:tcW w:w="320" w:type="dxa"/>
            <w:vAlign w:val="bottom"/>
          </w:tcPr>
          <w:p>
            <w:pPr>
              <w:spacing w:after="0"/>
              <w:rPr>
                <w:sz w:val="16"/>
                <w:szCs w:val="16"/>
                <w:color w:val="auto"/>
              </w:rPr>
            </w:pPr>
          </w:p>
        </w:tc>
        <w:tc>
          <w:tcPr>
            <w:tcW w:w="1600" w:type="dxa"/>
            <w:vAlign w:val="bottom"/>
            <w:tcBorders>
              <w:right w:val="single" w:sz="8" w:color="auto"/>
            </w:tcBorders>
          </w:tcPr>
          <w:p>
            <w:pPr>
              <w:jc w:val="right"/>
              <w:ind w:right="415"/>
              <w:spacing w:after="0" w:line="189" w:lineRule="exact"/>
              <w:rPr>
                <w:sz w:val="20"/>
                <w:szCs w:val="20"/>
                <w:color w:val="auto"/>
              </w:rPr>
            </w:pPr>
            <w:r>
              <w:rPr>
                <w:rFonts w:ascii="Arial" w:cs="Arial" w:eastAsia="Arial" w:hAnsi="Arial"/>
                <w:sz w:val="17"/>
                <w:szCs w:val="17"/>
                <w:b w:val="1"/>
                <w:bCs w:val="1"/>
                <w:color w:val="auto"/>
              </w:rPr>
              <w:t>Accumulated</w:t>
            </w:r>
          </w:p>
        </w:tc>
        <w:tc>
          <w:tcPr>
            <w:tcW w:w="0" w:type="dxa"/>
            <w:vAlign w:val="bottom"/>
          </w:tcPr>
          <w:p>
            <w:pPr>
              <w:spacing w:after="0"/>
              <w:rPr>
                <w:sz w:val="1"/>
                <w:szCs w:val="1"/>
                <w:color w:val="auto"/>
              </w:rPr>
            </w:pPr>
          </w:p>
        </w:tc>
      </w:tr>
      <w:tr>
        <w:trPr>
          <w:trHeight w:val="215"/>
        </w:trPr>
        <w:tc>
          <w:tcPr>
            <w:tcW w:w="1860" w:type="dxa"/>
            <w:vAlign w:val="bottom"/>
            <w:tcBorders>
              <w:left w:val="single" w:sz="8" w:color="auto"/>
              <w:bottom w:val="single" w:sz="8" w:color="auto"/>
            </w:tcBorders>
          </w:tcPr>
          <w:p>
            <w:pPr>
              <w:ind w:left="160"/>
              <w:spacing w:after="0"/>
              <w:rPr>
                <w:sz w:val="20"/>
                <w:szCs w:val="20"/>
                <w:color w:val="auto"/>
              </w:rPr>
            </w:pPr>
            <w:r>
              <w:rPr>
                <w:rFonts w:ascii="Arial" w:cs="Arial" w:eastAsia="Arial" w:hAnsi="Arial"/>
                <w:sz w:val="17"/>
                <w:szCs w:val="17"/>
                <w:b w:val="1"/>
                <w:bCs w:val="1"/>
                <w:color w:val="auto"/>
              </w:rPr>
              <w:t>Name</w:t>
            </w:r>
          </w:p>
        </w:tc>
        <w:tc>
          <w:tcPr>
            <w:tcW w:w="4560" w:type="dxa"/>
            <w:vAlign w:val="bottom"/>
            <w:tcBorders>
              <w:bottom w:val="single" w:sz="8" w:color="auto"/>
              <w:right w:val="single" w:sz="8" w:color="auto"/>
            </w:tcBorders>
          </w:tcPr>
          <w:p>
            <w:pPr>
              <w:spacing w:after="0"/>
              <w:rPr>
                <w:sz w:val="18"/>
                <w:szCs w:val="18"/>
                <w:color w:val="auto"/>
              </w:rPr>
            </w:pPr>
          </w:p>
        </w:tc>
        <w:tc>
          <w:tcPr>
            <w:tcW w:w="1680" w:type="dxa"/>
            <w:vAlign w:val="bottom"/>
            <w:tcBorders>
              <w:bottom w:val="single" w:sz="8" w:color="auto"/>
              <w:right w:val="single" w:sz="8" w:color="auto"/>
            </w:tcBorders>
          </w:tcPr>
          <w:p>
            <w:pPr>
              <w:ind w:left="480"/>
              <w:spacing w:after="0"/>
              <w:rPr>
                <w:sz w:val="20"/>
                <w:szCs w:val="20"/>
                <w:color w:val="auto"/>
              </w:rPr>
            </w:pPr>
            <w:r>
              <w:rPr>
                <w:rFonts w:ascii="Arial" w:cs="Arial" w:eastAsia="Arial" w:hAnsi="Arial"/>
                <w:sz w:val="17"/>
                <w:szCs w:val="17"/>
                <w:b w:val="1"/>
                <w:bCs w:val="1"/>
                <w:color w:val="auto"/>
              </w:rPr>
              <w:t>Plan Name</w:t>
            </w:r>
          </w:p>
        </w:tc>
        <w:tc>
          <w:tcPr>
            <w:tcW w:w="1420" w:type="dxa"/>
            <w:vAlign w:val="bottom"/>
            <w:tcBorders>
              <w:bottom w:val="single" w:sz="8" w:color="auto"/>
              <w:right w:val="single" w:sz="8" w:color="auto"/>
            </w:tcBorders>
          </w:tcPr>
          <w:p>
            <w:pPr>
              <w:jc w:val="center"/>
              <w:ind w:right="95"/>
              <w:spacing w:after="0"/>
              <w:rPr>
                <w:sz w:val="20"/>
                <w:szCs w:val="20"/>
                <w:color w:val="auto"/>
              </w:rPr>
            </w:pPr>
            <w:r>
              <w:rPr>
                <w:rFonts w:ascii="Arial" w:cs="Arial" w:eastAsia="Arial" w:hAnsi="Arial"/>
                <w:sz w:val="17"/>
                <w:szCs w:val="17"/>
                <w:b w:val="1"/>
                <w:bCs w:val="1"/>
                <w:color w:val="auto"/>
                <w:w w:val="99"/>
              </w:rPr>
              <w:t>Service</w:t>
            </w:r>
          </w:p>
        </w:tc>
        <w:tc>
          <w:tcPr>
            <w:tcW w:w="320" w:type="dxa"/>
            <w:vAlign w:val="bottom"/>
            <w:tcBorders>
              <w:bottom w:val="single" w:sz="8" w:color="auto"/>
            </w:tcBorders>
          </w:tcPr>
          <w:p>
            <w:pPr>
              <w:spacing w:after="0"/>
              <w:rPr>
                <w:sz w:val="18"/>
                <w:szCs w:val="18"/>
                <w:color w:val="auto"/>
              </w:rPr>
            </w:pPr>
          </w:p>
        </w:tc>
        <w:tc>
          <w:tcPr>
            <w:tcW w:w="1600" w:type="dxa"/>
            <w:vAlign w:val="bottom"/>
            <w:tcBorders>
              <w:bottom w:val="single" w:sz="8" w:color="auto"/>
              <w:right w:val="single" w:sz="8" w:color="auto"/>
            </w:tcBorders>
          </w:tcPr>
          <w:p>
            <w:pPr>
              <w:jc w:val="right"/>
              <w:ind w:right="575"/>
              <w:spacing w:after="0"/>
              <w:rPr>
                <w:sz w:val="20"/>
                <w:szCs w:val="20"/>
                <w:color w:val="auto"/>
              </w:rPr>
            </w:pPr>
            <w:r>
              <w:rPr>
                <w:rFonts w:ascii="Arial" w:cs="Arial" w:eastAsia="Arial" w:hAnsi="Arial"/>
                <w:sz w:val="17"/>
                <w:szCs w:val="17"/>
                <w:b w:val="1"/>
                <w:bCs w:val="1"/>
                <w:color w:val="auto"/>
              </w:rPr>
              <w:t>Benefit</w:t>
            </w:r>
            <w:r>
              <w:rPr>
                <w:rFonts w:ascii="Arial" w:cs="Arial" w:eastAsia="Arial" w:hAnsi="Arial"/>
                <w:sz w:val="14"/>
                <w:szCs w:val="14"/>
                <w:b w:val="1"/>
                <w:bCs w:val="1"/>
                <w:color w:val="auto"/>
              </w:rPr>
              <w:t>(1)</w:t>
            </w:r>
          </w:p>
        </w:tc>
        <w:tc>
          <w:tcPr>
            <w:tcW w:w="0" w:type="dxa"/>
            <w:vAlign w:val="bottom"/>
          </w:tcPr>
          <w:p>
            <w:pPr>
              <w:spacing w:after="0"/>
              <w:rPr>
                <w:sz w:val="1"/>
                <w:szCs w:val="1"/>
                <w:color w:val="auto"/>
              </w:rPr>
            </w:pPr>
          </w:p>
        </w:tc>
      </w:tr>
      <w:tr>
        <w:trPr>
          <w:trHeight w:val="129"/>
        </w:trPr>
        <w:tc>
          <w:tcPr>
            <w:tcW w:w="1860" w:type="dxa"/>
            <w:vAlign w:val="bottom"/>
            <w:tcBorders>
              <w:left w:val="single" w:sz="8" w:color="auto"/>
            </w:tcBorders>
            <w:shd w:val="clear" w:color="auto" w:fill="CCEEFF"/>
          </w:tcPr>
          <w:p>
            <w:pPr>
              <w:ind w:left="1620"/>
              <w:spacing w:after="0" w:line="129" w:lineRule="exact"/>
              <w:rPr>
                <w:sz w:val="20"/>
                <w:szCs w:val="20"/>
                <w:color w:val="auto"/>
              </w:rPr>
            </w:pPr>
            <w:r>
              <w:rPr>
                <w:rFonts w:ascii="Arial" w:cs="Arial" w:eastAsia="Arial" w:hAnsi="Arial"/>
                <w:sz w:val="13"/>
                <w:szCs w:val="13"/>
                <w:color w:val="auto"/>
              </w:rPr>
              <w:t>(2)</w:t>
            </w:r>
          </w:p>
        </w:tc>
        <w:tc>
          <w:tcPr>
            <w:tcW w:w="4560" w:type="dxa"/>
            <w:vAlign w:val="bottom"/>
            <w:tcBorders>
              <w:right w:val="single" w:sz="8" w:color="auto"/>
            </w:tcBorders>
            <w:shd w:val="clear" w:color="auto" w:fill="CCEEFF"/>
          </w:tcPr>
          <w:p>
            <w:pPr>
              <w:spacing w:after="0"/>
              <w:rPr>
                <w:sz w:val="11"/>
                <w:szCs w:val="11"/>
                <w:color w:val="auto"/>
              </w:rPr>
            </w:pPr>
          </w:p>
        </w:tc>
        <w:tc>
          <w:tcPr>
            <w:tcW w:w="1680" w:type="dxa"/>
            <w:vAlign w:val="bottom"/>
            <w:tcBorders>
              <w:right w:val="single" w:sz="8" w:color="auto"/>
            </w:tcBorders>
            <w:vMerge w:val="restart"/>
            <w:shd w:val="clear" w:color="auto" w:fill="CCEEFF"/>
          </w:tcPr>
          <w:p>
            <w:pPr>
              <w:ind w:left="200"/>
              <w:spacing w:after="0" w:line="183" w:lineRule="exact"/>
              <w:rPr>
                <w:sz w:val="20"/>
                <w:szCs w:val="20"/>
                <w:color w:val="auto"/>
              </w:rPr>
            </w:pPr>
            <w:r>
              <w:rPr>
                <w:rFonts w:ascii="Arial" w:cs="Arial" w:eastAsia="Arial" w:hAnsi="Arial"/>
                <w:sz w:val="17"/>
                <w:szCs w:val="17"/>
                <w:color w:val="auto"/>
              </w:rPr>
              <w:t>Supplemental Plan</w:t>
            </w:r>
          </w:p>
        </w:tc>
        <w:tc>
          <w:tcPr>
            <w:tcW w:w="1420" w:type="dxa"/>
            <w:vAlign w:val="bottom"/>
            <w:tcBorders>
              <w:right w:val="single" w:sz="8" w:color="auto"/>
            </w:tcBorders>
            <w:vMerge w:val="restart"/>
            <w:shd w:val="clear" w:color="auto" w:fill="CCEEFF"/>
          </w:tcPr>
          <w:p>
            <w:pPr>
              <w:jc w:val="right"/>
              <w:ind w:right="275"/>
              <w:spacing w:after="0" w:line="183" w:lineRule="exact"/>
              <w:rPr>
                <w:sz w:val="20"/>
                <w:szCs w:val="20"/>
                <w:color w:val="auto"/>
              </w:rPr>
            </w:pPr>
            <w:r>
              <w:rPr>
                <w:rFonts w:ascii="Arial" w:cs="Arial" w:eastAsia="Arial" w:hAnsi="Arial"/>
                <w:sz w:val="17"/>
                <w:szCs w:val="17"/>
                <w:color w:val="auto"/>
              </w:rPr>
              <w:t>23.6</w:t>
            </w:r>
          </w:p>
        </w:tc>
        <w:tc>
          <w:tcPr>
            <w:tcW w:w="320" w:type="dxa"/>
            <w:vAlign w:val="bottom"/>
            <w:vMerge w:val="restart"/>
            <w:shd w:val="clear" w:color="auto" w:fill="CCEEFF"/>
          </w:tcPr>
          <w:p>
            <w:pPr>
              <w:ind w:left="200"/>
              <w:spacing w:after="0" w:line="183" w:lineRule="exact"/>
              <w:rPr>
                <w:sz w:val="20"/>
                <w:szCs w:val="20"/>
                <w:color w:val="auto"/>
              </w:rPr>
            </w:pPr>
            <w:r>
              <w:rPr>
                <w:rFonts w:ascii="Arial" w:cs="Arial" w:eastAsia="Arial" w:hAnsi="Arial"/>
                <w:sz w:val="17"/>
                <w:szCs w:val="17"/>
                <w:color w:val="auto"/>
              </w:rPr>
              <w:t>$</w:t>
            </w:r>
          </w:p>
        </w:tc>
        <w:tc>
          <w:tcPr>
            <w:tcW w:w="1600" w:type="dxa"/>
            <w:vAlign w:val="bottom"/>
            <w:tcBorders>
              <w:right w:val="single" w:sz="8" w:color="auto"/>
            </w:tcBorders>
            <w:vMerge w:val="restart"/>
            <w:shd w:val="clear" w:color="auto" w:fill="CCEEFF"/>
          </w:tcPr>
          <w:p>
            <w:pPr>
              <w:jc w:val="right"/>
              <w:ind w:right="275"/>
              <w:spacing w:after="0" w:line="183" w:lineRule="exact"/>
              <w:rPr>
                <w:sz w:val="20"/>
                <w:szCs w:val="20"/>
                <w:color w:val="auto"/>
              </w:rPr>
            </w:pPr>
            <w:r>
              <w:rPr>
                <w:rFonts w:ascii="Arial" w:cs="Arial" w:eastAsia="Arial" w:hAnsi="Arial"/>
                <w:sz w:val="17"/>
                <w:szCs w:val="17"/>
                <w:color w:val="auto"/>
              </w:rPr>
              <w:t>6,912,000</w:t>
            </w:r>
          </w:p>
        </w:tc>
        <w:tc>
          <w:tcPr>
            <w:tcW w:w="0" w:type="dxa"/>
            <w:vAlign w:val="bottom"/>
          </w:tcPr>
          <w:p>
            <w:pPr>
              <w:spacing w:after="0"/>
              <w:rPr>
                <w:sz w:val="1"/>
                <w:szCs w:val="1"/>
                <w:color w:val="auto"/>
              </w:rPr>
            </w:pPr>
          </w:p>
        </w:tc>
      </w:tr>
      <w:tr>
        <w:trPr>
          <w:trHeight w:val="59"/>
        </w:trPr>
        <w:tc>
          <w:tcPr>
            <w:tcW w:w="1860" w:type="dxa"/>
            <w:vAlign w:val="bottom"/>
            <w:tcBorders>
              <w:left w:val="single" w:sz="8" w:color="auto"/>
            </w:tcBorders>
            <w:shd w:val="clear" w:color="auto" w:fill="CCEEFF"/>
          </w:tcPr>
          <w:p>
            <w:pPr>
              <w:ind w:left="160"/>
              <w:spacing w:after="0" w:line="54" w:lineRule="exact"/>
              <w:rPr>
                <w:sz w:val="20"/>
                <w:szCs w:val="20"/>
                <w:color w:val="auto"/>
              </w:rPr>
            </w:pPr>
            <w:r>
              <w:rPr>
                <w:rFonts w:ascii="Arial" w:cs="Arial" w:eastAsia="Arial" w:hAnsi="Arial"/>
                <w:sz w:val="6"/>
                <w:szCs w:val="6"/>
                <w:color w:val="auto"/>
              </w:rPr>
              <w:t>Ward J. Timken, Jr.</w:t>
            </w:r>
          </w:p>
        </w:tc>
        <w:tc>
          <w:tcPr>
            <w:tcW w:w="4560" w:type="dxa"/>
            <w:vAlign w:val="bottom"/>
            <w:tcBorders>
              <w:right w:val="single" w:sz="8" w:color="auto"/>
            </w:tcBorders>
            <w:shd w:val="clear" w:color="auto" w:fill="CCEEFF"/>
          </w:tcPr>
          <w:p>
            <w:pPr>
              <w:spacing w:after="0"/>
              <w:rPr>
                <w:sz w:val="4"/>
                <w:szCs w:val="4"/>
                <w:color w:val="auto"/>
              </w:rPr>
            </w:pPr>
          </w:p>
        </w:tc>
        <w:tc>
          <w:tcPr>
            <w:tcW w:w="1680" w:type="dxa"/>
            <w:vAlign w:val="bottom"/>
            <w:tcBorders>
              <w:bottom w:val="single" w:sz="8" w:color="auto"/>
              <w:right w:val="single" w:sz="8" w:color="auto"/>
            </w:tcBorders>
            <w:vMerge w:val="continue"/>
            <w:shd w:val="clear" w:color="auto" w:fill="CCEEFF"/>
          </w:tcPr>
          <w:p>
            <w:pPr>
              <w:spacing w:after="0"/>
              <w:rPr>
                <w:sz w:val="4"/>
                <w:szCs w:val="4"/>
                <w:color w:val="auto"/>
              </w:rPr>
            </w:pPr>
          </w:p>
        </w:tc>
        <w:tc>
          <w:tcPr>
            <w:tcW w:w="1420" w:type="dxa"/>
            <w:vAlign w:val="bottom"/>
            <w:tcBorders>
              <w:bottom w:val="single" w:sz="8" w:color="auto"/>
              <w:right w:val="single" w:sz="8" w:color="auto"/>
            </w:tcBorders>
            <w:vMerge w:val="continue"/>
            <w:shd w:val="clear" w:color="auto" w:fill="CCEEFF"/>
          </w:tcPr>
          <w:p>
            <w:pPr>
              <w:spacing w:after="0"/>
              <w:rPr>
                <w:sz w:val="4"/>
                <w:szCs w:val="4"/>
                <w:color w:val="auto"/>
              </w:rPr>
            </w:pPr>
          </w:p>
        </w:tc>
        <w:tc>
          <w:tcPr>
            <w:tcW w:w="320" w:type="dxa"/>
            <w:vAlign w:val="bottom"/>
            <w:tcBorders>
              <w:bottom w:val="single" w:sz="8" w:color="auto"/>
            </w:tcBorders>
            <w:vMerge w:val="continue"/>
            <w:shd w:val="clear" w:color="auto" w:fill="CCEEFF"/>
          </w:tcPr>
          <w:p>
            <w:pPr>
              <w:spacing w:after="0"/>
              <w:rPr>
                <w:sz w:val="4"/>
                <w:szCs w:val="4"/>
                <w:color w:val="auto"/>
              </w:rPr>
            </w:pPr>
          </w:p>
        </w:tc>
        <w:tc>
          <w:tcPr>
            <w:tcW w:w="1600" w:type="dxa"/>
            <w:vAlign w:val="bottom"/>
            <w:tcBorders>
              <w:bottom w:val="single" w:sz="8" w:color="auto"/>
              <w:right w:val="single" w:sz="8" w:color="auto"/>
            </w:tcBorders>
            <w:vMerge w:val="continue"/>
            <w:shd w:val="clear" w:color="auto" w:fill="CCEEFF"/>
          </w:tcPr>
          <w:p>
            <w:pPr>
              <w:spacing w:after="0"/>
              <w:rPr>
                <w:sz w:val="4"/>
                <w:szCs w:val="4"/>
                <w:color w:val="auto"/>
              </w:rPr>
            </w:pPr>
          </w:p>
        </w:tc>
        <w:tc>
          <w:tcPr>
            <w:tcW w:w="0" w:type="dxa"/>
            <w:vAlign w:val="bottom"/>
          </w:tcPr>
          <w:p>
            <w:pPr>
              <w:spacing w:after="0"/>
              <w:rPr>
                <w:sz w:val="1"/>
                <w:szCs w:val="1"/>
                <w:color w:val="auto"/>
              </w:rPr>
            </w:pPr>
          </w:p>
        </w:tc>
      </w:tr>
      <w:tr>
        <w:trPr>
          <w:trHeight w:val="183"/>
        </w:trPr>
        <w:tc>
          <w:tcPr>
            <w:tcW w:w="1860" w:type="dxa"/>
            <w:vAlign w:val="bottom"/>
            <w:tcBorders>
              <w:left w:val="single" w:sz="8" w:color="auto"/>
              <w:bottom w:val="single" w:sz="8" w:color="auto"/>
            </w:tcBorders>
          </w:tcPr>
          <w:p>
            <w:pPr>
              <w:spacing w:after="0"/>
              <w:rPr>
                <w:sz w:val="15"/>
                <w:szCs w:val="15"/>
                <w:color w:val="auto"/>
              </w:rPr>
            </w:pPr>
          </w:p>
        </w:tc>
        <w:tc>
          <w:tcPr>
            <w:tcW w:w="4560" w:type="dxa"/>
            <w:vAlign w:val="bottom"/>
            <w:tcBorders>
              <w:bottom w:val="single" w:sz="8" w:color="auto"/>
              <w:right w:val="single" w:sz="8" w:color="auto"/>
            </w:tcBorders>
          </w:tcPr>
          <w:p>
            <w:pPr>
              <w:spacing w:after="0"/>
              <w:rPr>
                <w:sz w:val="15"/>
                <w:szCs w:val="15"/>
                <w:color w:val="auto"/>
              </w:rPr>
            </w:pPr>
          </w:p>
        </w:tc>
        <w:tc>
          <w:tcPr>
            <w:tcW w:w="1680" w:type="dxa"/>
            <w:vAlign w:val="bottom"/>
            <w:tcBorders>
              <w:bottom w:val="single" w:sz="8" w:color="auto"/>
              <w:right w:val="single" w:sz="8" w:color="auto"/>
            </w:tcBorders>
          </w:tcPr>
          <w:p>
            <w:pPr>
              <w:ind w:left="200"/>
              <w:spacing w:after="0" w:line="183" w:lineRule="exact"/>
              <w:rPr>
                <w:sz w:val="20"/>
                <w:szCs w:val="20"/>
                <w:color w:val="auto"/>
              </w:rPr>
            </w:pPr>
            <w:r>
              <w:rPr>
                <w:rFonts w:ascii="Arial" w:cs="Arial" w:eastAsia="Arial" w:hAnsi="Arial"/>
                <w:sz w:val="17"/>
                <w:szCs w:val="17"/>
                <w:color w:val="auto"/>
              </w:rPr>
              <w:t>Qualified Plan</w:t>
            </w:r>
          </w:p>
        </w:tc>
        <w:tc>
          <w:tcPr>
            <w:tcW w:w="1420" w:type="dxa"/>
            <w:vAlign w:val="bottom"/>
            <w:tcBorders>
              <w:bottom w:val="single" w:sz="8" w:color="auto"/>
              <w:right w:val="single" w:sz="8" w:color="auto"/>
            </w:tcBorders>
          </w:tcPr>
          <w:p>
            <w:pPr>
              <w:jc w:val="right"/>
              <w:ind w:right="275"/>
              <w:spacing w:after="0" w:line="183" w:lineRule="exact"/>
              <w:rPr>
                <w:sz w:val="20"/>
                <w:szCs w:val="20"/>
                <w:color w:val="auto"/>
              </w:rPr>
            </w:pPr>
            <w:r>
              <w:rPr>
                <w:rFonts w:ascii="Arial" w:cs="Arial" w:eastAsia="Arial" w:hAnsi="Arial"/>
                <w:sz w:val="17"/>
                <w:szCs w:val="17"/>
                <w:color w:val="auto"/>
              </w:rPr>
              <w:t>11.6</w:t>
            </w:r>
          </w:p>
        </w:tc>
        <w:tc>
          <w:tcPr>
            <w:tcW w:w="320" w:type="dxa"/>
            <w:vAlign w:val="bottom"/>
            <w:tcBorders>
              <w:bottom w:val="single" w:sz="8" w:color="auto"/>
            </w:tcBorders>
          </w:tcPr>
          <w:p>
            <w:pPr>
              <w:ind w:left="200"/>
              <w:spacing w:after="0" w:line="183" w:lineRule="exact"/>
              <w:rPr>
                <w:sz w:val="20"/>
                <w:szCs w:val="20"/>
                <w:color w:val="auto"/>
              </w:rPr>
            </w:pPr>
            <w:r>
              <w:rPr>
                <w:rFonts w:ascii="Arial" w:cs="Arial" w:eastAsia="Arial" w:hAnsi="Arial"/>
                <w:sz w:val="17"/>
                <w:szCs w:val="17"/>
                <w:color w:val="auto"/>
              </w:rPr>
              <w:t>$</w:t>
            </w:r>
          </w:p>
        </w:tc>
        <w:tc>
          <w:tcPr>
            <w:tcW w:w="1600" w:type="dxa"/>
            <w:vAlign w:val="bottom"/>
            <w:tcBorders>
              <w:bottom w:val="single" w:sz="8" w:color="auto"/>
              <w:right w:val="single" w:sz="8" w:color="auto"/>
            </w:tcBorders>
          </w:tcPr>
          <w:p>
            <w:pPr>
              <w:jc w:val="right"/>
              <w:ind w:right="275"/>
              <w:spacing w:after="0" w:line="183" w:lineRule="exact"/>
              <w:rPr>
                <w:sz w:val="20"/>
                <w:szCs w:val="20"/>
                <w:color w:val="auto"/>
              </w:rPr>
            </w:pPr>
            <w:r>
              <w:rPr>
                <w:rFonts w:ascii="Arial" w:cs="Arial" w:eastAsia="Arial" w:hAnsi="Arial"/>
                <w:sz w:val="17"/>
                <w:szCs w:val="17"/>
                <w:color w:val="auto"/>
              </w:rPr>
              <w:t>232,000</w:t>
            </w:r>
          </w:p>
        </w:tc>
        <w:tc>
          <w:tcPr>
            <w:tcW w:w="0" w:type="dxa"/>
            <w:vAlign w:val="bottom"/>
          </w:tcPr>
          <w:p>
            <w:pPr>
              <w:spacing w:after="0"/>
              <w:rPr>
                <w:sz w:val="1"/>
                <w:szCs w:val="1"/>
                <w:color w:val="auto"/>
              </w:rPr>
            </w:pPr>
          </w:p>
        </w:tc>
      </w:tr>
      <w:tr>
        <w:trPr>
          <w:trHeight w:val="183"/>
        </w:trPr>
        <w:tc>
          <w:tcPr>
            <w:tcW w:w="1860" w:type="dxa"/>
            <w:vAlign w:val="bottom"/>
            <w:tcBorders>
              <w:left w:val="single" w:sz="8" w:color="auto"/>
              <w:bottom w:val="single" w:sz="8" w:color="CCEEFF"/>
            </w:tcBorders>
            <w:shd w:val="clear" w:color="auto" w:fill="CCEEFF"/>
          </w:tcPr>
          <w:p>
            <w:pPr>
              <w:ind w:left="160"/>
              <w:spacing w:after="0" w:line="183" w:lineRule="exact"/>
              <w:rPr>
                <w:sz w:val="20"/>
                <w:szCs w:val="20"/>
                <w:color w:val="auto"/>
              </w:rPr>
            </w:pPr>
            <w:r>
              <w:rPr>
                <w:rFonts w:ascii="Arial" w:cs="Arial" w:eastAsia="Arial" w:hAnsi="Arial"/>
                <w:sz w:val="17"/>
                <w:szCs w:val="17"/>
                <w:color w:val="auto"/>
                <w:w w:val="99"/>
              </w:rPr>
              <w:t>Christopher J. Holding</w:t>
            </w:r>
          </w:p>
        </w:tc>
        <w:tc>
          <w:tcPr>
            <w:tcW w:w="4560" w:type="dxa"/>
            <w:vAlign w:val="bottom"/>
            <w:tcBorders>
              <w:bottom w:val="single" w:sz="8" w:color="CCEEFF"/>
              <w:right w:val="single" w:sz="8" w:color="auto"/>
            </w:tcBorders>
            <w:shd w:val="clear" w:color="auto" w:fill="CCEEFF"/>
          </w:tcPr>
          <w:p>
            <w:pPr>
              <w:jc w:val="right"/>
              <w:ind w:right="4307"/>
              <w:spacing w:after="0" w:line="142" w:lineRule="exact"/>
              <w:rPr>
                <w:sz w:val="20"/>
                <w:szCs w:val="20"/>
                <w:color w:val="auto"/>
              </w:rPr>
            </w:pPr>
            <w:r>
              <w:rPr>
                <w:rFonts w:ascii="Arial" w:cs="Arial" w:eastAsia="Arial" w:hAnsi="Arial"/>
                <w:sz w:val="15"/>
                <w:szCs w:val="15"/>
                <w:color w:val="auto"/>
                <w:w w:val="87"/>
              </w:rPr>
              <w:t>(3)</w:t>
            </w:r>
          </w:p>
        </w:tc>
        <w:tc>
          <w:tcPr>
            <w:tcW w:w="1680" w:type="dxa"/>
            <w:vAlign w:val="bottom"/>
            <w:tcBorders>
              <w:bottom w:val="single" w:sz="8" w:color="CCEEFF"/>
              <w:right w:val="single" w:sz="8" w:color="auto"/>
            </w:tcBorders>
            <w:shd w:val="clear" w:color="auto" w:fill="CCEEFF"/>
          </w:tcPr>
          <w:p>
            <w:pPr>
              <w:ind w:left="200"/>
              <w:spacing w:after="0" w:line="183" w:lineRule="exact"/>
              <w:rPr>
                <w:sz w:val="20"/>
                <w:szCs w:val="20"/>
                <w:color w:val="auto"/>
              </w:rPr>
            </w:pPr>
            <w:r>
              <w:rPr>
                <w:rFonts w:ascii="Arial" w:cs="Arial" w:eastAsia="Arial" w:hAnsi="Arial"/>
                <w:sz w:val="17"/>
                <w:szCs w:val="17"/>
                <w:color w:val="auto"/>
              </w:rPr>
              <w:t>Supplemental Plan</w:t>
            </w:r>
          </w:p>
        </w:tc>
        <w:tc>
          <w:tcPr>
            <w:tcW w:w="1420" w:type="dxa"/>
            <w:vAlign w:val="bottom"/>
            <w:tcBorders>
              <w:bottom w:val="single" w:sz="8" w:color="CCEEFF"/>
              <w:right w:val="single" w:sz="8" w:color="auto"/>
            </w:tcBorders>
            <w:shd w:val="clear" w:color="auto" w:fill="CCEEFF"/>
          </w:tcPr>
          <w:p>
            <w:pPr>
              <w:jc w:val="right"/>
              <w:ind w:right="275"/>
              <w:spacing w:after="0" w:line="183" w:lineRule="exact"/>
              <w:rPr>
                <w:sz w:val="20"/>
                <w:szCs w:val="20"/>
                <w:color w:val="auto"/>
              </w:rPr>
            </w:pPr>
            <w:r>
              <w:rPr>
                <w:rFonts w:ascii="Arial" w:cs="Arial" w:eastAsia="Arial" w:hAnsi="Arial"/>
                <w:sz w:val="17"/>
                <w:szCs w:val="17"/>
                <w:color w:val="auto"/>
              </w:rPr>
              <w:t>N/A</w:t>
            </w:r>
          </w:p>
        </w:tc>
        <w:tc>
          <w:tcPr>
            <w:tcW w:w="320" w:type="dxa"/>
            <w:vAlign w:val="bottom"/>
            <w:tcBorders>
              <w:bottom w:val="single" w:sz="8" w:color="CCEEFF"/>
            </w:tcBorders>
            <w:shd w:val="clear" w:color="auto" w:fill="CCEEFF"/>
          </w:tcPr>
          <w:p>
            <w:pPr>
              <w:ind w:left="200"/>
              <w:spacing w:after="0" w:line="183" w:lineRule="exact"/>
              <w:rPr>
                <w:sz w:val="20"/>
                <w:szCs w:val="20"/>
                <w:color w:val="auto"/>
              </w:rPr>
            </w:pPr>
            <w:r>
              <w:rPr>
                <w:rFonts w:ascii="Arial" w:cs="Arial" w:eastAsia="Arial" w:hAnsi="Arial"/>
                <w:sz w:val="17"/>
                <w:szCs w:val="17"/>
                <w:color w:val="auto"/>
              </w:rPr>
              <w:t>$</w:t>
            </w:r>
          </w:p>
        </w:tc>
        <w:tc>
          <w:tcPr>
            <w:tcW w:w="1600" w:type="dxa"/>
            <w:vAlign w:val="bottom"/>
            <w:tcBorders>
              <w:bottom w:val="single" w:sz="8" w:color="CCEEFF"/>
              <w:right w:val="single" w:sz="8" w:color="auto"/>
            </w:tcBorders>
            <w:shd w:val="clear" w:color="auto" w:fill="CCEEFF"/>
          </w:tcPr>
          <w:p>
            <w:pPr>
              <w:jc w:val="right"/>
              <w:ind w:right="275"/>
              <w:spacing w:after="0" w:line="183" w:lineRule="exact"/>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83"/>
        </w:trPr>
        <w:tc>
          <w:tcPr>
            <w:tcW w:w="1860" w:type="dxa"/>
            <w:vAlign w:val="bottom"/>
            <w:tcBorders>
              <w:left w:val="single" w:sz="8" w:color="auto"/>
              <w:bottom w:val="single" w:sz="8" w:color="auto"/>
            </w:tcBorders>
          </w:tcPr>
          <w:p>
            <w:pPr>
              <w:spacing w:after="0"/>
              <w:rPr>
                <w:sz w:val="15"/>
                <w:szCs w:val="15"/>
                <w:color w:val="auto"/>
              </w:rPr>
            </w:pPr>
          </w:p>
        </w:tc>
        <w:tc>
          <w:tcPr>
            <w:tcW w:w="4560" w:type="dxa"/>
            <w:vAlign w:val="bottom"/>
            <w:tcBorders>
              <w:bottom w:val="single" w:sz="8" w:color="auto"/>
              <w:right w:val="single" w:sz="8" w:color="auto"/>
            </w:tcBorders>
          </w:tcPr>
          <w:p>
            <w:pPr>
              <w:spacing w:after="0"/>
              <w:rPr>
                <w:sz w:val="15"/>
                <w:szCs w:val="15"/>
                <w:color w:val="auto"/>
              </w:rPr>
            </w:pPr>
          </w:p>
        </w:tc>
        <w:tc>
          <w:tcPr>
            <w:tcW w:w="1680" w:type="dxa"/>
            <w:vAlign w:val="bottom"/>
            <w:tcBorders>
              <w:top w:val="single" w:sz="8" w:color="auto"/>
              <w:bottom w:val="single" w:sz="8" w:color="auto"/>
              <w:right w:val="single" w:sz="8" w:color="auto"/>
            </w:tcBorders>
          </w:tcPr>
          <w:p>
            <w:pPr>
              <w:ind w:left="200"/>
              <w:spacing w:after="0" w:line="183" w:lineRule="exact"/>
              <w:rPr>
                <w:sz w:val="20"/>
                <w:szCs w:val="20"/>
                <w:color w:val="auto"/>
              </w:rPr>
            </w:pPr>
            <w:r>
              <w:rPr>
                <w:rFonts w:ascii="Arial" w:cs="Arial" w:eastAsia="Arial" w:hAnsi="Arial"/>
                <w:sz w:val="17"/>
                <w:szCs w:val="17"/>
                <w:color w:val="auto"/>
              </w:rPr>
              <w:t>Qualified Plan</w:t>
            </w:r>
          </w:p>
        </w:tc>
        <w:tc>
          <w:tcPr>
            <w:tcW w:w="1420" w:type="dxa"/>
            <w:vAlign w:val="bottom"/>
            <w:tcBorders>
              <w:top w:val="single" w:sz="8" w:color="auto"/>
              <w:bottom w:val="single" w:sz="8" w:color="auto"/>
              <w:right w:val="single" w:sz="8" w:color="auto"/>
            </w:tcBorders>
          </w:tcPr>
          <w:p>
            <w:pPr>
              <w:jc w:val="right"/>
              <w:ind w:right="275"/>
              <w:spacing w:after="0" w:line="183" w:lineRule="exact"/>
              <w:rPr>
                <w:sz w:val="20"/>
                <w:szCs w:val="20"/>
                <w:color w:val="auto"/>
              </w:rPr>
            </w:pPr>
            <w:r>
              <w:rPr>
                <w:rFonts w:ascii="Arial" w:cs="Arial" w:eastAsia="Arial" w:hAnsi="Arial"/>
                <w:sz w:val="17"/>
                <w:szCs w:val="17"/>
                <w:color w:val="auto"/>
              </w:rPr>
              <w:t>N/A</w:t>
            </w:r>
          </w:p>
        </w:tc>
        <w:tc>
          <w:tcPr>
            <w:tcW w:w="320" w:type="dxa"/>
            <w:vAlign w:val="bottom"/>
            <w:tcBorders>
              <w:top w:val="single" w:sz="8" w:color="auto"/>
              <w:bottom w:val="single" w:sz="8" w:color="auto"/>
            </w:tcBorders>
          </w:tcPr>
          <w:p>
            <w:pPr>
              <w:ind w:left="200"/>
              <w:spacing w:after="0" w:line="183" w:lineRule="exact"/>
              <w:rPr>
                <w:sz w:val="20"/>
                <w:szCs w:val="20"/>
                <w:color w:val="auto"/>
              </w:rPr>
            </w:pPr>
            <w:r>
              <w:rPr>
                <w:rFonts w:ascii="Arial" w:cs="Arial" w:eastAsia="Arial" w:hAnsi="Arial"/>
                <w:sz w:val="17"/>
                <w:szCs w:val="17"/>
                <w:color w:val="auto"/>
              </w:rPr>
              <w:t>$</w:t>
            </w:r>
          </w:p>
        </w:tc>
        <w:tc>
          <w:tcPr>
            <w:tcW w:w="1600" w:type="dxa"/>
            <w:vAlign w:val="bottom"/>
            <w:tcBorders>
              <w:top w:val="single" w:sz="8" w:color="auto"/>
              <w:bottom w:val="single" w:sz="8" w:color="auto"/>
              <w:right w:val="single" w:sz="8" w:color="auto"/>
            </w:tcBorders>
          </w:tcPr>
          <w:p>
            <w:pPr>
              <w:jc w:val="right"/>
              <w:ind w:right="275"/>
              <w:spacing w:after="0" w:line="183" w:lineRule="exact"/>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83"/>
        </w:trPr>
        <w:tc>
          <w:tcPr>
            <w:tcW w:w="1860" w:type="dxa"/>
            <w:vAlign w:val="bottom"/>
            <w:tcBorders>
              <w:left w:val="single" w:sz="8" w:color="auto"/>
            </w:tcBorders>
            <w:shd w:val="clear" w:color="auto" w:fill="CCEEFF"/>
          </w:tcPr>
          <w:p>
            <w:pPr>
              <w:ind w:left="160"/>
              <w:spacing w:after="0" w:line="183" w:lineRule="exact"/>
              <w:rPr>
                <w:sz w:val="20"/>
                <w:szCs w:val="20"/>
                <w:color w:val="auto"/>
              </w:rPr>
            </w:pPr>
            <w:r>
              <w:rPr>
                <w:rFonts w:ascii="Arial" w:cs="Arial" w:eastAsia="Arial" w:hAnsi="Arial"/>
                <w:sz w:val="17"/>
                <w:szCs w:val="17"/>
                <w:color w:val="auto"/>
              </w:rPr>
              <w:t>Donald L. Walker</w:t>
            </w:r>
          </w:p>
        </w:tc>
        <w:tc>
          <w:tcPr>
            <w:tcW w:w="4560" w:type="dxa"/>
            <w:vAlign w:val="bottom"/>
            <w:tcBorders>
              <w:right w:val="single" w:sz="8" w:color="auto"/>
            </w:tcBorders>
            <w:shd w:val="clear" w:color="auto" w:fill="CCEEFF"/>
          </w:tcPr>
          <w:p>
            <w:pPr>
              <w:spacing w:after="0"/>
              <w:rPr>
                <w:sz w:val="15"/>
                <w:szCs w:val="15"/>
                <w:color w:val="auto"/>
              </w:rPr>
            </w:pPr>
          </w:p>
        </w:tc>
        <w:tc>
          <w:tcPr>
            <w:tcW w:w="1680" w:type="dxa"/>
            <w:vAlign w:val="bottom"/>
            <w:tcBorders>
              <w:bottom w:val="single" w:sz="8" w:color="auto"/>
              <w:right w:val="single" w:sz="8" w:color="auto"/>
            </w:tcBorders>
            <w:shd w:val="clear" w:color="auto" w:fill="CCEEFF"/>
          </w:tcPr>
          <w:p>
            <w:pPr>
              <w:ind w:left="200"/>
              <w:spacing w:after="0" w:line="183" w:lineRule="exact"/>
              <w:rPr>
                <w:sz w:val="20"/>
                <w:szCs w:val="20"/>
                <w:color w:val="auto"/>
              </w:rPr>
            </w:pPr>
            <w:r>
              <w:rPr>
                <w:rFonts w:ascii="Arial" w:cs="Arial" w:eastAsia="Arial" w:hAnsi="Arial"/>
                <w:sz w:val="17"/>
                <w:szCs w:val="17"/>
                <w:color w:val="auto"/>
              </w:rPr>
              <w:t>Supplemental Plan</w:t>
            </w:r>
          </w:p>
        </w:tc>
        <w:tc>
          <w:tcPr>
            <w:tcW w:w="1420" w:type="dxa"/>
            <w:vAlign w:val="bottom"/>
            <w:tcBorders>
              <w:bottom w:val="single" w:sz="8" w:color="auto"/>
              <w:right w:val="single" w:sz="8" w:color="auto"/>
            </w:tcBorders>
            <w:shd w:val="clear" w:color="auto" w:fill="CCEEFF"/>
          </w:tcPr>
          <w:p>
            <w:pPr>
              <w:jc w:val="right"/>
              <w:ind w:right="275"/>
              <w:spacing w:after="0" w:line="183" w:lineRule="exact"/>
              <w:rPr>
                <w:sz w:val="20"/>
                <w:szCs w:val="20"/>
                <w:color w:val="auto"/>
              </w:rPr>
            </w:pPr>
            <w:r>
              <w:rPr>
                <w:rFonts w:ascii="Arial" w:cs="Arial" w:eastAsia="Arial" w:hAnsi="Arial"/>
                <w:sz w:val="17"/>
                <w:szCs w:val="17"/>
                <w:color w:val="auto"/>
              </w:rPr>
              <w:t>36.8</w:t>
            </w:r>
          </w:p>
        </w:tc>
        <w:tc>
          <w:tcPr>
            <w:tcW w:w="320" w:type="dxa"/>
            <w:vAlign w:val="bottom"/>
            <w:tcBorders>
              <w:bottom w:val="single" w:sz="8" w:color="auto"/>
            </w:tcBorders>
            <w:shd w:val="clear" w:color="auto" w:fill="CCEEFF"/>
          </w:tcPr>
          <w:p>
            <w:pPr>
              <w:ind w:left="200"/>
              <w:spacing w:after="0" w:line="183" w:lineRule="exact"/>
              <w:rPr>
                <w:sz w:val="20"/>
                <w:szCs w:val="20"/>
                <w:color w:val="auto"/>
              </w:rPr>
            </w:pPr>
            <w:r>
              <w:rPr>
                <w:rFonts w:ascii="Arial" w:cs="Arial" w:eastAsia="Arial" w:hAnsi="Arial"/>
                <w:sz w:val="17"/>
                <w:szCs w:val="17"/>
                <w:color w:val="auto"/>
              </w:rPr>
              <w:t>$</w:t>
            </w:r>
          </w:p>
        </w:tc>
        <w:tc>
          <w:tcPr>
            <w:tcW w:w="1600" w:type="dxa"/>
            <w:vAlign w:val="bottom"/>
            <w:tcBorders>
              <w:bottom w:val="single" w:sz="8" w:color="auto"/>
              <w:right w:val="single" w:sz="8" w:color="auto"/>
            </w:tcBorders>
            <w:shd w:val="clear" w:color="auto" w:fill="CCEEFF"/>
          </w:tcPr>
          <w:p>
            <w:pPr>
              <w:jc w:val="right"/>
              <w:ind w:right="275"/>
              <w:spacing w:after="0" w:line="183" w:lineRule="exact"/>
              <w:rPr>
                <w:sz w:val="20"/>
                <w:szCs w:val="20"/>
                <w:color w:val="auto"/>
              </w:rPr>
            </w:pPr>
            <w:r>
              <w:rPr>
                <w:rFonts w:ascii="Arial" w:cs="Arial" w:eastAsia="Arial" w:hAnsi="Arial"/>
                <w:sz w:val="17"/>
                <w:szCs w:val="17"/>
                <w:color w:val="auto"/>
              </w:rPr>
              <w:t>2,882,000</w:t>
            </w:r>
          </w:p>
        </w:tc>
        <w:tc>
          <w:tcPr>
            <w:tcW w:w="0" w:type="dxa"/>
            <w:vAlign w:val="bottom"/>
          </w:tcPr>
          <w:p>
            <w:pPr>
              <w:spacing w:after="0"/>
              <w:rPr>
                <w:sz w:val="1"/>
                <w:szCs w:val="1"/>
                <w:color w:val="auto"/>
              </w:rPr>
            </w:pPr>
          </w:p>
        </w:tc>
      </w:tr>
      <w:tr>
        <w:trPr>
          <w:trHeight w:val="183"/>
        </w:trPr>
        <w:tc>
          <w:tcPr>
            <w:tcW w:w="1860" w:type="dxa"/>
            <w:vAlign w:val="bottom"/>
            <w:tcBorders>
              <w:left w:val="single" w:sz="8" w:color="auto"/>
              <w:bottom w:val="single" w:sz="8" w:color="auto"/>
            </w:tcBorders>
          </w:tcPr>
          <w:p>
            <w:pPr>
              <w:spacing w:after="0"/>
              <w:rPr>
                <w:sz w:val="15"/>
                <w:szCs w:val="15"/>
                <w:color w:val="auto"/>
              </w:rPr>
            </w:pPr>
          </w:p>
        </w:tc>
        <w:tc>
          <w:tcPr>
            <w:tcW w:w="4560" w:type="dxa"/>
            <w:vAlign w:val="bottom"/>
            <w:tcBorders>
              <w:bottom w:val="single" w:sz="8" w:color="auto"/>
              <w:right w:val="single" w:sz="8" w:color="auto"/>
            </w:tcBorders>
          </w:tcPr>
          <w:p>
            <w:pPr>
              <w:spacing w:after="0"/>
              <w:rPr>
                <w:sz w:val="15"/>
                <w:szCs w:val="15"/>
                <w:color w:val="auto"/>
              </w:rPr>
            </w:pPr>
          </w:p>
        </w:tc>
        <w:tc>
          <w:tcPr>
            <w:tcW w:w="1680" w:type="dxa"/>
            <w:vAlign w:val="bottom"/>
            <w:tcBorders>
              <w:bottom w:val="single" w:sz="8" w:color="auto"/>
              <w:right w:val="single" w:sz="8" w:color="auto"/>
            </w:tcBorders>
          </w:tcPr>
          <w:p>
            <w:pPr>
              <w:ind w:left="200"/>
              <w:spacing w:after="0" w:line="183" w:lineRule="exact"/>
              <w:rPr>
                <w:sz w:val="20"/>
                <w:szCs w:val="20"/>
                <w:color w:val="auto"/>
              </w:rPr>
            </w:pPr>
            <w:r>
              <w:rPr>
                <w:rFonts w:ascii="Arial" w:cs="Arial" w:eastAsia="Arial" w:hAnsi="Arial"/>
                <w:sz w:val="17"/>
                <w:szCs w:val="17"/>
                <w:color w:val="auto"/>
              </w:rPr>
              <w:t>Qualified Plan</w:t>
            </w:r>
          </w:p>
        </w:tc>
        <w:tc>
          <w:tcPr>
            <w:tcW w:w="1420" w:type="dxa"/>
            <w:vAlign w:val="bottom"/>
            <w:tcBorders>
              <w:bottom w:val="single" w:sz="8" w:color="auto"/>
              <w:right w:val="single" w:sz="8" w:color="auto"/>
            </w:tcBorders>
          </w:tcPr>
          <w:p>
            <w:pPr>
              <w:jc w:val="right"/>
              <w:ind w:right="275"/>
              <w:spacing w:after="0" w:line="183" w:lineRule="exact"/>
              <w:rPr>
                <w:sz w:val="20"/>
                <w:szCs w:val="20"/>
                <w:color w:val="auto"/>
              </w:rPr>
            </w:pPr>
            <w:r>
              <w:rPr>
                <w:rFonts w:ascii="Arial" w:cs="Arial" w:eastAsia="Arial" w:hAnsi="Arial"/>
                <w:sz w:val="17"/>
                <w:szCs w:val="17"/>
                <w:color w:val="auto"/>
              </w:rPr>
              <w:t>36.8</w:t>
            </w:r>
          </w:p>
        </w:tc>
        <w:tc>
          <w:tcPr>
            <w:tcW w:w="320" w:type="dxa"/>
            <w:vAlign w:val="bottom"/>
            <w:tcBorders>
              <w:bottom w:val="single" w:sz="8" w:color="auto"/>
            </w:tcBorders>
          </w:tcPr>
          <w:p>
            <w:pPr>
              <w:ind w:left="200"/>
              <w:spacing w:after="0" w:line="183" w:lineRule="exact"/>
              <w:rPr>
                <w:sz w:val="20"/>
                <w:szCs w:val="20"/>
                <w:color w:val="auto"/>
              </w:rPr>
            </w:pPr>
            <w:r>
              <w:rPr>
                <w:rFonts w:ascii="Arial" w:cs="Arial" w:eastAsia="Arial" w:hAnsi="Arial"/>
                <w:sz w:val="17"/>
                <w:szCs w:val="17"/>
                <w:color w:val="auto"/>
              </w:rPr>
              <w:t>$</w:t>
            </w:r>
          </w:p>
        </w:tc>
        <w:tc>
          <w:tcPr>
            <w:tcW w:w="1600" w:type="dxa"/>
            <w:vAlign w:val="bottom"/>
            <w:tcBorders>
              <w:bottom w:val="single" w:sz="8" w:color="auto"/>
              <w:right w:val="single" w:sz="8" w:color="auto"/>
            </w:tcBorders>
          </w:tcPr>
          <w:p>
            <w:pPr>
              <w:jc w:val="right"/>
              <w:ind w:right="275"/>
              <w:spacing w:after="0" w:line="183" w:lineRule="exact"/>
              <w:rPr>
                <w:sz w:val="20"/>
                <w:szCs w:val="20"/>
                <w:color w:val="auto"/>
              </w:rPr>
            </w:pPr>
            <w:r>
              <w:rPr>
                <w:rFonts w:ascii="Arial" w:cs="Arial" w:eastAsia="Arial" w:hAnsi="Arial"/>
                <w:sz w:val="17"/>
                <w:szCs w:val="17"/>
                <w:color w:val="auto"/>
              </w:rPr>
              <w:t>1,058,000</w:t>
            </w:r>
          </w:p>
        </w:tc>
        <w:tc>
          <w:tcPr>
            <w:tcW w:w="0" w:type="dxa"/>
            <w:vAlign w:val="bottom"/>
          </w:tcPr>
          <w:p>
            <w:pPr>
              <w:spacing w:after="0"/>
              <w:rPr>
                <w:sz w:val="1"/>
                <w:szCs w:val="1"/>
                <w:color w:val="auto"/>
              </w:rPr>
            </w:pPr>
          </w:p>
        </w:tc>
      </w:tr>
      <w:tr>
        <w:trPr>
          <w:trHeight w:val="183"/>
        </w:trPr>
        <w:tc>
          <w:tcPr>
            <w:tcW w:w="1860" w:type="dxa"/>
            <w:vAlign w:val="bottom"/>
            <w:tcBorders>
              <w:left w:val="single" w:sz="8" w:color="auto"/>
            </w:tcBorders>
            <w:shd w:val="clear" w:color="auto" w:fill="CCEEFF"/>
          </w:tcPr>
          <w:p>
            <w:pPr>
              <w:ind w:left="160"/>
              <w:spacing w:after="0" w:line="183" w:lineRule="exact"/>
              <w:rPr>
                <w:sz w:val="20"/>
                <w:szCs w:val="20"/>
                <w:color w:val="auto"/>
              </w:rPr>
            </w:pPr>
            <w:r>
              <w:rPr>
                <w:rFonts w:ascii="Arial" w:cs="Arial" w:eastAsia="Arial" w:hAnsi="Arial"/>
                <w:sz w:val="17"/>
                <w:szCs w:val="17"/>
                <w:color w:val="auto"/>
              </w:rPr>
              <w:t>Frank A. DiPiero</w:t>
            </w:r>
            <w:r>
              <w:rPr>
                <w:rFonts w:ascii="Arial" w:cs="Arial" w:eastAsia="Arial" w:hAnsi="Arial"/>
                <w:sz w:val="14"/>
                <w:szCs w:val="14"/>
                <w:color w:val="auto"/>
              </w:rPr>
              <w:t>(3)</w:t>
            </w:r>
          </w:p>
        </w:tc>
        <w:tc>
          <w:tcPr>
            <w:tcW w:w="4560" w:type="dxa"/>
            <w:vAlign w:val="bottom"/>
            <w:tcBorders>
              <w:right w:val="single" w:sz="8" w:color="auto"/>
            </w:tcBorders>
            <w:shd w:val="clear" w:color="auto" w:fill="CCEEFF"/>
          </w:tcPr>
          <w:p>
            <w:pPr>
              <w:spacing w:after="0"/>
              <w:rPr>
                <w:sz w:val="15"/>
                <w:szCs w:val="15"/>
                <w:color w:val="auto"/>
              </w:rPr>
            </w:pPr>
          </w:p>
        </w:tc>
        <w:tc>
          <w:tcPr>
            <w:tcW w:w="1680" w:type="dxa"/>
            <w:vAlign w:val="bottom"/>
            <w:tcBorders>
              <w:bottom w:val="single" w:sz="8" w:color="auto"/>
              <w:right w:val="single" w:sz="8" w:color="auto"/>
            </w:tcBorders>
            <w:shd w:val="clear" w:color="auto" w:fill="CCEEFF"/>
          </w:tcPr>
          <w:p>
            <w:pPr>
              <w:ind w:left="200"/>
              <w:spacing w:after="0" w:line="183" w:lineRule="exact"/>
              <w:rPr>
                <w:sz w:val="20"/>
                <w:szCs w:val="20"/>
                <w:color w:val="auto"/>
              </w:rPr>
            </w:pPr>
            <w:r>
              <w:rPr>
                <w:rFonts w:ascii="Arial" w:cs="Arial" w:eastAsia="Arial" w:hAnsi="Arial"/>
                <w:sz w:val="17"/>
                <w:szCs w:val="17"/>
                <w:color w:val="auto"/>
              </w:rPr>
              <w:t>Supplemental Plan</w:t>
            </w:r>
          </w:p>
        </w:tc>
        <w:tc>
          <w:tcPr>
            <w:tcW w:w="1420" w:type="dxa"/>
            <w:vAlign w:val="bottom"/>
            <w:tcBorders>
              <w:bottom w:val="single" w:sz="8" w:color="auto"/>
              <w:right w:val="single" w:sz="8" w:color="auto"/>
            </w:tcBorders>
            <w:shd w:val="clear" w:color="auto" w:fill="CCEEFF"/>
          </w:tcPr>
          <w:p>
            <w:pPr>
              <w:jc w:val="right"/>
              <w:ind w:right="275"/>
              <w:spacing w:after="0" w:line="183" w:lineRule="exact"/>
              <w:rPr>
                <w:sz w:val="20"/>
                <w:szCs w:val="20"/>
                <w:color w:val="auto"/>
              </w:rPr>
            </w:pPr>
            <w:r>
              <w:rPr>
                <w:rFonts w:ascii="Arial" w:cs="Arial" w:eastAsia="Arial" w:hAnsi="Arial"/>
                <w:sz w:val="17"/>
                <w:szCs w:val="17"/>
                <w:color w:val="auto"/>
              </w:rPr>
              <w:t>N/A</w:t>
            </w:r>
          </w:p>
        </w:tc>
        <w:tc>
          <w:tcPr>
            <w:tcW w:w="320" w:type="dxa"/>
            <w:vAlign w:val="bottom"/>
            <w:tcBorders>
              <w:bottom w:val="single" w:sz="8" w:color="auto"/>
            </w:tcBorders>
            <w:shd w:val="clear" w:color="auto" w:fill="CCEEFF"/>
          </w:tcPr>
          <w:p>
            <w:pPr>
              <w:ind w:left="200"/>
              <w:spacing w:after="0" w:line="183" w:lineRule="exact"/>
              <w:rPr>
                <w:sz w:val="20"/>
                <w:szCs w:val="20"/>
                <w:color w:val="auto"/>
              </w:rPr>
            </w:pPr>
            <w:r>
              <w:rPr>
                <w:rFonts w:ascii="Arial" w:cs="Arial" w:eastAsia="Arial" w:hAnsi="Arial"/>
                <w:sz w:val="17"/>
                <w:szCs w:val="17"/>
                <w:color w:val="auto"/>
              </w:rPr>
              <w:t>$</w:t>
            </w:r>
          </w:p>
        </w:tc>
        <w:tc>
          <w:tcPr>
            <w:tcW w:w="1600" w:type="dxa"/>
            <w:vAlign w:val="bottom"/>
            <w:tcBorders>
              <w:bottom w:val="single" w:sz="8" w:color="auto"/>
              <w:right w:val="single" w:sz="8" w:color="auto"/>
            </w:tcBorders>
            <w:shd w:val="clear" w:color="auto" w:fill="CCEEFF"/>
          </w:tcPr>
          <w:p>
            <w:pPr>
              <w:jc w:val="right"/>
              <w:ind w:right="275"/>
              <w:spacing w:after="0" w:line="183" w:lineRule="exact"/>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83"/>
        </w:trPr>
        <w:tc>
          <w:tcPr>
            <w:tcW w:w="1860" w:type="dxa"/>
            <w:vAlign w:val="bottom"/>
            <w:tcBorders>
              <w:left w:val="single" w:sz="8" w:color="auto"/>
              <w:bottom w:val="single" w:sz="8" w:color="auto"/>
            </w:tcBorders>
          </w:tcPr>
          <w:p>
            <w:pPr>
              <w:spacing w:after="0"/>
              <w:rPr>
                <w:sz w:val="15"/>
                <w:szCs w:val="15"/>
                <w:color w:val="auto"/>
              </w:rPr>
            </w:pPr>
          </w:p>
        </w:tc>
        <w:tc>
          <w:tcPr>
            <w:tcW w:w="4560" w:type="dxa"/>
            <w:vAlign w:val="bottom"/>
            <w:tcBorders>
              <w:bottom w:val="single" w:sz="8" w:color="auto"/>
              <w:right w:val="single" w:sz="8" w:color="auto"/>
            </w:tcBorders>
          </w:tcPr>
          <w:p>
            <w:pPr>
              <w:spacing w:after="0"/>
              <w:rPr>
                <w:sz w:val="15"/>
                <w:szCs w:val="15"/>
                <w:color w:val="auto"/>
              </w:rPr>
            </w:pPr>
          </w:p>
        </w:tc>
        <w:tc>
          <w:tcPr>
            <w:tcW w:w="1680" w:type="dxa"/>
            <w:vAlign w:val="bottom"/>
            <w:tcBorders>
              <w:bottom w:val="single" w:sz="8" w:color="auto"/>
              <w:right w:val="single" w:sz="8" w:color="auto"/>
            </w:tcBorders>
          </w:tcPr>
          <w:p>
            <w:pPr>
              <w:ind w:left="200"/>
              <w:spacing w:after="0" w:line="183" w:lineRule="exact"/>
              <w:rPr>
                <w:sz w:val="20"/>
                <w:szCs w:val="20"/>
                <w:color w:val="auto"/>
              </w:rPr>
            </w:pPr>
            <w:r>
              <w:rPr>
                <w:rFonts w:ascii="Arial" w:cs="Arial" w:eastAsia="Arial" w:hAnsi="Arial"/>
                <w:sz w:val="17"/>
                <w:szCs w:val="17"/>
                <w:color w:val="auto"/>
              </w:rPr>
              <w:t>Qualified Plan</w:t>
            </w:r>
          </w:p>
        </w:tc>
        <w:tc>
          <w:tcPr>
            <w:tcW w:w="1420" w:type="dxa"/>
            <w:vAlign w:val="bottom"/>
            <w:tcBorders>
              <w:bottom w:val="single" w:sz="8" w:color="auto"/>
              <w:right w:val="single" w:sz="8" w:color="auto"/>
            </w:tcBorders>
          </w:tcPr>
          <w:p>
            <w:pPr>
              <w:jc w:val="right"/>
              <w:ind w:right="275"/>
              <w:spacing w:after="0" w:line="183" w:lineRule="exact"/>
              <w:rPr>
                <w:sz w:val="20"/>
                <w:szCs w:val="20"/>
                <w:color w:val="auto"/>
              </w:rPr>
            </w:pPr>
            <w:r>
              <w:rPr>
                <w:rFonts w:ascii="Arial" w:cs="Arial" w:eastAsia="Arial" w:hAnsi="Arial"/>
                <w:sz w:val="17"/>
                <w:szCs w:val="17"/>
                <w:color w:val="auto"/>
              </w:rPr>
              <w:t>N/A</w:t>
            </w:r>
          </w:p>
        </w:tc>
        <w:tc>
          <w:tcPr>
            <w:tcW w:w="320" w:type="dxa"/>
            <w:vAlign w:val="bottom"/>
            <w:tcBorders>
              <w:bottom w:val="single" w:sz="8" w:color="auto"/>
            </w:tcBorders>
          </w:tcPr>
          <w:p>
            <w:pPr>
              <w:ind w:left="200"/>
              <w:spacing w:after="0" w:line="183" w:lineRule="exact"/>
              <w:rPr>
                <w:sz w:val="20"/>
                <w:szCs w:val="20"/>
                <w:color w:val="auto"/>
              </w:rPr>
            </w:pPr>
            <w:r>
              <w:rPr>
                <w:rFonts w:ascii="Arial" w:cs="Arial" w:eastAsia="Arial" w:hAnsi="Arial"/>
                <w:sz w:val="17"/>
                <w:szCs w:val="17"/>
                <w:color w:val="auto"/>
              </w:rPr>
              <w:t>$</w:t>
            </w:r>
          </w:p>
        </w:tc>
        <w:tc>
          <w:tcPr>
            <w:tcW w:w="1600" w:type="dxa"/>
            <w:vAlign w:val="bottom"/>
            <w:tcBorders>
              <w:bottom w:val="single" w:sz="8" w:color="auto"/>
              <w:right w:val="single" w:sz="8" w:color="auto"/>
            </w:tcBorders>
          </w:tcPr>
          <w:p>
            <w:pPr>
              <w:jc w:val="right"/>
              <w:ind w:right="275"/>
              <w:spacing w:after="0" w:line="183" w:lineRule="exact"/>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bl>
    <w:p>
      <w:pPr>
        <w:spacing w:after="0" w:line="210" w:lineRule="exact"/>
        <w:rPr>
          <w:sz w:val="20"/>
          <w:szCs w:val="20"/>
          <w:color w:val="auto"/>
        </w:rPr>
      </w:pPr>
    </w:p>
    <w:p>
      <w:pPr>
        <w:ind w:left="460" w:right="80" w:hanging="452"/>
        <w:spacing w:after="0" w:line="235" w:lineRule="auto"/>
        <w:tabs>
          <w:tab w:leader="none" w:pos="460" w:val="left"/>
        </w:tabs>
        <w:numPr>
          <w:ilvl w:val="0"/>
          <w:numId w:val="32"/>
        </w:numPr>
        <w:rPr>
          <w:rFonts w:ascii="Arial" w:cs="Arial" w:eastAsia="Arial" w:hAnsi="Arial"/>
          <w:sz w:val="15"/>
          <w:szCs w:val="15"/>
          <w:color w:val="auto"/>
        </w:rPr>
      </w:pPr>
      <w:r>
        <w:rPr>
          <w:rFonts w:ascii="Arial" w:cs="Arial" w:eastAsia="Arial" w:hAnsi="Arial"/>
          <w:sz w:val="17"/>
          <w:szCs w:val="17"/>
          <w:color w:val="auto"/>
        </w:rPr>
        <w:t>The “Present Value of Accumulated Benefit” is the present value as of December 31, 2015, of the pension benefits earned as of such date that would be payable under that plan for the life of the executive, beginning at age 62. Age 62 is the earliest age an unreduced benefit is payable from the plans. The assumptions used to determine the present value include a 4.73% discount rate and updated mortality statistics consistent with the 2014 Society of Actuaries revised mortality tables. Benefits were determined assuming no probability of termination, retirement, death or disability before age 62. For 2015, the Internal Revenue Code pay limit was $265,000 and the maximum benefit was $210,000.</w:t>
      </w:r>
    </w:p>
    <w:p>
      <w:pPr>
        <w:spacing w:after="0" w:line="204" w:lineRule="exact"/>
        <w:rPr>
          <w:rFonts w:ascii="Arial" w:cs="Arial" w:eastAsia="Arial" w:hAnsi="Arial"/>
          <w:sz w:val="15"/>
          <w:szCs w:val="15"/>
          <w:color w:val="auto"/>
        </w:rPr>
      </w:pPr>
    </w:p>
    <w:p>
      <w:pPr>
        <w:ind w:left="460" w:right="740" w:hanging="452"/>
        <w:spacing w:after="0" w:line="243" w:lineRule="auto"/>
        <w:tabs>
          <w:tab w:leader="none" w:pos="460" w:val="left"/>
        </w:tabs>
        <w:numPr>
          <w:ilvl w:val="0"/>
          <w:numId w:val="32"/>
        </w:numPr>
        <w:rPr>
          <w:rFonts w:ascii="Arial" w:cs="Arial" w:eastAsia="Arial" w:hAnsi="Arial"/>
          <w:sz w:val="15"/>
          <w:szCs w:val="15"/>
          <w:color w:val="auto"/>
        </w:rPr>
      </w:pPr>
      <w:r>
        <w:rPr>
          <w:rFonts w:ascii="Arial" w:cs="Arial" w:eastAsia="Arial" w:hAnsi="Arial"/>
          <w:sz w:val="17"/>
          <w:szCs w:val="17"/>
          <w:color w:val="auto"/>
        </w:rPr>
        <w:t>Because Mr. Timken did not have a combination of age and service that equaled or exceeded 50 as of December 31, 2003, he does not accumulate any service under the Qualified Plan after December 31, 2003.</w:t>
      </w:r>
    </w:p>
    <w:p>
      <w:pPr>
        <w:spacing w:after="0" w:line="198" w:lineRule="exact"/>
        <w:rPr>
          <w:rFonts w:ascii="Arial" w:cs="Arial" w:eastAsia="Arial" w:hAnsi="Arial"/>
          <w:sz w:val="15"/>
          <w:szCs w:val="15"/>
          <w:color w:val="auto"/>
        </w:rPr>
      </w:pPr>
    </w:p>
    <w:p>
      <w:pPr>
        <w:ind w:left="460" w:right="320" w:hanging="452"/>
        <w:spacing w:after="0" w:line="243" w:lineRule="auto"/>
        <w:tabs>
          <w:tab w:leader="none" w:pos="460" w:val="left"/>
        </w:tabs>
        <w:numPr>
          <w:ilvl w:val="0"/>
          <w:numId w:val="32"/>
        </w:numPr>
        <w:rPr>
          <w:rFonts w:ascii="Arial" w:cs="Arial" w:eastAsia="Arial" w:hAnsi="Arial"/>
          <w:sz w:val="15"/>
          <w:szCs w:val="15"/>
          <w:color w:val="auto"/>
        </w:rPr>
      </w:pPr>
      <w:r>
        <w:rPr>
          <w:rFonts w:ascii="Arial" w:cs="Arial" w:eastAsia="Arial" w:hAnsi="Arial"/>
          <w:sz w:val="17"/>
          <w:szCs w:val="17"/>
          <w:color w:val="auto"/>
        </w:rPr>
        <w:t>Because Messrs. Holding and DiPiero were hired after January 1, 2004, they do not accumulate any service under either the supplemental or qualified plan.</w:t>
      </w:r>
    </w:p>
    <w:p>
      <w:pPr>
        <w:spacing w:after="0" w:line="142" w:lineRule="exact"/>
        <w:rPr>
          <w:sz w:val="20"/>
          <w:szCs w:val="20"/>
          <w:color w:val="auto"/>
        </w:rPr>
      </w:pPr>
    </w:p>
    <w:p>
      <w:pPr>
        <w:ind w:left="11180"/>
        <w:spacing w:after="0"/>
        <w:rPr>
          <w:sz w:val="20"/>
          <w:szCs w:val="20"/>
          <w:color w:val="auto"/>
        </w:rPr>
      </w:pPr>
      <w:r>
        <w:rPr>
          <w:rFonts w:ascii="Arial" w:cs="Arial" w:eastAsia="Arial" w:hAnsi="Arial"/>
          <w:sz w:val="14"/>
          <w:szCs w:val="14"/>
          <w:color w:val="auto"/>
        </w:rPr>
        <w:t>51</w:t>
      </w:r>
    </w:p>
    <w:p>
      <w:pPr>
        <w:sectPr>
          <w:pgSz w:w="11900" w:h="16838" w:orient="portrait"/>
          <w:cols w:equalWidth="0" w:num="1">
            <w:col w:w="11440"/>
          </w:cols>
          <w:pgMar w:left="240" w:top="459" w:right="219" w:bottom="1440" w:gutter="0" w:footer="0" w:header="0"/>
        </w:sectPr>
      </w:pPr>
    </w:p>
    <w:bookmarkStart w:id="57" w:name="page58"/>
    <w:bookmarkEnd w:id="5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68">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3109595</wp:posOffset>
            </wp:positionH>
            <wp:positionV relativeFrom="paragraph">
              <wp:posOffset>205740</wp:posOffset>
            </wp:positionV>
            <wp:extent cx="1046480" cy="205740"/>
            <wp:wrapNone/>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69">
                      <a:extLst>
                        <a:ext uri="{28A0092B-C50C-407E-A947-70E740481C1C}"/>
                      </a:extLst>
                    </a:blip>
                    <a:srcRect/>
                    <a:stretch>
                      <a:fillRect/>
                    </a:stretch>
                  </pic:blipFill>
                  <pic:spPr bwMode="auto">
                    <a:xfrm>
                      <a:off x="0" y="0"/>
                      <a:ext cx="1046480" cy="20574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76" w:lineRule="exact"/>
        <w:rPr>
          <w:sz w:val="20"/>
          <w:szCs w:val="20"/>
          <w:color w:val="auto"/>
        </w:rPr>
      </w:pPr>
    </w:p>
    <w:p>
      <w:pPr>
        <w:spacing w:after="0"/>
        <w:rPr>
          <w:sz w:val="20"/>
          <w:szCs w:val="20"/>
          <w:color w:val="auto"/>
        </w:rPr>
      </w:pPr>
      <w:r>
        <w:rPr>
          <w:rFonts w:ascii="Arial" w:cs="Arial" w:eastAsia="Arial" w:hAnsi="Arial"/>
          <w:sz w:val="18"/>
          <w:szCs w:val="18"/>
          <w:color w:val="auto"/>
        </w:rPr>
        <w:t>2015 NONQUALIFIED DEFERRED COMPENSATION TABLE</w:t>
      </w:r>
    </w:p>
    <w:p>
      <w:pPr>
        <w:spacing w:after="0" w:line="179" w:lineRule="exact"/>
        <w:rPr>
          <w:sz w:val="20"/>
          <w:szCs w:val="20"/>
          <w:color w:val="auto"/>
        </w:rPr>
      </w:pPr>
    </w:p>
    <w:p>
      <w:pPr>
        <w:ind w:right="280"/>
        <w:spacing w:after="0" w:line="243" w:lineRule="auto"/>
        <w:rPr>
          <w:sz w:val="20"/>
          <w:szCs w:val="20"/>
          <w:color w:val="auto"/>
        </w:rPr>
      </w:pPr>
      <w:r>
        <w:rPr>
          <w:rFonts w:ascii="Arial" w:cs="Arial" w:eastAsia="Arial" w:hAnsi="Arial"/>
          <w:sz w:val="17"/>
          <w:szCs w:val="17"/>
          <w:color w:val="auto"/>
        </w:rPr>
        <w:t>The table below sets forth information regarding contributions, earnings and withdrawals during 2015 and the account balances as of December 31, 2015, for the named executive officers under the TimkenSteel Corporation Deferred Compensation Plan:</w:t>
      </w:r>
    </w:p>
    <w:p>
      <w:pPr>
        <w:spacing w:after="0" w:line="185" w:lineRule="exact"/>
        <w:rPr>
          <w:sz w:val="20"/>
          <w:szCs w:val="20"/>
          <w:color w:val="auto"/>
        </w:rPr>
      </w:pPr>
    </w:p>
    <w:tbl>
      <w:tblPr>
        <w:tblLayout w:type="fixed"/>
        <w:tblInd w:w="10" w:type="dxa"/>
        <w:tblCellMar>
          <w:top w:w="0" w:type="dxa"/>
          <w:left w:w="0" w:type="dxa"/>
          <w:bottom w:w="0" w:type="dxa"/>
          <w:right w:w="0" w:type="dxa"/>
        </w:tblCellMar>
      </w:tblPr>
      <w:tr>
        <w:trPr>
          <w:trHeight w:val="176"/>
        </w:trPr>
        <w:tc>
          <w:tcPr>
            <w:tcW w:w="2720" w:type="dxa"/>
            <w:vAlign w:val="bottom"/>
            <w:tcBorders>
              <w:top w:val="single" w:sz="8" w:color="auto"/>
              <w:left w:val="single" w:sz="8" w:color="auto"/>
              <w:right w:val="single" w:sz="8" w:color="auto"/>
            </w:tcBorders>
          </w:tcPr>
          <w:p>
            <w:pPr>
              <w:spacing w:after="0"/>
              <w:rPr>
                <w:sz w:val="15"/>
                <w:szCs w:val="15"/>
                <w:color w:val="auto"/>
              </w:rPr>
            </w:pPr>
          </w:p>
        </w:tc>
        <w:tc>
          <w:tcPr>
            <w:tcW w:w="400" w:type="dxa"/>
            <w:vAlign w:val="bottom"/>
            <w:tcBorders>
              <w:top w:val="single" w:sz="8" w:color="auto"/>
            </w:tcBorders>
          </w:tcPr>
          <w:p>
            <w:pPr>
              <w:spacing w:after="0"/>
              <w:rPr>
                <w:sz w:val="15"/>
                <w:szCs w:val="15"/>
                <w:color w:val="auto"/>
              </w:rPr>
            </w:pPr>
          </w:p>
        </w:tc>
        <w:tc>
          <w:tcPr>
            <w:tcW w:w="1480" w:type="dxa"/>
            <w:vAlign w:val="bottom"/>
            <w:tcBorders>
              <w:top w:val="single" w:sz="8" w:color="auto"/>
              <w:right w:val="single" w:sz="8" w:color="auto"/>
            </w:tcBorders>
          </w:tcPr>
          <w:p>
            <w:pPr>
              <w:spacing w:after="0"/>
              <w:rPr>
                <w:sz w:val="15"/>
                <w:szCs w:val="15"/>
                <w:color w:val="auto"/>
              </w:rPr>
            </w:pPr>
          </w:p>
        </w:tc>
        <w:tc>
          <w:tcPr>
            <w:tcW w:w="380" w:type="dxa"/>
            <w:vAlign w:val="bottom"/>
            <w:tcBorders>
              <w:top w:val="single" w:sz="8" w:color="auto"/>
            </w:tcBorders>
          </w:tcPr>
          <w:p>
            <w:pPr>
              <w:spacing w:after="0"/>
              <w:rPr>
                <w:sz w:val="15"/>
                <w:szCs w:val="15"/>
                <w:color w:val="auto"/>
              </w:rPr>
            </w:pPr>
          </w:p>
        </w:tc>
        <w:tc>
          <w:tcPr>
            <w:tcW w:w="1480" w:type="dxa"/>
            <w:vAlign w:val="bottom"/>
            <w:tcBorders>
              <w:top w:val="single" w:sz="8" w:color="auto"/>
              <w:right w:val="single" w:sz="8" w:color="auto"/>
            </w:tcBorders>
          </w:tcPr>
          <w:p>
            <w:pPr>
              <w:spacing w:after="0"/>
              <w:rPr>
                <w:sz w:val="15"/>
                <w:szCs w:val="15"/>
                <w:color w:val="auto"/>
              </w:rPr>
            </w:pPr>
          </w:p>
        </w:tc>
        <w:tc>
          <w:tcPr>
            <w:tcW w:w="340" w:type="dxa"/>
            <w:vAlign w:val="bottom"/>
            <w:tcBorders>
              <w:top w:val="single" w:sz="8" w:color="auto"/>
            </w:tcBorders>
          </w:tcPr>
          <w:p>
            <w:pPr>
              <w:spacing w:after="0"/>
              <w:rPr>
                <w:sz w:val="15"/>
                <w:szCs w:val="15"/>
                <w:color w:val="auto"/>
              </w:rPr>
            </w:pPr>
          </w:p>
        </w:tc>
        <w:tc>
          <w:tcPr>
            <w:tcW w:w="1120" w:type="dxa"/>
            <w:vAlign w:val="bottom"/>
            <w:tcBorders>
              <w:top w:val="single" w:sz="8" w:color="auto"/>
              <w:right w:val="single" w:sz="8" w:color="auto"/>
            </w:tcBorders>
          </w:tcPr>
          <w:p>
            <w:pPr>
              <w:spacing w:after="0"/>
              <w:rPr>
                <w:sz w:val="15"/>
                <w:szCs w:val="15"/>
                <w:color w:val="auto"/>
              </w:rPr>
            </w:pPr>
          </w:p>
        </w:tc>
        <w:tc>
          <w:tcPr>
            <w:tcW w:w="320" w:type="dxa"/>
            <w:vAlign w:val="bottom"/>
            <w:tcBorders>
              <w:top w:val="single" w:sz="8" w:color="auto"/>
            </w:tcBorders>
          </w:tcPr>
          <w:p>
            <w:pPr>
              <w:spacing w:after="0"/>
              <w:rPr>
                <w:sz w:val="15"/>
                <w:szCs w:val="15"/>
                <w:color w:val="auto"/>
              </w:rPr>
            </w:pPr>
          </w:p>
        </w:tc>
        <w:tc>
          <w:tcPr>
            <w:tcW w:w="1480" w:type="dxa"/>
            <w:vAlign w:val="bottom"/>
            <w:tcBorders>
              <w:top w:val="single" w:sz="8" w:color="auto"/>
              <w:right w:val="single" w:sz="8" w:color="auto"/>
            </w:tcBorders>
          </w:tcPr>
          <w:p>
            <w:pPr>
              <w:jc w:val="center"/>
              <w:ind w:right="355"/>
              <w:spacing w:after="0" w:line="176" w:lineRule="exact"/>
              <w:rPr>
                <w:sz w:val="20"/>
                <w:szCs w:val="20"/>
                <w:color w:val="auto"/>
              </w:rPr>
            </w:pPr>
            <w:r>
              <w:rPr>
                <w:rFonts w:ascii="Arial" w:cs="Arial" w:eastAsia="Arial" w:hAnsi="Arial"/>
                <w:sz w:val="17"/>
                <w:szCs w:val="17"/>
                <w:b w:val="1"/>
                <w:bCs w:val="1"/>
                <w:color w:val="auto"/>
                <w:w w:val="99"/>
              </w:rPr>
              <w:t>Aggregate</w:t>
            </w:r>
          </w:p>
        </w:tc>
        <w:tc>
          <w:tcPr>
            <w:tcW w:w="320" w:type="dxa"/>
            <w:vAlign w:val="bottom"/>
            <w:tcBorders>
              <w:top w:val="single" w:sz="8" w:color="auto"/>
            </w:tcBorders>
          </w:tcPr>
          <w:p>
            <w:pPr>
              <w:spacing w:after="0"/>
              <w:rPr>
                <w:sz w:val="15"/>
                <w:szCs w:val="15"/>
                <w:color w:val="auto"/>
              </w:rPr>
            </w:pPr>
          </w:p>
        </w:tc>
        <w:tc>
          <w:tcPr>
            <w:tcW w:w="1400" w:type="dxa"/>
            <w:vAlign w:val="bottom"/>
            <w:tcBorders>
              <w:top w:val="single" w:sz="8" w:color="auto"/>
              <w:right w:val="single" w:sz="8" w:color="auto"/>
            </w:tcBorders>
          </w:tcPr>
          <w:p>
            <w:pPr>
              <w:jc w:val="right"/>
              <w:ind w:right="443"/>
              <w:spacing w:after="0" w:line="176" w:lineRule="exact"/>
              <w:rPr>
                <w:sz w:val="20"/>
                <w:szCs w:val="20"/>
                <w:color w:val="auto"/>
              </w:rPr>
            </w:pPr>
            <w:r>
              <w:rPr>
                <w:rFonts w:ascii="Arial" w:cs="Arial" w:eastAsia="Arial" w:hAnsi="Arial"/>
                <w:sz w:val="17"/>
                <w:szCs w:val="17"/>
                <w:b w:val="1"/>
                <w:bCs w:val="1"/>
                <w:color w:val="auto"/>
              </w:rPr>
              <w:t>Aggregate</w:t>
            </w:r>
          </w:p>
        </w:tc>
        <w:tc>
          <w:tcPr>
            <w:tcW w:w="0" w:type="dxa"/>
            <w:vAlign w:val="bottom"/>
          </w:tcPr>
          <w:p>
            <w:pPr>
              <w:spacing w:after="0"/>
              <w:rPr>
                <w:sz w:val="1"/>
                <w:szCs w:val="1"/>
                <w:color w:val="auto"/>
              </w:rPr>
            </w:pPr>
          </w:p>
        </w:tc>
      </w:tr>
      <w:tr>
        <w:trPr>
          <w:trHeight w:val="189"/>
        </w:trPr>
        <w:tc>
          <w:tcPr>
            <w:tcW w:w="2720" w:type="dxa"/>
            <w:vAlign w:val="bottom"/>
            <w:tcBorders>
              <w:left w:val="single" w:sz="8" w:color="auto"/>
              <w:right w:val="single" w:sz="8" w:color="auto"/>
            </w:tcBorders>
          </w:tcPr>
          <w:p>
            <w:pPr>
              <w:spacing w:after="0"/>
              <w:rPr>
                <w:sz w:val="16"/>
                <w:szCs w:val="16"/>
                <w:color w:val="auto"/>
              </w:rPr>
            </w:pPr>
          </w:p>
        </w:tc>
        <w:tc>
          <w:tcPr>
            <w:tcW w:w="400" w:type="dxa"/>
            <w:vAlign w:val="bottom"/>
          </w:tcPr>
          <w:p>
            <w:pPr>
              <w:spacing w:after="0"/>
              <w:rPr>
                <w:sz w:val="16"/>
                <w:szCs w:val="16"/>
                <w:color w:val="auto"/>
              </w:rPr>
            </w:pPr>
          </w:p>
        </w:tc>
        <w:tc>
          <w:tcPr>
            <w:tcW w:w="1480" w:type="dxa"/>
            <w:vAlign w:val="bottom"/>
            <w:tcBorders>
              <w:right w:val="single" w:sz="8" w:color="auto"/>
            </w:tcBorders>
          </w:tcPr>
          <w:p>
            <w:pPr>
              <w:jc w:val="right"/>
              <w:ind w:right="524"/>
              <w:spacing w:after="0" w:line="189" w:lineRule="exact"/>
              <w:rPr>
                <w:sz w:val="20"/>
                <w:szCs w:val="20"/>
                <w:color w:val="auto"/>
              </w:rPr>
            </w:pPr>
            <w:r>
              <w:rPr>
                <w:rFonts w:ascii="Arial" w:cs="Arial" w:eastAsia="Arial" w:hAnsi="Arial"/>
                <w:sz w:val="17"/>
                <w:szCs w:val="17"/>
                <w:b w:val="1"/>
                <w:bCs w:val="1"/>
                <w:color w:val="auto"/>
              </w:rPr>
              <w:t>Executive</w:t>
            </w:r>
          </w:p>
        </w:tc>
        <w:tc>
          <w:tcPr>
            <w:tcW w:w="380" w:type="dxa"/>
            <w:vAlign w:val="bottom"/>
          </w:tcPr>
          <w:p>
            <w:pPr>
              <w:spacing w:after="0"/>
              <w:rPr>
                <w:sz w:val="16"/>
                <w:szCs w:val="16"/>
                <w:color w:val="auto"/>
              </w:rPr>
            </w:pPr>
          </w:p>
        </w:tc>
        <w:tc>
          <w:tcPr>
            <w:tcW w:w="1480" w:type="dxa"/>
            <w:vAlign w:val="bottom"/>
            <w:tcBorders>
              <w:right w:val="single" w:sz="8" w:color="auto"/>
            </w:tcBorders>
          </w:tcPr>
          <w:p>
            <w:pPr>
              <w:jc w:val="right"/>
              <w:ind w:right="524"/>
              <w:spacing w:after="0" w:line="189" w:lineRule="exact"/>
              <w:rPr>
                <w:sz w:val="20"/>
                <w:szCs w:val="20"/>
                <w:color w:val="auto"/>
              </w:rPr>
            </w:pPr>
            <w:r>
              <w:rPr>
                <w:rFonts w:ascii="Arial" w:cs="Arial" w:eastAsia="Arial" w:hAnsi="Arial"/>
                <w:sz w:val="17"/>
                <w:szCs w:val="17"/>
                <w:b w:val="1"/>
                <w:bCs w:val="1"/>
                <w:color w:val="auto"/>
              </w:rPr>
              <w:t>Company</w:t>
            </w:r>
          </w:p>
        </w:tc>
        <w:tc>
          <w:tcPr>
            <w:tcW w:w="1460" w:type="dxa"/>
            <w:vAlign w:val="bottom"/>
            <w:tcBorders>
              <w:right w:val="single" w:sz="8" w:color="auto"/>
            </w:tcBorders>
            <w:gridSpan w:val="2"/>
          </w:tcPr>
          <w:p>
            <w:pPr>
              <w:jc w:val="right"/>
              <w:ind w:right="286"/>
              <w:spacing w:after="0" w:line="189" w:lineRule="exact"/>
              <w:rPr>
                <w:sz w:val="20"/>
                <w:szCs w:val="20"/>
                <w:color w:val="auto"/>
              </w:rPr>
            </w:pPr>
            <w:r>
              <w:rPr>
                <w:rFonts w:ascii="Arial" w:cs="Arial" w:eastAsia="Arial" w:hAnsi="Arial"/>
                <w:sz w:val="17"/>
                <w:szCs w:val="17"/>
                <w:b w:val="1"/>
                <w:bCs w:val="1"/>
                <w:color w:val="auto"/>
              </w:rPr>
              <w:t>Aggregate</w:t>
            </w:r>
          </w:p>
        </w:tc>
        <w:tc>
          <w:tcPr>
            <w:tcW w:w="320" w:type="dxa"/>
            <w:vAlign w:val="bottom"/>
          </w:tcPr>
          <w:p>
            <w:pPr>
              <w:spacing w:after="0"/>
              <w:rPr>
                <w:sz w:val="16"/>
                <w:szCs w:val="16"/>
                <w:color w:val="auto"/>
              </w:rPr>
            </w:pPr>
          </w:p>
        </w:tc>
        <w:tc>
          <w:tcPr>
            <w:tcW w:w="1480" w:type="dxa"/>
            <w:vAlign w:val="bottom"/>
            <w:tcBorders>
              <w:right w:val="single" w:sz="8" w:color="auto"/>
            </w:tcBorders>
          </w:tcPr>
          <w:p>
            <w:pPr>
              <w:jc w:val="center"/>
              <w:ind w:right="335"/>
              <w:spacing w:after="0" w:line="189" w:lineRule="exact"/>
              <w:rPr>
                <w:sz w:val="20"/>
                <w:szCs w:val="20"/>
                <w:color w:val="auto"/>
              </w:rPr>
            </w:pPr>
            <w:r>
              <w:rPr>
                <w:rFonts w:ascii="Arial" w:cs="Arial" w:eastAsia="Arial" w:hAnsi="Arial"/>
                <w:sz w:val="17"/>
                <w:szCs w:val="17"/>
                <w:b w:val="1"/>
                <w:bCs w:val="1"/>
                <w:color w:val="auto"/>
              </w:rPr>
              <w:t>Withdrawals/</w:t>
            </w:r>
          </w:p>
        </w:tc>
        <w:tc>
          <w:tcPr>
            <w:tcW w:w="320" w:type="dxa"/>
            <w:vAlign w:val="bottom"/>
          </w:tcPr>
          <w:p>
            <w:pPr>
              <w:spacing w:after="0"/>
              <w:rPr>
                <w:sz w:val="16"/>
                <w:szCs w:val="16"/>
                <w:color w:val="auto"/>
              </w:rPr>
            </w:pPr>
          </w:p>
        </w:tc>
        <w:tc>
          <w:tcPr>
            <w:tcW w:w="1400" w:type="dxa"/>
            <w:vAlign w:val="bottom"/>
            <w:tcBorders>
              <w:right w:val="single" w:sz="8" w:color="auto"/>
            </w:tcBorders>
          </w:tcPr>
          <w:p>
            <w:pPr>
              <w:jc w:val="right"/>
              <w:ind w:right="443"/>
              <w:spacing w:after="0" w:line="189" w:lineRule="exact"/>
              <w:rPr>
                <w:sz w:val="20"/>
                <w:szCs w:val="20"/>
                <w:color w:val="auto"/>
              </w:rPr>
            </w:pPr>
            <w:r>
              <w:rPr>
                <w:rFonts w:ascii="Arial" w:cs="Arial" w:eastAsia="Arial" w:hAnsi="Arial"/>
                <w:sz w:val="17"/>
                <w:szCs w:val="17"/>
                <w:b w:val="1"/>
                <w:bCs w:val="1"/>
                <w:color w:val="auto"/>
              </w:rPr>
              <w:t>Balance at</w:t>
            </w:r>
          </w:p>
        </w:tc>
        <w:tc>
          <w:tcPr>
            <w:tcW w:w="0" w:type="dxa"/>
            <w:vAlign w:val="bottom"/>
          </w:tcPr>
          <w:p>
            <w:pPr>
              <w:spacing w:after="0"/>
              <w:rPr>
                <w:sz w:val="1"/>
                <w:szCs w:val="1"/>
                <w:color w:val="auto"/>
              </w:rPr>
            </w:pPr>
          </w:p>
        </w:tc>
      </w:tr>
      <w:tr>
        <w:trPr>
          <w:trHeight w:val="189"/>
        </w:trPr>
        <w:tc>
          <w:tcPr>
            <w:tcW w:w="2720" w:type="dxa"/>
            <w:vAlign w:val="bottom"/>
            <w:tcBorders>
              <w:left w:val="single" w:sz="8" w:color="auto"/>
              <w:right w:val="single" w:sz="8" w:color="auto"/>
            </w:tcBorders>
          </w:tcPr>
          <w:p>
            <w:pPr>
              <w:spacing w:after="0"/>
              <w:rPr>
                <w:sz w:val="16"/>
                <w:szCs w:val="16"/>
                <w:color w:val="auto"/>
              </w:rPr>
            </w:pPr>
          </w:p>
        </w:tc>
        <w:tc>
          <w:tcPr>
            <w:tcW w:w="1880" w:type="dxa"/>
            <w:vAlign w:val="bottom"/>
            <w:tcBorders>
              <w:right w:val="single" w:sz="8" w:color="auto"/>
            </w:tcBorders>
            <w:gridSpan w:val="2"/>
          </w:tcPr>
          <w:p>
            <w:pPr>
              <w:ind w:left="220"/>
              <w:spacing w:after="0" w:line="189" w:lineRule="exact"/>
              <w:rPr>
                <w:sz w:val="20"/>
                <w:szCs w:val="20"/>
                <w:color w:val="auto"/>
              </w:rPr>
            </w:pPr>
            <w:r>
              <w:rPr>
                <w:rFonts w:ascii="Arial" w:cs="Arial" w:eastAsia="Arial" w:hAnsi="Arial"/>
                <w:sz w:val="17"/>
                <w:szCs w:val="17"/>
                <w:b w:val="1"/>
                <w:bCs w:val="1"/>
                <w:color w:val="auto"/>
              </w:rPr>
              <w:t>Contributions in</w:t>
            </w:r>
          </w:p>
        </w:tc>
        <w:tc>
          <w:tcPr>
            <w:tcW w:w="1860" w:type="dxa"/>
            <w:vAlign w:val="bottom"/>
            <w:tcBorders>
              <w:right w:val="single" w:sz="8" w:color="auto"/>
            </w:tcBorders>
            <w:gridSpan w:val="2"/>
          </w:tcPr>
          <w:p>
            <w:pPr>
              <w:ind w:left="200"/>
              <w:spacing w:after="0" w:line="189" w:lineRule="exact"/>
              <w:rPr>
                <w:sz w:val="20"/>
                <w:szCs w:val="20"/>
                <w:color w:val="auto"/>
              </w:rPr>
            </w:pPr>
            <w:r>
              <w:rPr>
                <w:rFonts w:ascii="Arial" w:cs="Arial" w:eastAsia="Arial" w:hAnsi="Arial"/>
                <w:sz w:val="17"/>
                <w:szCs w:val="17"/>
                <w:b w:val="1"/>
                <w:bCs w:val="1"/>
                <w:color w:val="auto"/>
              </w:rPr>
              <w:t>Contributions in</w:t>
            </w:r>
          </w:p>
        </w:tc>
        <w:tc>
          <w:tcPr>
            <w:tcW w:w="1460" w:type="dxa"/>
            <w:vAlign w:val="bottom"/>
            <w:tcBorders>
              <w:right w:val="single" w:sz="8" w:color="auto"/>
            </w:tcBorders>
            <w:gridSpan w:val="2"/>
          </w:tcPr>
          <w:p>
            <w:pPr>
              <w:ind w:left="200"/>
              <w:spacing w:after="0" w:line="189" w:lineRule="exact"/>
              <w:rPr>
                <w:sz w:val="20"/>
                <w:szCs w:val="20"/>
                <w:color w:val="auto"/>
              </w:rPr>
            </w:pPr>
            <w:r>
              <w:rPr>
                <w:rFonts w:ascii="Arial" w:cs="Arial" w:eastAsia="Arial" w:hAnsi="Arial"/>
                <w:sz w:val="17"/>
                <w:szCs w:val="17"/>
                <w:b w:val="1"/>
                <w:bCs w:val="1"/>
                <w:color w:val="auto"/>
              </w:rPr>
              <w:t>Earnings in</w:t>
            </w:r>
          </w:p>
        </w:tc>
        <w:tc>
          <w:tcPr>
            <w:tcW w:w="1800" w:type="dxa"/>
            <w:vAlign w:val="bottom"/>
            <w:tcBorders>
              <w:right w:val="single" w:sz="8" w:color="auto"/>
            </w:tcBorders>
            <w:gridSpan w:val="2"/>
          </w:tcPr>
          <w:p>
            <w:pPr>
              <w:ind w:left="220"/>
              <w:spacing w:after="0" w:line="189" w:lineRule="exact"/>
              <w:rPr>
                <w:sz w:val="20"/>
                <w:szCs w:val="20"/>
                <w:color w:val="auto"/>
              </w:rPr>
            </w:pPr>
            <w:r>
              <w:rPr>
                <w:rFonts w:ascii="Arial" w:cs="Arial" w:eastAsia="Arial" w:hAnsi="Arial"/>
                <w:sz w:val="17"/>
                <w:szCs w:val="17"/>
                <w:b w:val="1"/>
                <w:bCs w:val="1"/>
                <w:color w:val="auto"/>
              </w:rPr>
              <w:t>Distributions in</w:t>
            </w:r>
          </w:p>
        </w:tc>
        <w:tc>
          <w:tcPr>
            <w:tcW w:w="1720" w:type="dxa"/>
            <w:vAlign w:val="bottom"/>
            <w:tcBorders>
              <w:right w:val="single" w:sz="8" w:color="auto"/>
            </w:tcBorders>
            <w:gridSpan w:val="2"/>
          </w:tcPr>
          <w:p>
            <w:pPr>
              <w:ind w:left="220"/>
              <w:spacing w:after="0" w:line="189" w:lineRule="exact"/>
              <w:rPr>
                <w:sz w:val="20"/>
                <w:szCs w:val="20"/>
                <w:color w:val="auto"/>
              </w:rPr>
            </w:pPr>
            <w:r>
              <w:rPr>
                <w:rFonts w:ascii="Arial" w:cs="Arial" w:eastAsia="Arial" w:hAnsi="Arial"/>
                <w:sz w:val="17"/>
                <w:szCs w:val="17"/>
                <w:b w:val="1"/>
                <w:bCs w:val="1"/>
                <w:color w:val="auto"/>
              </w:rPr>
              <w:t>December 31,</w:t>
            </w:r>
          </w:p>
        </w:tc>
        <w:tc>
          <w:tcPr>
            <w:tcW w:w="0" w:type="dxa"/>
            <w:vAlign w:val="bottom"/>
          </w:tcPr>
          <w:p>
            <w:pPr>
              <w:spacing w:after="0"/>
              <w:rPr>
                <w:sz w:val="1"/>
                <w:szCs w:val="1"/>
                <w:color w:val="auto"/>
              </w:rPr>
            </w:pPr>
          </w:p>
        </w:tc>
      </w:tr>
      <w:tr>
        <w:trPr>
          <w:trHeight w:val="161"/>
        </w:trPr>
        <w:tc>
          <w:tcPr>
            <w:tcW w:w="2720" w:type="dxa"/>
            <w:vAlign w:val="bottom"/>
            <w:tcBorders>
              <w:left w:val="single" w:sz="8" w:color="auto"/>
              <w:right w:val="single" w:sz="8" w:color="auto"/>
            </w:tcBorders>
            <w:vMerge w:val="restart"/>
          </w:tcPr>
          <w:p>
            <w:pPr>
              <w:ind w:left="160"/>
              <w:spacing w:after="0"/>
              <w:rPr>
                <w:sz w:val="20"/>
                <w:szCs w:val="20"/>
                <w:color w:val="auto"/>
              </w:rPr>
            </w:pPr>
            <w:r>
              <w:rPr>
                <w:rFonts w:ascii="Arial" w:cs="Arial" w:eastAsia="Arial" w:hAnsi="Arial"/>
                <w:sz w:val="17"/>
                <w:szCs w:val="17"/>
                <w:b w:val="1"/>
                <w:bCs w:val="1"/>
                <w:color w:val="auto"/>
              </w:rPr>
              <w:t>Name</w:t>
            </w:r>
          </w:p>
        </w:tc>
        <w:tc>
          <w:tcPr>
            <w:tcW w:w="400" w:type="dxa"/>
            <w:vAlign w:val="bottom"/>
          </w:tcPr>
          <w:p>
            <w:pPr>
              <w:spacing w:after="0"/>
              <w:rPr>
                <w:sz w:val="14"/>
                <w:szCs w:val="14"/>
                <w:color w:val="auto"/>
              </w:rPr>
            </w:pPr>
          </w:p>
        </w:tc>
        <w:tc>
          <w:tcPr>
            <w:tcW w:w="1480" w:type="dxa"/>
            <w:vAlign w:val="bottom"/>
            <w:tcBorders>
              <w:right w:val="single" w:sz="8" w:color="auto"/>
            </w:tcBorders>
          </w:tcPr>
          <w:p>
            <w:pPr>
              <w:jc w:val="right"/>
              <w:ind w:right="644"/>
              <w:spacing w:after="0" w:line="161" w:lineRule="exact"/>
              <w:rPr>
                <w:sz w:val="20"/>
                <w:szCs w:val="20"/>
                <w:color w:val="auto"/>
              </w:rPr>
            </w:pPr>
            <w:r>
              <w:rPr>
                <w:rFonts w:ascii="Arial" w:cs="Arial" w:eastAsia="Arial" w:hAnsi="Arial"/>
                <w:sz w:val="15"/>
                <w:szCs w:val="15"/>
                <w:b w:val="1"/>
                <w:bCs w:val="1"/>
                <w:color w:val="auto"/>
              </w:rPr>
              <w:t>(1)</w:t>
            </w:r>
          </w:p>
        </w:tc>
        <w:tc>
          <w:tcPr>
            <w:tcW w:w="380" w:type="dxa"/>
            <w:vAlign w:val="bottom"/>
          </w:tcPr>
          <w:p>
            <w:pPr>
              <w:spacing w:after="0"/>
              <w:rPr>
                <w:sz w:val="14"/>
                <w:szCs w:val="14"/>
                <w:color w:val="auto"/>
              </w:rPr>
            </w:pPr>
          </w:p>
        </w:tc>
        <w:tc>
          <w:tcPr>
            <w:tcW w:w="1480" w:type="dxa"/>
            <w:vAlign w:val="bottom"/>
            <w:tcBorders>
              <w:right w:val="single" w:sz="8" w:color="auto"/>
            </w:tcBorders>
          </w:tcPr>
          <w:p>
            <w:pPr>
              <w:jc w:val="right"/>
              <w:ind w:right="644"/>
              <w:spacing w:after="0" w:line="161" w:lineRule="exact"/>
              <w:rPr>
                <w:sz w:val="20"/>
                <w:szCs w:val="20"/>
                <w:color w:val="auto"/>
              </w:rPr>
            </w:pPr>
            <w:r>
              <w:rPr>
                <w:rFonts w:ascii="Arial" w:cs="Arial" w:eastAsia="Arial" w:hAnsi="Arial"/>
                <w:sz w:val="15"/>
                <w:szCs w:val="15"/>
                <w:b w:val="1"/>
                <w:bCs w:val="1"/>
                <w:color w:val="auto"/>
              </w:rPr>
              <w:t>(1)</w:t>
            </w:r>
          </w:p>
        </w:tc>
        <w:tc>
          <w:tcPr>
            <w:tcW w:w="340" w:type="dxa"/>
            <w:vAlign w:val="bottom"/>
          </w:tcPr>
          <w:p>
            <w:pPr>
              <w:spacing w:after="0"/>
              <w:rPr>
                <w:sz w:val="14"/>
                <w:szCs w:val="14"/>
                <w:color w:val="auto"/>
              </w:rPr>
            </w:pPr>
          </w:p>
        </w:tc>
        <w:tc>
          <w:tcPr>
            <w:tcW w:w="1120" w:type="dxa"/>
            <w:vAlign w:val="bottom"/>
            <w:tcBorders>
              <w:right w:val="single" w:sz="8" w:color="auto"/>
            </w:tcBorders>
          </w:tcPr>
          <w:p>
            <w:pPr>
              <w:jc w:val="right"/>
              <w:ind w:right="426"/>
              <w:spacing w:after="0" w:line="161" w:lineRule="exact"/>
              <w:rPr>
                <w:sz w:val="20"/>
                <w:szCs w:val="20"/>
                <w:color w:val="auto"/>
              </w:rPr>
            </w:pPr>
            <w:r>
              <w:rPr>
                <w:rFonts w:ascii="Arial" w:cs="Arial" w:eastAsia="Arial" w:hAnsi="Arial"/>
                <w:sz w:val="15"/>
                <w:szCs w:val="15"/>
                <w:b w:val="1"/>
                <w:bCs w:val="1"/>
                <w:color w:val="auto"/>
              </w:rPr>
              <w:t>(2)</w:t>
            </w:r>
          </w:p>
        </w:tc>
        <w:tc>
          <w:tcPr>
            <w:tcW w:w="320" w:type="dxa"/>
            <w:vAlign w:val="bottom"/>
          </w:tcPr>
          <w:p>
            <w:pPr>
              <w:spacing w:after="0"/>
              <w:rPr>
                <w:sz w:val="14"/>
                <w:szCs w:val="14"/>
                <w:color w:val="auto"/>
              </w:rPr>
            </w:pPr>
          </w:p>
        </w:tc>
        <w:tc>
          <w:tcPr>
            <w:tcW w:w="1480" w:type="dxa"/>
            <w:vAlign w:val="bottom"/>
            <w:tcBorders>
              <w:right w:val="single" w:sz="8" w:color="auto"/>
            </w:tcBorders>
            <w:vMerge w:val="restart"/>
          </w:tcPr>
          <w:p>
            <w:pPr>
              <w:jc w:val="center"/>
              <w:ind w:right="335"/>
              <w:spacing w:after="0"/>
              <w:rPr>
                <w:sz w:val="20"/>
                <w:szCs w:val="20"/>
                <w:color w:val="auto"/>
              </w:rPr>
            </w:pPr>
            <w:r>
              <w:rPr>
                <w:rFonts w:ascii="Arial" w:cs="Arial" w:eastAsia="Arial" w:hAnsi="Arial"/>
                <w:sz w:val="17"/>
                <w:szCs w:val="17"/>
                <w:b w:val="1"/>
                <w:bCs w:val="1"/>
                <w:color w:val="auto"/>
              </w:rPr>
              <w:t>2015</w:t>
            </w:r>
          </w:p>
        </w:tc>
        <w:tc>
          <w:tcPr>
            <w:tcW w:w="320" w:type="dxa"/>
            <w:vAlign w:val="bottom"/>
          </w:tcPr>
          <w:p>
            <w:pPr>
              <w:spacing w:after="0"/>
              <w:rPr>
                <w:sz w:val="14"/>
                <w:szCs w:val="14"/>
                <w:color w:val="auto"/>
              </w:rPr>
            </w:pPr>
          </w:p>
        </w:tc>
        <w:tc>
          <w:tcPr>
            <w:tcW w:w="1400" w:type="dxa"/>
            <w:vAlign w:val="bottom"/>
            <w:tcBorders>
              <w:right w:val="single" w:sz="8" w:color="auto"/>
            </w:tcBorders>
          </w:tcPr>
          <w:p>
            <w:pPr>
              <w:jc w:val="right"/>
              <w:ind w:right="583"/>
              <w:spacing w:after="0" w:line="161" w:lineRule="exact"/>
              <w:rPr>
                <w:sz w:val="20"/>
                <w:szCs w:val="20"/>
                <w:color w:val="auto"/>
              </w:rPr>
            </w:pPr>
            <w:r>
              <w:rPr>
                <w:rFonts w:ascii="Arial" w:cs="Arial" w:eastAsia="Arial" w:hAnsi="Arial"/>
                <w:sz w:val="15"/>
                <w:szCs w:val="15"/>
                <w:b w:val="1"/>
                <w:bCs w:val="1"/>
                <w:color w:val="auto"/>
              </w:rPr>
              <w:t>(3)</w:t>
            </w:r>
          </w:p>
        </w:tc>
        <w:tc>
          <w:tcPr>
            <w:tcW w:w="0" w:type="dxa"/>
            <w:vAlign w:val="bottom"/>
          </w:tcPr>
          <w:p>
            <w:pPr>
              <w:spacing w:after="0"/>
              <w:rPr>
                <w:sz w:val="1"/>
                <w:szCs w:val="1"/>
                <w:color w:val="auto"/>
              </w:rPr>
            </w:pPr>
          </w:p>
        </w:tc>
      </w:tr>
      <w:tr>
        <w:trPr>
          <w:trHeight w:val="54"/>
        </w:trPr>
        <w:tc>
          <w:tcPr>
            <w:tcW w:w="2720" w:type="dxa"/>
            <w:vAlign w:val="bottom"/>
            <w:tcBorders>
              <w:left w:val="single" w:sz="8" w:color="auto"/>
              <w:bottom w:val="single" w:sz="8" w:color="auto"/>
              <w:right w:val="single" w:sz="8" w:color="auto"/>
            </w:tcBorders>
            <w:vMerge w:val="continue"/>
          </w:tcPr>
          <w:p>
            <w:pPr>
              <w:spacing w:after="0"/>
              <w:rPr>
                <w:sz w:val="4"/>
                <w:szCs w:val="4"/>
                <w:color w:val="auto"/>
              </w:rPr>
            </w:pPr>
          </w:p>
        </w:tc>
        <w:tc>
          <w:tcPr>
            <w:tcW w:w="400" w:type="dxa"/>
            <w:vAlign w:val="bottom"/>
            <w:tcBorders>
              <w:bottom w:val="single" w:sz="8" w:color="auto"/>
            </w:tcBorders>
          </w:tcPr>
          <w:p>
            <w:pPr>
              <w:spacing w:after="0"/>
              <w:rPr>
                <w:sz w:val="4"/>
                <w:szCs w:val="4"/>
                <w:color w:val="auto"/>
              </w:rPr>
            </w:pPr>
          </w:p>
        </w:tc>
        <w:tc>
          <w:tcPr>
            <w:tcW w:w="1480" w:type="dxa"/>
            <w:vAlign w:val="bottom"/>
            <w:tcBorders>
              <w:bottom w:val="single" w:sz="8" w:color="auto"/>
              <w:right w:val="single" w:sz="8" w:color="auto"/>
            </w:tcBorders>
          </w:tcPr>
          <w:p>
            <w:pPr>
              <w:jc w:val="right"/>
              <w:ind w:right="824"/>
              <w:spacing w:after="0" w:line="54" w:lineRule="exact"/>
              <w:rPr>
                <w:sz w:val="20"/>
                <w:szCs w:val="20"/>
                <w:color w:val="auto"/>
              </w:rPr>
            </w:pPr>
            <w:r>
              <w:rPr>
                <w:rFonts w:ascii="Arial" w:cs="Arial" w:eastAsia="Arial" w:hAnsi="Arial"/>
                <w:sz w:val="6"/>
                <w:szCs w:val="6"/>
                <w:b w:val="1"/>
                <w:bCs w:val="1"/>
                <w:color w:val="auto"/>
              </w:rPr>
              <w:t>2015</w:t>
            </w:r>
          </w:p>
        </w:tc>
        <w:tc>
          <w:tcPr>
            <w:tcW w:w="380" w:type="dxa"/>
            <w:vAlign w:val="bottom"/>
            <w:tcBorders>
              <w:bottom w:val="single" w:sz="8" w:color="auto"/>
            </w:tcBorders>
          </w:tcPr>
          <w:p>
            <w:pPr>
              <w:spacing w:after="0"/>
              <w:rPr>
                <w:sz w:val="4"/>
                <w:szCs w:val="4"/>
                <w:color w:val="auto"/>
              </w:rPr>
            </w:pPr>
          </w:p>
        </w:tc>
        <w:tc>
          <w:tcPr>
            <w:tcW w:w="1480" w:type="dxa"/>
            <w:vAlign w:val="bottom"/>
            <w:tcBorders>
              <w:bottom w:val="single" w:sz="8" w:color="auto"/>
              <w:right w:val="single" w:sz="8" w:color="auto"/>
            </w:tcBorders>
          </w:tcPr>
          <w:p>
            <w:pPr>
              <w:jc w:val="right"/>
              <w:ind w:right="824"/>
              <w:spacing w:after="0" w:line="54" w:lineRule="exact"/>
              <w:rPr>
                <w:sz w:val="20"/>
                <w:szCs w:val="20"/>
                <w:color w:val="auto"/>
              </w:rPr>
            </w:pPr>
            <w:r>
              <w:rPr>
                <w:rFonts w:ascii="Arial" w:cs="Arial" w:eastAsia="Arial" w:hAnsi="Arial"/>
                <w:sz w:val="6"/>
                <w:szCs w:val="6"/>
                <w:b w:val="1"/>
                <w:bCs w:val="1"/>
                <w:color w:val="auto"/>
              </w:rPr>
              <w:t>2015</w:t>
            </w:r>
          </w:p>
        </w:tc>
        <w:tc>
          <w:tcPr>
            <w:tcW w:w="340" w:type="dxa"/>
            <w:vAlign w:val="bottom"/>
            <w:tcBorders>
              <w:bottom w:val="single" w:sz="8" w:color="auto"/>
            </w:tcBorders>
          </w:tcPr>
          <w:p>
            <w:pPr>
              <w:spacing w:after="0"/>
              <w:rPr>
                <w:sz w:val="4"/>
                <w:szCs w:val="4"/>
                <w:color w:val="auto"/>
              </w:rPr>
            </w:pPr>
          </w:p>
        </w:tc>
        <w:tc>
          <w:tcPr>
            <w:tcW w:w="1120" w:type="dxa"/>
            <w:vAlign w:val="bottom"/>
            <w:tcBorders>
              <w:bottom w:val="single" w:sz="8" w:color="auto"/>
              <w:right w:val="single" w:sz="8" w:color="auto"/>
            </w:tcBorders>
          </w:tcPr>
          <w:p>
            <w:pPr>
              <w:jc w:val="right"/>
              <w:ind w:right="606"/>
              <w:spacing w:after="0" w:line="54" w:lineRule="exact"/>
              <w:rPr>
                <w:sz w:val="20"/>
                <w:szCs w:val="20"/>
                <w:color w:val="auto"/>
              </w:rPr>
            </w:pPr>
            <w:r>
              <w:rPr>
                <w:rFonts w:ascii="Arial" w:cs="Arial" w:eastAsia="Arial" w:hAnsi="Arial"/>
                <w:sz w:val="6"/>
                <w:szCs w:val="6"/>
                <w:b w:val="1"/>
                <w:bCs w:val="1"/>
                <w:color w:val="auto"/>
              </w:rPr>
              <w:t>2015</w:t>
            </w:r>
          </w:p>
        </w:tc>
        <w:tc>
          <w:tcPr>
            <w:tcW w:w="320" w:type="dxa"/>
            <w:vAlign w:val="bottom"/>
            <w:tcBorders>
              <w:bottom w:val="single" w:sz="8" w:color="auto"/>
            </w:tcBorders>
          </w:tcPr>
          <w:p>
            <w:pPr>
              <w:spacing w:after="0"/>
              <w:rPr>
                <w:sz w:val="4"/>
                <w:szCs w:val="4"/>
                <w:color w:val="auto"/>
              </w:rPr>
            </w:pPr>
          </w:p>
        </w:tc>
        <w:tc>
          <w:tcPr>
            <w:tcW w:w="1480" w:type="dxa"/>
            <w:vAlign w:val="bottom"/>
            <w:tcBorders>
              <w:bottom w:val="single" w:sz="8" w:color="auto"/>
              <w:right w:val="single" w:sz="8" w:color="auto"/>
            </w:tcBorders>
            <w:vMerge w:val="continue"/>
          </w:tcPr>
          <w:p>
            <w:pPr>
              <w:spacing w:after="0"/>
              <w:rPr>
                <w:sz w:val="4"/>
                <w:szCs w:val="4"/>
                <w:color w:val="auto"/>
              </w:rPr>
            </w:pPr>
          </w:p>
        </w:tc>
        <w:tc>
          <w:tcPr>
            <w:tcW w:w="320" w:type="dxa"/>
            <w:vAlign w:val="bottom"/>
            <w:tcBorders>
              <w:bottom w:val="single" w:sz="8" w:color="auto"/>
            </w:tcBorders>
          </w:tcPr>
          <w:p>
            <w:pPr>
              <w:spacing w:after="0"/>
              <w:rPr>
                <w:sz w:val="4"/>
                <w:szCs w:val="4"/>
                <w:color w:val="auto"/>
              </w:rPr>
            </w:pPr>
          </w:p>
        </w:tc>
        <w:tc>
          <w:tcPr>
            <w:tcW w:w="1400" w:type="dxa"/>
            <w:vAlign w:val="bottom"/>
            <w:tcBorders>
              <w:bottom w:val="single" w:sz="8" w:color="auto"/>
              <w:right w:val="single" w:sz="8" w:color="auto"/>
            </w:tcBorders>
          </w:tcPr>
          <w:p>
            <w:pPr>
              <w:jc w:val="right"/>
              <w:ind w:right="763"/>
              <w:spacing w:after="0" w:line="54" w:lineRule="exact"/>
              <w:rPr>
                <w:sz w:val="20"/>
                <w:szCs w:val="20"/>
                <w:color w:val="auto"/>
              </w:rPr>
            </w:pPr>
            <w:r>
              <w:rPr>
                <w:rFonts w:ascii="Arial" w:cs="Arial" w:eastAsia="Arial" w:hAnsi="Arial"/>
                <w:sz w:val="6"/>
                <w:szCs w:val="6"/>
                <w:b w:val="1"/>
                <w:bCs w:val="1"/>
                <w:color w:val="auto"/>
              </w:rPr>
              <w:t>2015</w:t>
            </w:r>
          </w:p>
        </w:tc>
        <w:tc>
          <w:tcPr>
            <w:tcW w:w="0" w:type="dxa"/>
            <w:vAlign w:val="bottom"/>
          </w:tcPr>
          <w:p>
            <w:pPr>
              <w:spacing w:after="0"/>
              <w:rPr>
                <w:sz w:val="1"/>
                <w:szCs w:val="1"/>
                <w:color w:val="auto"/>
              </w:rPr>
            </w:pPr>
          </w:p>
        </w:tc>
      </w:tr>
      <w:tr>
        <w:trPr>
          <w:trHeight w:val="183"/>
        </w:trPr>
        <w:tc>
          <w:tcPr>
            <w:tcW w:w="2720" w:type="dxa"/>
            <w:vAlign w:val="bottom"/>
            <w:tcBorders>
              <w:left w:val="single" w:sz="8" w:color="auto"/>
              <w:bottom w:val="single" w:sz="8" w:color="auto"/>
              <w:right w:val="single" w:sz="8" w:color="auto"/>
            </w:tcBorders>
            <w:shd w:val="clear" w:color="auto" w:fill="CCEEFF"/>
          </w:tcPr>
          <w:p>
            <w:pPr>
              <w:ind w:left="160"/>
              <w:spacing w:after="0" w:line="183" w:lineRule="exact"/>
              <w:rPr>
                <w:sz w:val="20"/>
                <w:szCs w:val="20"/>
                <w:color w:val="auto"/>
              </w:rPr>
            </w:pPr>
            <w:r>
              <w:rPr>
                <w:rFonts w:ascii="Arial" w:cs="Arial" w:eastAsia="Arial" w:hAnsi="Arial"/>
                <w:sz w:val="17"/>
                <w:szCs w:val="17"/>
                <w:color w:val="auto"/>
              </w:rPr>
              <w:t>Ward J. Timken, Jr.</w:t>
            </w:r>
          </w:p>
        </w:tc>
        <w:tc>
          <w:tcPr>
            <w:tcW w:w="400" w:type="dxa"/>
            <w:vAlign w:val="bottom"/>
            <w:tcBorders>
              <w:bottom w:val="single" w:sz="8" w:color="auto"/>
            </w:tcBorders>
            <w:shd w:val="clear" w:color="auto" w:fill="CCEEFF"/>
          </w:tcPr>
          <w:p>
            <w:pPr>
              <w:ind w:left="220"/>
              <w:spacing w:after="0" w:line="183" w:lineRule="exact"/>
              <w:rPr>
                <w:sz w:val="20"/>
                <w:szCs w:val="20"/>
                <w:color w:val="auto"/>
              </w:rPr>
            </w:pPr>
            <w:r>
              <w:rPr>
                <w:rFonts w:ascii="Arial" w:cs="Arial" w:eastAsia="Arial" w:hAnsi="Arial"/>
                <w:sz w:val="17"/>
                <w:szCs w:val="17"/>
                <w:color w:val="auto"/>
              </w:rPr>
              <w:t>$</w:t>
            </w:r>
          </w:p>
        </w:tc>
        <w:tc>
          <w:tcPr>
            <w:tcW w:w="1480" w:type="dxa"/>
            <w:vAlign w:val="bottom"/>
            <w:tcBorders>
              <w:bottom w:val="single" w:sz="8" w:color="auto"/>
              <w:right w:val="single" w:sz="8" w:color="auto"/>
            </w:tcBorders>
            <w:shd w:val="clear" w:color="auto" w:fill="CCEEFF"/>
          </w:tcPr>
          <w:p>
            <w:pPr>
              <w:jc w:val="right"/>
              <w:ind w:right="264"/>
              <w:spacing w:after="0" w:line="183" w:lineRule="exact"/>
              <w:rPr>
                <w:sz w:val="20"/>
                <w:szCs w:val="20"/>
                <w:color w:val="auto"/>
              </w:rPr>
            </w:pPr>
            <w:r>
              <w:rPr>
                <w:rFonts w:ascii="Arial" w:cs="Arial" w:eastAsia="Arial" w:hAnsi="Arial"/>
                <w:sz w:val="17"/>
                <w:szCs w:val="17"/>
                <w:color w:val="auto"/>
              </w:rPr>
              <w:t>106,516</w:t>
            </w:r>
          </w:p>
        </w:tc>
        <w:tc>
          <w:tcPr>
            <w:tcW w:w="380" w:type="dxa"/>
            <w:vAlign w:val="bottom"/>
            <w:tcBorders>
              <w:bottom w:val="single" w:sz="8" w:color="auto"/>
            </w:tcBorders>
            <w:shd w:val="clear" w:color="auto" w:fill="CCEEFF"/>
          </w:tcPr>
          <w:p>
            <w:pPr>
              <w:ind w:left="200"/>
              <w:spacing w:after="0" w:line="183" w:lineRule="exact"/>
              <w:rPr>
                <w:sz w:val="20"/>
                <w:szCs w:val="20"/>
                <w:color w:val="auto"/>
              </w:rPr>
            </w:pPr>
            <w:r>
              <w:rPr>
                <w:rFonts w:ascii="Arial" w:cs="Arial" w:eastAsia="Arial" w:hAnsi="Arial"/>
                <w:sz w:val="17"/>
                <w:szCs w:val="17"/>
                <w:color w:val="auto"/>
              </w:rPr>
              <w:t>$</w:t>
            </w:r>
          </w:p>
        </w:tc>
        <w:tc>
          <w:tcPr>
            <w:tcW w:w="1480" w:type="dxa"/>
            <w:vAlign w:val="bottom"/>
            <w:tcBorders>
              <w:bottom w:val="single" w:sz="8" w:color="auto"/>
              <w:right w:val="single" w:sz="8" w:color="auto"/>
            </w:tcBorders>
            <w:shd w:val="clear" w:color="auto" w:fill="CCEEFF"/>
          </w:tcPr>
          <w:p>
            <w:pPr>
              <w:jc w:val="right"/>
              <w:ind w:right="264"/>
              <w:spacing w:after="0" w:line="183" w:lineRule="exact"/>
              <w:rPr>
                <w:sz w:val="20"/>
                <w:szCs w:val="20"/>
                <w:color w:val="auto"/>
              </w:rPr>
            </w:pPr>
            <w:r>
              <w:rPr>
                <w:rFonts w:ascii="Arial" w:cs="Arial" w:eastAsia="Arial" w:hAnsi="Arial"/>
                <w:sz w:val="17"/>
                <w:szCs w:val="17"/>
                <w:color w:val="auto"/>
              </w:rPr>
              <w:t>153,873</w:t>
            </w:r>
          </w:p>
        </w:tc>
        <w:tc>
          <w:tcPr>
            <w:tcW w:w="340" w:type="dxa"/>
            <w:vAlign w:val="bottom"/>
            <w:tcBorders>
              <w:bottom w:val="single" w:sz="8" w:color="auto"/>
            </w:tcBorders>
            <w:shd w:val="clear" w:color="auto" w:fill="CCEEFF"/>
          </w:tcPr>
          <w:p>
            <w:pPr>
              <w:ind w:left="200"/>
              <w:spacing w:after="0" w:line="183" w:lineRule="exact"/>
              <w:rPr>
                <w:sz w:val="20"/>
                <w:szCs w:val="20"/>
                <w:color w:val="auto"/>
              </w:rPr>
            </w:pPr>
            <w:r>
              <w:rPr>
                <w:rFonts w:ascii="Arial" w:cs="Arial" w:eastAsia="Arial" w:hAnsi="Arial"/>
                <w:sz w:val="17"/>
                <w:szCs w:val="17"/>
                <w:color w:val="auto"/>
              </w:rPr>
              <w:t>$</w:t>
            </w:r>
          </w:p>
        </w:tc>
        <w:tc>
          <w:tcPr>
            <w:tcW w:w="1120" w:type="dxa"/>
            <w:vAlign w:val="bottom"/>
            <w:tcBorders>
              <w:bottom w:val="single" w:sz="8" w:color="auto"/>
              <w:right w:val="single" w:sz="8" w:color="auto"/>
            </w:tcBorders>
            <w:shd w:val="clear" w:color="auto" w:fill="CCEEFF"/>
          </w:tcPr>
          <w:p>
            <w:pPr>
              <w:jc w:val="right"/>
              <w:ind w:right="246"/>
              <w:spacing w:after="0" w:line="183" w:lineRule="exact"/>
              <w:rPr>
                <w:sz w:val="20"/>
                <w:szCs w:val="20"/>
                <w:color w:val="auto"/>
              </w:rPr>
            </w:pPr>
            <w:r>
              <w:rPr>
                <w:rFonts w:ascii="Arial" w:cs="Arial" w:eastAsia="Arial" w:hAnsi="Arial"/>
                <w:sz w:val="17"/>
                <w:szCs w:val="17"/>
                <w:color w:val="auto"/>
              </w:rPr>
              <w:t>69,868</w:t>
            </w:r>
          </w:p>
        </w:tc>
        <w:tc>
          <w:tcPr>
            <w:tcW w:w="320" w:type="dxa"/>
            <w:vAlign w:val="bottom"/>
            <w:tcBorders>
              <w:bottom w:val="single" w:sz="8" w:color="auto"/>
            </w:tcBorders>
            <w:shd w:val="clear" w:color="auto" w:fill="CCEEFF"/>
          </w:tcPr>
          <w:p>
            <w:pPr>
              <w:ind w:left="220"/>
              <w:spacing w:after="0" w:line="183" w:lineRule="exact"/>
              <w:rPr>
                <w:sz w:val="20"/>
                <w:szCs w:val="20"/>
                <w:color w:val="auto"/>
              </w:rPr>
            </w:pPr>
            <w:r>
              <w:rPr>
                <w:rFonts w:ascii="Arial" w:cs="Arial" w:eastAsia="Arial" w:hAnsi="Arial"/>
                <w:sz w:val="17"/>
                <w:szCs w:val="17"/>
                <w:color w:val="auto"/>
                <w:w w:val="84"/>
              </w:rPr>
              <w:t>$</w:t>
            </w:r>
          </w:p>
        </w:tc>
        <w:tc>
          <w:tcPr>
            <w:tcW w:w="1480" w:type="dxa"/>
            <w:vAlign w:val="bottom"/>
            <w:tcBorders>
              <w:bottom w:val="single" w:sz="8" w:color="auto"/>
              <w:right w:val="single" w:sz="8" w:color="auto"/>
            </w:tcBorders>
            <w:shd w:val="clear" w:color="auto" w:fill="CCEEFF"/>
          </w:tcPr>
          <w:p>
            <w:pPr>
              <w:jc w:val="right"/>
              <w:ind w:right="235"/>
              <w:spacing w:after="0" w:line="183" w:lineRule="exact"/>
              <w:rPr>
                <w:sz w:val="20"/>
                <w:szCs w:val="20"/>
                <w:color w:val="auto"/>
              </w:rPr>
            </w:pPr>
            <w:r>
              <w:rPr>
                <w:rFonts w:ascii="Arial" w:cs="Arial" w:eastAsia="Arial" w:hAnsi="Arial"/>
                <w:sz w:val="17"/>
                <w:szCs w:val="17"/>
                <w:color w:val="auto"/>
              </w:rPr>
              <w:t>0</w:t>
            </w:r>
          </w:p>
        </w:tc>
        <w:tc>
          <w:tcPr>
            <w:tcW w:w="320" w:type="dxa"/>
            <w:vAlign w:val="bottom"/>
            <w:tcBorders>
              <w:bottom w:val="single" w:sz="8" w:color="auto"/>
            </w:tcBorders>
            <w:shd w:val="clear" w:color="auto" w:fill="CCEEFF"/>
          </w:tcPr>
          <w:p>
            <w:pPr>
              <w:ind w:left="220"/>
              <w:spacing w:after="0" w:line="183" w:lineRule="exact"/>
              <w:rPr>
                <w:sz w:val="20"/>
                <w:szCs w:val="20"/>
                <w:color w:val="auto"/>
              </w:rPr>
            </w:pPr>
            <w:r>
              <w:rPr>
                <w:rFonts w:ascii="Arial" w:cs="Arial" w:eastAsia="Arial" w:hAnsi="Arial"/>
                <w:sz w:val="17"/>
                <w:szCs w:val="17"/>
                <w:color w:val="auto"/>
                <w:w w:val="84"/>
              </w:rPr>
              <w:t>$</w:t>
            </w:r>
          </w:p>
        </w:tc>
        <w:tc>
          <w:tcPr>
            <w:tcW w:w="1400" w:type="dxa"/>
            <w:vAlign w:val="bottom"/>
            <w:tcBorders>
              <w:bottom w:val="single" w:sz="8" w:color="auto"/>
              <w:right w:val="single" w:sz="8" w:color="auto"/>
            </w:tcBorders>
            <w:shd w:val="clear" w:color="auto" w:fill="CCEEFF"/>
          </w:tcPr>
          <w:p>
            <w:pPr>
              <w:jc w:val="right"/>
              <w:ind w:right="303"/>
              <w:spacing w:after="0" w:line="183" w:lineRule="exact"/>
              <w:rPr>
                <w:sz w:val="20"/>
                <w:szCs w:val="20"/>
                <w:color w:val="auto"/>
              </w:rPr>
            </w:pPr>
            <w:r>
              <w:rPr>
                <w:rFonts w:ascii="Arial" w:cs="Arial" w:eastAsia="Arial" w:hAnsi="Arial"/>
                <w:sz w:val="17"/>
                <w:szCs w:val="17"/>
                <w:color w:val="auto"/>
              </w:rPr>
              <w:t>1,822,586</w:t>
            </w:r>
          </w:p>
        </w:tc>
        <w:tc>
          <w:tcPr>
            <w:tcW w:w="0" w:type="dxa"/>
            <w:vAlign w:val="bottom"/>
          </w:tcPr>
          <w:p>
            <w:pPr>
              <w:spacing w:after="0"/>
              <w:rPr>
                <w:sz w:val="1"/>
                <w:szCs w:val="1"/>
                <w:color w:val="auto"/>
              </w:rPr>
            </w:pPr>
          </w:p>
        </w:tc>
      </w:tr>
      <w:tr>
        <w:trPr>
          <w:trHeight w:val="183"/>
        </w:trPr>
        <w:tc>
          <w:tcPr>
            <w:tcW w:w="2720" w:type="dxa"/>
            <w:vAlign w:val="bottom"/>
            <w:tcBorders>
              <w:left w:val="single" w:sz="8" w:color="auto"/>
              <w:bottom w:val="single" w:sz="8" w:color="auto"/>
              <w:right w:val="single" w:sz="8" w:color="auto"/>
            </w:tcBorders>
          </w:tcPr>
          <w:p>
            <w:pPr>
              <w:ind w:left="160"/>
              <w:spacing w:after="0" w:line="183" w:lineRule="exact"/>
              <w:rPr>
                <w:sz w:val="20"/>
                <w:szCs w:val="20"/>
                <w:color w:val="auto"/>
              </w:rPr>
            </w:pPr>
            <w:r>
              <w:rPr>
                <w:rFonts w:ascii="Arial" w:cs="Arial" w:eastAsia="Arial" w:hAnsi="Arial"/>
                <w:sz w:val="17"/>
                <w:szCs w:val="17"/>
                <w:color w:val="auto"/>
              </w:rPr>
              <w:t>Christopher J. Holding</w:t>
            </w:r>
          </w:p>
        </w:tc>
        <w:tc>
          <w:tcPr>
            <w:tcW w:w="400" w:type="dxa"/>
            <w:vAlign w:val="bottom"/>
            <w:tcBorders>
              <w:bottom w:val="single" w:sz="8" w:color="auto"/>
            </w:tcBorders>
          </w:tcPr>
          <w:p>
            <w:pPr>
              <w:ind w:left="220"/>
              <w:spacing w:after="0" w:line="183" w:lineRule="exact"/>
              <w:rPr>
                <w:sz w:val="20"/>
                <w:szCs w:val="20"/>
                <w:color w:val="auto"/>
              </w:rPr>
            </w:pPr>
            <w:r>
              <w:rPr>
                <w:rFonts w:ascii="Arial" w:cs="Arial" w:eastAsia="Arial" w:hAnsi="Arial"/>
                <w:sz w:val="17"/>
                <w:szCs w:val="17"/>
                <w:color w:val="auto"/>
              </w:rPr>
              <w:t>$</w:t>
            </w:r>
          </w:p>
        </w:tc>
        <w:tc>
          <w:tcPr>
            <w:tcW w:w="1480" w:type="dxa"/>
            <w:vAlign w:val="bottom"/>
            <w:tcBorders>
              <w:bottom w:val="single" w:sz="8" w:color="auto"/>
              <w:right w:val="single" w:sz="8" w:color="auto"/>
            </w:tcBorders>
          </w:tcPr>
          <w:p>
            <w:pPr>
              <w:jc w:val="right"/>
              <w:ind w:right="264"/>
              <w:spacing w:after="0" w:line="183" w:lineRule="exact"/>
              <w:rPr>
                <w:sz w:val="20"/>
                <w:szCs w:val="20"/>
                <w:color w:val="auto"/>
              </w:rPr>
            </w:pPr>
            <w:r>
              <w:rPr>
                <w:rFonts w:ascii="Arial" w:cs="Arial" w:eastAsia="Arial" w:hAnsi="Arial"/>
                <w:sz w:val="17"/>
                <w:szCs w:val="17"/>
                <w:color w:val="auto"/>
              </w:rPr>
              <w:t>51,968</w:t>
            </w:r>
          </w:p>
        </w:tc>
        <w:tc>
          <w:tcPr>
            <w:tcW w:w="380" w:type="dxa"/>
            <w:vAlign w:val="bottom"/>
            <w:tcBorders>
              <w:bottom w:val="single" w:sz="8" w:color="auto"/>
            </w:tcBorders>
          </w:tcPr>
          <w:p>
            <w:pPr>
              <w:ind w:left="200"/>
              <w:spacing w:after="0" w:line="183" w:lineRule="exact"/>
              <w:rPr>
                <w:sz w:val="20"/>
                <w:szCs w:val="20"/>
                <w:color w:val="auto"/>
              </w:rPr>
            </w:pPr>
            <w:r>
              <w:rPr>
                <w:rFonts w:ascii="Arial" w:cs="Arial" w:eastAsia="Arial" w:hAnsi="Arial"/>
                <w:sz w:val="17"/>
                <w:szCs w:val="17"/>
                <w:color w:val="auto"/>
              </w:rPr>
              <w:t>$</w:t>
            </w:r>
          </w:p>
        </w:tc>
        <w:tc>
          <w:tcPr>
            <w:tcW w:w="1480" w:type="dxa"/>
            <w:vAlign w:val="bottom"/>
            <w:tcBorders>
              <w:bottom w:val="single" w:sz="8" w:color="auto"/>
              <w:right w:val="single" w:sz="8" w:color="auto"/>
            </w:tcBorders>
          </w:tcPr>
          <w:p>
            <w:pPr>
              <w:jc w:val="right"/>
              <w:ind w:right="264"/>
              <w:spacing w:after="0" w:line="183" w:lineRule="exact"/>
              <w:rPr>
                <w:sz w:val="20"/>
                <w:szCs w:val="20"/>
                <w:color w:val="auto"/>
              </w:rPr>
            </w:pPr>
            <w:r>
              <w:rPr>
                <w:rFonts w:ascii="Arial" w:cs="Arial" w:eastAsia="Arial" w:hAnsi="Arial"/>
                <w:sz w:val="17"/>
                <w:szCs w:val="17"/>
                <w:color w:val="auto"/>
              </w:rPr>
              <w:t>47,630</w:t>
            </w:r>
          </w:p>
        </w:tc>
        <w:tc>
          <w:tcPr>
            <w:tcW w:w="340" w:type="dxa"/>
            <w:vAlign w:val="bottom"/>
            <w:tcBorders>
              <w:bottom w:val="single" w:sz="8" w:color="auto"/>
            </w:tcBorders>
          </w:tcPr>
          <w:p>
            <w:pPr>
              <w:ind w:left="200"/>
              <w:spacing w:after="0" w:line="183" w:lineRule="exact"/>
              <w:rPr>
                <w:sz w:val="20"/>
                <w:szCs w:val="20"/>
                <w:color w:val="auto"/>
              </w:rPr>
            </w:pPr>
            <w:r>
              <w:rPr>
                <w:rFonts w:ascii="Arial" w:cs="Arial" w:eastAsia="Arial" w:hAnsi="Arial"/>
                <w:sz w:val="17"/>
                <w:szCs w:val="17"/>
                <w:color w:val="auto"/>
              </w:rPr>
              <w:t>$</w:t>
            </w:r>
          </w:p>
        </w:tc>
        <w:tc>
          <w:tcPr>
            <w:tcW w:w="1120" w:type="dxa"/>
            <w:vAlign w:val="bottom"/>
            <w:tcBorders>
              <w:bottom w:val="single" w:sz="8" w:color="auto"/>
              <w:right w:val="single" w:sz="8" w:color="auto"/>
            </w:tcBorders>
          </w:tcPr>
          <w:p>
            <w:pPr>
              <w:jc w:val="right"/>
              <w:ind w:right="246"/>
              <w:spacing w:after="0" w:line="183" w:lineRule="exact"/>
              <w:rPr>
                <w:sz w:val="20"/>
                <w:szCs w:val="20"/>
                <w:color w:val="auto"/>
              </w:rPr>
            </w:pPr>
            <w:r>
              <w:rPr>
                <w:rFonts w:ascii="Arial" w:cs="Arial" w:eastAsia="Arial" w:hAnsi="Arial"/>
                <w:sz w:val="17"/>
                <w:szCs w:val="17"/>
                <w:color w:val="auto"/>
              </w:rPr>
              <w:t>7,196</w:t>
            </w:r>
          </w:p>
        </w:tc>
        <w:tc>
          <w:tcPr>
            <w:tcW w:w="320" w:type="dxa"/>
            <w:vAlign w:val="bottom"/>
            <w:tcBorders>
              <w:bottom w:val="single" w:sz="8" w:color="auto"/>
            </w:tcBorders>
          </w:tcPr>
          <w:p>
            <w:pPr>
              <w:ind w:left="220"/>
              <w:spacing w:after="0" w:line="183" w:lineRule="exact"/>
              <w:rPr>
                <w:sz w:val="20"/>
                <w:szCs w:val="20"/>
                <w:color w:val="auto"/>
              </w:rPr>
            </w:pPr>
            <w:r>
              <w:rPr>
                <w:rFonts w:ascii="Arial" w:cs="Arial" w:eastAsia="Arial" w:hAnsi="Arial"/>
                <w:sz w:val="17"/>
                <w:szCs w:val="17"/>
                <w:color w:val="auto"/>
                <w:w w:val="84"/>
              </w:rPr>
              <w:t>$</w:t>
            </w:r>
          </w:p>
        </w:tc>
        <w:tc>
          <w:tcPr>
            <w:tcW w:w="1480" w:type="dxa"/>
            <w:vAlign w:val="bottom"/>
            <w:tcBorders>
              <w:bottom w:val="single" w:sz="8" w:color="auto"/>
              <w:right w:val="single" w:sz="8" w:color="auto"/>
            </w:tcBorders>
          </w:tcPr>
          <w:p>
            <w:pPr>
              <w:jc w:val="right"/>
              <w:ind w:right="235"/>
              <w:spacing w:after="0" w:line="183" w:lineRule="exact"/>
              <w:rPr>
                <w:sz w:val="20"/>
                <w:szCs w:val="20"/>
                <w:color w:val="auto"/>
              </w:rPr>
            </w:pPr>
            <w:r>
              <w:rPr>
                <w:rFonts w:ascii="Arial" w:cs="Arial" w:eastAsia="Arial" w:hAnsi="Arial"/>
                <w:sz w:val="17"/>
                <w:szCs w:val="17"/>
                <w:color w:val="auto"/>
              </w:rPr>
              <w:t>0</w:t>
            </w:r>
          </w:p>
        </w:tc>
        <w:tc>
          <w:tcPr>
            <w:tcW w:w="320" w:type="dxa"/>
            <w:vAlign w:val="bottom"/>
            <w:tcBorders>
              <w:bottom w:val="single" w:sz="8" w:color="auto"/>
            </w:tcBorders>
          </w:tcPr>
          <w:p>
            <w:pPr>
              <w:ind w:left="220"/>
              <w:spacing w:after="0" w:line="183" w:lineRule="exact"/>
              <w:rPr>
                <w:sz w:val="20"/>
                <w:szCs w:val="20"/>
                <w:color w:val="auto"/>
              </w:rPr>
            </w:pPr>
            <w:r>
              <w:rPr>
                <w:rFonts w:ascii="Arial" w:cs="Arial" w:eastAsia="Arial" w:hAnsi="Arial"/>
                <w:sz w:val="17"/>
                <w:szCs w:val="17"/>
                <w:color w:val="auto"/>
                <w:w w:val="84"/>
              </w:rPr>
              <w:t>$</w:t>
            </w:r>
          </w:p>
        </w:tc>
        <w:tc>
          <w:tcPr>
            <w:tcW w:w="1400" w:type="dxa"/>
            <w:vAlign w:val="bottom"/>
            <w:tcBorders>
              <w:bottom w:val="single" w:sz="8" w:color="auto"/>
              <w:right w:val="single" w:sz="8" w:color="auto"/>
            </w:tcBorders>
          </w:tcPr>
          <w:p>
            <w:pPr>
              <w:jc w:val="right"/>
              <w:ind w:right="303"/>
              <w:spacing w:after="0" w:line="183" w:lineRule="exact"/>
              <w:rPr>
                <w:sz w:val="20"/>
                <w:szCs w:val="20"/>
                <w:color w:val="auto"/>
              </w:rPr>
            </w:pPr>
            <w:r>
              <w:rPr>
                <w:rFonts w:ascii="Arial" w:cs="Arial" w:eastAsia="Arial" w:hAnsi="Arial"/>
                <w:sz w:val="17"/>
                <w:szCs w:val="17"/>
                <w:color w:val="auto"/>
              </w:rPr>
              <w:t>233,972</w:t>
            </w:r>
          </w:p>
        </w:tc>
        <w:tc>
          <w:tcPr>
            <w:tcW w:w="0" w:type="dxa"/>
            <w:vAlign w:val="bottom"/>
          </w:tcPr>
          <w:p>
            <w:pPr>
              <w:spacing w:after="0"/>
              <w:rPr>
                <w:sz w:val="1"/>
                <w:szCs w:val="1"/>
                <w:color w:val="auto"/>
              </w:rPr>
            </w:pPr>
          </w:p>
        </w:tc>
      </w:tr>
      <w:tr>
        <w:trPr>
          <w:trHeight w:val="183"/>
        </w:trPr>
        <w:tc>
          <w:tcPr>
            <w:tcW w:w="2720" w:type="dxa"/>
            <w:vAlign w:val="bottom"/>
            <w:tcBorders>
              <w:left w:val="single" w:sz="8" w:color="auto"/>
              <w:bottom w:val="single" w:sz="8" w:color="auto"/>
              <w:right w:val="single" w:sz="8" w:color="auto"/>
            </w:tcBorders>
            <w:shd w:val="clear" w:color="auto" w:fill="CCEEFF"/>
          </w:tcPr>
          <w:p>
            <w:pPr>
              <w:ind w:left="160"/>
              <w:spacing w:after="0" w:line="183" w:lineRule="exact"/>
              <w:rPr>
                <w:sz w:val="20"/>
                <w:szCs w:val="20"/>
                <w:color w:val="auto"/>
              </w:rPr>
            </w:pPr>
            <w:r>
              <w:rPr>
                <w:rFonts w:ascii="Arial" w:cs="Arial" w:eastAsia="Arial" w:hAnsi="Arial"/>
                <w:sz w:val="17"/>
                <w:szCs w:val="17"/>
                <w:color w:val="auto"/>
              </w:rPr>
              <w:t>Donald L. Walker</w:t>
            </w:r>
          </w:p>
        </w:tc>
        <w:tc>
          <w:tcPr>
            <w:tcW w:w="400" w:type="dxa"/>
            <w:vAlign w:val="bottom"/>
            <w:tcBorders>
              <w:bottom w:val="single" w:sz="8" w:color="auto"/>
            </w:tcBorders>
            <w:shd w:val="clear" w:color="auto" w:fill="CCEEFF"/>
          </w:tcPr>
          <w:p>
            <w:pPr>
              <w:ind w:left="220"/>
              <w:spacing w:after="0" w:line="183" w:lineRule="exact"/>
              <w:rPr>
                <w:sz w:val="20"/>
                <w:szCs w:val="20"/>
                <w:color w:val="auto"/>
              </w:rPr>
            </w:pPr>
            <w:r>
              <w:rPr>
                <w:rFonts w:ascii="Arial" w:cs="Arial" w:eastAsia="Arial" w:hAnsi="Arial"/>
                <w:sz w:val="17"/>
                <w:szCs w:val="17"/>
                <w:color w:val="auto"/>
              </w:rPr>
              <w:t>$</w:t>
            </w:r>
          </w:p>
        </w:tc>
        <w:tc>
          <w:tcPr>
            <w:tcW w:w="1480" w:type="dxa"/>
            <w:vAlign w:val="bottom"/>
            <w:tcBorders>
              <w:bottom w:val="single" w:sz="8" w:color="auto"/>
              <w:right w:val="single" w:sz="8" w:color="auto"/>
            </w:tcBorders>
            <w:shd w:val="clear" w:color="auto" w:fill="CCEEFF"/>
          </w:tcPr>
          <w:p>
            <w:pPr>
              <w:jc w:val="right"/>
              <w:ind w:right="264"/>
              <w:spacing w:after="0" w:line="183" w:lineRule="exact"/>
              <w:rPr>
                <w:sz w:val="20"/>
                <w:szCs w:val="20"/>
                <w:color w:val="auto"/>
              </w:rPr>
            </w:pPr>
            <w:r>
              <w:rPr>
                <w:rFonts w:ascii="Arial" w:cs="Arial" w:eastAsia="Arial" w:hAnsi="Arial"/>
                <w:sz w:val="17"/>
                <w:szCs w:val="17"/>
                <w:color w:val="auto"/>
              </w:rPr>
              <w:t>87,319</w:t>
            </w:r>
          </w:p>
        </w:tc>
        <w:tc>
          <w:tcPr>
            <w:tcW w:w="380" w:type="dxa"/>
            <w:vAlign w:val="bottom"/>
            <w:tcBorders>
              <w:bottom w:val="single" w:sz="8" w:color="auto"/>
            </w:tcBorders>
            <w:shd w:val="clear" w:color="auto" w:fill="CCEEFF"/>
          </w:tcPr>
          <w:p>
            <w:pPr>
              <w:ind w:left="200"/>
              <w:spacing w:after="0" w:line="183" w:lineRule="exact"/>
              <w:rPr>
                <w:sz w:val="20"/>
                <w:szCs w:val="20"/>
                <w:color w:val="auto"/>
              </w:rPr>
            </w:pPr>
            <w:r>
              <w:rPr>
                <w:rFonts w:ascii="Arial" w:cs="Arial" w:eastAsia="Arial" w:hAnsi="Arial"/>
                <w:sz w:val="17"/>
                <w:szCs w:val="17"/>
                <w:color w:val="auto"/>
              </w:rPr>
              <w:t>$</w:t>
            </w:r>
          </w:p>
        </w:tc>
        <w:tc>
          <w:tcPr>
            <w:tcW w:w="1480" w:type="dxa"/>
            <w:vAlign w:val="bottom"/>
            <w:tcBorders>
              <w:bottom w:val="single" w:sz="8" w:color="auto"/>
              <w:right w:val="single" w:sz="8" w:color="auto"/>
            </w:tcBorders>
            <w:shd w:val="clear" w:color="auto" w:fill="CCEEFF"/>
          </w:tcPr>
          <w:p>
            <w:pPr>
              <w:jc w:val="right"/>
              <w:ind w:right="264"/>
              <w:spacing w:after="0" w:line="183" w:lineRule="exact"/>
              <w:rPr>
                <w:sz w:val="20"/>
                <w:szCs w:val="20"/>
                <w:color w:val="auto"/>
              </w:rPr>
            </w:pPr>
            <w:r>
              <w:rPr>
                <w:rFonts w:ascii="Arial" w:cs="Arial" w:eastAsia="Arial" w:hAnsi="Arial"/>
                <w:sz w:val="17"/>
                <w:szCs w:val="17"/>
                <w:color w:val="auto"/>
              </w:rPr>
              <w:t>15,989</w:t>
            </w:r>
          </w:p>
        </w:tc>
        <w:tc>
          <w:tcPr>
            <w:tcW w:w="340" w:type="dxa"/>
            <w:vAlign w:val="bottom"/>
            <w:tcBorders>
              <w:bottom w:val="single" w:sz="8" w:color="auto"/>
            </w:tcBorders>
            <w:shd w:val="clear" w:color="auto" w:fill="CCEEFF"/>
          </w:tcPr>
          <w:p>
            <w:pPr>
              <w:ind w:left="200"/>
              <w:spacing w:after="0" w:line="183" w:lineRule="exact"/>
              <w:rPr>
                <w:sz w:val="20"/>
                <w:szCs w:val="20"/>
                <w:color w:val="auto"/>
              </w:rPr>
            </w:pPr>
            <w:r>
              <w:rPr>
                <w:rFonts w:ascii="Arial" w:cs="Arial" w:eastAsia="Arial" w:hAnsi="Arial"/>
                <w:sz w:val="17"/>
                <w:szCs w:val="17"/>
                <w:color w:val="auto"/>
              </w:rPr>
              <w:t>$</w:t>
            </w:r>
          </w:p>
        </w:tc>
        <w:tc>
          <w:tcPr>
            <w:tcW w:w="1120" w:type="dxa"/>
            <w:vAlign w:val="bottom"/>
            <w:tcBorders>
              <w:bottom w:val="single" w:sz="8" w:color="auto"/>
              <w:right w:val="single" w:sz="8" w:color="auto"/>
            </w:tcBorders>
            <w:shd w:val="clear" w:color="auto" w:fill="CCEEFF"/>
          </w:tcPr>
          <w:p>
            <w:pPr>
              <w:jc w:val="right"/>
              <w:ind w:right="246"/>
              <w:spacing w:after="0" w:line="183" w:lineRule="exact"/>
              <w:rPr>
                <w:sz w:val="20"/>
                <w:szCs w:val="20"/>
                <w:color w:val="auto"/>
              </w:rPr>
            </w:pPr>
            <w:r>
              <w:rPr>
                <w:rFonts w:ascii="Arial" w:cs="Arial" w:eastAsia="Arial" w:hAnsi="Arial"/>
                <w:sz w:val="17"/>
                <w:szCs w:val="17"/>
                <w:color w:val="auto"/>
              </w:rPr>
              <w:t>39,820</w:t>
            </w:r>
          </w:p>
        </w:tc>
        <w:tc>
          <w:tcPr>
            <w:tcW w:w="320" w:type="dxa"/>
            <w:vAlign w:val="bottom"/>
            <w:tcBorders>
              <w:bottom w:val="single" w:sz="8" w:color="auto"/>
            </w:tcBorders>
            <w:shd w:val="clear" w:color="auto" w:fill="CCEEFF"/>
          </w:tcPr>
          <w:p>
            <w:pPr>
              <w:ind w:left="220"/>
              <w:spacing w:after="0" w:line="183" w:lineRule="exact"/>
              <w:rPr>
                <w:sz w:val="20"/>
                <w:szCs w:val="20"/>
                <w:color w:val="auto"/>
              </w:rPr>
            </w:pPr>
            <w:r>
              <w:rPr>
                <w:rFonts w:ascii="Arial" w:cs="Arial" w:eastAsia="Arial" w:hAnsi="Arial"/>
                <w:sz w:val="17"/>
                <w:szCs w:val="17"/>
                <w:color w:val="auto"/>
                <w:w w:val="84"/>
              </w:rPr>
              <w:t>$</w:t>
            </w:r>
          </w:p>
        </w:tc>
        <w:tc>
          <w:tcPr>
            <w:tcW w:w="1480" w:type="dxa"/>
            <w:vAlign w:val="bottom"/>
            <w:tcBorders>
              <w:bottom w:val="single" w:sz="8" w:color="auto"/>
              <w:right w:val="single" w:sz="8" w:color="auto"/>
            </w:tcBorders>
            <w:shd w:val="clear" w:color="auto" w:fill="CCEEFF"/>
          </w:tcPr>
          <w:p>
            <w:pPr>
              <w:jc w:val="right"/>
              <w:ind w:right="235"/>
              <w:spacing w:after="0" w:line="183" w:lineRule="exact"/>
              <w:rPr>
                <w:sz w:val="20"/>
                <w:szCs w:val="20"/>
                <w:color w:val="auto"/>
              </w:rPr>
            </w:pPr>
            <w:r>
              <w:rPr>
                <w:rFonts w:ascii="Arial" w:cs="Arial" w:eastAsia="Arial" w:hAnsi="Arial"/>
                <w:sz w:val="17"/>
                <w:szCs w:val="17"/>
                <w:color w:val="auto"/>
              </w:rPr>
              <w:t>0</w:t>
            </w:r>
          </w:p>
        </w:tc>
        <w:tc>
          <w:tcPr>
            <w:tcW w:w="320" w:type="dxa"/>
            <w:vAlign w:val="bottom"/>
            <w:tcBorders>
              <w:bottom w:val="single" w:sz="8" w:color="auto"/>
            </w:tcBorders>
            <w:shd w:val="clear" w:color="auto" w:fill="CCEEFF"/>
          </w:tcPr>
          <w:p>
            <w:pPr>
              <w:ind w:left="220"/>
              <w:spacing w:after="0" w:line="183" w:lineRule="exact"/>
              <w:rPr>
                <w:sz w:val="20"/>
                <w:szCs w:val="20"/>
                <w:color w:val="auto"/>
              </w:rPr>
            </w:pPr>
            <w:r>
              <w:rPr>
                <w:rFonts w:ascii="Arial" w:cs="Arial" w:eastAsia="Arial" w:hAnsi="Arial"/>
                <w:sz w:val="17"/>
                <w:szCs w:val="17"/>
                <w:color w:val="auto"/>
                <w:w w:val="84"/>
              </w:rPr>
              <w:t>$</w:t>
            </w:r>
          </w:p>
        </w:tc>
        <w:tc>
          <w:tcPr>
            <w:tcW w:w="1400" w:type="dxa"/>
            <w:vAlign w:val="bottom"/>
            <w:tcBorders>
              <w:bottom w:val="single" w:sz="8" w:color="auto"/>
              <w:right w:val="single" w:sz="8" w:color="auto"/>
            </w:tcBorders>
            <w:shd w:val="clear" w:color="auto" w:fill="CCEEFF"/>
          </w:tcPr>
          <w:p>
            <w:pPr>
              <w:jc w:val="right"/>
              <w:ind w:right="303"/>
              <w:spacing w:after="0" w:line="183" w:lineRule="exact"/>
              <w:rPr>
                <w:sz w:val="20"/>
                <w:szCs w:val="20"/>
                <w:color w:val="auto"/>
              </w:rPr>
            </w:pPr>
            <w:r>
              <w:rPr>
                <w:rFonts w:ascii="Arial" w:cs="Arial" w:eastAsia="Arial" w:hAnsi="Arial"/>
                <w:sz w:val="17"/>
                <w:szCs w:val="17"/>
                <w:color w:val="auto"/>
              </w:rPr>
              <w:t>1,039,600</w:t>
            </w:r>
          </w:p>
        </w:tc>
        <w:tc>
          <w:tcPr>
            <w:tcW w:w="0" w:type="dxa"/>
            <w:vAlign w:val="bottom"/>
          </w:tcPr>
          <w:p>
            <w:pPr>
              <w:spacing w:after="0"/>
              <w:rPr>
                <w:sz w:val="1"/>
                <w:szCs w:val="1"/>
                <w:color w:val="auto"/>
              </w:rPr>
            </w:pPr>
          </w:p>
        </w:tc>
      </w:tr>
      <w:tr>
        <w:trPr>
          <w:trHeight w:val="183"/>
        </w:trPr>
        <w:tc>
          <w:tcPr>
            <w:tcW w:w="2720" w:type="dxa"/>
            <w:vAlign w:val="bottom"/>
            <w:tcBorders>
              <w:left w:val="single" w:sz="8" w:color="auto"/>
              <w:bottom w:val="single" w:sz="8" w:color="auto"/>
              <w:right w:val="single" w:sz="8" w:color="auto"/>
            </w:tcBorders>
          </w:tcPr>
          <w:p>
            <w:pPr>
              <w:ind w:left="160"/>
              <w:spacing w:after="0" w:line="183" w:lineRule="exact"/>
              <w:rPr>
                <w:sz w:val="20"/>
                <w:szCs w:val="20"/>
                <w:color w:val="auto"/>
              </w:rPr>
            </w:pPr>
            <w:r>
              <w:rPr>
                <w:rFonts w:ascii="Arial" w:cs="Arial" w:eastAsia="Arial" w:hAnsi="Arial"/>
                <w:sz w:val="17"/>
                <w:szCs w:val="17"/>
                <w:color w:val="auto"/>
              </w:rPr>
              <w:t>Frank A. DiPiero</w:t>
            </w:r>
          </w:p>
        </w:tc>
        <w:tc>
          <w:tcPr>
            <w:tcW w:w="400" w:type="dxa"/>
            <w:vAlign w:val="bottom"/>
            <w:tcBorders>
              <w:bottom w:val="single" w:sz="8" w:color="auto"/>
            </w:tcBorders>
          </w:tcPr>
          <w:p>
            <w:pPr>
              <w:ind w:left="220"/>
              <w:spacing w:after="0" w:line="183" w:lineRule="exact"/>
              <w:rPr>
                <w:sz w:val="20"/>
                <w:szCs w:val="20"/>
                <w:color w:val="auto"/>
              </w:rPr>
            </w:pPr>
            <w:r>
              <w:rPr>
                <w:rFonts w:ascii="Arial" w:cs="Arial" w:eastAsia="Arial" w:hAnsi="Arial"/>
                <w:sz w:val="17"/>
                <w:szCs w:val="17"/>
                <w:color w:val="auto"/>
              </w:rPr>
              <w:t>$</w:t>
            </w:r>
          </w:p>
        </w:tc>
        <w:tc>
          <w:tcPr>
            <w:tcW w:w="1480" w:type="dxa"/>
            <w:vAlign w:val="bottom"/>
            <w:tcBorders>
              <w:bottom w:val="single" w:sz="8" w:color="auto"/>
              <w:right w:val="single" w:sz="8" w:color="auto"/>
            </w:tcBorders>
          </w:tcPr>
          <w:p>
            <w:pPr>
              <w:jc w:val="right"/>
              <w:ind w:right="264"/>
              <w:spacing w:after="0" w:line="183" w:lineRule="exact"/>
              <w:rPr>
                <w:sz w:val="20"/>
                <w:szCs w:val="20"/>
                <w:color w:val="auto"/>
              </w:rPr>
            </w:pPr>
            <w:r>
              <w:rPr>
                <w:rFonts w:ascii="Arial" w:cs="Arial" w:eastAsia="Arial" w:hAnsi="Arial"/>
                <w:sz w:val="17"/>
                <w:szCs w:val="17"/>
                <w:color w:val="auto"/>
              </w:rPr>
              <w:t>0</w:t>
            </w:r>
          </w:p>
        </w:tc>
        <w:tc>
          <w:tcPr>
            <w:tcW w:w="380" w:type="dxa"/>
            <w:vAlign w:val="bottom"/>
            <w:tcBorders>
              <w:bottom w:val="single" w:sz="8" w:color="auto"/>
            </w:tcBorders>
          </w:tcPr>
          <w:p>
            <w:pPr>
              <w:ind w:left="200"/>
              <w:spacing w:after="0" w:line="183" w:lineRule="exact"/>
              <w:rPr>
                <w:sz w:val="20"/>
                <w:szCs w:val="20"/>
                <w:color w:val="auto"/>
              </w:rPr>
            </w:pPr>
            <w:r>
              <w:rPr>
                <w:rFonts w:ascii="Arial" w:cs="Arial" w:eastAsia="Arial" w:hAnsi="Arial"/>
                <w:sz w:val="17"/>
                <w:szCs w:val="17"/>
                <w:color w:val="auto"/>
              </w:rPr>
              <w:t>$</w:t>
            </w:r>
          </w:p>
        </w:tc>
        <w:tc>
          <w:tcPr>
            <w:tcW w:w="1480" w:type="dxa"/>
            <w:vAlign w:val="bottom"/>
            <w:tcBorders>
              <w:bottom w:val="single" w:sz="8" w:color="auto"/>
              <w:right w:val="single" w:sz="8" w:color="auto"/>
            </w:tcBorders>
          </w:tcPr>
          <w:p>
            <w:pPr>
              <w:jc w:val="right"/>
              <w:ind w:right="264"/>
              <w:spacing w:after="0" w:line="183" w:lineRule="exact"/>
              <w:rPr>
                <w:sz w:val="20"/>
                <w:szCs w:val="20"/>
                <w:color w:val="auto"/>
              </w:rPr>
            </w:pPr>
            <w:r>
              <w:rPr>
                <w:rFonts w:ascii="Arial" w:cs="Arial" w:eastAsia="Arial" w:hAnsi="Arial"/>
                <w:sz w:val="17"/>
                <w:szCs w:val="17"/>
                <w:color w:val="auto"/>
              </w:rPr>
              <w:t>7,352</w:t>
            </w:r>
          </w:p>
        </w:tc>
        <w:tc>
          <w:tcPr>
            <w:tcW w:w="340" w:type="dxa"/>
            <w:vAlign w:val="bottom"/>
            <w:tcBorders>
              <w:bottom w:val="single" w:sz="8" w:color="auto"/>
            </w:tcBorders>
          </w:tcPr>
          <w:p>
            <w:pPr>
              <w:ind w:left="200"/>
              <w:spacing w:after="0" w:line="183" w:lineRule="exact"/>
              <w:rPr>
                <w:sz w:val="20"/>
                <w:szCs w:val="20"/>
                <w:color w:val="auto"/>
              </w:rPr>
            </w:pPr>
            <w:r>
              <w:rPr>
                <w:rFonts w:ascii="Arial" w:cs="Arial" w:eastAsia="Arial" w:hAnsi="Arial"/>
                <w:sz w:val="17"/>
                <w:szCs w:val="17"/>
                <w:color w:val="auto"/>
              </w:rPr>
              <w:t>$</w:t>
            </w:r>
          </w:p>
        </w:tc>
        <w:tc>
          <w:tcPr>
            <w:tcW w:w="1120" w:type="dxa"/>
            <w:vAlign w:val="bottom"/>
            <w:tcBorders>
              <w:bottom w:val="single" w:sz="8" w:color="auto"/>
              <w:right w:val="single" w:sz="8" w:color="auto"/>
            </w:tcBorders>
          </w:tcPr>
          <w:p>
            <w:pPr>
              <w:jc w:val="right"/>
              <w:ind w:right="246"/>
              <w:spacing w:after="0" w:line="183" w:lineRule="exact"/>
              <w:rPr>
                <w:sz w:val="20"/>
                <w:szCs w:val="20"/>
                <w:color w:val="auto"/>
              </w:rPr>
            </w:pPr>
            <w:r>
              <w:rPr>
                <w:rFonts w:ascii="Arial" w:cs="Arial" w:eastAsia="Arial" w:hAnsi="Arial"/>
                <w:sz w:val="17"/>
                <w:szCs w:val="17"/>
                <w:color w:val="auto"/>
              </w:rPr>
              <w:t>56</w:t>
            </w:r>
          </w:p>
        </w:tc>
        <w:tc>
          <w:tcPr>
            <w:tcW w:w="320" w:type="dxa"/>
            <w:vAlign w:val="bottom"/>
            <w:tcBorders>
              <w:bottom w:val="single" w:sz="8" w:color="auto"/>
            </w:tcBorders>
          </w:tcPr>
          <w:p>
            <w:pPr>
              <w:ind w:left="220"/>
              <w:spacing w:after="0" w:line="183" w:lineRule="exact"/>
              <w:rPr>
                <w:sz w:val="20"/>
                <w:szCs w:val="20"/>
                <w:color w:val="auto"/>
              </w:rPr>
            </w:pPr>
            <w:r>
              <w:rPr>
                <w:rFonts w:ascii="Arial" w:cs="Arial" w:eastAsia="Arial" w:hAnsi="Arial"/>
                <w:sz w:val="17"/>
                <w:szCs w:val="17"/>
                <w:color w:val="auto"/>
                <w:w w:val="84"/>
              </w:rPr>
              <w:t>$</w:t>
            </w:r>
          </w:p>
        </w:tc>
        <w:tc>
          <w:tcPr>
            <w:tcW w:w="1480" w:type="dxa"/>
            <w:vAlign w:val="bottom"/>
            <w:tcBorders>
              <w:bottom w:val="single" w:sz="8" w:color="auto"/>
              <w:right w:val="single" w:sz="8" w:color="auto"/>
            </w:tcBorders>
          </w:tcPr>
          <w:p>
            <w:pPr>
              <w:jc w:val="right"/>
              <w:ind w:right="235"/>
              <w:spacing w:after="0" w:line="183" w:lineRule="exact"/>
              <w:rPr>
                <w:sz w:val="20"/>
                <w:szCs w:val="20"/>
                <w:color w:val="auto"/>
              </w:rPr>
            </w:pPr>
            <w:r>
              <w:rPr>
                <w:rFonts w:ascii="Arial" w:cs="Arial" w:eastAsia="Arial" w:hAnsi="Arial"/>
                <w:sz w:val="17"/>
                <w:szCs w:val="17"/>
                <w:color w:val="auto"/>
              </w:rPr>
              <w:t>0</w:t>
            </w:r>
          </w:p>
        </w:tc>
        <w:tc>
          <w:tcPr>
            <w:tcW w:w="320" w:type="dxa"/>
            <w:vAlign w:val="bottom"/>
            <w:tcBorders>
              <w:bottom w:val="single" w:sz="8" w:color="auto"/>
            </w:tcBorders>
          </w:tcPr>
          <w:p>
            <w:pPr>
              <w:ind w:left="220"/>
              <w:spacing w:after="0" w:line="183" w:lineRule="exact"/>
              <w:rPr>
                <w:sz w:val="20"/>
                <w:szCs w:val="20"/>
                <w:color w:val="auto"/>
              </w:rPr>
            </w:pPr>
            <w:r>
              <w:rPr>
                <w:rFonts w:ascii="Arial" w:cs="Arial" w:eastAsia="Arial" w:hAnsi="Arial"/>
                <w:sz w:val="17"/>
                <w:szCs w:val="17"/>
                <w:color w:val="auto"/>
                <w:w w:val="84"/>
              </w:rPr>
              <w:t>$</w:t>
            </w:r>
          </w:p>
        </w:tc>
        <w:tc>
          <w:tcPr>
            <w:tcW w:w="1400" w:type="dxa"/>
            <w:vAlign w:val="bottom"/>
            <w:tcBorders>
              <w:bottom w:val="single" w:sz="8" w:color="auto"/>
              <w:right w:val="single" w:sz="8" w:color="auto"/>
            </w:tcBorders>
          </w:tcPr>
          <w:p>
            <w:pPr>
              <w:jc w:val="right"/>
              <w:ind w:right="303"/>
              <w:spacing w:after="0" w:line="183" w:lineRule="exact"/>
              <w:rPr>
                <w:sz w:val="20"/>
                <w:szCs w:val="20"/>
                <w:color w:val="auto"/>
              </w:rPr>
            </w:pPr>
            <w:r>
              <w:rPr>
                <w:rFonts w:ascii="Arial" w:cs="Arial" w:eastAsia="Arial" w:hAnsi="Arial"/>
                <w:sz w:val="17"/>
                <w:szCs w:val="17"/>
                <w:color w:val="auto"/>
              </w:rPr>
              <w:t>7,408</w:t>
            </w:r>
          </w:p>
        </w:tc>
        <w:tc>
          <w:tcPr>
            <w:tcW w:w="0" w:type="dxa"/>
            <w:vAlign w:val="bottom"/>
          </w:tcPr>
          <w:p>
            <w:pPr>
              <w:spacing w:after="0"/>
              <w:rPr>
                <w:sz w:val="1"/>
                <w:szCs w:val="1"/>
                <w:color w:val="auto"/>
              </w:rPr>
            </w:pPr>
          </w:p>
        </w:tc>
      </w:tr>
    </w:tbl>
    <w:p>
      <w:pPr>
        <w:spacing w:after="0" w:line="210" w:lineRule="exact"/>
        <w:rPr>
          <w:sz w:val="20"/>
          <w:szCs w:val="20"/>
          <w:color w:val="auto"/>
        </w:rPr>
      </w:pPr>
    </w:p>
    <w:p>
      <w:pPr>
        <w:ind w:left="460" w:hanging="452"/>
        <w:spacing w:after="0"/>
        <w:tabs>
          <w:tab w:leader="none" w:pos="460" w:val="left"/>
        </w:tabs>
        <w:numPr>
          <w:ilvl w:val="0"/>
          <w:numId w:val="33"/>
        </w:numPr>
        <w:rPr>
          <w:rFonts w:ascii="Arial" w:cs="Arial" w:eastAsia="Arial" w:hAnsi="Arial"/>
          <w:sz w:val="15"/>
          <w:szCs w:val="15"/>
          <w:color w:val="auto"/>
        </w:rPr>
      </w:pPr>
      <w:r>
        <w:rPr>
          <w:rFonts w:ascii="Arial" w:cs="Arial" w:eastAsia="Arial" w:hAnsi="Arial"/>
          <w:sz w:val="17"/>
          <w:szCs w:val="17"/>
          <w:color w:val="auto"/>
        </w:rPr>
        <w:t>Amounts shown as executive contributions or Company contributions in 2015 were reported in the 2015 Summary Compensation Table.</w:t>
      </w:r>
    </w:p>
    <w:p>
      <w:pPr>
        <w:spacing w:after="0" w:line="209" w:lineRule="exact"/>
        <w:rPr>
          <w:rFonts w:ascii="Arial" w:cs="Arial" w:eastAsia="Arial" w:hAnsi="Arial"/>
          <w:sz w:val="15"/>
          <w:szCs w:val="15"/>
          <w:color w:val="auto"/>
        </w:rPr>
      </w:pPr>
    </w:p>
    <w:p>
      <w:pPr>
        <w:ind w:left="460" w:right="880" w:hanging="452"/>
        <w:spacing w:after="0" w:line="243" w:lineRule="auto"/>
        <w:tabs>
          <w:tab w:leader="none" w:pos="460" w:val="left"/>
        </w:tabs>
        <w:numPr>
          <w:ilvl w:val="0"/>
          <w:numId w:val="33"/>
        </w:numPr>
        <w:rPr>
          <w:rFonts w:ascii="Arial" w:cs="Arial" w:eastAsia="Arial" w:hAnsi="Arial"/>
          <w:sz w:val="15"/>
          <w:szCs w:val="15"/>
          <w:color w:val="auto"/>
        </w:rPr>
      </w:pPr>
      <w:r>
        <w:rPr>
          <w:rFonts w:ascii="Arial" w:cs="Arial" w:eastAsia="Arial" w:hAnsi="Arial"/>
          <w:sz w:val="17"/>
          <w:szCs w:val="17"/>
          <w:color w:val="auto"/>
        </w:rPr>
        <w:t>This amount includes interest earned from cash deferrals. The earnings during this year and previous years were not above market or preferential; therefore, these amounts were not included in the 2015 Summary Compensation Table.</w:t>
      </w:r>
    </w:p>
    <w:p>
      <w:pPr>
        <w:spacing w:after="0" w:line="198" w:lineRule="exact"/>
        <w:rPr>
          <w:rFonts w:ascii="Arial" w:cs="Arial" w:eastAsia="Arial" w:hAnsi="Arial"/>
          <w:sz w:val="15"/>
          <w:szCs w:val="15"/>
          <w:color w:val="auto"/>
        </w:rPr>
      </w:pPr>
    </w:p>
    <w:p>
      <w:pPr>
        <w:ind w:left="460" w:right="240" w:hanging="452"/>
        <w:spacing w:after="0" w:line="238" w:lineRule="auto"/>
        <w:tabs>
          <w:tab w:leader="none" w:pos="460" w:val="left"/>
        </w:tabs>
        <w:numPr>
          <w:ilvl w:val="0"/>
          <w:numId w:val="33"/>
        </w:numPr>
        <w:rPr>
          <w:rFonts w:ascii="Arial" w:cs="Arial" w:eastAsia="Arial" w:hAnsi="Arial"/>
          <w:sz w:val="15"/>
          <w:szCs w:val="15"/>
          <w:color w:val="auto"/>
        </w:rPr>
      </w:pPr>
      <w:r>
        <w:rPr>
          <w:rFonts w:ascii="Arial" w:cs="Arial" w:eastAsia="Arial" w:hAnsi="Arial"/>
          <w:sz w:val="17"/>
          <w:szCs w:val="17"/>
          <w:color w:val="auto"/>
        </w:rPr>
        <w:t>Amounts included in the aggregate balances that previously were reported as compensation in the Summary Compensation Table for previous years (or would have been had the recipient been identified as a NEO for such years) are as follows: Mr. Timken – $1,339,499; Mr. Holding – $119,777; and Mr. Walker – $654,898.</w:t>
      </w:r>
    </w:p>
    <w:p>
      <w:pPr>
        <w:spacing w:after="0" w:line="145" w:lineRule="exact"/>
        <w:rPr>
          <w:sz w:val="20"/>
          <w:szCs w:val="20"/>
          <w:color w:val="auto"/>
        </w:rPr>
      </w:pPr>
    </w:p>
    <w:p>
      <w:pPr>
        <w:spacing w:after="0"/>
        <w:rPr>
          <w:sz w:val="20"/>
          <w:szCs w:val="20"/>
          <w:color w:val="auto"/>
        </w:rPr>
      </w:pPr>
      <w:r>
        <w:rPr>
          <w:rFonts w:ascii="Arial" w:cs="Arial" w:eastAsia="Arial" w:hAnsi="Arial"/>
          <w:sz w:val="14"/>
          <w:szCs w:val="14"/>
          <w:color w:val="auto"/>
        </w:rPr>
        <w:t>52</w:t>
      </w:r>
    </w:p>
    <w:p>
      <w:pPr>
        <w:sectPr>
          <w:pgSz w:w="11900" w:h="16838" w:orient="portrait"/>
          <w:cols w:equalWidth="0" w:num="1">
            <w:col w:w="11440"/>
          </w:cols>
          <w:pgMar w:left="240" w:top="459" w:right="219" w:bottom="1440" w:gutter="0" w:footer="0" w:header="0"/>
        </w:sectPr>
      </w:pPr>
    </w:p>
    <w:bookmarkStart w:id="58" w:name="page59"/>
    <w:bookmarkEnd w:id="5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70">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2715260</wp:posOffset>
            </wp:positionH>
            <wp:positionV relativeFrom="paragraph">
              <wp:posOffset>205740</wp:posOffset>
            </wp:positionV>
            <wp:extent cx="1826895" cy="205740"/>
            <wp:wrapNone/>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71">
                      <a:extLst>
                        <a:ext uri="{28A0092B-C50C-407E-A947-70E740481C1C}"/>
                      </a:extLst>
                    </a:blip>
                    <a:srcRect/>
                    <a:stretch>
                      <a:fillRect/>
                    </a:stretch>
                  </pic:blipFill>
                  <pic:spPr bwMode="auto">
                    <a:xfrm>
                      <a:off x="0" y="0"/>
                      <a:ext cx="1826895" cy="20574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76" w:lineRule="exact"/>
        <w:rPr>
          <w:sz w:val="20"/>
          <w:szCs w:val="20"/>
          <w:color w:val="auto"/>
        </w:rPr>
      </w:pPr>
    </w:p>
    <w:p>
      <w:pPr>
        <w:spacing w:after="0"/>
        <w:rPr>
          <w:sz w:val="20"/>
          <w:szCs w:val="20"/>
          <w:color w:val="auto"/>
        </w:rPr>
      </w:pPr>
      <w:r>
        <w:rPr>
          <w:rFonts w:ascii="Arial" w:cs="Arial" w:eastAsia="Arial" w:hAnsi="Arial"/>
          <w:sz w:val="18"/>
          <w:szCs w:val="18"/>
          <w:color w:val="auto"/>
        </w:rPr>
        <w:t>POTENTIAL PAYMENTS UPON TERMINATION OR CHANGE IN CONTROL</w:t>
      </w:r>
    </w:p>
    <w:p>
      <w:pPr>
        <w:spacing w:after="0" w:line="179" w:lineRule="exact"/>
        <w:rPr>
          <w:sz w:val="20"/>
          <w:szCs w:val="20"/>
          <w:color w:val="auto"/>
        </w:rPr>
      </w:pPr>
    </w:p>
    <w:p>
      <w:pPr>
        <w:ind w:right="40"/>
        <w:spacing w:after="0" w:line="235" w:lineRule="auto"/>
        <w:rPr>
          <w:sz w:val="20"/>
          <w:szCs w:val="20"/>
          <w:color w:val="auto"/>
        </w:rPr>
      </w:pPr>
      <w:r>
        <w:rPr>
          <w:rFonts w:ascii="Arial" w:cs="Arial" w:eastAsia="Arial" w:hAnsi="Arial"/>
          <w:sz w:val="17"/>
          <w:szCs w:val="17"/>
          <w:color w:val="auto"/>
        </w:rPr>
        <w:t>We have entered into severance agreements with each of our NEOs that provide for compensation in the event of termination of employment under certain circumstances (the “Severance Agreements”). In addition, our NEOs are entitled to post-termination payments or benefits under award agreements entered into under the TimkenSteel 2014 Equity and Incentive Compensation Plan and, under certain circumstances, under our retirement and benefit plans. The following circumstances would trigger post-termination payments to our named executive officers: change in control followed by certain events described below; involuntary termination without cause; retirement; permanent disability; and death. For purposes of calculating the payments that would be due to each of our NEOs, the termination scenarios described below assume a December 31, 2015 termination date.</w:t>
      </w:r>
    </w:p>
    <w:p>
      <w:pPr>
        <w:spacing w:after="0" w:line="142" w:lineRule="exact"/>
        <w:rPr>
          <w:sz w:val="20"/>
          <w:szCs w:val="20"/>
          <w:color w:val="auto"/>
        </w:rPr>
      </w:pPr>
    </w:p>
    <w:p>
      <w:pPr>
        <w:spacing w:after="0"/>
        <w:rPr>
          <w:sz w:val="20"/>
          <w:szCs w:val="20"/>
          <w:color w:val="auto"/>
        </w:rPr>
      </w:pPr>
      <w:r>
        <w:rPr>
          <w:rFonts w:ascii="Arial" w:cs="Arial" w:eastAsia="Arial" w:hAnsi="Arial"/>
          <w:sz w:val="17"/>
          <w:szCs w:val="17"/>
          <w:b w:val="1"/>
          <w:bCs w:val="1"/>
          <w:color w:val="666666"/>
        </w:rPr>
        <w:t>CHANGE IN CONTROL</w:t>
      </w:r>
    </w:p>
    <w:p>
      <w:pPr>
        <w:spacing w:after="0" w:line="14" w:lineRule="exact"/>
        <w:rPr>
          <w:sz w:val="20"/>
          <w:szCs w:val="20"/>
          <w:color w:val="auto"/>
        </w:rPr>
      </w:pPr>
    </w:p>
    <w:p>
      <w:pPr>
        <w:spacing w:after="0" w:line="234" w:lineRule="auto"/>
        <w:rPr>
          <w:sz w:val="20"/>
          <w:szCs w:val="20"/>
          <w:color w:val="auto"/>
        </w:rPr>
      </w:pPr>
      <w:r>
        <w:rPr>
          <w:rFonts w:ascii="Arial" w:cs="Arial" w:eastAsia="Arial" w:hAnsi="Arial"/>
          <w:sz w:val="17"/>
          <w:szCs w:val="17"/>
          <w:color w:val="auto"/>
        </w:rPr>
        <w:t>Under the Severance Agreements with our NEOs, when certain events occur, such as a reduction in responsibilities or termination of employment without cause, following a change in control of the Company (as defined in the Severance Agreements), the NEO will be entitled to receive a cash severance payment in an amount equal to a multiple of three times the sum of his annual base salary and the greater of: (1) his target annual amount of incentive compensation for the year in which he terminates employment; or (2) his target annual amount of incentive compensation for the year in which the change in control occurs. The form of Severance Agreement does not contain an excise tax gross-up provision. Rather, the agreements provide that the NEO can choose the “best net” benefit of either: (1) paying all excise taxes incurred with respect to the change in control benefits, without a gross-up by the Company; or (2) accepting aggregate change in control benefits that do not exceed the excise tax threshold. In the event of a change in control, the amounts payable under the Severance Agreements would become secured by a trust arrangement.</w:t>
      </w:r>
    </w:p>
    <w:p>
      <w:pPr>
        <w:spacing w:after="0" w:line="163" w:lineRule="exact"/>
        <w:rPr>
          <w:sz w:val="20"/>
          <w:szCs w:val="20"/>
          <w:color w:val="auto"/>
        </w:rPr>
      </w:pPr>
    </w:p>
    <w:p>
      <w:pPr>
        <w:ind w:right="40"/>
        <w:spacing w:after="0" w:line="235" w:lineRule="auto"/>
        <w:rPr>
          <w:sz w:val="20"/>
          <w:szCs w:val="20"/>
          <w:color w:val="auto"/>
        </w:rPr>
      </w:pPr>
      <w:r>
        <w:rPr>
          <w:rFonts w:ascii="Arial" w:cs="Arial" w:eastAsia="Arial" w:hAnsi="Arial"/>
          <w:sz w:val="17"/>
          <w:szCs w:val="17"/>
          <w:color w:val="auto"/>
        </w:rPr>
        <w:t>In addition, the NEO would receive a lump sum amount representing the SERP benefit. The lump sum amount is determined by calculating the benefit under the Qualified Plan and the SERP assuming the NEO continued to earn service for three additional years with annual earnings during those three years equal to the compensation described above. The lump sum amount is reduced by the lump sum equivalent of the benefit payable from the Qualified Plan. This lump sum is determined based on mortality tables and interest rates promulgated by the IRS under Section 417(e)(3) of the Internal Revenue Code.</w:t>
      </w:r>
    </w:p>
    <w:p>
      <w:pPr>
        <w:spacing w:after="0" w:line="177" w:lineRule="exact"/>
        <w:rPr>
          <w:sz w:val="20"/>
          <w:szCs w:val="20"/>
          <w:color w:val="auto"/>
        </w:rPr>
      </w:pPr>
    </w:p>
    <w:p>
      <w:pPr>
        <w:ind w:right="40"/>
        <w:spacing w:after="0" w:line="236" w:lineRule="auto"/>
        <w:rPr>
          <w:sz w:val="20"/>
          <w:szCs w:val="20"/>
          <w:color w:val="auto"/>
        </w:rPr>
      </w:pPr>
      <w:r>
        <w:rPr>
          <w:rFonts w:ascii="Arial" w:cs="Arial" w:eastAsia="Arial" w:hAnsi="Arial"/>
          <w:sz w:val="17"/>
          <w:szCs w:val="17"/>
          <w:color w:val="auto"/>
        </w:rPr>
        <w:t>Under the terms of the agreements pursuant to which equity is awarded to our NEOs, if following a change in control there would be a loss of equity by the NEO because (a) the equity of the Company is not continued and the value of the equity award is not replaced with an equity instrument of the surviving entity or (b) the NEO’s employment is involuntarily terminated or voluntarily terminated with good cause, then in those circumstances any unvested equity-based grants would vest and become nonforfeitable and the NEO would have three years to exercise all stock options.</w:t>
      </w:r>
    </w:p>
    <w:p>
      <w:pPr>
        <w:spacing w:after="0" w:line="163" w:lineRule="exact"/>
        <w:rPr>
          <w:sz w:val="20"/>
          <w:szCs w:val="20"/>
          <w:color w:val="auto"/>
        </w:rPr>
      </w:pPr>
    </w:p>
    <w:p>
      <w:pPr>
        <w:spacing w:after="0"/>
        <w:rPr>
          <w:sz w:val="20"/>
          <w:szCs w:val="20"/>
          <w:color w:val="auto"/>
        </w:rPr>
      </w:pPr>
      <w:r>
        <w:rPr>
          <w:rFonts w:ascii="Arial" w:cs="Arial" w:eastAsia="Arial" w:hAnsi="Arial"/>
          <w:sz w:val="17"/>
          <w:szCs w:val="17"/>
          <w:color w:val="auto"/>
        </w:rPr>
        <w:t>Finally, the NEO would be entitled to continuation of health and welfare benefits for three years and career outplacement services.</w:t>
      </w:r>
    </w:p>
    <w:p>
      <w:pPr>
        <w:spacing w:after="0" w:line="149" w:lineRule="exact"/>
        <w:rPr>
          <w:sz w:val="20"/>
          <w:szCs w:val="20"/>
          <w:color w:val="auto"/>
        </w:rPr>
      </w:pPr>
    </w:p>
    <w:p>
      <w:pPr>
        <w:spacing w:after="0"/>
        <w:rPr>
          <w:sz w:val="20"/>
          <w:szCs w:val="20"/>
          <w:color w:val="auto"/>
        </w:rPr>
      </w:pPr>
      <w:r>
        <w:rPr>
          <w:rFonts w:ascii="Arial" w:cs="Arial" w:eastAsia="Arial" w:hAnsi="Arial"/>
          <w:sz w:val="17"/>
          <w:szCs w:val="17"/>
          <w:b w:val="1"/>
          <w:bCs w:val="1"/>
          <w:color w:val="666666"/>
        </w:rPr>
        <w:t>VOLUNTARY TERMINATION</w:t>
      </w:r>
    </w:p>
    <w:p>
      <w:pPr>
        <w:spacing w:after="0" w:line="14" w:lineRule="exact"/>
        <w:rPr>
          <w:sz w:val="20"/>
          <w:szCs w:val="20"/>
          <w:color w:val="auto"/>
        </w:rPr>
      </w:pPr>
    </w:p>
    <w:p>
      <w:pPr>
        <w:ind w:right="80"/>
        <w:spacing w:after="0" w:line="243" w:lineRule="auto"/>
        <w:rPr>
          <w:sz w:val="20"/>
          <w:szCs w:val="20"/>
          <w:color w:val="auto"/>
        </w:rPr>
      </w:pPr>
      <w:r>
        <w:rPr>
          <w:rFonts w:ascii="Arial" w:cs="Arial" w:eastAsia="Arial" w:hAnsi="Arial"/>
          <w:sz w:val="17"/>
          <w:szCs w:val="17"/>
          <w:color w:val="auto"/>
        </w:rPr>
        <w:t>In the case of a voluntary termination of employment by one of our NEOs, the NEO is not entitled to receive, and the Company will not make any cash severance, retirement benefits or other perquisite payments and unvested equity-based grants will not vest.</w:t>
      </w:r>
    </w:p>
    <w:p>
      <w:pPr>
        <w:spacing w:after="0" w:line="142" w:lineRule="exact"/>
        <w:rPr>
          <w:sz w:val="20"/>
          <w:szCs w:val="20"/>
          <w:color w:val="auto"/>
        </w:rPr>
      </w:pPr>
    </w:p>
    <w:p>
      <w:pPr>
        <w:ind w:left="11180"/>
        <w:spacing w:after="0"/>
        <w:rPr>
          <w:sz w:val="20"/>
          <w:szCs w:val="20"/>
          <w:color w:val="auto"/>
        </w:rPr>
      </w:pPr>
      <w:r>
        <w:rPr>
          <w:rFonts w:ascii="Arial" w:cs="Arial" w:eastAsia="Arial" w:hAnsi="Arial"/>
          <w:sz w:val="14"/>
          <w:szCs w:val="14"/>
          <w:color w:val="auto"/>
        </w:rPr>
        <w:t>53</w:t>
      </w:r>
    </w:p>
    <w:p>
      <w:pPr>
        <w:sectPr>
          <w:pgSz w:w="11900" w:h="16838" w:orient="portrait"/>
          <w:cols w:equalWidth="0" w:num="1">
            <w:col w:w="11420"/>
          </w:cols>
          <w:pgMar w:left="240" w:top="459" w:right="239" w:bottom="1440" w:gutter="0" w:footer="0" w:header="0"/>
        </w:sectPr>
      </w:pPr>
    </w:p>
    <w:bookmarkStart w:id="59" w:name="page60"/>
    <w:bookmarkEnd w:id="5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72">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3109595</wp:posOffset>
            </wp:positionH>
            <wp:positionV relativeFrom="paragraph">
              <wp:posOffset>205740</wp:posOffset>
            </wp:positionV>
            <wp:extent cx="1046480" cy="205740"/>
            <wp:wrapNone/>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73">
                      <a:extLst>
                        <a:ext uri="{28A0092B-C50C-407E-A947-70E740481C1C}"/>
                      </a:extLst>
                    </a:blip>
                    <a:srcRect/>
                    <a:stretch>
                      <a:fillRect/>
                    </a:stretch>
                  </pic:blipFill>
                  <pic:spPr bwMode="auto">
                    <a:xfrm>
                      <a:off x="0" y="0"/>
                      <a:ext cx="1046480" cy="20574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50" w:lineRule="exact"/>
        <w:rPr>
          <w:sz w:val="20"/>
          <w:szCs w:val="20"/>
          <w:color w:val="auto"/>
        </w:rPr>
      </w:pPr>
    </w:p>
    <w:p>
      <w:pPr>
        <w:spacing w:after="0"/>
        <w:rPr>
          <w:sz w:val="20"/>
          <w:szCs w:val="20"/>
          <w:color w:val="auto"/>
        </w:rPr>
      </w:pPr>
      <w:r>
        <w:rPr>
          <w:rFonts w:ascii="Arial" w:cs="Arial" w:eastAsia="Arial" w:hAnsi="Arial"/>
          <w:sz w:val="17"/>
          <w:szCs w:val="17"/>
          <w:b w:val="1"/>
          <w:bCs w:val="1"/>
          <w:color w:val="666666"/>
        </w:rPr>
        <w:t>INVOLUNTARY TERMINATION WITH CAUSE</w:t>
      </w:r>
    </w:p>
    <w:p>
      <w:pPr>
        <w:spacing w:after="0" w:line="14" w:lineRule="exact"/>
        <w:rPr>
          <w:sz w:val="20"/>
          <w:szCs w:val="20"/>
          <w:color w:val="auto"/>
        </w:rPr>
      </w:pPr>
    </w:p>
    <w:p>
      <w:pPr>
        <w:spacing w:after="0" w:line="235" w:lineRule="auto"/>
        <w:rPr>
          <w:sz w:val="20"/>
          <w:szCs w:val="20"/>
          <w:color w:val="auto"/>
        </w:rPr>
      </w:pPr>
      <w:r>
        <w:rPr>
          <w:rFonts w:ascii="Arial" w:cs="Arial" w:eastAsia="Arial" w:hAnsi="Arial"/>
          <w:sz w:val="17"/>
          <w:szCs w:val="17"/>
          <w:color w:val="auto"/>
        </w:rPr>
        <w:t>The Company provides no cash severance, retirement benefits, other perquisite payments or vesting of any equity-based grants when one of our NEOs is terminated by the Company with cause. As provided in the Severance Agreements, termination with cause can occur only if the NEO commits an intentional act of fraud, embezzlement or theft in connection with his duties with the Company; an intentional wrongful disclosure of secret processes or confidential information of the Company or a Company subsidiary; or an intentional wrongful engagement in any Competitive Activity (as defined in the Severance Agreements) which would constitute a material breach of the officer’s duty of loyalty to the Company.</w:t>
      </w:r>
    </w:p>
    <w:p>
      <w:pPr>
        <w:spacing w:after="0" w:line="177" w:lineRule="exact"/>
        <w:rPr>
          <w:sz w:val="20"/>
          <w:szCs w:val="20"/>
          <w:color w:val="auto"/>
        </w:rPr>
      </w:pPr>
    </w:p>
    <w:p>
      <w:pPr>
        <w:spacing w:after="0"/>
        <w:rPr>
          <w:sz w:val="20"/>
          <w:szCs w:val="20"/>
          <w:color w:val="auto"/>
        </w:rPr>
      </w:pPr>
      <w:r>
        <w:rPr>
          <w:rFonts w:ascii="Arial" w:cs="Arial" w:eastAsia="Arial" w:hAnsi="Arial"/>
          <w:sz w:val="17"/>
          <w:szCs w:val="17"/>
          <w:color w:val="auto"/>
        </w:rPr>
        <w:t>If the Company terminates the NEO’s employment for cause, any benefit payable from a qualified plan will be forfeited.</w:t>
      </w:r>
    </w:p>
    <w:p>
      <w:pPr>
        <w:spacing w:after="0" w:line="149" w:lineRule="exact"/>
        <w:rPr>
          <w:sz w:val="20"/>
          <w:szCs w:val="20"/>
          <w:color w:val="auto"/>
        </w:rPr>
      </w:pPr>
    </w:p>
    <w:p>
      <w:pPr>
        <w:spacing w:after="0"/>
        <w:rPr>
          <w:sz w:val="20"/>
          <w:szCs w:val="20"/>
          <w:color w:val="auto"/>
        </w:rPr>
      </w:pPr>
      <w:r>
        <w:rPr>
          <w:rFonts w:ascii="Arial" w:cs="Arial" w:eastAsia="Arial" w:hAnsi="Arial"/>
          <w:sz w:val="17"/>
          <w:szCs w:val="17"/>
          <w:b w:val="1"/>
          <w:bCs w:val="1"/>
          <w:color w:val="666666"/>
        </w:rPr>
        <w:t>INVOLUNTARY TERMINATION WITHOUT CAUSE</w:t>
      </w:r>
    </w:p>
    <w:p>
      <w:pPr>
        <w:spacing w:after="0" w:line="14" w:lineRule="exact"/>
        <w:rPr>
          <w:sz w:val="20"/>
          <w:szCs w:val="20"/>
          <w:color w:val="auto"/>
        </w:rPr>
      </w:pPr>
    </w:p>
    <w:p>
      <w:pPr>
        <w:ind w:right="40"/>
        <w:spacing w:after="0" w:line="235" w:lineRule="auto"/>
        <w:rPr>
          <w:sz w:val="20"/>
          <w:szCs w:val="20"/>
          <w:color w:val="auto"/>
        </w:rPr>
      </w:pPr>
      <w:r>
        <w:rPr>
          <w:rFonts w:ascii="Arial" w:cs="Arial" w:eastAsia="Arial" w:hAnsi="Arial"/>
          <w:sz w:val="17"/>
          <w:szCs w:val="17"/>
          <w:color w:val="auto"/>
        </w:rPr>
        <w:t>In the case of an involuntary termination without cause, each NEO is entitled to severance equal to 1.5 times the sum of his base salary and highest annual incentive compensation during the preceding five years (not to exceed target), except that the Chairman, CEO and President is instead entitled to severance of 2 times the sum of his base salary and highest annual incentive compensation during the preceding five years (not to exceed target). Each NEO is also entitled to continuation of health and welfare benefits through the severance period and career outplacement services. In consideration for providing severance benefits, the Company receives confidentiality and non-compete covenants from the NEOs, as well as a release of liability for all claims against the Company.</w:t>
      </w:r>
    </w:p>
    <w:p>
      <w:pPr>
        <w:spacing w:after="0" w:line="142" w:lineRule="exact"/>
        <w:rPr>
          <w:sz w:val="20"/>
          <w:szCs w:val="20"/>
          <w:color w:val="auto"/>
        </w:rPr>
      </w:pPr>
    </w:p>
    <w:p>
      <w:pPr>
        <w:spacing w:after="0"/>
        <w:rPr>
          <w:sz w:val="20"/>
          <w:szCs w:val="20"/>
          <w:color w:val="auto"/>
        </w:rPr>
      </w:pPr>
      <w:r>
        <w:rPr>
          <w:rFonts w:ascii="Arial" w:cs="Arial" w:eastAsia="Arial" w:hAnsi="Arial"/>
          <w:sz w:val="17"/>
          <w:szCs w:val="17"/>
          <w:b w:val="1"/>
          <w:bCs w:val="1"/>
          <w:color w:val="666666"/>
        </w:rPr>
        <w:t>RETIREMENT</w:t>
      </w:r>
    </w:p>
    <w:p>
      <w:pPr>
        <w:spacing w:after="0" w:line="14" w:lineRule="exact"/>
        <w:rPr>
          <w:sz w:val="20"/>
          <w:szCs w:val="20"/>
          <w:color w:val="auto"/>
        </w:rPr>
      </w:pPr>
    </w:p>
    <w:p>
      <w:pPr>
        <w:ind w:right="220"/>
        <w:spacing w:after="0" w:line="243" w:lineRule="auto"/>
        <w:rPr>
          <w:sz w:val="20"/>
          <w:szCs w:val="20"/>
          <w:color w:val="auto"/>
        </w:rPr>
      </w:pPr>
      <w:r>
        <w:rPr>
          <w:rFonts w:ascii="Arial" w:cs="Arial" w:eastAsia="Arial" w:hAnsi="Arial"/>
          <w:sz w:val="17"/>
          <w:szCs w:val="17"/>
          <w:color w:val="auto"/>
        </w:rPr>
        <w:t>“Retirement” means either: (1) retirement of the NEO prior to age 62, if the Compensation Committee of the Board of Directors determines that such retirement is for the convenience of the Company; or (2) retirement of the NEO on or after age 62.</w:t>
      </w:r>
    </w:p>
    <w:p>
      <w:pPr>
        <w:spacing w:after="0" w:line="171" w:lineRule="exact"/>
        <w:rPr>
          <w:sz w:val="20"/>
          <w:szCs w:val="20"/>
          <w:color w:val="auto"/>
        </w:rPr>
      </w:pPr>
    </w:p>
    <w:p>
      <w:pPr>
        <w:spacing w:after="0"/>
        <w:rPr>
          <w:sz w:val="20"/>
          <w:szCs w:val="20"/>
          <w:color w:val="auto"/>
        </w:rPr>
      </w:pPr>
      <w:r>
        <w:rPr>
          <w:rFonts w:ascii="Arial" w:cs="Arial" w:eastAsia="Arial" w:hAnsi="Arial"/>
          <w:sz w:val="17"/>
          <w:szCs w:val="17"/>
          <w:color w:val="auto"/>
        </w:rPr>
        <w:t>In addition to retirement benefits shown in the 2015 Pension Benefits Table (which are not shown in the following table of termination scenarios), NEOs who retire under the circumstances described above will be entitled to receive prorated payouts of strategic performance shares and continued normal vesting of other unvested equity awards as if the officer had remained in the continuous employ of the Company for the remainder of the vesting period.</w:t>
      </w:r>
    </w:p>
    <w:p>
      <w:pPr>
        <w:spacing w:after="0" w:line="325" w:lineRule="exact"/>
        <w:rPr>
          <w:sz w:val="20"/>
          <w:szCs w:val="20"/>
          <w:color w:val="auto"/>
        </w:rPr>
      </w:pPr>
    </w:p>
    <w:p>
      <w:pPr>
        <w:spacing w:after="0"/>
        <w:rPr>
          <w:sz w:val="20"/>
          <w:szCs w:val="20"/>
          <w:color w:val="auto"/>
        </w:rPr>
      </w:pPr>
      <w:r>
        <w:rPr>
          <w:rFonts w:ascii="Arial" w:cs="Arial" w:eastAsia="Arial" w:hAnsi="Arial"/>
          <w:sz w:val="17"/>
          <w:szCs w:val="17"/>
          <w:b w:val="1"/>
          <w:bCs w:val="1"/>
          <w:color w:val="666666"/>
        </w:rPr>
        <w:t>DEATH OR PERMANENT DISABILITY</w:t>
      </w:r>
    </w:p>
    <w:p>
      <w:pPr>
        <w:spacing w:after="0" w:line="14" w:lineRule="exact"/>
        <w:rPr>
          <w:sz w:val="20"/>
          <w:szCs w:val="20"/>
          <w:color w:val="auto"/>
        </w:rPr>
      </w:pPr>
    </w:p>
    <w:p>
      <w:pPr>
        <w:ind w:right="640"/>
        <w:spacing w:after="0" w:line="243" w:lineRule="auto"/>
        <w:rPr>
          <w:sz w:val="20"/>
          <w:szCs w:val="20"/>
          <w:color w:val="auto"/>
        </w:rPr>
      </w:pPr>
      <w:r>
        <w:rPr>
          <w:rFonts w:ascii="Arial" w:cs="Arial" w:eastAsia="Arial" w:hAnsi="Arial"/>
          <w:sz w:val="17"/>
          <w:szCs w:val="17"/>
          <w:color w:val="auto"/>
        </w:rPr>
        <w:t>“Permanent Disability” occurs if the NEO qualifies for permanent disability benefits under a disability plan or program of the Company or, in the absence of a disability plan or program of the Company, under a government-sponsored disability program.</w:t>
      </w:r>
    </w:p>
    <w:p>
      <w:pPr>
        <w:spacing w:after="0" w:line="158" w:lineRule="exact"/>
        <w:rPr>
          <w:sz w:val="20"/>
          <w:szCs w:val="20"/>
          <w:color w:val="auto"/>
        </w:rPr>
      </w:pPr>
    </w:p>
    <w:p>
      <w:pPr>
        <w:ind w:right="100"/>
        <w:spacing w:after="0" w:line="238" w:lineRule="auto"/>
        <w:rPr>
          <w:sz w:val="20"/>
          <w:szCs w:val="20"/>
          <w:color w:val="auto"/>
        </w:rPr>
      </w:pPr>
      <w:r>
        <w:rPr>
          <w:rFonts w:ascii="Arial" w:cs="Arial" w:eastAsia="Arial" w:hAnsi="Arial"/>
          <w:sz w:val="17"/>
          <w:szCs w:val="17"/>
          <w:color w:val="auto"/>
        </w:rPr>
        <w:t>All equity-based awards immediately vest in the event of death or permanent disability except strategic performance shares, which are prorated and then vest at the end of the performance period. In the case of disability, the employee has up to five years to exercise stock options. In the case of the NEO’s death, his beneficiary will have one year following his death to exercise stock options.</w:t>
      </w:r>
    </w:p>
    <w:p>
      <w:pPr>
        <w:spacing w:after="0" w:line="175" w:lineRule="exact"/>
        <w:rPr>
          <w:sz w:val="20"/>
          <w:szCs w:val="20"/>
          <w:color w:val="auto"/>
        </w:rPr>
      </w:pPr>
    </w:p>
    <w:p>
      <w:pPr>
        <w:ind w:right="160"/>
        <w:spacing w:after="0" w:line="243" w:lineRule="auto"/>
        <w:rPr>
          <w:sz w:val="20"/>
          <w:szCs w:val="20"/>
          <w:color w:val="auto"/>
        </w:rPr>
      </w:pPr>
      <w:r>
        <w:rPr>
          <w:rFonts w:ascii="Arial" w:cs="Arial" w:eastAsia="Arial" w:hAnsi="Arial"/>
          <w:sz w:val="17"/>
          <w:szCs w:val="17"/>
          <w:color w:val="auto"/>
        </w:rPr>
        <w:t>As a result of the spinoff, the Company assumed the obligations of The Timken Company under the Death Benefit Agreement with Mr. Timken. In the event of the death of Mr. Timken while continuously employed, a cash payment of $600,000 will be designated to his beneficiary.</w:t>
      </w:r>
    </w:p>
    <w:p>
      <w:pPr>
        <w:spacing w:after="0" w:line="142" w:lineRule="exact"/>
        <w:rPr>
          <w:sz w:val="20"/>
          <w:szCs w:val="20"/>
          <w:color w:val="auto"/>
        </w:rPr>
      </w:pPr>
    </w:p>
    <w:p>
      <w:pPr>
        <w:spacing w:after="0"/>
        <w:rPr>
          <w:sz w:val="20"/>
          <w:szCs w:val="20"/>
          <w:color w:val="auto"/>
        </w:rPr>
      </w:pPr>
      <w:r>
        <w:rPr>
          <w:rFonts w:ascii="Arial" w:cs="Arial" w:eastAsia="Arial" w:hAnsi="Arial"/>
          <w:sz w:val="14"/>
          <w:szCs w:val="14"/>
          <w:color w:val="auto"/>
        </w:rPr>
        <w:t>54</w:t>
      </w:r>
    </w:p>
    <w:p>
      <w:pPr>
        <w:sectPr>
          <w:pgSz w:w="11900" w:h="16838" w:orient="portrait"/>
          <w:cols w:equalWidth="0" w:num="1">
            <w:col w:w="11400"/>
          </w:cols>
          <w:pgMar w:left="240" w:top="459" w:right="259" w:bottom="1440" w:gutter="0" w:footer="0" w:header="0"/>
        </w:sectPr>
      </w:pPr>
    </w:p>
    <w:bookmarkStart w:id="60" w:name="page61"/>
    <w:bookmarkEnd w:id="6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74">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2715260</wp:posOffset>
            </wp:positionH>
            <wp:positionV relativeFrom="paragraph">
              <wp:posOffset>205740</wp:posOffset>
            </wp:positionV>
            <wp:extent cx="1826895" cy="205740"/>
            <wp:wrapNone/>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75">
                      <a:extLst>
                        <a:ext uri="{28A0092B-C50C-407E-A947-70E740481C1C}"/>
                      </a:extLst>
                    </a:blip>
                    <a:srcRect/>
                    <a:stretch>
                      <a:fillRect/>
                    </a:stretch>
                  </pic:blipFill>
                  <pic:spPr bwMode="auto">
                    <a:xfrm>
                      <a:off x="0" y="0"/>
                      <a:ext cx="1826895" cy="20574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50" w:lineRule="exact"/>
        <w:rPr>
          <w:sz w:val="20"/>
          <w:szCs w:val="20"/>
          <w:color w:val="auto"/>
        </w:rPr>
      </w:pPr>
    </w:p>
    <w:p>
      <w:pPr>
        <w:spacing w:after="0"/>
        <w:rPr>
          <w:sz w:val="20"/>
          <w:szCs w:val="20"/>
          <w:color w:val="auto"/>
        </w:rPr>
      </w:pPr>
      <w:r>
        <w:rPr>
          <w:rFonts w:ascii="Arial" w:cs="Arial" w:eastAsia="Arial" w:hAnsi="Arial"/>
          <w:sz w:val="17"/>
          <w:szCs w:val="17"/>
          <w:b w:val="1"/>
          <w:bCs w:val="1"/>
          <w:color w:val="666666"/>
        </w:rPr>
        <w:t>TERMINATION SCENARIOS</w:t>
      </w:r>
    </w:p>
    <w:p>
      <w:pPr>
        <w:spacing w:after="0" w:line="228" w:lineRule="exact"/>
        <w:rPr>
          <w:sz w:val="20"/>
          <w:szCs w:val="20"/>
          <w:color w:val="auto"/>
        </w:rPr>
      </w:pPr>
    </w:p>
    <w:p>
      <w:pPr>
        <w:jc w:val="center"/>
        <w:ind w:right="80"/>
        <w:spacing w:after="0"/>
        <w:rPr>
          <w:sz w:val="20"/>
          <w:szCs w:val="20"/>
          <w:color w:val="auto"/>
        </w:rPr>
      </w:pPr>
      <w:r>
        <w:rPr>
          <w:rFonts w:ascii="Arial" w:cs="Arial" w:eastAsia="Arial" w:hAnsi="Arial"/>
          <w:sz w:val="15"/>
          <w:szCs w:val="15"/>
          <w:b w:val="1"/>
          <w:bCs w:val="1"/>
          <w:color w:val="auto"/>
        </w:rPr>
        <w:t>Mr. Timken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-104140</wp:posOffset>
            </wp:positionV>
            <wp:extent cx="7254875" cy="4227830"/>
            <wp:wrapNone/>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76">
                      <a:extLst>
                        <a:ext uri="{28A0092B-C50C-407E-A947-70E740481C1C}"/>
                      </a:extLst>
                    </a:blip>
                    <a:srcRect/>
                    <a:stretch>
                      <a:fillRect/>
                    </a:stretch>
                  </pic:blipFill>
                  <pic:spPr bwMode="auto">
                    <a:xfrm>
                      <a:off x="0" y="0"/>
                      <a:ext cx="7254875" cy="4227830"/>
                    </a:xfrm>
                    <a:prstGeom prst="rect">
                      <a:avLst/>
                    </a:prstGeom>
                    <a:noFill/>
                  </pic:spPr>
                </pic:pic>
              </a:graphicData>
            </a:graphic>
          </wp:anchor>
        </w:drawing>
      </w:r>
    </w:p>
    <w:tbl>
      <w:tblPr>
        <w:tblLayout w:type="fixed"/>
        <w:tblInd w:w="0" w:type="dxa"/>
        <w:tblCellMar>
          <w:top w:w="0" w:type="dxa"/>
          <w:left w:w="0" w:type="dxa"/>
          <w:bottom w:w="0" w:type="dxa"/>
          <w:right w:w="0" w:type="dxa"/>
        </w:tblCellMar>
      </w:tblPr>
      <w:tr>
        <w:trPr>
          <w:trHeight w:val="134"/>
        </w:trPr>
        <w:tc>
          <w:tcPr>
            <w:tcW w:w="4100" w:type="dxa"/>
            <w:vAlign w:val="bottom"/>
            <w:tcBorders>
              <w:top w:val="single" w:sz="8" w:color="auto"/>
              <w:right w:val="single" w:sz="8" w:color="auto"/>
            </w:tcBorders>
          </w:tcPr>
          <w:p>
            <w:pPr>
              <w:spacing w:after="0"/>
              <w:rPr>
                <w:sz w:val="11"/>
                <w:szCs w:val="11"/>
                <w:color w:val="auto"/>
              </w:rPr>
            </w:pPr>
          </w:p>
        </w:tc>
        <w:tc>
          <w:tcPr>
            <w:tcW w:w="180" w:type="dxa"/>
            <w:vAlign w:val="bottom"/>
            <w:tcBorders>
              <w:top w:val="single" w:sz="8" w:color="auto"/>
            </w:tcBorders>
          </w:tcPr>
          <w:p>
            <w:pPr>
              <w:spacing w:after="0"/>
              <w:rPr>
                <w:sz w:val="11"/>
                <w:szCs w:val="11"/>
                <w:color w:val="auto"/>
              </w:rPr>
            </w:pPr>
          </w:p>
        </w:tc>
        <w:tc>
          <w:tcPr>
            <w:tcW w:w="880" w:type="dxa"/>
            <w:vAlign w:val="bottom"/>
            <w:tcBorders>
              <w:top w:val="single" w:sz="8" w:color="auto"/>
            </w:tcBorders>
          </w:tcPr>
          <w:p>
            <w:pPr>
              <w:jc w:val="right"/>
              <w:ind w:right="100"/>
              <w:spacing w:after="0" w:line="134" w:lineRule="exact"/>
              <w:rPr>
                <w:sz w:val="20"/>
                <w:szCs w:val="20"/>
                <w:color w:val="auto"/>
              </w:rPr>
            </w:pPr>
            <w:r>
              <w:rPr>
                <w:rFonts w:ascii="Arial" w:cs="Arial" w:eastAsia="Arial" w:hAnsi="Arial"/>
                <w:sz w:val="15"/>
                <w:szCs w:val="15"/>
                <w:b w:val="1"/>
                <w:bCs w:val="1"/>
                <w:color w:val="auto"/>
                <w:w w:val="98"/>
              </w:rPr>
              <w:t>Voluntary</w:t>
            </w:r>
          </w:p>
        </w:tc>
        <w:tc>
          <w:tcPr>
            <w:tcW w:w="1240" w:type="dxa"/>
            <w:vAlign w:val="bottom"/>
            <w:tcBorders>
              <w:top w:val="single" w:sz="8" w:color="auto"/>
            </w:tcBorders>
            <w:gridSpan w:val="2"/>
          </w:tcPr>
          <w:p>
            <w:pPr>
              <w:ind w:left="220"/>
              <w:spacing w:after="0" w:line="134" w:lineRule="exact"/>
              <w:rPr>
                <w:sz w:val="20"/>
                <w:szCs w:val="20"/>
                <w:color w:val="auto"/>
              </w:rPr>
            </w:pPr>
            <w:r>
              <w:rPr>
                <w:rFonts w:ascii="Arial" w:cs="Arial" w:eastAsia="Arial" w:hAnsi="Arial"/>
                <w:sz w:val="15"/>
                <w:szCs w:val="15"/>
                <w:b w:val="1"/>
                <w:bCs w:val="1"/>
                <w:color w:val="auto"/>
              </w:rPr>
              <w:t>Termination</w:t>
            </w:r>
          </w:p>
        </w:tc>
        <w:tc>
          <w:tcPr>
            <w:tcW w:w="380" w:type="dxa"/>
            <w:vAlign w:val="bottom"/>
            <w:tcBorders>
              <w:top w:val="single" w:sz="8" w:color="auto"/>
            </w:tcBorders>
          </w:tcPr>
          <w:p>
            <w:pPr>
              <w:spacing w:after="0"/>
              <w:rPr>
                <w:sz w:val="11"/>
                <w:szCs w:val="11"/>
                <w:color w:val="auto"/>
              </w:rPr>
            </w:pPr>
          </w:p>
        </w:tc>
        <w:tc>
          <w:tcPr>
            <w:tcW w:w="900" w:type="dxa"/>
            <w:vAlign w:val="bottom"/>
            <w:tcBorders>
              <w:top w:val="single" w:sz="8" w:color="auto"/>
            </w:tcBorders>
          </w:tcPr>
          <w:p>
            <w:pPr>
              <w:spacing w:after="0"/>
              <w:rPr>
                <w:sz w:val="11"/>
                <w:szCs w:val="11"/>
                <w:color w:val="auto"/>
              </w:rPr>
            </w:pPr>
          </w:p>
        </w:tc>
        <w:tc>
          <w:tcPr>
            <w:tcW w:w="240" w:type="dxa"/>
            <w:vAlign w:val="bottom"/>
            <w:tcBorders>
              <w:top w:val="single" w:sz="8" w:color="auto"/>
            </w:tcBorders>
          </w:tcPr>
          <w:p>
            <w:pPr>
              <w:spacing w:after="0"/>
              <w:rPr>
                <w:sz w:val="11"/>
                <w:szCs w:val="11"/>
                <w:color w:val="auto"/>
              </w:rPr>
            </w:pPr>
          </w:p>
        </w:tc>
        <w:tc>
          <w:tcPr>
            <w:tcW w:w="880" w:type="dxa"/>
            <w:vAlign w:val="bottom"/>
            <w:tcBorders>
              <w:top w:val="single" w:sz="8" w:color="auto"/>
            </w:tcBorders>
          </w:tcPr>
          <w:p>
            <w:pPr>
              <w:jc w:val="center"/>
              <w:ind w:right="160"/>
              <w:spacing w:after="0" w:line="134" w:lineRule="exact"/>
              <w:rPr>
                <w:sz w:val="20"/>
                <w:szCs w:val="20"/>
                <w:color w:val="auto"/>
              </w:rPr>
            </w:pPr>
            <w:r>
              <w:rPr>
                <w:rFonts w:ascii="Arial" w:cs="Arial" w:eastAsia="Arial" w:hAnsi="Arial"/>
                <w:sz w:val="15"/>
                <w:szCs w:val="15"/>
                <w:b w:val="1"/>
                <w:bCs w:val="1"/>
                <w:color w:val="auto"/>
                <w:w w:val="98"/>
              </w:rPr>
              <w:t>Death &amp;</w:t>
            </w:r>
          </w:p>
        </w:tc>
        <w:tc>
          <w:tcPr>
            <w:tcW w:w="260" w:type="dxa"/>
            <w:vAlign w:val="bottom"/>
            <w:tcBorders>
              <w:top w:val="single" w:sz="8" w:color="auto"/>
            </w:tcBorders>
          </w:tcPr>
          <w:p>
            <w:pPr>
              <w:spacing w:after="0"/>
              <w:rPr>
                <w:sz w:val="11"/>
                <w:szCs w:val="11"/>
                <w:color w:val="auto"/>
              </w:rPr>
            </w:pPr>
          </w:p>
        </w:tc>
        <w:tc>
          <w:tcPr>
            <w:tcW w:w="1140" w:type="dxa"/>
            <w:vAlign w:val="bottom"/>
            <w:tcBorders>
              <w:top w:val="single" w:sz="8" w:color="auto"/>
            </w:tcBorders>
          </w:tcPr>
          <w:p>
            <w:pPr>
              <w:jc w:val="right"/>
              <w:ind w:right="180"/>
              <w:spacing w:after="0" w:line="134" w:lineRule="exact"/>
              <w:rPr>
                <w:sz w:val="20"/>
                <w:szCs w:val="20"/>
                <w:color w:val="auto"/>
              </w:rPr>
            </w:pPr>
            <w:r>
              <w:rPr>
                <w:rFonts w:ascii="Arial" w:cs="Arial" w:eastAsia="Arial" w:hAnsi="Arial"/>
                <w:sz w:val="15"/>
                <w:szCs w:val="15"/>
                <w:b w:val="1"/>
                <w:bCs w:val="1"/>
                <w:color w:val="auto"/>
              </w:rPr>
              <w:t>Termination</w:t>
            </w:r>
          </w:p>
        </w:tc>
        <w:tc>
          <w:tcPr>
            <w:tcW w:w="1220" w:type="dxa"/>
            <w:vAlign w:val="bottom"/>
            <w:tcBorders>
              <w:top w:val="single" w:sz="8" w:color="auto"/>
            </w:tcBorders>
            <w:gridSpan w:val="2"/>
          </w:tcPr>
          <w:p>
            <w:pPr>
              <w:jc w:val="center"/>
              <w:spacing w:after="0" w:line="134" w:lineRule="exact"/>
              <w:rPr>
                <w:sz w:val="20"/>
                <w:szCs w:val="20"/>
                <w:color w:val="auto"/>
              </w:rPr>
            </w:pPr>
            <w:r>
              <w:rPr>
                <w:rFonts w:ascii="Arial" w:cs="Arial" w:eastAsia="Arial" w:hAnsi="Arial"/>
                <w:sz w:val="15"/>
                <w:szCs w:val="15"/>
                <w:b w:val="1"/>
                <w:bCs w:val="1"/>
                <w:color w:val="auto"/>
              </w:rPr>
              <w:t>Change in</w:t>
            </w:r>
          </w:p>
        </w:tc>
        <w:tc>
          <w:tcPr>
            <w:tcW w:w="20" w:type="dxa"/>
            <w:vAlign w:val="bottom"/>
            <w:tcBorders>
              <w:top w:val="single" w:sz="8" w:color="auto"/>
            </w:tcBorders>
          </w:tcPr>
          <w:p>
            <w:pPr>
              <w:spacing w:after="0"/>
              <w:rPr>
                <w:sz w:val="11"/>
                <w:szCs w:val="11"/>
                <w:color w:val="auto"/>
              </w:rPr>
            </w:pPr>
          </w:p>
        </w:tc>
      </w:tr>
      <w:tr>
        <w:trPr>
          <w:trHeight w:val="183"/>
        </w:trPr>
        <w:tc>
          <w:tcPr>
            <w:tcW w:w="4100" w:type="dxa"/>
            <w:vAlign w:val="bottom"/>
            <w:tcBorders>
              <w:bottom w:val="single" w:sz="8" w:color="auto"/>
              <w:right w:val="single" w:sz="8" w:color="auto"/>
            </w:tcBorders>
          </w:tcPr>
          <w:p>
            <w:pPr>
              <w:spacing w:after="0"/>
              <w:rPr>
                <w:sz w:val="15"/>
                <w:szCs w:val="15"/>
                <w:color w:val="auto"/>
              </w:rPr>
            </w:pPr>
          </w:p>
        </w:tc>
        <w:tc>
          <w:tcPr>
            <w:tcW w:w="1060" w:type="dxa"/>
            <w:vAlign w:val="bottom"/>
            <w:tcBorders>
              <w:bottom w:val="single" w:sz="8" w:color="auto"/>
            </w:tcBorders>
            <w:gridSpan w:val="2"/>
          </w:tcPr>
          <w:p>
            <w:pPr>
              <w:ind w:left="100"/>
              <w:spacing w:after="0"/>
              <w:rPr>
                <w:sz w:val="20"/>
                <w:szCs w:val="20"/>
                <w:color w:val="auto"/>
              </w:rPr>
            </w:pPr>
            <w:r>
              <w:rPr>
                <w:rFonts w:ascii="Arial" w:cs="Arial" w:eastAsia="Arial" w:hAnsi="Arial"/>
                <w:sz w:val="15"/>
                <w:szCs w:val="15"/>
                <w:b w:val="1"/>
                <w:bCs w:val="1"/>
                <w:color w:val="auto"/>
              </w:rPr>
              <w:t>Resignation</w:t>
            </w:r>
          </w:p>
        </w:tc>
        <w:tc>
          <w:tcPr>
            <w:tcW w:w="1240" w:type="dxa"/>
            <w:vAlign w:val="bottom"/>
            <w:tcBorders>
              <w:bottom w:val="single" w:sz="8" w:color="auto"/>
            </w:tcBorders>
            <w:gridSpan w:val="2"/>
          </w:tcPr>
          <w:p>
            <w:pPr>
              <w:ind w:left="240"/>
              <w:spacing w:after="0"/>
              <w:rPr>
                <w:sz w:val="20"/>
                <w:szCs w:val="20"/>
                <w:color w:val="auto"/>
              </w:rPr>
            </w:pPr>
            <w:r>
              <w:rPr>
                <w:rFonts w:ascii="Arial" w:cs="Arial" w:eastAsia="Arial" w:hAnsi="Arial"/>
                <w:sz w:val="15"/>
                <w:szCs w:val="15"/>
                <w:b w:val="1"/>
                <w:bCs w:val="1"/>
                <w:color w:val="auto"/>
              </w:rPr>
              <w:t>With Cause</w:t>
            </w:r>
          </w:p>
        </w:tc>
        <w:tc>
          <w:tcPr>
            <w:tcW w:w="1280" w:type="dxa"/>
            <w:vAlign w:val="bottom"/>
            <w:tcBorders>
              <w:bottom w:val="single" w:sz="8" w:color="auto"/>
            </w:tcBorders>
            <w:gridSpan w:val="2"/>
          </w:tcPr>
          <w:p>
            <w:pPr>
              <w:ind w:left="160"/>
              <w:spacing w:after="0"/>
              <w:rPr>
                <w:sz w:val="20"/>
                <w:szCs w:val="20"/>
                <w:color w:val="auto"/>
              </w:rPr>
            </w:pPr>
            <w:r>
              <w:rPr>
                <w:rFonts w:ascii="Arial" w:cs="Arial" w:eastAsia="Arial" w:hAnsi="Arial"/>
                <w:sz w:val="15"/>
                <w:szCs w:val="15"/>
                <w:b w:val="1"/>
                <w:bCs w:val="1"/>
                <w:color w:val="auto"/>
              </w:rPr>
              <w:t>Retirement</w:t>
            </w:r>
            <w:r>
              <w:rPr>
                <w:rFonts w:ascii="Arial" w:cs="Arial" w:eastAsia="Arial" w:hAnsi="Arial"/>
                <w:sz w:val="13"/>
                <w:szCs w:val="13"/>
                <w:b w:val="1"/>
                <w:bCs w:val="1"/>
                <w:color w:val="auto"/>
              </w:rPr>
              <w:t>(6)</w:t>
            </w:r>
          </w:p>
        </w:tc>
        <w:tc>
          <w:tcPr>
            <w:tcW w:w="1120" w:type="dxa"/>
            <w:vAlign w:val="bottom"/>
            <w:tcBorders>
              <w:bottom w:val="single" w:sz="8" w:color="auto"/>
            </w:tcBorders>
            <w:gridSpan w:val="2"/>
          </w:tcPr>
          <w:p>
            <w:pPr>
              <w:jc w:val="center"/>
              <w:spacing w:after="0"/>
              <w:rPr>
                <w:sz w:val="20"/>
                <w:szCs w:val="20"/>
                <w:color w:val="auto"/>
              </w:rPr>
            </w:pPr>
            <w:r>
              <w:rPr>
                <w:rFonts w:ascii="Arial" w:cs="Arial" w:eastAsia="Arial" w:hAnsi="Arial"/>
                <w:sz w:val="15"/>
                <w:szCs w:val="15"/>
                <w:b w:val="1"/>
                <w:bCs w:val="1"/>
                <w:color w:val="auto"/>
              </w:rPr>
              <w:t>Disability</w:t>
            </w:r>
          </w:p>
        </w:tc>
        <w:tc>
          <w:tcPr>
            <w:tcW w:w="1400" w:type="dxa"/>
            <w:vAlign w:val="bottom"/>
            <w:tcBorders>
              <w:bottom w:val="single" w:sz="8" w:color="auto"/>
            </w:tcBorders>
            <w:gridSpan w:val="2"/>
          </w:tcPr>
          <w:p>
            <w:pPr>
              <w:ind w:left="160"/>
              <w:spacing w:after="0"/>
              <w:rPr>
                <w:sz w:val="20"/>
                <w:szCs w:val="20"/>
                <w:color w:val="auto"/>
              </w:rPr>
            </w:pPr>
            <w:r>
              <w:rPr>
                <w:rFonts w:ascii="Arial" w:cs="Arial" w:eastAsia="Arial" w:hAnsi="Arial"/>
                <w:sz w:val="15"/>
                <w:szCs w:val="15"/>
                <w:b w:val="1"/>
                <w:bCs w:val="1"/>
                <w:color w:val="auto"/>
              </w:rPr>
              <w:t>Without Cause</w:t>
            </w:r>
          </w:p>
        </w:tc>
        <w:tc>
          <w:tcPr>
            <w:tcW w:w="260" w:type="dxa"/>
            <w:vAlign w:val="bottom"/>
            <w:tcBorders>
              <w:bottom w:val="single" w:sz="8" w:color="auto"/>
            </w:tcBorders>
          </w:tcPr>
          <w:p>
            <w:pPr>
              <w:spacing w:after="0"/>
              <w:rPr>
                <w:sz w:val="15"/>
                <w:szCs w:val="15"/>
                <w:color w:val="auto"/>
              </w:rPr>
            </w:pPr>
          </w:p>
        </w:tc>
        <w:tc>
          <w:tcPr>
            <w:tcW w:w="960" w:type="dxa"/>
            <w:vAlign w:val="bottom"/>
            <w:tcBorders>
              <w:bottom w:val="single" w:sz="8" w:color="auto"/>
            </w:tcBorders>
          </w:tcPr>
          <w:p>
            <w:pPr>
              <w:jc w:val="center"/>
              <w:ind w:right="260"/>
              <w:spacing w:after="0"/>
              <w:rPr>
                <w:sz w:val="20"/>
                <w:szCs w:val="20"/>
                <w:color w:val="auto"/>
              </w:rPr>
            </w:pPr>
            <w:r>
              <w:rPr>
                <w:rFonts w:ascii="Arial" w:cs="Arial" w:eastAsia="Arial" w:hAnsi="Arial"/>
                <w:sz w:val="15"/>
                <w:szCs w:val="15"/>
                <w:b w:val="1"/>
                <w:bCs w:val="1"/>
                <w:color w:val="auto"/>
              </w:rPr>
              <w:t>Control</w:t>
            </w:r>
          </w:p>
        </w:tc>
        <w:tc>
          <w:tcPr>
            <w:tcW w:w="20" w:type="dxa"/>
            <w:vAlign w:val="bottom"/>
            <w:tcBorders>
              <w:bottom w:val="single" w:sz="8" w:color="auto"/>
            </w:tcBorders>
          </w:tcPr>
          <w:p>
            <w:pPr>
              <w:spacing w:after="0"/>
              <w:rPr>
                <w:sz w:val="15"/>
                <w:szCs w:val="15"/>
                <w:color w:val="auto"/>
              </w:rPr>
            </w:pPr>
          </w:p>
        </w:tc>
      </w:tr>
      <w:tr>
        <w:trPr>
          <w:trHeight w:val="183"/>
        </w:trPr>
        <w:tc>
          <w:tcPr>
            <w:tcW w:w="4100" w:type="dxa"/>
            <w:vAlign w:val="bottom"/>
            <w:tcBorders>
              <w:right w:val="single" w:sz="8" w:color="auto"/>
            </w:tcBorders>
            <w:shd w:val="clear" w:color="auto" w:fill="CCEEFF"/>
          </w:tcPr>
          <w:p>
            <w:pPr>
              <w:ind w:left="160"/>
              <w:spacing w:after="0" w:line="183" w:lineRule="exact"/>
              <w:rPr>
                <w:sz w:val="20"/>
                <w:szCs w:val="20"/>
                <w:color w:val="auto"/>
              </w:rPr>
            </w:pPr>
            <w:r>
              <w:rPr>
                <w:rFonts w:ascii="Arial" w:cs="Arial" w:eastAsia="Arial" w:hAnsi="Arial"/>
                <w:sz w:val="13"/>
                <w:szCs w:val="13"/>
                <w:color w:val="auto"/>
              </w:rPr>
              <w:t>Cash Severance</w:t>
            </w:r>
            <w:r>
              <w:rPr>
                <w:rFonts w:ascii="Arial" w:cs="Arial" w:eastAsia="Arial" w:hAnsi="Arial"/>
                <w:sz w:val="21"/>
                <w:szCs w:val="21"/>
                <w:color w:val="auto"/>
                <w:vertAlign w:val="superscript"/>
              </w:rPr>
              <w:t>(1)</w:t>
            </w:r>
          </w:p>
        </w:tc>
        <w:tc>
          <w:tcPr>
            <w:tcW w:w="180" w:type="dxa"/>
            <w:vAlign w:val="bottom"/>
            <w:shd w:val="clear" w:color="auto" w:fill="CCEEFF"/>
          </w:tcPr>
          <w:p>
            <w:pPr>
              <w:ind w:left="100"/>
              <w:spacing w:after="0"/>
              <w:rPr>
                <w:sz w:val="20"/>
                <w:szCs w:val="20"/>
                <w:color w:val="auto"/>
              </w:rPr>
            </w:pPr>
            <w:r>
              <w:rPr>
                <w:rFonts w:ascii="Arial" w:cs="Arial" w:eastAsia="Arial" w:hAnsi="Arial"/>
                <w:sz w:val="15"/>
                <w:szCs w:val="15"/>
                <w:color w:val="auto"/>
                <w:w w:val="71"/>
              </w:rPr>
              <w:t>$</w:t>
            </w:r>
          </w:p>
        </w:tc>
        <w:tc>
          <w:tcPr>
            <w:tcW w:w="880" w:type="dxa"/>
            <w:vAlign w:val="bottom"/>
            <w:shd w:val="clear" w:color="auto" w:fill="CCEEFF"/>
          </w:tcPr>
          <w:p>
            <w:pPr>
              <w:jc w:val="right"/>
              <w:spacing w:after="0" w:line="183" w:lineRule="exact"/>
              <w:rPr>
                <w:sz w:val="20"/>
                <w:szCs w:val="20"/>
                <w:color w:val="auto"/>
              </w:rPr>
            </w:pPr>
            <w:r>
              <w:rPr>
                <w:rFonts w:ascii="Arial" w:cs="Arial" w:eastAsia="Arial" w:hAnsi="Arial"/>
                <w:sz w:val="16"/>
                <w:szCs w:val="16"/>
                <w:color w:val="auto"/>
              </w:rPr>
              <w:t>0</w:t>
            </w:r>
          </w:p>
        </w:tc>
        <w:tc>
          <w:tcPr>
            <w:tcW w:w="960" w:type="dxa"/>
            <w:vAlign w:val="bottom"/>
            <w:shd w:val="clear" w:color="auto" w:fill="CCEEFF"/>
          </w:tcPr>
          <w:p>
            <w:pPr>
              <w:ind w:left="220"/>
              <w:spacing w:after="0" w:line="183" w:lineRule="exact"/>
              <w:rPr>
                <w:sz w:val="20"/>
                <w:szCs w:val="20"/>
                <w:color w:val="auto"/>
              </w:rPr>
            </w:pPr>
            <w:r>
              <w:rPr>
                <w:rFonts w:ascii="Arial" w:cs="Arial" w:eastAsia="Arial" w:hAnsi="Arial"/>
                <w:sz w:val="16"/>
                <w:szCs w:val="16"/>
                <w:color w:val="auto"/>
              </w:rPr>
              <w:t>$</w:t>
            </w:r>
          </w:p>
        </w:tc>
        <w:tc>
          <w:tcPr>
            <w:tcW w:w="280" w:type="dxa"/>
            <w:vAlign w:val="bottom"/>
            <w:shd w:val="clear" w:color="auto" w:fill="CCEEFF"/>
          </w:tcPr>
          <w:p>
            <w:pPr>
              <w:jc w:val="right"/>
              <w:ind w:right="79"/>
              <w:spacing w:after="0" w:line="183" w:lineRule="exact"/>
              <w:rPr>
                <w:sz w:val="20"/>
                <w:szCs w:val="20"/>
                <w:color w:val="auto"/>
              </w:rPr>
            </w:pPr>
            <w:r>
              <w:rPr>
                <w:rFonts w:ascii="Arial" w:cs="Arial" w:eastAsia="Arial" w:hAnsi="Arial"/>
                <w:sz w:val="16"/>
                <w:szCs w:val="16"/>
                <w:color w:val="auto"/>
              </w:rPr>
              <w:t>0</w:t>
            </w:r>
          </w:p>
        </w:tc>
        <w:tc>
          <w:tcPr>
            <w:tcW w:w="380" w:type="dxa"/>
            <w:vAlign w:val="bottom"/>
            <w:shd w:val="clear" w:color="auto" w:fill="CCEEFF"/>
          </w:tcPr>
          <w:p>
            <w:pPr>
              <w:spacing w:after="0"/>
              <w:rPr>
                <w:sz w:val="15"/>
                <w:szCs w:val="15"/>
                <w:color w:val="auto"/>
              </w:rPr>
            </w:pPr>
          </w:p>
        </w:tc>
        <w:tc>
          <w:tcPr>
            <w:tcW w:w="900" w:type="dxa"/>
            <w:vAlign w:val="bottom"/>
            <w:shd w:val="clear" w:color="auto" w:fill="CCEEFF"/>
          </w:tcPr>
          <w:p>
            <w:pPr>
              <w:spacing w:after="0"/>
              <w:rPr>
                <w:sz w:val="15"/>
                <w:szCs w:val="15"/>
                <w:color w:val="auto"/>
              </w:rPr>
            </w:pPr>
          </w:p>
        </w:tc>
        <w:tc>
          <w:tcPr>
            <w:tcW w:w="240" w:type="dxa"/>
            <w:vAlign w:val="bottom"/>
            <w:shd w:val="clear" w:color="auto" w:fill="CCEEFF"/>
          </w:tcPr>
          <w:p>
            <w:pPr>
              <w:jc w:val="right"/>
              <w:spacing w:after="0" w:line="183" w:lineRule="exact"/>
              <w:rPr>
                <w:sz w:val="20"/>
                <w:szCs w:val="20"/>
                <w:color w:val="auto"/>
              </w:rPr>
            </w:pPr>
            <w:r>
              <w:rPr>
                <w:rFonts w:ascii="Arial" w:cs="Arial" w:eastAsia="Arial" w:hAnsi="Arial"/>
                <w:sz w:val="16"/>
                <w:szCs w:val="16"/>
                <w:color w:val="auto"/>
              </w:rPr>
              <w:t>$</w:t>
            </w:r>
          </w:p>
        </w:tc>
        <w:tc>
          <w:tcPr>
            <w:tcW w:w="880" w:type="dxa"/>
            <w:vAlign w:val="bottom"/>
            <w:shd w:val="clear" w:color="auto" w:fill="CCEEFF"/>
          </w:tcPr>
          <w:p>
            <w:pPr>
              <w:jc w:val="right"/>
              <w:ind w:right="60"/>
              <w:spacing w:after="0" w:line="183" w:lineRule="exact"/>
              <w:rPr>
                <w:sz w:val="20"/>
                <w:szCs w:val="20"/>
                <w:color w:val="auto"/>
              </w:rPr>
            </w:pPr>
            <w:r>
              <w:rPr>
                <w:rFonts w:ascii="Arial" w:cs="Arial" w:eastAsia="Arial" w:hAnsi="Arial"/>
                <w:sz w:val="16"/>
                <w:szCs w:val="16"/>
                <w:color w:val="auto"/>
              </w:rPr>
              <w:t>0</w:t>
            </w:r>
          </w:p>
        </w:tc>
        <w:tc>
          <w:tcPr>
            <w:tcW w:w="260" w:type="dxa"/>
            <w:vAlign w:val="bottom"/>
            <w:shd w:val="clear" w:color="auto" w:fill="CCEEFF"/>
          </w:tcPr>
          <w:p>
            <w:pPr>
              <w:ind w:left="160"/>
              <w:spacing w:after="0" w:line="183" w:lineRule="exact"/>
              <w:rPr>
                <w:sz w:val="20"/>
                <w:szCs w:val="20"/>
                <w:color w:val="auto"/>
              </w:rPr>
            </w:pPr>
            <w:r>
              <w:rPr>
                <w:rFonts w:ascii="Arial" w:cs="Arial" w:eastAsia="Arial" w:hAnsi="Arial"/>
                <w:sz w:val="16"/>
                <w:szCs w:val="16"/>
                <w:color w:val="auto"/>
                <w:w w:val="89"/>
              </w:rPr>
              <w:t>$</w:t>
            </w:r>
          </w:p>
        </w:tc>
        <w:tc>
          <w:tcPr>
            <w:tcW w:w="1140" w:type="dxa"/>
            <w:vAlign w:val="bottom"/>
            <w:shd w:val="clear" w:color="auto" w:fill="CCEEFF"/>
          </w:tcPr>
          <w:p>
            <w:pPr>
              <w:jc w:val="right"/>
              <w:ind w:right="80"/>
              <w:spacing w:after="0" w:line="183" w:lineRule="exact"/>
              <w:rPr>
                <w:sz w:val="20"/>
                <w:szCs w:val="20"/>
                <w:color w:val="auto"/>
              </w:rPr>
            </w:pPr>
            <w:r>
              <w:rPr>
                <w:rFonts w:ascii="Arial" w:cs="Arial" w:eastAsia="Arial" w:hAnsi="Arial"/>
                <w:sz w:val="16"/>
                <w:szCs w:val="16"/>
                <w:color w:val="auto"/>
              </w:rPr>
              <w:t>3,806,880</w:t>
            </w:r>
          </w:p>
        </w:tc>
        <w:tc>
          <w:tcPr>
            <w:tcW w:w="1220" w:type="dxa"/>
            <w:vAlign w:val="bottom"/>
            <w:gridSpan w:val="2"/>
            <w:shd w:val="clear" w:color="auto" w:fill="CCEEFF"/>
          </w:tcPr>
          <w:p>
            <w:pPr>
              <w:jc w:val="right"/>
              <w:ind w:right="160"/>
              <w:spacing w:after="0" w:line="183" w:lineRule="exact"/>
              <w:rPr>
                <w:sz w:val="20"/>
                <w:szCs w:val="20"/>
                <w:color w:val="auto"/>
              </w:rPr>
            </w:pPr>
            <w:r>
              <w:rPr>
                <w:rFonts w:ascii="Arial" w:cs="Arial" w:eastAsia="Arial" w:hAnsi="Arial"/>
                <w:sz w:val="16"/>
                <w:szCs w:val="16"/>
                <w:color w:val="auto"/>
              </w:rPr>
              <w:t>$5,710,320</w:t>
            </w:r>
          </w:p>
        </w:tc>
        <w:tc>
          <w:tcPr>
            <w:tcW w:w="20" w:type="dxa"/>
            <w:vAlign w:val="bottom"/>
          </w:tcPr>
          <w:p>
            <w:pPr>
              <w:spacing w:after="0"/>
              <w:rPr>
                <w:sz w:val="15"/>
                <w:szCs w:val="15"/>
                <w:color w:val="auto"/>
              </w:rPr>
            </w:pPr>
          </w:p>
        </w:tc>
      </w:tr>
      <w:tr>
        <w:trPr>
          <w:trHeight w:val="189"/>
        </w:trPr>
        <w:tc>
          <w:tcPr>
            <w:tcW w:w="4100" w:type="dxa"/>
            <w:vAlign w:val="bottom"/>
            <w:tcBorders>
              <w:right w:val="single" w:sz="8" w:color="auto"/>
            </w:tcBorders>
          </w:tcPr>
          <w:p>
            <w:pPr>
              <w:ind w:left="160"/>
              <w:spacing w:after="0" w:line="189" w:lineRule="exact"/>
              <w:rPr>
                <w:sz w:val="20"/>
                <w:szCs w:val="20"/>
                <w:color w:val="auto"/>
              </w:rPr>
            </w:pPr>
            <w:r>
              <w:rPr>
                <w:rFonts w:ascii="Arial" w:cs="Arial" w:eastAsia="Arial" w:hAnsi="Arial"/>
                <w:sz w:val="13"/>
                <w:szCs w:val="13"/>
                <w:color w:val="auto"/>
              </w:rPr>
              <w:t>Equity</w:t>
            </w:r>
            <w:r>
              <w:rPr>
                <w:rFonts w:ascii="Arial" w:cs="Arial" w:eastAsia="Arial" w:hAnsi="Arial"/>
                <w:sz w:val="21"/>
                <w:szCs w:val="21"/>
                <w:color w:val="auto"/>
                <w:vertAlign w:val="superscript"/>
              </w:rPr>
              <w:t>(2)</w:t>
            </w:r>
          </w:p>
        </w:tc>
        <w:tc>
          <w:tcPr>
            <w:tcW w:w="180" w:type="dxa"/>
            <w:vAlign w:val="bottom"/>
          </w:tcPr>
          <w:p>
            <w:pPr>
              <w:ind w:left="100"/>
              <w:spacing w:after="0"/>
              <w:rPr>
                <w:sz w:val="20"/>
                <w:szCs w:val="20"/>
                <w:color w:val="auto"/>
              </w:rPr>
            </w:pPr>
            <w:r>
              <w:rPr>
                <w:rFonts w:ascii="Arial" w:cs="Arial" w:eastAsia="Arial" w:hAnsi="Arial"/>
                <w:sz w:val="15"/>
                <w:szCs w:val="15"/>
                <w:color w:val="auto"/>
                <w:w w:val="71"/>
              </w:rPr>
              <w:t>$</w:t>
            </w:r>
          </w:p>
        </w:tc>
        <w:tc>
          <w:tcPr>
            <w:tcW w:w="880" w:type="dxa"/>
            <w:vAlign w:val="bottom"/>
          </w:tcPr>
          <w:p>
            <w:pPr>
              <w:jc w:val="right"/>
              <w:spacing w:after="0"/>
              <w:rPr>
                <w:sz w:val="20"/>
                <w:szCs w:val="20"/>
                <w:color w:val="auto"/>
              </w:rPr>
            </w:pPr>
            <w:r>
              <w:rPr>
                <w:rFonts w:ascii="Arial" w:cs="Arial" w:eastAsia="Arial" w:hAnsi="Arial"/>
                <w:sz w:val="16"/>
                <w:szCs w:val="16"/>
                <w:color w:val="auto"/>
              </w:rPr>
              <w:t>0</w:t>
            </w:r>
          </w:p>
        </w:tc>
        <w:tc>
          <w:tcPr>
            <w:tcW w:w="960" w:type="dxa"/>
            <w:vAlign w:val="bottom"/>
          </w:tcPr>
          <w:p>
            <w:pPr>
              <w:ind w:left="220"/>
              <w:spacing w:after="0"/>
              <w:rPr>
                <w:sz w:val="20"/>
                <w:szCs w:val="20"/>
                <w:color w:val="auto"/>
              </w:rPr>
            </w:pPr>
            <w:r>
              <w:rPr>
                <w:rFonts w:ascii="Arial" w:cs="Arial" w:eastAsia="Arial" w:hAnsi="Arial"/>
                <w:sz w:val="16"/>
                <w:szCs w:val="16"/>
                <w:color w:val="auto"/>
              </w:rPr>
              <w:t>$</w:t>
            </w:r>
          </w:p>
        </w:tc>
        <w:tc>
          <w:tcPr>
            <w:tcW w:w="280" w:type="dxa"/>
            <w:vAlign w:val="bottom"/>
          </w:tcPr>
          <w:p>
            <w:pPr>
              <w:jc w:val="right"/>
              <w:ind w:right="79"/>
              <w:spacing w:after="0"/>
              <w:rPr>
                <w:sz w:val="20"/>
                <w:szCs w:val="20"/>
                <w:color w:val="auto"/>
              </w:rPr>
            </w:pPr>
            <w:r>
              <w:rPr>
                <w:rFonts w:ascii="Arial" w:cs="Arial" w:eastAsia="Arial" w:hAnsi="Arial"/>
                <w:sz w:val="16"/>
                <w:szCs w:val="16"/>
                <w:color w:val="auto"/>
              </w:rPr>
              <w:t>0</w:t>
            </w:r>
          </w:p>
        </w:tc>
        <w:tc>
          <w:tcPr>
            <w:tcW w:w="380" w:type="dxa"/>
            <w:vAlign w:val="bottom"/>
          </w:tcPr>
          <w:p>
            <w:pPr>
              <w:spacing w:after="0"/>
              <w:rPr>
                <w:sz w:val="16"/>
                <w:szCs w:val="16"/>
                <w:color w:val="auto"/>
              </w:rPr>
            </w:pPr>
          </w:p>
        </w:tc>
        <w:tc>
          <w:tcPr>
            <w:tcW w:w="900" w:type="dxa"/>
            <w:vAlign w:val="bottom"/>
          </w:tcPr>
          <w:p>
            <w:pPr>
              <w:spacing w:after="0"/>
              <w:rPr>
                <w:sz w:val="16"/>
                <w:szCs w:val="16"/>
                <w:color w:val="auto"/>
              </w:rPr>
            </w:pPr>
          </w:p>
        </w:tc>
        <w:tc>
          <w:tcPr>
            <w:tcW w:w="240" w:type="dxa"/>
            <w:vAlign w:val="bottom"/>
          </w:tcPr>
          <w:p>
            <w:pPr>
              <w:jc w:val="right"/>
              <w:spacing w:after="0"/>
              <w:rPr>
                <w:sz w:val="20"/>
                <w:szCs w:val="20"/>
                <w:color w:val="auto"/>
              </w:rPr>
            </w:pPr>
            <w:r>
              <w:rPr>
                <w:rFonts w:ascii="Arial" w:cs="Arial" w:eastAsia="Arial" w:hAnsi="Arial"/>
                <w:sz w:val="16"/>
                <w:szCs w:val="16"/>
                <w:color w:val="auto"/>
              </w:rPr>
              <w:t>$</w:t>
            </w:r>
          </w:p>
        </w:tc>
        <w:tc>
          <w:tcPr>
            <w:tcW w:w="880" w:type="dxa"/>
            <w:vAlign w:val="bottom"/>
          </w:tcPr>
          <w:p>
            <w:pPr>
              <w:jc w:val="right"/>
              <w:ind w:right="60"/>
              <w:spacing w:after="0"/>
              <w:rPr>
                <w:sz w:val="20"/>
                <w:szCs w:val="20"/>
                <w:color w:val="auto"/>
              </w:rPr>
            </w:pPr>
            <w:r>
              <w:rPr>
                <w:rFonts w:ascii="Arial" w:cs="Arial" w:eastAsia="Arial" w:hAnsi="Arial"/>
                <w:sz w:val="16"/>
                <w:szCs w:val="16"/>
                <w:color w:val="auto"/>
              </w:rPr>
              <w:t>417,743</w:t>
            </w:r>
          </w:p>
        </w:tc>
        <w:tc>
          <w:tcPr>
            <w:tcW w:w="260" w:type="dxa"/>
            <w:vAlign w:val="bottom"/>
          </w:tcPr>
          <w:p>
            <w:pPr>
              <w:ind w:left="160"/>
              <w:spacing w:after="0"/>
              <w:rPr>
                <w:sz w:val="20"/>
                <w:szCs w:val="20"/>
                <w:color w:val="auto"/>
              </w:rPr>
            </w:pPr>
            <w:r>
              <w:rPr>
                <w:rFonts w:ascii="Arial" w:cs="Arial" w:eastAsia="Arial" w:hAnsi="Arial"/>
                <w:sz w:val="16"/>
                <w:szCs w:val="16"/>
                <w:color w:val="auto"/>
                <w:w w:val="89"/>
              </w:rPr>
              <w:t>$</w:t>
            </w:r>
          </w:p>
        </w:tc>
        <w:tc>
          <w:tcPr>
            <w:tcW w:w="1140" w:type="dxa"/>
            <w:vAlign w:val="bottom"/>
          </w:tcPr>
          <w:p>
            <w:pPr>
              <w:jc w:val="right"/>
              <w:ind w:right="80"/>
              <w:spacing w:after="0"/>
              <w:rPr>
                <w:sz w:val="20"/>
                <w:szCs w:val="20"/>
                <w:color w:val="auto"/>
              </w:rPr>
            </w:pPr>
            <w:r>
              <w:rPr>
                <w:rFonts w:ascii="Arial" w:cs="Arial" w:eastAsia="Arial" w:hAnsi="Arial"/>
                <w:sz w:val="16"/>
                <w:szCs w:val="16"/>
                <w:color w:val="auto"/>
              </w:rPr>
              <w:t>417,743</w:t>
            </w:r>
          </w:p>
        </w:tc>
        <w:tc>
          <w:tcPr>
            <w:tcW w:w="260" w:type="dxa"/>
            <w:vAlign w:val="bottom"/>
          </w:tcPr>
          <w:p>
            <w:pPr>
              <w:jc w:val="right"/>
              <w:spacing w:after="0"/>
              <w:rPr>
                <w:sz w:val="20"/>
                <w:szCs w:val="20"/>
                <w:color w:val="auto"/>
              </w:rPr>
            </w:pPr>
            <w:r>
              <w:rPr>
                <w:rFonts w:ascii="Arial" w:cs="Arial" w:eastAsia="Arial" w:hAnsi="Arial"/>
                <w:sz w:val="16"/>
                <w:szCs w:val="16"/>
                <w:color w:val="auto"/>
              </w:rPr>
              <w:t>$</w:t>
            </w:r>
          </w:p>
        </w:tc>
        <w:tc>
          <w:tcPr>
            <w:tcW w:w="960" w:type="dxa"/>
            <w:vAlign w:val="bottom"/>
          </w:tcPr>
          <w:p>
            <w:pPr>
              <w:jc w:val="right"/>
              <w:ind w:right="160"/>
              <w:spacing w:after="0"/>
              <w:rPr>
                <w:sz w:val="20"/>
                <w:szCs w:val="20"/>
                <w:color w:val="auto"/>
              </w:rPr>
            </w:pPr>
            <w:r>
              <w:rPr>
                <w:rFonts w:ascii="Arial" w:cs="Arial" w:eastAsia="Arial" w:hAnsi="Arial"/>
                <w:sz w:val="16"/>
                <w:szCs w:val="16"/>
                <w:color w:val="auto"/>
              </w:rPr>
              <w:t>417,743</w:t>
            </w:r>
          </w:p>
        </w:tc>
        <w:tc>
          <w:tcPr>
            <w:tcW w:w="20" w:type="dxa"/>
            <w:vAlign w:val="bottom"/>
          </w:tcPr>
          <w:p>
            <w:pPr>
              <w:spacing w:after="0"/>
              <w:rPr>
                <w:sz w:val="16"/>
                <w:szCs w:val="16"/>
                <w:color w:val="auto"/>
              </w:rPr>
            </w:pPr>
          </w:p>
        </w:tc>
      </w:tr>
      <w:tr>
        <w:trPr>
          <w:trHeight w:val="189"/>
        </w:trPr>
        <w:tc>
          <w:tcPr>
            <w:tcW w:w="4100" w:type="dxa"/>
            <w:vAlign w:val="bottom"/>
            <w:tcBorders>
              <w:right w:val="single" w:sz="8" w:color="auto"/>
            </w:tcBorders>
            <w:shd w:val="clear" w:color="auto" w:fill="CCEEFF"/>
          </w:tcPr>
          <w:p>
            <w:pPr>
              <w:ind w:left="160"/>
              <w:spacing w:after="0" w:line="189" w:lineRule="exact"/>
              <w:rPr>
                <w:sz w:val="20"/>
                <w:szCs w:val="20"/>
                <w:color w:val="auto"/>
              </w:rPr>
            </w:pPr>
            <w:r>
              <w:rPr>
                <w:rFonts w:ascii="Arial" w:cs="Arial" w:eastAsia="Arial" w:hAnsi="Arial"/>
                <w:sz w:val="13"/>
                <w:szCs w:val="13"/>
                <w:color w:val="auto"/>
              </w:rPr>
              <w:t>Retirement Benefits</w:t>
            </w:r>
            <w:r>
              <w:rPr>
                <w:rFonts w:ascii="Arial" w:cs="Arial" w:eastAsia="Arial" w:hAnsi="Arial"/>
                <w:sz w:val="21"/>
                <w:szCs w:val="21"/>
                <w:color w:val="auto"/>
                <w:vertAlign w:val="superscript"/>
              </w:rPr>
              <w:t>(3)</w:t>
            </w:r>
          </w:p>
        </w:tc>
        <w:tc>
          <w:tcPr>
            <w:tcW w:w="180" w:type="dxa"/>
            <w:vAlign w:val="bottom"/>
            <w:shd w:val="clear" w:color="auto" w:fill="CCEEFF"/>
          </w:tcPr>
          <w:p>
            <w:pPr>
              <w:ind w:left="100"/>
              <w:spacing w:after="0"/>
              <w:rPr>
                <w:sz w:val="20"/>
                <w:szCs w:val="20"/>
                <w:color w:val="auto"/>
              </w:rPr>
            </w:pPr>
            <w:r>
              <w:rPr>
                <w:rFonts w:ascii="Arial" w:cs="Arial" w:eastAsia="Arial" w:hAnsi="Arial"/>
                <w:sz w:val="15"/>
                <w:szCs w:val="15"/>
                <w:color w:val="auto"/>
                <w:w w:val="71"/>
              </w:rPr>
              <w:t>$</w:t>
            </w:r>
          </w:p>
        </w:tc>
        <w:tc>
          <w:tcPr>
            <w:tcW w:w="8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0</w:t>
            </w:r>
          </w:p>
        </w:tc>
        <w:tc>
          <w:tcPr>
            <w:tcW w:w="960" w:type="dxa"/>
            <w:vAlign w:val="bottom"/>
            <w:shd w:val="clear" w:color="auto" w:fill="CCEEFF"/>
          </w:tcPr>
          <w:p>
            <w:pPr>
              <w:ind w:left="220"/>
              <w:spacing w:after="0"/>
              <w:rPr>
                <w:sz w:val="20"/>
                <w:szCs w:val="20"/>
                <w:color w:val="auto"/>
              </w:rPr>
            </w:pPr>
            <w:r>
              <w:rPr>
                <w:rFonts w:ascii="Arial" w:cs="Arial" w:eastAsia="Arial" w:hAnsi="Arial"/>
                <w:sz w:val="16"/>
                <w:szCs w:val="16"/>
                <w:color w:val="auto"/>
              </w:rPr>
              <w:t>$</w:t>
            </w:r>
          </w:p>
        </w:tc>
        <w:tc>
          <w:tcPr>
            <w:tcW w:w="280" w:type="dxa"/>
            <w:vAlign w:val="bottom"/>
            <w:shd w:val="clear" w:color="auto" w:fill="CCEEFF"/>
          </w:tcPr>
          <w:p>
            <w:pPr>
              <w:jc w:val="right"/>
              <w:ind w:right="79"/>
              <w:spacing w:after="0"/>
              <w:rPr>
                <w:sz w:val="20"/>
                <w:szCs w:val="20"/>
                <w:color w:val="auto"/>
              </w:rPr>
            </w:pPr>
            <w:r>
              <w:rPr>
                <w:rFonts w:ascii="Arial" w:cs="Arial" w:eastAsia="Arial" w:hAnsi="Arial"/>
                <w:sz w:val="16"/>
                <w:szCs w:val="16"/>
                <w:color w:val="auto"/>
              </w:rPr>
              <w:t>0</w:t>
            </w:r>
          </w:p>
        </w:tc>
        <w:tc>
          <w:tcPr>
            <w:tcW w:w="380" w:type="dxa"/>
            <w:vAlign w:val="bottom"/>
            <w:shd w:val="clear" w:color="auto" w:fill="CCEEFF"/>
          </w:tcPr>
          <w:p>
            <w:pPr>
              <w:spacing w:after="0"/>
              <w:rPr>
                <w:sz w:val="16"/>
                <w:szCs w:val="16"/>
                <w:color w:val="auto"/>
              </w:rPr>
            </w:pPr>
          </w:p>
        </w:tc>
        <w:tc>
          <w:tcPr>
            <w:tcW w:w="900" w:type="dxa"/>
            <w:vAlign w:val="bottom"/>
            <w:shd w:val="clear" w:color="auto" w:fill="CCEEFF"/>
          </w:tcPr>
          <w:p>
            <w:pPr>
              <w:spacing w:after="0"/>
              <w:rPr>
                <w:sz w:val="16"/>
                <w:szCs w:val="16"/>
                <w:color w:val="auto"/>
              </w:rPr>
            </w:pPr>
          </w:p>
        </w:tc>
        <w:tc>
          <w:tcPr>
            <w:tcW w:w="2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880" w:type="dxa"/>
            <w:vAlign w:val="bottom"/>
            <w:shd w:val="clear" w:color="auto" w:fill="CCEEFF"/>
          </w:tcPr>
          <w:p>
            <w:pPr>
              <w:jc w:val="right"/>
              <w:ind w:right="60"/>
              <w:spacing w:after="0"/>
              <w:rPr>
                <w:sz w:val="20"/>
                <w:szCs w:val="20"/>
                <w:color w:val="auto"/>
              </w:rPr>
            </w:pPr>
            <w:r>
              <w:rPr>
                <w:rFonts w:ascii="Arial" w:cs="Arial" w:eastAsia="Arial" w:hAnsi="Arial"/>
                <w:sz w:val="16"/>
                <w:szCs w:val="16"/>
                <w:color w:val="auto"/>
              </w:rPr>
              <w:t>0</w:t>
            </w:r>
          </w:p>
        </w:tc>
        <w:tc>
          <w:tcPr>
            <w:tcW w:w="260" w:type="dxa"/>
            <w:vAlign w:val="bottom"/>
            <w:shd w:val="clear" w:color="auto" w:fill="CCEEFF"/>
          </w:tcPr>
          <w:p>
            <w:pPr>
              <w:ind w:left="160"/>
              <w:spacing w:after="0"/>
              <w:rPr>
                <w:sz w:val="20"/>
                <w:szCs w:val="20"/>
                <w:color w:val="auto"/>
              </w:rPr>
            </w:pPr>
            <w:r>
              <w:rPr>
                <w:rFonts w:ascii="Arial" w:cs="Arial" w:eastAsia="Arial" w:hAnsi="Arial"/>
                <w:sz w:val="16"/>
                <w:szCs w:val="16"/>
                <w:color w:val="auto"/>
                <w:w w:val="89"/>
              </w:rPr>
              <w:t>$</w:t>
            </w:r>
          </w:p>
        </w:tc>
        <w:tc>
          <w:tcPr>
            <w:tcW w:w="1140" w:type="dxa"/>
            <w:vAlign w:val="bottom"/>
            <w:shd w:val="clear" w:color="auto" w:fill="CCEEFF"/>
          </w:tcPr>
          <w:p>
            <w:pPr>
              <w:jc w:val="right"/>
              <w:ind w:right="80"/>
              <w:spacing w:after="0"/>
              <w:rPr>
                <w:sz w:val="20"/>
                <w:szCs w:val="20"/>
                <w:color w:val="auto"/>
              </w:rPr>
            </w:pPr>
            <w:r>
              <w:rPr>
                <w:rFonts w:ascii="Arial" w:cs="Arial" w:eastAsia="Arial" w:hAnsi="Arial"/>
                <w:sz w:val="16"/>
                <w:szCs w:val="16"/>
                <w:color w:val="auto"/>
              </w:rPr>
              <w:t>0</w:t>
            </w:r>
          </w:p>
        </w:tc>
        <w:tc>
          <w:tcPr>
            <w:tcW w:w="2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960" w:type="dxa"/>
            <w:vAlign w:val="bottom"/>
            <w:shd w:val="clear" w:color="auto" w:fill="CCEEFF"/>
          </w:tcPr>
          <w:p>
            <w:pPr>
              <w:jc w:val="right"/>
              <w:ind w:right="160"/>
              <w:spacing w:after="0"/>
              <w:rPr>
                <w:sz w:val="20"/>
                <w:szCs w:val="20"/>
                <w:color w:val="auto"/>
              </w:rPr>
            </w:pPr>
            <w:r>
              <w:rPr>
                <w:rFonts w:ascii="Arial" w:cs="Arial" w:eastAsia="Arial" w:hAnsi="Arial"/>
                <w:sz w:val="16"/>
                <w:szCs w:val="16"/>
                <w:color w:val="auto"/>
              </w:rPr>
              <w:t>495,000</w:t>
            </w:r>
          </w:p>
        </w:tc>
        <w:tc>
          <w:tcPr>
            <w:tcW w:w="20" w:type="dxa"/>
            <w:vAlign w:val="bottom"/>
          </w:tcPr>
          <w:p>
            <w:pPr>
              <w:spacing w:after="0"/>
              <w:rPr>
                <w:sz w:val="16"/>
                <w:szCs w:val="16"/>
                <w:color w:val="auto"/>
              </w:rPr>
            </w:pPr>
          </w:p>
        </w:tc>
      </w:tr>
      <w:tr>
        <w:trPr>
          <w:trHeight w:val="189"/>
        </w:trPr>
        <w:tc>
          <w:tcPr>
            <w:tcW w:w="4100" w:type="dxa"/>
            <w:vAlign w:val="bottom"/>
            <w:tcBorders>
              <w:right w:val="single" w:sz="8" w:color="auto"/>
            </w:tcBorders>
          </w:tcPr>
          <w:p>
            <w:pPr>
              <w:ind w:left="160"/>
              <w:spacing w:after="0" w:line="189" w:lineRule="exact"/>
              <w:rPr>
                <w:sz w:val="20"/>
                <w:szCs w:val="20"/>
                <w:color w:val="auto"/>
              </w:rPr>
            </w:pPr>
            <w:r>
              <w:rPr>
                <w:rFonts w:ascii="Arial" w:cs="Arial" w:eastAsia="Arial" w:hAnsi="Arial"/>
                <w:sz w:val="13"/>
                <w:szCs w:val="13"/>
                <w:color w:val="auto"/>
              </w:rPr>
              <w:t>Other Benefits</w:t>
            </w:r>
            <w:r>
              <w:rPr>
                <w:rFonts w:ascii="Arial" w:cs="Arial" w:eastAsia="Arial" w:hAnsi="Arial"/>
                <w:sz w:val="21"/>
                <w:szCs w:val="21"/>
                <w:color w:val="auto"/>
                <w:vertAlign w:val="superscript"/>
              </w:rPr>
              <w:t>(4)</w:t>
            </w:r>
          </w:p>
        </w:tc>
        <w:tc>
          <w:tcPr>
            <w:tcW w:w="180" w:type="dxa"/>
            <w:vAlign w:val="bottom"/>
          </w:tcPr>
          <w:p>
            <w:pPr>
              <w:ind w:left="100"/>
              <w:spacing w:after="0"/>
              <w:rPr>
                <w:sz w:val="20"/>
                <w:szCs w:val="20"/>
                <w:color w:val="auto"/>
              </w:rPr>
            </w:pPr>
            <w:r>
              <w:rPr>
                <w:rFonts w:ascii="Arial" w:cs="Arial" w:eastAsia="Arial" w:hAnsi="Arial"/>
                <w:sz w:val="15"/>
                <w:szCs w:val="15"/>
                <w:color w:val="auto"/>
                <w:w w:val="71"/>
              </w:rPr>
              <w:t>$</w:t>
            </w:r>
          </w:p>
        </w:tc>
        <w:tc>
          <w:tcPr>
            <w:tcW w:w="880" w:type="dxa"/>
            <w:vAlign w:val="bottom"/>
          </w:tcPr>
          <w:p>
            <w:pPr>
              <w:jc w:val="right"/>
              <w:spacing w:after="0"/>
              <w:rPr>
                <w:sz w:val="20"/>
                <w:szCs w:val="20"/>
                <w:color w:val="auto"/>
              </w:rPr>
            </w:pPr>
            <w:r>
              <w:rPr>
                <w:rFonts w:ascii="Arial" w:cs="Arial" w:eastAsia="Arial" w:hAnsi="Arial"/>
                <w:sz w:val="16"/>
                <w:szCs w:val="16"/>
                <w:color w:val="auto"/>
              </w:rPr>
              <w:t>0</w:t>
            </w:r>
          </w:p>
        </w:tc>
        <w:tc>
          <w:tcPr>
            <w:tcW w:w="960" w:type="dxa"/>
            <w:vAlign w:val="bottom"/>
          </w:tcPr>
          <w:p>
            <w:pPr>
              <w:ind w:left="220"/>
              <w:spacing w:after="0"/>
              <w:rPr>
                <w:sz w:val="20"/>
                <w:szCs w:val="20"/>
                <w:color w:val="auto"/>
              </w:rPr>
            </w:pPr>
            <w:r>
              <w:rPr>
                <w:rFonts w:ascii="Arial" w:cs="Arial" w:eastAsia="Arial" w:hAnsi="Arial"/>
                <w:sz w:val="16"/>
                <w:szCs w:val="16"/>
                <w:color w:val="auto"/>
              </w:rPr>
              <w:t>$</w:t>
            </w:r>
          </w:p>
        </w:tc>
        <w:tc>
          <w:tcPr>
            <w:tcW w:w="280" w:type="dxa"/>
            <w:vAlign w:val="bottom"/>
          </w:tcPr>
          <w:p>
            <w:pPr>
              <w:jc w:val="right"/>
              <w:ind w:right="79"/>
              <w:spacing w:after="0"/>
              <w:rPr>
                <w:sz w:val="20"/>
                <w:szCs w:val="20"/>
                <w:color w:val="auto"/>
              </w:rPr>
            </w:pPr>
            <w:r>
              <w:rPr>
                <w:rFonts w:ascii="Arial" w:cs="Arial" w:eastAsia="Arial" w:hAnsi="Arial"/>
                <w:sz w:val="16"/>
                <w:szCs w:val="16"/>
                <w:color w:val="auto"/>
              </w:rPr>
              <w:t>0</w:t>
            </w:r>
          </w:p>
        </w:tc>
        <w:tc>
          <w:tcPr>
            <w:tcW w:w="380" w:type="dxa"/>
            <w:vAlign w:val="bottom"/>
          </w:tcPr>
          <w:p>
            <w:pPr>
              <w:spacing w:after="0"/>
              <w:rPr>
                <w:sz w:val="16"/>
                <w:szCs w:val="16"/>
                <w:color w:val="auto"/>
              </w:rPr>
            </w:pPr>
          </w:p>
        </w:tc>
        <w:tc>
          <w:tcPr>
            <w:tcW w:w="900" w:type="dxa"/>
            <w:vAlign w:val="bottom"/>
          </w:tcPr>
          <w:p>
            <w:pPr>
              <w:spacing w:after="0"/>
              <w:rPr>
                <w:sz w:val="16"/>
                <w:szCs w:val="16"/>
                <w:color w:val="auto"/>
              </w:rPr>
            </w:pPr>
          </w:p>
        </w:tc>
        <w:tc>
          <w:tcPr>
            <w:tcW w:w="240" w:type="dxa"/>
            <w:vAlign w:val="bottom"/>
          </w:tcPr>
          <w:p>
            <w:pPr>
              <w:jc w:val="right"/>
              <w:spacing w:after="0"/>
              <w:rPr>
                <w:sz w:val="20"/>
                <w:szCs w:val="20"/>
                <w:color w:val="auto"/>
              </w:rPr>
            </w:pPr>
            <w:r>
              <w:rPr>
                <w:rFonts w:ascii="Arial" w:cs="Arial" w:eastAsia="Arial" w:hAnsi="Arial"/>
                <w:sz w:val="16"/>
                <w:szCs w:val="16"/>
                <w:color w:val="auto"/>
              </w:rPr>
              <w:t>$</w:t>
            </w:r>
          </w:p>
        </w:tc>
        <w:tc>
          <w:tcPr>
            <w:tcW w:w="880" w:type="dxa"/>
            <w:vAlign w:val="bottom"/>
          </w:tcPr>
          <w:p>
            <w:pPr>
              <w:jc w:val="right"/>
              <w:ind w:right="60"/>
              <w:spacing w:after="0"/>
              <w:rPr>
                <w:sz w:val="20"/>
                <w:szCs w:val="20"/>
                <w:color w:val="auto"/>
              </w:rPr>
            </w:pPr>
            <w:r>
              <w:rPr>
                <w:rFonts w:ascii="Arial" w:cs="Arial" w:eastAsia="Arial" w:hAnsi="Arial"/>
                <w:sz w:val="16"/>
                <w:szCs w:val="16"/>
                <w:color w:val="auto"/>
              </w:rPr>
              <w:t>600,000</w:t>
            </w:r>
          </w:p>
        </w:tc>
        <w:tc>
          <w:tcPr>
            <w:tcW w:w="260" w:type="dxa"/>
            <w:vAlign w:val="bottom"/>
          </w:tcPr>
          <w:p>
            <w:pPr>
              <w:ind w:left="160"/>
              <w:spacing w:after="0"/>
              <w:rPr>
                <w:sz w:val="20"/>
                <w:szCs w:val="20"/>
                <w:color w:val="auto"/>
              </w:rPr>
            </w:pPr>
            <w:r>
              <w:rPr>
                <w:rFonts w:ascii="Arial" w:cs="Arial" w:eastAsia="Arial" w:hAnsi="Arial"/>
                <w:sz w:val="16"/>
                <w:szCs w:val="16"/>
                <w:color w:val="auto"/>
                <w:w w:val="89"/>
              </w:rPr>
              <w:t>$</w:t>
            </w:r>
          </w:p>
        </w:tc>
        <w:tc>
          <w:tcPr>
            <w:tcW w:w="1140" w:type="dxa"/>
            <w:vAlign w:val="bottom"/>
          </w:tcPr>
          <w:p>
            <w:pPr>
              <w:jc w:val="right"/>
              <w:ind w:right="80"/>
              <w:spacing w:after="0"/>
              <w:rPr>
                <w:sz w:val="20"/>
                <w:szCs w:val="20"/>
                <w:color w:val="auto"/>
              </w:rPr>
            </w:pPr>
            <w:r>
              <w:rPr>
                <w:rFonts w:ascii="Arial" w:cs="Arial" w:eastAsia="Arial" w:hAnsi="Arial"/>
                <w:sz w:val="16"/>
                <w:szCs w:val="16"/>
                <w:color w:val="auto"/>
              </w:rPr>
              <w:t>50,000</w:t>
            </w:r>
          </w:p>
        </w:tc>
        <w:tc>
          <w:tcPr>
            <w:tcW w:w="260" w:type="dxa"/>
            <w:vAlign w:val="bottom"/>
          </w:tcPr>
          <w:p>
            <w:pPr>
              <w:jc w:val="right"/>
              <w:spacing w:after="0"/>
              <w:rPr>
                <w:sz w:val="20"/>
                <w:szCs w:val="20"/>
                <w:color w:val="auto"/>
              </w:rPr>
            </w:pPr>
            <w:r>
              <w:rPr>
                <w:rFonts w:ascii="Arial" w:cs="Arial" w:eastAsia="Arial" w:hAnsi="Arial"/>
                <w:sz w:val="16"/>
                <w:szCs w:val="16"/>
                <w:color w:val="auto"/>
              </w:rPr>
              <w:t>$</w:t>
            </w:r>
          </w:p>
        </w:tc>
        <w:tc>
          <w:tcPr>
            <w:tcW w:w="960" w:type="dxa"/>
            <w:vAlign w:val="bottom"/>
          </w:tcPr>
          <w:p>
            <w:pPr>
              <w:jc w:val="right"/>
              <w:ind w:right="160"/>
              <w:spacing w:after="0"/>
              <w:rPr>
                <w:sz w:val="20"/>
                <w:szCs w:val="20"/>
                <w:color w:val="auto"/>
              </w:rPr>
            </w:pPr>
            <w:r>
              <w:rPr>
                <w:rFonts w:ascii="Arial" w:cs="Arial" w:eastAsia="Arial" w:hAnsi="Arial"/>
                <w:sz w:val="16"/>
                <w:szCs w:val="16"/>
                <w:color w:val="auto"/>
              </w:rPr>
              <w:t>65,000</w:t>
            </w:r>
          </w:p>
        </w:tc>
        <w:tc>
          <w:tcPr>
            <w:tcW w:w="20" w:type="dxa"/>
            <w:vAlign w:val="bottom"/>
          </w:tcPr>
          <w:p>
            <w:pPr>
              <w:spacing w:after="0"/>
              <w:rPr>
                <w:sz w:val="16"/>
                <w:szCs w:val="16"/>
                <w:color w:val="auto"/>
              </w:rPr>
            </w:pPr>
          </w:p>
        </w:tc>
      </w:tr>
      <w:tr>
        <w:trPr>
          <w:trHeight w:val="189"/>
        </w:trPr>
        <w:tc>
          <w:tcPr>
            <w:tcW w:w="4100" w:type="dxa"/>
            <w:vAlign w:val="bottom"/>
            <w:tcBorders>
              <w:right w:val="single" w:sz="8" w:color="auto"/>
            </w:tcBorders>
            <w:shd w:val="clear" w:color="auto" w:fill="CCEEFF"/>
          </w:tcPr>
          <w:p>
            <w:pPr>
              <w:ind w:left="160"/>
              <w:spacing w:after="0" w:line="189" w:lineRule="exact"/>
              <w:rPr>
                <w:sz w:val="20"/>
                <w:szCs w:val="20"/>
                <w:color w:val="auto"/>
              </w:rPr>
            </w:pPr>
            <w:r>
              <w:rPr>
                <w:rFonts w:ascii="Arial" w:cs="Arial" w:eastAsia="Arial" w:hAnsi="Arial"/>
                <w:sz w:val="13"/>
                <w:szCs w:val="13"/>
                <w:color w:val="auto"/>
              </w:rPr>
              <w:t>Excise Tax Gross-Up</w:t>
            </w:r>
            <w:r>
              <w:rPr>
                <w:rFonts w:ascii="Arial" w:cs="Arial" w:eastAsia="Arial" w:hAnsi="Arial"/>
                <w:sz w:val="21"/>
                <w:szCs w:val="21"/>
                <w:color w:val="auto"/>
                <w:vertAlign w:val="superscript"/>
              </w:rPr>
              <w:t>(5)</w:t>
            </w:r>
          </w:p>
        </w:tc>
        <w:tc>
          <w:tcPr>
            <w:tcW w:w="180" w:type="dxa"/>
            <w:vAlign w:val="bottom"/>
            <w:shd w:val="clear" w:color="auto" w:fill="CCEEFF"/>
          </w:tcPr>
          <w:p>
            <w:pPr>
              <w:spacing w:after="0"/>
              <w:rPr>
                <w:sz w:val="16"/>
                <w:szCs w:val="16"/>
                <w:color w:val="auto"/>
              </w:rPr>
            </w:pPr>
          </w:p>
        </w:tc>
        <w:tc>
          <w:tcPr>
            <w:tcW w:w="880" w:type="dxa"/>
            <w:vAlign w:val="bottom"/>
            <w:shd w:val="clear" w:color="auto" w:fill="CCEEFF"/>
          </w:tcPr>
          <w:p>
            <w:pPr>
              <w:spacing w:after="0"/>
              <w:rPr>
                <w:sz w:val="16"/>
                <w:szCs w:val="16"/>
                <w:color w:val="auto"/>
              </w:rPr>
            </w:pPr>
          </w:p>
        </w:tc>
        <w:tc>
          <w:tcPr>
            <w:tcW w:w="960" w:type="dxa"/>
            <w:vAlign w:val="bottom"/>
            <w:shd w:val="clear" w:color="auto" w:fill="CCEEFF"/>
          </w:tcPr>
          <w:p>
            <w:pPr>
              <w:spacing w:after="0"/>
              <w:rPr>
                <w:sz w:val="16"/>
                <w:szCs w:val="16"/>
                <w:color w:val="auto"/>
              </w:rPr>
            </w:pPr>
          </w:p>
        </w:tc>
        <w:tc>
          <w:tcPr>
            <w:tcW w:w="280" w:type="dxa"/>
            <w:vAlign w:val="bottom"/>
            <w:shd w:val="clear" w:color="auto" w:fill="CCEEFF"/>
          </w:tcPr>
          <w:p>
            <w:pPr>
              <w:spacing w:after="0"/>
              <w:rPr>
                <w:sz w:val="16"/>
                <w:szCs w:val="16"/>
                <w:color w:val="auto"/>
              </w:rPr>
            </w:pPr>
          </w:p>
        </w:tc>
        <w:tc>
          <w:tcPr>
            <w:tcW w:w="380" w:type="dxa"/>
            <w:vAlign w:val="bottom"/>
            <w:shd w:val="clear" w:color="auto" w:fill="CCEEFF"/>
          </w:tcPr>
          <w:p>
            <w:pPr>
              <w:spacing w:after="0"/>
              <w:rPr>
                <w:sz w:val="16"/>
                <w:szCs w:val="16"/>
                <w:color w:val="auto"/>
              </w:rPr>
            </w:pPr>
          </w:p>
        </w:tc>
        <w:tc>
          <w:tcPr>
            <w:tcW w:w="900" w:type="dxa"/>
            <w:vAlign w:val="bottom"/>
            <w:shd w:val="clear" w:color="auto" w:fill="CCEEFF"/>
          </w:tcPr>
          <w:p>
            <w:pPr>
              <w:spacing w:after="0"/>
              <w:rPr>
                <w:sz w:val="16"/>
                <w:szCs w:val="16"/>
                <w:color w:val="auto"/>
              </w:rPr>
            </w:pPr>
          </w:p>
        </w:tc>
        <w:tc>
          <w:tcPr>
            <w:tcW w:w="240" w:type="dxa"/>
            <w:vAlign w:val="bottom"/>
            <w:shd w:val="clear" w:color="auto" w:fill="CCEEFF"/>
          </w:tcPr>
          <w:p>
            <w:pPr>
              <w:spacing w:after="0"/>
              <w:rPr>
                <w:sz w:val="16"/>
                <w:szCs w:val="16"/>
                <w:color w:val="auto"/>
              </w:rPr>
            </w:pPr>
          </w:p>
        </w:tc>
        <w:tc>
          <w:tcPr>
            <w:tcW w:w="880" w:type="dxa"/>
            <w:vAlign w:val="bottom"/>
            <w:shd w:val="clear" w:color="auto" w:fill="CCEEFF"/>
          </w:tcPr>
          <w:p>
            <w:pPr>
              <w:spacing w:after="0"/>
              <w:rPr>
                <w:sz w:val="16"/>
                <w:szCs w:val="16"/>
                <w:color w:val="auto"/>
              </w:rPr>
            </w:pPr>
          </w:p>
        </w:tc>
        <w:tc>
          <w:tcPr>
            <w:tcW w:w="260" w:type="dxa"/>
            <w:vAlign w:val="bottom"/>
            <w:shd w:val="clear" w:color="auto" w:fill="CCEEFF"/>
          </w:tcPr>
          <w:p>
            <w:pPr>
              <w:spacing w:after="0"/>
              <w:rPr>
                <w:sz w:val="16"/>
                <w:szCs w:val="16"/>
                <w:color w:val="auto"/>
              </w:rPr>
            </w:pPr>
          </w:p>
        </w:tc>
        <w:tc>
          <w:tcPr>
            <w:tcW w:w="1140" w:type="dxa"/>
            <w:vAlign w:val="bottom"/>
            <w:shd w:val="clear" w:color="auto" w:fill="CCEEFF"/>
          </w:tcPr>
          <w:p>
            <w:pPr>
              <w:spacing w:after="0"/>
              <w:rPr>
                <w:sz w:val="16"/>
                <w:szCs w:val="16"/>
                <w:color w:val="auto"/>
              </w:rPr>
            </w:pPr>
          </w:p>
        </w:tc>
        <w:tc>
          <w:tcPr>
            <w:tcW w:w="2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960" w:type="dxa"/>
            <w:vAlign w:val="bottom"/>
            <w:shd w:val="clear" w:color="auto" w:fill="CCEEFF"/>
          </w:tcPr>
          <w:p>
            <w:pPr>
              <w:jc w:val="right"/>
              <w:ind w:right="160"/>
              <w:spacing w:after="0"/>
              <w:rPr>
                <w:sz w:val="20"/>
                <w:szCs w:val="20"/>
                <w:color w:val="auto"/>
              </w:rPr>
            </w:pPr>
            <w:r>
              <w:rPr>
                <w:rFonts w:ascii="Arial" w:cs="Arial" w:eastAsia="Arial" w:hAnsi="Arial"/>
                <w:sz w:val="16"/>
                <w:szCs w:val="16"/>
                <w:color w:val="auto"/>
              </w:rPr>
              <w:t>0</w:t>
            </w:r>
          </w:p>
        </w:tc>
        <w:tc>
          <w:tcPr>
            <w:tcW w:w="20" w:type="dxa"/>
            <w:vAlign w:val="bottom"/>
          </w:tcPr>
          <w:p>
            <w:pPr>
              <w:spacing w:after="0"/>
              <w:rPr>
                <w:sz w:val="16"/>
                <w:szCs w:val="16"/>
                <w:color w:val="auto"/>
              </w:rPr>
            </w:pPr>
          </w:p>
        </w:tc>
      </w:tr>
      <w:tr>
        <w:trPr>
          <w:trHeight w:val="189"/>
        </w:trPr>
        <w:tc>
          <w:tcPr>
            <w:tcW w:w="4100" w:type="dxa"/>
            <w:vAlign w:val="bottom"/>
            <w:tcBorders>
              <w:bottom w:val="single" w:sz="8" w:color="auto"/>
              <w:right w:val="single" w:sz="8" w:color="auto"/>
            </w:tcBorders>
          </w:tcPr>
          <w:p>
            <w:pPr>
              <w:ind w:left="160"/>
              <w:spacing w:after="0"/>
              <w:rPr>
                <w:sz w:val="20"/>
                <w:szCs w:val="20"/>
                <w:color w:val="auto"/>
              </w:rPr>
            </w:pPr>
            <w:r>
              <w:rPr>
                <w:rFonts w:ascii="Arial" w:cs="Arial" w:eastAsia="Arial" w:hAnsi="Arial"/>
                <w:sz w:val="16"/>
                <w:szCs w:val="16"/>
                <w:color w:val="auto"/>
              </w:rPr>
              <w:t>Total</w:t>
            </w:r>
          </w:p>
        </w:tc>
        <w:tc>
          <w:tcPr>
            <w:tcW w:w="180" w:type="dxa"/>
            <w:vAlign w:val="bottom"/>
            <w:tcBorders>
              <w:bottom w:val="single" w:sz="8" w:color="auto"/>
            </w:tcBorders>
          </w:tcPr>
          <w:p>
            <w:pPr>
              <w:ind w:left="100"/>
              <w:spacing w:after="0"/>
              <w:rPr>
                <w:sz w:val="20"/>
                <w:szCs w:val="20"/>
                <w:color w:val="auto"/>
              </w:rPr>
            </w:pPr>
            <w:r>
              <w:rPr>
                <w:rFonts w:ascii="Arial" w:cs="Arial" w:eastAsia="Arial" w:hAnsi="Arial"/>
                <w:sz w:val="15"/>
                <w:szCs w:val="15"/>
                <w:color w:val="auto"/>
                <w:w w:val="71"/>
              </w:rPr>
              <w:t>$</w:t>
            </w: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0</w:t>
            </w:r>
          </w:p>
        </w:tc>
        <w:tc>
          <w:tcPr>
            <w:tcW w:w="960" w:type="dxa"/>
            <w:vAlign w:val="bottom"/>
            <w:tcBorders>
              <w:bottom w:val="single" w:sz="8" w:color="auto"/>
            </w:tcBorders>
          </w:tcPr>
          <w:p>
            <w:pPr>
              <w:ind w:left="220"/>
              <w:spacing w:after="0"/>
              <w:rPr>
                <w:sz w:val="20"/>
                <w:szCs w:val="20"/>
                <w:color w:val="auto"/>
              </w:rPr>
            </w:pPr>
            <w:r>
              <w:rPr>
                <w:rFonts w:ascii="Arial" w:cs="Arial" w:eastAsia="Arial" w:hAnsi="Arial"/>
                <w:sz w:val="16"/>
                <w:szCs w:val="16"/>
                <w:color w:val="auto"/>
              </w:rPr>
              <w:t>$</w:t>
            </w:r>
          </w:p>
        </w:tc>
        <w:tc>
          <w:tcPr>
            <w:tcW w:w="280" w:type="dxa"/>
            <w:vAlign w:val="bottom"/>
            <w:tcBorders>
              <w:bottom w:val="single" w:sz="8" w:color="auto"/>
            </w:tcBorders>
          </w:tcPr>
          <w:p>
            <w:pPr>
              <w:jc w:val="right"/>
              <w:ind w:right="79"/>
              <w:spacing w:after="0"/>
              <w:rPr>
                <w:sz w:val="20"/>
                <w:szCs w:val="20"/>
                <w:color w:val="auto"/>
              </w:rPr>
            </w:pPr>
            <w:r>
              <w:rPr>
                <w:rFonts w:ascii="Arial" w:cs="Arial" w:eastAsia="Arial" w:hAnsi="Arial"/>
                <w:sz w:val="16"/>
                <w:szCs w:val="16"/>
                <w:color w:val="auto"/>
              </w:rPr>
              <w:t>0</w:t>
            </w:r>
          </w:p>
        </w:tc>
        <w:tc>
          <w:tcPr>
            <w:tcW w:w="380" w:type="dxa"/>
            <w:vAlign w:val="bottom"/>
            <w:tcBorders>
              <w:bottom w:val="single" w:sz="8" w:color="auto"/>
            </w:tcBorders>
          </w:tcPr>
          <w:p>
            <w:pPr>
              <w:ind w:left="160"/>
              <w:spacing w:after="0"/>
              <w:rPr>
                <w:sz w:val="20"/>
                <w:szCs w:val="20"/>
                <w:color w:val="auto"/>
              </w:rPr>
            </w:pPr>
            <w:r>
              <w:rPr>
                <w:rFonts w:ascii="Arial" w:cs="Arial" w:eastAsia="Arial" w:hAnsi="Arial"/>
                <w:sz w:val="16"/>
                <w:szCs w:val="16"/>
                <w:color w:val="auto"/>
              </w:rPr>
              <w:t>$</w:t>
            </w:r>
          </w:p>
        </w:tc>
        <w:tc>
          <w:tcPr>
            <w:tcW w:w="900" w:type="dxa"/>
            <w:vAlign w:val="bottom"/>
            <w:tcBorders>
              <w:bottom w:val="single" w:sz="8" w:color="auto"/>
            </w:tcBorders>
          </w:tcPr>
          <w:p>
            <w:pPr>
              <w:jc w:val="right"/>
              <w:ind w:right="79"/>
              <w:spacing w:after="0"/>
              <w:rPr>
                <w:sz w:val="20"/>
                <w:szCs w:val="20"/>
                <w:color w:val="auto"/>
              </w:rPr>
            </w:pPr>
            <w:r>
              <w:rPr>
                <w:rFonts w:ascii="Arial" w:cs="Arial" w:eastAsia="Arial" w:hAnsi="Arial"/>
                <w:sz w:val="16"/>
                <w:szCs w:val="16"/>
                <w:color w:val="auto"/>
              </w:rPr>
              <w:t>0</w:t>
            </w:r>
          </w:p>
        </w:tc>
        <w:tc>
          <w:tcPr>
            <w:tcW w:w="2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880" w:type="dxa"/>
            <w:vAlign w:val="bottom"/>
            <w:tcBorders>
              <w:bottom w:val="single" w:sz="8" w:color="auto"/>
            </w:tcBorders>
          </w:tcPr>
          <w:p>
            <w:pPr>
              <w:jc w:val="right"/>
              <w:ind w:right="60"/>
              <w:spacing w:after="0"/>
              <w:rPr>
                <w:sz w:val="20"/>
                <w:szCs w:val="20"/>
                <w:color w:val="auto"/>
              </w:rPr>
            </w:pPr>
            <w:r>
              <w:rPr>
                <w:rFonts w:ascii="Arial" w:cs="Arial" w:eastAsia="Arial" w:hAnsi="Arial"/>
                <w:sz w:val="16"/>
                <w:szCs w:val="16"/>
                <w:color w:val="auto"/>
              </w:rPr>
              <w:t>1,017,743</w:t>
            </w:r>
          </w:p>
        </w:tc>
        <w:tc>
          <w:tcPr>
            <w:tcW w:w="260" w:type="dxa"/>
            <w:vAlign w:val="bottom"/>
            <w:tcBorders>
              <w:bottom w:val="single" w:sz="8" w:color="auto"/>
            </w:tcBorders>
          </w:tcPr>
          <w:p>
            <w:pPr>
              <w:ind w:left="160"/>
              <w:spacing w:after="0"/>
              <w:rPr>
                <w:sz w:val="20"/>
                <w:szCs w:val="20"/>
                <w:color w:val="auto"/>
              </w:rPr>
            </w:pPr>
            <w:r>
              <w:rPr>
                <w:rFonts w:ascii="Arial" w:cs="Arial" w:eastAsia="Arial" w:hAnsi="Arial"/>
                <w:sz w:val="16"/>
                <w:szCs w:val="16"/>
                <w:color w:val="auto"/>
                <w:w w:val="89"/>
              </w:rPr>
              <w:t>$</w:t>
            </w:r>
          </w:p>
        </w:tc>
        <w:tc>
          <w:tcPr>
            <w:tcW w:w="1140" w:type="dxa"/>
            <w:vAlign w:val="bottom"/>
            <w:tcBorders>
              <w:bottom w:val="single" w:sz="8" w:color="auto"/>
            </w:tcBorders>
          </w:tcPr>
          <w:p>
            <w:pPr>
              <w:jc w:val="right"/>
              <w:ind w:right="80"/>
              <w:spacing w:after="0"/>
              <w:rPr>
                <w:sz w:val="20"/>
                <w:szCs w:val="20"/>
                <w:color w:val="auto"/>
              </w:rPr>
            </w:pPr>
            <w:r>
              <w:rPr>
                <w:rFonts w:ascii="Arial" w:cs="Arial" w:eastAsia="Arial" w:hAnsi="Arial"/>
                <w:sz w:val="16"/>
                <w:szCs w:val="16"/>
                <w:color w:val="auto"/>
              </w:rPr>
              <w:t>4,274,623</w:t>
            </w:r>
          </w:p>
        </w:tc>
        <w:tc>
          <w:tcPr>
            <w:tcW w:w="1220" w:type="dxa"/>
            <w:vAlign w:val="bottom"/>
            <w:tcBorders>
              <w:bottom w:val="single" w:sz="8" w:color="auto"/>
            </w:tcBorders>
            <w:gridSpan w:val="2"/>
          </w:tcPr>
          <w:p>
            <w:pPr>
              <w:jc w:val="right"/>
              <w:ind w:right="160"/>
              <w:spacing w:after="0"/>
              <w:rPr>
                <w:sz w:val="20"/>
                <w:szCs w:val="20"/>
                <w:color w:val="auto"/>
              </w:rPr>
            </w:pPr>
            <w:r>
              <w:rPr>
                <w:rFonts w:ascii="Arial" w:cs="Arial" w:eastAsia="Arial" w:hAnsi="Arial"/>
                <w:sz w:val="16"/>
                <w:szCs w:val="16"/>
                <w:color w:val="auto"/>
              </w:rPr>
              <w:t>$6,688,063</w:t>
            </w:r>
          </w:p>
        </w:tc>
        <w:tc>
          <w:tcPr>
            <w:tcW w:w="20" w:type="dxa"/>
            <w:vAlign w:val="bottom"/>
            <w:tcBorders>
              <w:bottom w:val="single" w:sz="8" w:color="auto"/>
            </w:tcBorders>
          </w:tcPr>
          <w:p>
            <w:pPr>
              <w:spacing w:after="0"/>
              <w:rPr>
                <w:sz w:val="16"/>
                <w:szCs w:val="16"/>
                <w:color w:val="auto"/>
              </w:rPr>
            </w:pPr>
          </w:p>
        </w:tc>
      </w:tr>
      <w:tr>
        <w:trPr>
          <w:trHeight w:val="156"/>
        </w:trPr>
        <w:tc>
          <w:tcPr>
            <w:tcW w:w="4100" w:type="dxa"/>
            <w:vAlign w:val="bottom"/>
            <w:tcBorders>
              <w:bottom w:val="single" w:sz="8" w:color="auto"/>
            </w:tcBorders>
          </w:tcPr>
          <w:p>
            <w:pPr>
              <w:spacing w:after="0"/>
              <w:rPr>
                <w:sz w:val="13"/>
                <w:szCs w:val="13"/>
                <w:color w:val="auto"/>
              </w:rPr>
            </w:pPr>
          </w:p>
        </w:tc>
        <w:tc>
          <w:tcPr>
            <w:tcW w:w="180" w:type="dxa"/>
            <w:vAlign w:val="bottom"/>
            <w:tcBorders>
              <w:bottom w:val="single" w:sz="8" w:color="auto"/>
            </w:tcBorders>
          </w:tcPr>
          <w:p>
            <w:pPr>
              <w:spacing w:after="0"/>
              <w:rPr>
                <w:sz w:val="13"/>
                <w:szCs w:val="13"/>
                <w:color w:val="auto"/>
              </w:rPr>
            </w:pPr>
          </w:p>
        </w:tc>
        <w:tc>
          <w:tcPr>
            <w:tcW w:w="880" w:type="dxa"/>
            <w:vAlign w:val="bottom"/>
            <w:tcBorders>
              <w:bottom w:val="single" w:sz="8" w:color="auto"/>
            </w:tcBorders>
          </w:tcPr>
          <w:p>
            <w:pPr>
              <w:spacing w:after="0"/>
              <w:rPr>
                <w:sz w:val="13"/>
                <w:szCs w:val="13"/>
                <w:color w:val="auto"/>
              </w:rPr>
            </w:pPr>
          </w:p>
        </w:tc>
        <w:tc>
          <w:tcPr>
            <w:tcW w:w="960" w:type="dxa"/>
            <w:vAlign w:val="bottom"/>
            <w:tcBorders>
              <w:bottom w:val="single" w:sz="8" w:color="auto"/>
            </w:tcBorders>
          </w:tcPr>
          <w:p>
            <w:pPr>
              <w:jc w:val="center"/>
              <w:spacing w:after="0" w:line="156" w:lineRule="exact"/>
              <w:rPr>
                <w:sz w:val="20"/>
                <w:szCs w:val="20"/>
                <w:color w:val="auto"/>
              </w:rPr>
            </w:pPr>
            <w:r>
              <w:rPr>
                <w:rFonts w:ascii="Arial" w:cs="Arial" w:eastAsia="Arial" w:hAnsi="Arial"/>
                <w:sz w:val="15"/>
                <w:szCs w:val="15"/>
                <w:b w:val="1"/>
                <w:bCs w:val="1"/>
                <w:color w:val="auto"/>
                <w:w w:val="99"/>
              </w:rPr>
              <w:t>Mr. Holding</w:t>
            </w:r>
          </w:p>
        </w:tc>
        <w:tc>
          <w:tcPr>
            <w:tcW w:w="280" w:type="dxa"/>
            <w:vAlign w:val="bottom"/>
            <w:tcBorders>
              <w:bottom w:val="single" w:sz="8" w:color="auto"/>
            </w:tcBorders>
          </w:tcPr>
          <w:p>
            <w:pPr>
              <w:spacing w:after="0"/>
              <w:rPr>
                <w:sz w:val="13"/>
                <w:szCs w:val="13"/>
                <w:color w:val="auto"/>
              </w:rPr>
            </w:pPr>
          </w:p>
        </w:tc>
        <w:tc>
          <w:tcPr>
            <w:tcW w:w="380" w:type="dxa"/>
            <w:vAlign w:val="bottom"/>
            <w:tcBorders>
              <w:bottom w:val="single" w:sz="8" w:color="auto"/>
            </w:tcBorders>
          </w:tcPr>
          <w:p>
            <w:pPr>
              <w:spacing w:after="0"/>
              <w:rPr>
                <w:sz w:val="13"/>
                <w:szCs w:val="13"/>
                <w:color w:val="auto"/>
              </w:rPr>
            </w:pPr>
          </w:p>
        </w:tc>
        <w:tc>
          <w:tcPr>
            <w:tcW w:w="900" w:type="dxa"/>
            <w:vAlign w:val="bottom"/>
            <w:tcBorders>
              <w:bottom w:val="single" w:sz="8" w:color="auto"/>
            </w:tcBorders>
          </w:tcPr>
          <w:p>
            <w:pPr>
              <w:spacing w:after="0"/>
              <w:rPr>
                <w:sz w:val="13"/>
                <w:szCs w:val="13"/>
                <w:color w:val="auto"/>
              </w:rPr>
            </w:pPr>
          </w:p>
        </w:tc>
        <w:tc>
          <w:tcPr>
            <w:tcW w:w="240" w:type="dxa"/>
            <w:vAlign w:val="bottom"/>
            <w:tcBorders>
              <w:bottom w:val="single" w:sz="8" w:color="auto"/>
            </w:tcBorders>
          </w:tcPr>
          <w:p>
            <w:pPr>
              <w:spacing w:after="0"/>
              <w:rPr>
                <w:sz w:val="13"/>
                <w:szCs w:val="13"/>
                <w:color w:val="auto"/>
              </w:rPr>
            </w:pPr>
          </w:p>
        </w:tc>
        <w:tc>
          <w:tcPr>
            <w:tcW w:w="880" w:type="dxa"/>
            <w:vAlign w:val="bottom"/>
            <w:tcBorders>
              <w:bottom w:val="single" w:sz="8" w:color="auto"/>
            </w:tcBorders>
          </w:tcPr>
          <w:p>
            <w:pPr>
              <w:spacing w:after="0"/>
              <w:rPr>
                <w:sz w:val="13"/>
                <w:szCs w:val="13"/>
                <w:color w:val="auto"/>
              </w:rPr>
            </w:pPr>
          </w:p>
        </w:tc>
        <w:tc>
          <w:tcPr>
            <w:tcW w:w="260" w:type="dxa"/>
            <w:vAlign w:val="bottom"/>
            <w:tcBorders>
              <w:bottom w:val="single" w:sz="8" w:color="auto"/>
            </w:tcBorders>
          </w:tcPr>
          <w:p>
            <w:pPr>
              <w:spacing w:after="0"/>
              <w:rPr>
                <w:sz w:val="13"/>
                <w:szCs w:val="13"/>
                <w:color w:val="auto"/>
              </w:rPr>
            </w:pPr>
          </w:p>
        </w:tc>
        <w:tc>
          <w:tcPr>
            <w:tcW w:w="1140" w:type="dxa"/>
            <w:vAlign w:val="bottom"/>
            <w:tcBorders>
              <w:bottom w:val="single" w:sz="8" w:color="auto"/>
            </w:tcBorders>
          </w:tcPr>
          <w:p>
            <w:pPr>
              <w:spacing w:after="0"/>
              <w:rPr>
                <w:sz w:val="13"/>
                <w:szCs w:val="13"/>
                <w:color w:val="auto"/>
              </w:rPr>
            </w:pPr>
          </w:p>
        </w:tc>
        <w:tc>
          <w:tcPr>
            <w:tcW w:w="260" w:type="dxa"/>
            <w:vAlign w:val="bottom"/>
            <w:tcBorders>
              <w:bottom w:val="single" w:sz="8" w:color="auto"/>
            </w:tcBorders>
          </w:tcPr>
          <w:p>
            <w:pPr>
              <w:spacing w:after="0"/>
              <w:rPr>
                <w:sz w:val="13"/>
                <w:szCs w:val="13"/>
                <w:color w:val="auto"/>
              </w:rPr>
            </w:pPr>
          </w:p>
        </w:tc>
        <w:tc>
          <w:tcPr>
            <w:tcW w:w="960" w:type="dxa"/>
            <w:vAlign w:val="bottom"/>
            <w:tcBorders>
              <w:bottom w:val="single" w:sz="8" w:color="auto"/>
            </w:tcBorders>
          </w:tcPr>
          <w:p>
            <w:pPr>
              <w:spacing w:after="0"/>
              <w:rPr>
                <w:sz w:val="13"/>
                <w:szCs w:val="13"/>
                <w:color w:val="auto"/>
              </w:rPr>
            </w:pPr>
          </w:p>
        </w:tc>
        <w:tc>
          <w:tcPr>
            <w:tcW w:w="20" w:type="dxa"/>
            <w:vAlign w:val="bottom"/>
            <w:tcBorders>
              <w:bottom w:val="single" w:sz="8" w:color="auto"/>
            </w:tcBorders>
          </w:tcPr>
          <w:p>
            <w:pPr>
              <w:spacing w:after="0"/>
              <w:rPr>
                <w:sz w:val="13"/>
                <w:szCs w:val="13"/>
                <w:color w:val="auto"/>
              </w:rPr>
            </w:pPr>
          </w:p>
        </w:tc>
      </w:tr>
      <w:tr>
        <w:trPr>
          <w:trHeight w:val="134"/>
        </w:trPr>
        <w:tc>
          <w:tcPr>
            <w:tcW w:w="4100" w:type="dxa"/>
            <w:vAlign w:val="bottom"/>
            <w:tcBorders>
              <w:right w:val="single" w:sz="8" w:color="auto"/>
            </w:tcBorders>
          </w:tcPr>
          <w:p>
            <w:pPr>
              <w:spacing w:after="0"/>
              <w:rPr>
                <w:sz w:val="11"/>
                <w:szCs w:val="11"/>
                <w:color w:val="auto"/>
              </w:rPr>
            </w:pPr>
          </w:p>
        </w:tc>
        <w:tc>
          <w:tcPr>
            <w:tcW w:w="180" w:type="dxa"/>
            <w:vAlign w:val="bottom"/>
          </w:tcPr>
          <w:p>
            <w:pPr>
              <w:spacing w:after="0"/>
              <w:rPr>
                <w:sz w:val="11"/>
                <w:szCs w:val="11"/>
                <w:color w:val="auto"/>
              </w:rPr>
            </w:pPr>
          </w:p>
        </w:tc>
        <w:tc>
          <w:tcPr>
            <w:tcW w:w="880" w:type="dxa"/>
            <w:vAlign w:val="bottom"/>
          </w:tcPr>
          <w:p>
            <w:pPr>
              <w:jc w:val="right"/>
              <w:ind w:right="100"/>
              <w:spacing w:after="0" w:line="134" w:lineRule="exact"/>
              <w:rPr>
                <w:sz w:val="20"/>
                <w:szCs w:val="20"/>
                <w:color w:val="auto"/>
              </w:rPr>
            </w:pPr>
            <w:r>
              <w:rPr>
                <w:rFonts w:ascii="Arial" w:cs="Arial" w:eastAsia="Arial" w:hAnsi="Arial"/>
                <w:sz w:val="15"/>
                <w:szCs w:val="15"/>
                <w:b w:val="1"/>
                <w:bCs w:val="1"/>
                <w:color w:val="auto"/>
                <w:w w:val="98"/>
              </w:rPr>
              <w:t>Voluntary</w:t>
            </w:r>
          </w:p>
        </w:tc>
        <w:tc>
          <w:tcPr>
            <w:tcW w:w="1240" w:type="dxa"/>
            <w:vAlign w:val="bottom"/>
            <w:gridSpan w:val="2"/>
          </w:tcPr>
          <w:p>
            <w:pPr>
              <w:ind w:left="220"/>
              <w:spacing w:after="0" w:line="134" w:lineRule="exact"/>
              <w:rPr>
                <w:sz w:val="20"/>
                <w:szCs w:val="20"/>
                <w:color w:val="auto"/>
              </w:rPr>
            </w:pPr>
            <w:r>
              <w:rPr>
                <w:rFonts w:ascii="Arial" w:cs="Arial" w:eastAsia="Arial" w:hAnsi="Arial"/>
                <w:sz w:val="15"/>
                <w:szCs w:val="15"/>
                <w:b w:val="1"/>
                <w:bCs w:val="1"/>
                <w:color w:val="auto"/>
              </w:rPr>
              <w:t>Termination</w:t>
            </w:r>
          </w:p>
        </w:tc>
        <w:tc>
          <w:tcPr>
            <w:tcW w:w="38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80" w:type="dxa"/>
            <w:vAlign w:val="bottom"/>
          </w:tcPr>
          <w:p>
            <w:pPr>
              <w:jc w:val="center"/>
              <w:ind w:right="160"/>
              <w:spacing w:after="0" w:line="134" w:lineRule="exact"/>
              <w:rPr>
                <w:sz w:val="20"/>
                <w:szCs w:val="20"/>
                <w:color w:val="auto"/>
              </w:rPr>
            </w:pPr>
            <w:r>
              <w:rPr>
                <w:rFonts w:ascii="Arial" w:cs="Arial" w:eastAsia="Arial" w:hAnsi="Arial"/>
                <w:sz w:val="15"/>
                <w:szCs w:val="15"/>
                <w:b w:val="1"/>
                <w:bCs w:val="1"/>
                <w:color w:val="auto"/>
                <w:w w:val="98"/>
              </w:rPr>
              <w:t>Death &amp;</w:t>
            </w:r>
          </w:p>
        </w:tc>
        <w:tc>
          <w:tcPr>
            <w:tcW w:w="260" w:type="dxa"/>
            <w:vAlign w:val="bottom"/>
          </w:tcPr>
          <w:p>
            <w:pPr>
              <w:spacing w:after="0"/>
              <w:rPr>
                <w:sz w:val="11"/>
                <w:szCs w:val="11"/>
                <w:color w:val="auto"/>
              </w:rPr>
            </w:pPr>
          </w:p>
        </w:tc>
        <w:tc>
          <w:tcPr>
            <w:tcW w:w="1140" w:type="dxa"/>
            <w:vAlign w:val="bottom"/>
          </w:tcPr>
          <w:p>
            <w:pPr>
              <w:jc w:val="right"/>
              <w:ind w:right="180"/>
              <w:spacing w:after="0" w:line="134" w:lineRule="exact"/>
              <w:rPr>
                <w:sz w:val="20"/>
                <w:szCs w:val="20"/>
                <w:color w:val="auto"/>
              </w:rPr>
            </w:pPr>
            <w:r>
              <w:rPr>
                <w:rFonts w:ascii="Arial" w:cs="Arial" w:eastAsia="Arial" w:hAnsi="Arial"/>
                <w:sz w:val="15"/>
                <w:szCs w:val="15"/>
                <w:b w:val="1"/>
                <w:bCs w:val="1"/>
                <w:color w:val="auto"/>
              </w:rPr>
              <w:t>Termination</w:t>
            </w:r>
          </w:p>
        </w:tc>
        <w:tc>
          <w:tcPr>
            <w:tcW w:w="1220" w:type="dxa"/>
            <w:vAlign w:val="bottom"/>
            <w:gridSpan w:val="2"/>
          </w:tcPr>
          <w:p>
            <w:pPr>
              <w:jc w:val="center"/>
              <w:spacing w:after="0" w:line="134" w:lineRule="exact"/>
              <w:rPr>
                <w:sz w:val="20"/>
                <w:szCs w:val="20"/>
                <w:color w:val="auto"/>
              </w:rPr>
            </w:pPr>
            <w:r>
              <w:rPr>
                <w:rFonts w:ascii="Arial" w:cs="Arial" w:eastAsia="Arial" w:hAnsi="Arial"/>
                <w:sz w:val="15"/>
                <w:szCs w:val="15"/>
                <w:b w:val="1"/>
                <w:bCs w:val="1"/>
                <w:color w:val="auto"/>
              </w:rPr>
              <w:t>Change in</w:t>
            </w:r>
          </w:p>
        </w:tc>
        <w:tc>
          <w:tcPr>
            <w:tcW w:w="20" w:type="dxa"/>
            <w:vAlign w:val="bottom"/>
          </w:tcPr>
          <w:p>
            <w:pPr>
              <w:spacing w:after="0"/>
              <w:rPr>
                <w:sz w:val="11"/>
                <w:szCs w:val="11"/>
                <w:color w:val="auto"/>
              </w:rPr>
            </w:pPr>
          </w:p>
        </w:tc>
      </w:tr>
      <w:tr>
        <w:trPr>
          <w:trHeight w:val="183"/>
        </w:trPr>
        <w:tc>
          <w:tcPr>
            <w:tcW w:w="4100" w:type="dxa"/>
            <w:vAlign w:val="bottom"/>
            <w:tcBorders>
              <w:bottom w:val="single" w:sz="8" w:color="auto"/>
              <w:right w:val="single" w:sz="8" w:color="auto"/>
            </w:tcBorders>
          </w:tcPr>
          <w:p>
            <w:pPr>
              <w:spacing w:after="0"/>
              <w:rPr>
                <w:sz w:val="15"/>
                <w:szCs w:val="15"/>
                <w:color w:val="auto"/>
              </w:rPr>
            </w:pPr>
          </w:p>
        </w:tc>
        <w:tc>
          <w:tcPr>
            <w:tcW w:w="1060" w:type="dxa"/>
            <w:vAlign w:val="bottom"/>
            <w:tcBorders>
              <w:bottom w:val="single" w:sz="8" w:color="auto"/>
            </w:tcBorders>
            <w:gridSpan w:val="2"/>
          </w:tcPr>
          <w:p>
            <w:pPr>
              <w:ind w:left="100"/>
              <w:spacing w:after="0"/>
              <w:rPr>
                <w:sz w:val="20"/>
                <w:szCs w:val="20"/>
                <w:color w:val="auto"/>
              </w:rPr>
            </w:pPr>
            <w:r>
              <w:rPr>
                <w:rFonts w:ascii="Arial" w:cs="Arial" w:eastAsia="Arial" w:hAnsi="Arial"/>
                <w:sz w:val="15"/>
                <w:szCs w:val="15"/>
                <w:b w:val="1"/>
                <w:bCs w:val="1"/>
                <w:color w:val="auto"/>
              </w:rPr>
              <w:t>Resignation</w:t>
            </w:r>
          </w:p>
        </w:tc>
        <w:tc>
          <w:tcPr>
            <w:tcW w:w="1240" w:type="dxa"/>
            <w:vAlign w:val="bottom"/>
            <w:tcBorders>
              <w:bottom w:val="single" w:sz="8" w:color="auto"/>
            </w:tcBorders>
            <w:gridSpan w:val="2"/>
          </w:tcPr>
          <w:p>
            <w:pPr>
              <w:ind w:left="240"/>
              <w:spacing w:after="0"/>
              <w:rPr>
                <w:sz w:val="20"/>
                <w:szCs w:val="20"/>
                <w:color w:val="auto"/>
              </w:rPr>
            </w:pPr>
            <w:r>
              <w:rPr>
                <w:rFonts w:ascii="Arial" w:cs="Arial" w:eastAsia="Arial" w:hAnsi="Arial"/>
                <w:sz w:val="15"/>
                <w:szCs w:val="15"/>
                <w:b w:val="1"/>
                <w:bCs w:val="1"/>
                <w:color w:val="auto"/>
              </w:rPr>
              <w:t>With Cause</w:t>
            </w:r>
          </w:p>
        </w:tc>
        <w:tc>
          <w:tcPr>
            <w:tcW w:w="1280" w:type="dxa"/>
            <w:vAlign w:val="bottom"/>
            <w:tcBorders>
              <w:bottom w:val="single" w:sz="8" w:color="auto"/>
            </w:tcBorders>
            <w:gridSpan w:val="2"/>
          </w:tcPr>
          <w:p>
            <w:pPr>
              <w:ind w:left="160"/>
              <w:spacing w:after="0"/>
              <w:rPr>
                <w:sz w:val="20"/>
                <w:szCs w:val="20"/>
                <w:color w:val="auto"/>
              </w:rPr>
            </w:pPr>
            <w:r>
              <w:rPr>
                <w:rFonts w:ascii="Arial" w:cs="Arial" w:eastAsia="Arial" w:hAnsi="Arial"/>
                <w:sz w:val="15"/>
                <w:szCs w:val="15"/>
                <w:b w:val="1"/>
                <w:bCs w:val="1"/>
                <w:color w:val="auto"/>
              </w:rPr>
              <w:t>Retirement</w:t>
            </w:r>
            <w:r>
              <w:rPr>
                <w:rFonts w:ascii="Arial" w:cs="Arial" w:eastAsia="Arial" w:hAnsi="Arial"/>
                <w:sz w:val="13"/>
                <w:szCs w:val="13"/>
                <w:b w:val="1"/>
                <w:bCs w:val="1"/>
                <w:color w:val="auto"/>
              </w:rPr>
              <w:t>(6)</w:t>
            </w:r>
          </w:p>
        </w:tc>
        <w:tc>
          <w:tcPr>
            <w:tcW w:w="1120" w:type="dxa"/>
            <w:vAlign w:val="bottom"/>
            <w:tcBorders>
              <w:bottom w:val="single" w:sz="8" w:color="auto"/>
            </w:tcBorders>
            <w:gridSpan w:val="2"/>
          </w:tcPr>
          <w:p>
            <w:pPr>
              <w:jc w:val="center"/>
              <w:spacing w:after="0"/>
              <w:rPr>
                <w:sz w:val="20"/>
                <w:szCs w:val="20"/>
                <w:color w:val="auto"/>
              </w:rPr>
            </w:pPr>
            <w:r>
              <w:rPr>
                <w:rFonts w:ascii="Arial" w:cs="Arial" w:eastAsia="Arial" w:hAnsi="Arial"/>
                <w:sz w:val="15"/>
                <w:szCs w:val="15"/>
                <w:b w:val="1"/>
                <w:bCs w:val="1"/>
                <w:color w:val="auto"/>
              </w:rPr>
              <w:t>Disability</w:t>
            </w:r>
          </w:p>
        </w:tc>
        <w:tc>
          <w:tcPr>
            <w:tcW w:w="1400" w:type="dxa"/>
            <w:vAlign w:val="bottom"/>
            <w:tcBorders>
              <w:bottom w:val="single" w:sz="8" w:color="auto"/>
            </w:tcBorders>
            <w:gridSpan w:val="2"/>
          </w:tcPr>
          <w:p>
            <w:pPr>
              <w:ind w:left="160"/>
              <w:spacing w:after="0"/>
              <w:rPr>
                <w:sz w:val="20"/>
                <w:szCs w:val="20"/>
                <w:color w:val="auto"/>
              </w:rPr>
            </w:pPr>
            <w:r>
              <w:rPr>
                <w:rFonts w:ascii="Arial" w:cs="Arial" w:eastAsia="Arial" w:hAnsi="Arial"/>
                <w:sz w:val="15"/>
                <w:szCs w:val="15"/>
                <w:b w:val="1"/>
                <w:bCs w:val="1"/>
                <w:color w:val="auto"/>
              </w:rPr>
              <w:t>Without Cause</w:t>
            </w:r>
          </w:p>
        </w:tc>
        <w:tc>
          <w:tcPr>
            <w:tcW w:w="260" w:type="dxa"/>
            <w:vAlign w:val="bottom"/>
            <w:tcBorders>
              <w:bottom w:val="single" w:sz="8" w:color="auto"/>
            </w:tcBorders>
          </w:tcPr>
          <w:p>
            <w:pPr>
              <w:spacing w:after="0"/>
              <w:rPr>
                <w:sz w:val="15"/>
                <w:szCs w:val="15"/>
                <w:color w:val="auto"/>
              </w:rPr>
            </w:pPr>
          </w:p>
        </w:tc>
        <w:tc>
          <w:tcPr>
            <w:tcW w:w="960" w:type="dxa"/>
            <w:vAlign w:val="bottom"/>
            <w:tcBorders>
              <w:bottom w:val="single" w:sz="8" w:color="auto"/>
            </w:tcBorders>
          </w:tcPr>
          <w:p>
            <w:pPr>
              <w:jc w:val="center"/>
              <w:ind w:right="260"/>
              <w:spacing w:after="0"/>
              <w:rPr>
                <w:sz w:val="20"/>
                <w:szCs w:val="20"/>
                <w:color w:val="auto"/>
              </w:rPr>
            </w:pPr>
            <w:r>
              <w:rPr>
                <w:rFonts w:ascii="Arial" w:cs="Arial" w:eastAsia="Arial" w:hAnsi="Arial"/>
                <w:sz w:val="15"/>
                <w:szCs w:val="15"/>
                <w:b w:val="1"/>
                <w:bCs w:val="1"/>
                <w:color w:val="auto"/>
              </w:rPr>
              <w:t>Control</w:t>
            </w:r>
          </w:p>
        </w:tc>
        <w:tc>
          <w:tcPr>
            <w:tcW w:w="20" w:type="dxa"/>
            <w:vAlign w:val="bottom"/>
            <w:tcBorders>
              <w:bottom w:val="single" w:sz="8" w:color="auto"/>
            </w:tcBorders>
          </w:tcPr>
          <w:p>
            <w:pPr>
              <w:spacing w:after="0"/>
              <w:rPr>
                <w:sz w:val="15"/>
                <w:szCs w:val="15"/>
                <w:color w:val="auto"/>
              </w:rPr>
            </w:pPr>
          </w:p>
        </w:tc>
      </w:tr>
      <w:tr>
        <w:trPr>
          <w:trHeight w:val="183"/>
        </w:trPr>
        <w:tc>
          <w:tcPr>
            <w:tcW w:w="4100" w:type="dxa"/>
            <w:vAlign w:val="bottom"/>
            <w:tcBorders>
              <w:right w:val="single" w:sz="8" w:color="auto"/>
            </w:tcBorders>
            <w:shd w:val="clear" w:color="auto" w:fill="CCEEFF"/>
          </w:tcPr>
          <w:p>
            <w:pPr>
              <w:ind w:left="160"/>
              <w:spacing w:after="0" w:line="183" w:lineRule="exact"/>
              <w:rPr>
                <w:sz w:val="20"/>
                <w:szCs w:val="20"/>
                <w:color w:val="auto"/>
              </w:rPr>
            </w:pPr>
            <w:r>
              <w:rPr>
                <w:rFonts w:ascii="Arial" w:cs="Arial" w:eastAsia="Arial" w:hAnsi="Arial"/>
                <w:sz w:val="13"/>
                <w:szCs w:val="13"/>
                <w:color w:val="auto"/>
              </w:rPr>
              <w:t>Cash Severance</w:t>
            </w:r>
            <w:r>
              <w:rPr>
                <w:rFonts w:ascii="Arial" w:cs="Arial" w:eastAsia="Arial" w:hAnsi="Arial"/>
                <w:sz w:val="21"/>
                <w:szCs w:val="21"/>
                <w:color w:val="auto"/>
                <w:vertAlign w:val="superscript"/>
              </w:rPr>
              <w:t>(1)</w:t>
            </w:r>
          </w:p>
        </w:tc>
        <w:tc>
          <w:tcPr>
            <w:tcW w:w="180" w:type="dxa"/>
            <w:vAlign w:val="bottom"/>
            <w:shd w:val="clear" w:color="auto" w:fill="CCEEFF"/>
          </w:tcPr>
          <w:p>
            <w:pPr>
              <w:ind w:left="100"/>
              <w:spacing w:after="0"/>
              <w:rPr>
                <w:sz w:val="20"/>
                <w:szCs w:val="20"/>
                <w:color w:val="auto"/>
              </w:rPr>
            </w:pPr>
            <w:r>
              <w:rPr>
                <w:rFonts w:ascii="Arial" w:cs="Arial" w:eastAsia="Arial" w:hAnsi="Arial"/>
                <w:sz w:val="15"/>
                <w:szCs w:val="15"/>
                <w:color w:val="auto"/>
                <w:w w:val="71"/>
              </w:rPr>
              <w:t>$</w:t>
            </w:r>
          </w:p>
        </w:tc>
        <w:tc>
          <w:tcPr>
            <w:tcW w:w="880" w:type="dxa"/>
            <w:vAlign w:val="bottom"/>
            <w:shd w:val="clear" w:color="auto" w:fill="CCEEFF"/>
          </w:tcPr>
          <w:p>
            <w:pPr>
              <w:jc w:val="right"/>
              <w:spacing w:after="0" w:line="183" w:lineRule="exact"/>
              <w:rPr>
                <w:sz w:val="20"/>
                <w:szCs w:val="20"/>
                <w:color w:val="auto"/>
              </w:rPr>
            </w:pPr>
            <w:r>
              <w:rPr>
                <w:rFonts w:ascii="Arial" w:cs="Arial" w:eastAsia="Arial" w:hAnsi="Arial"/>
                <w:sz w:val="16"/>
                <w:szCs w:val="16"/>
                <w:color w:val="auto"/>
              </w:rPr>
              <w:t>0</w:t>
            </w:r>
          </w:p>
        </w:tc>
        <w:tc>
          <w:tcPr>
            <w:tcW w:w="960" w:type="dxa"/>
            <w:vAlign w:val="bottom"/>
            <w:shd w:val="clear" w:color="auto" w:fill="CCEEFF"/>
          </w:tcPr>
          <w:p>
            <w:pPr>
              <w:ind w:left="220"/>
              <w:spacing w:after="0" w:line="183" w:lineRule="exact"/>
              <w:rPr>
                <w:sz w:val="20"/>
                <w:szCs w:val="20"/>
                <w:color w:val="auto"/>
              </w:rPr>
            </w:pPr>
            <w:r>
              <w:rPr>
                <w:rFonts w:ascii="Arial" w:cs="Arial" w:eastAsia="Arial" w:hAnsi="Arial"/>
                <w:sz w:val="16"/>
                <w:szCs w:val="16"/>
                <w:color w:val="auto"/>
              </w:rPr>
              <w:t>$</w:t>
            </w:r>
          </w:p>
        </w:tc>
        <w:tc>
          <w:tcPr>
            <w:tcW w:w="280" w:type="dxa"/>
            <w:vAlign w:val="bottom"/>
            <w:shd w:val="clear" w:color="auto" w:fill="CCEEFF"/>
          </w:tcPr>
          <w:p>
            <w:pPr>
              <w:jc w:val="right"/>
              <w:ind w:right="79"/>
              <w:spacing w:after="0" w:line="183" w:lineRule="exact"/>
              <w:rPr>
                <w:sz w:val="20"/>
                <w:szCs w:val="20"/>
                <w:color w:val="auto"/>
              </w:rPr>
            </w:pPr>
            <w:r>
              <w:rPr>
                <w:rFonts w:ascii="Arial" w:cs="Arial" w:eastAsia="Arial" w:hAnsi="Arial"/>
                <w:sz w:val="16"/>
                <w:szCs w:val="16"/>
                <w:color w:val="auto"/>
              </w:rPr>
              <w:t>0</w:t>
            </w:r>
          </w:p>
        </w:tc>
        <w:tc>
          <w:tcPr>
            <w:tcW w:w="380" w:type="dxa"/>
            <w:vAlign w:val="bottom"/>
            <w:shd w:val="clear" w:color="auto" w:fill="CCEEFF"/>
          </w:tcPr>
          <w:p>
            <w:pPr>
              <w:spacing w:after="0"/>
              <w:rPr>
                <w:sz w:val="15"/>
                <w:szCs w:val="15"/>
                <w:color w:val="auto"/>
              </w:rPr>
            </w:pPr>
          </w:p>
        </w:tc>
        <w:tc>
          <w:tcPr>
            <w:tcW w:w="900" w:type="dxa"/>
            <w:vAlign w:val="bottom"/>
            <w:shd w:val="clear" w:color="auto" w:fill="CCEEFF"/>
          </w:tcPr>
          <w:p>
            <w:pPr>
              <w:spacing w:after="0"/>
              <w:rPr>
                <w:sz w:val="15"/>
                <w:szCs w:val="15"/>
                <w:color w:val="auto"/>
              </w:rPr>
            </w:pPr>
          </w:p>
        </w:tc>
        <w:tc>
          <w:tcPr>
            <w:tcW w:w="240" w:type="dxa"/>
            <w:vAlign w:val="bottom"/>
            <w:shd w:val="clear" w:color="auto" w:fill="CCEEFF"/>
          </w:tcPr>
          <w:p>
            <w:pPr>
              <w:jc w:val="right"/>
              <w:spacing w:after="0" w:line="183" w:lineRule="exact"/>
              <w:rPr>
                <w:sz w:val="20"/>
                <w:szCs w:val="20"/>
                <w:color w:val="auto"/>
              </w:rPr>
            </w:pPr>
            <w:r>
              <w:rPr>
                <w:rFonts w:ascii="Arial" w:cs="Arial" w:eastAsia="Arial" w:hAnsi="Arial"/>
                <w:sz w:val="16"/>
                <w:szCs w:val="16"/>
                <w:color w:val="auto"/>
              </w:rPr>
              <w:t>$</w:t>
            </w:r>
          </w:p>
        </w:tc>
        <w:tc>
          <w:tcPr>
            <w:tcW w:w="880" w:type="dxa"/>
            <w:vAlign w:val="bottom"/>
            <w:shd w:val="clear" w:color="auto" w:fill="CCEEFF"/>
          </w:tcPr>
          <w:p>
            <w:pPr>
              <w:jc w:val="right"/>
              <w:ind w:right="60"/>
              <w:spacing w:after="0" w:line="183" w:lineRule="exact"/>
              <w:rPr>
                <w:sz w:val="20"/>
                <w:szCs w:val="20"/>
                <w:color w:val="auto"/>
              </w:rPr>
            </w:pPr>
            <w:r>
              <w:rPr>
                <w:rFonts w:ascii="Arial" w:cs="Arial" w:eastAsia="Arial" w:hAnsi="Arial"/>
                <w:sz w:val="16"/>
                <w:szCs w:val="16"/>
                <w:color w:val="auto"/>
              </w:rPr>
              <w:t>0</w:t>
            </w:r>
          </w:p>
        </w:tc>
        <w:tc>
          <w:tcPr>
            <w:tcW w:w="260" w:type="dxa"/>
            <w:vAlign w:val="bottom"/>
            <w:shd w:val="clear" w:color="auto" w:fill="CCEEFF"/>
          </w:tcPr>
          <w:p>
            <w:pPr>
              <w:ind w:left="160"/>
              <w:spacing w:after="0" w:line="183" w:lineRule="exact"/>
              <w:rPr>
                <w:sz w:val="20"/>
                <w:szCs w:val="20"/>
                <w:color w:val="auto"/>
              </w:rPr>
            </w:pPr>
            <w:r>
              <w:rPr>
                <w:rFonts w:ascii="Arial" w:cs="Arial" w:eastAsia="Arial" w:hAnsi="Arial"/>
                <w:sz w:val="16"/>
                <w:szCs w:val="16"/>
                <w:color w:val="auto"/>
                <w:w w:val="89"/>
              </w:rPr>
              <w:t>$</w:t>
            </w:r>
          </w:p>
        </w:tc>
        <w:tc>
          <w:tcPr>
            <w:tcW w:w="1140" w:type="dxa"/>
            <w:vAlign w:val="bottom"/>
            <w:shd w:val="clear" w:color="auto" w:fill="CCEEFF"/>
          </w:tcPr>
          <w:p>
            <w:pPr>
              <w:jc w:val="right"/>
              <w:ind w:right="80"/>
              <w:spacing w:after="0" w:line="183" w:lineRule="exact"/>
              <w:rPr>
                <w:sz w:val="20"/>
                <w:szCs w:val="20"/>
                <w:color w:val="auto"/>
              </w:rPr>
            </w:pPr>
            <w:r>
              <w:rPr>
                <w:rFonts w:ascii="Arial" w:cs="Arial" w:eastAsia="Arial" w:hAnsi="Arial"/>
                <w:sz w:val="16"/>
                <w:szCs w:val="16"/>
                <w:color w:val="auto"/>
              </w:rPr>
              <w:t>876,096</w:t>
            </w:r>
          </w:p>
        </w:tc>
        <w:tc>
          <w:tcPr>
            <w:tcW w:w="1220" w:type="dxa"/>
            <w:vAlign w:val="bottom"/>
            <w:gridSpan w:val="2"/>
            <w:shd w:val="clear" w:color="auto" w:fill="CCEEFF"/>
          </w:tcPr>
          <w:p>
            <w:pPr>
              <w:jc w:val="right"/>
              <w:ind w:right="160"/>
              <w:spacing w:after="0" w:line="183" w:lineRule="exact"/>
              <w:rPr>
                <w:sz w:val="20"/>
                <w:szCs w:val="20"/>
                <w:color w:val="auto"/>
              </w:rPr>
            </w:pPr>
            <w:r>
              <w:rPr>
                <w:rFonts w:ascii="Arial" w:cs="Arial" w:eastAsia="Arial" w:hAnsi="Arial"/>
                <w:sz w:val="16"/>
                <w:szCs w:val="16"/>
                <w:color w:val="auto"/>
              </w:rPr>
              <w:t>$1,752,192</w:t>
            </w:r>
          </w:p>
        </w:tc>
        <w:tc>
          <w:tcPr>
            <w:tcW w:w="20" w:type="dxa"/>
            <w:vAlign w:val="bottom"/>
          </w:tcPr>
          <w:p>
            <w:pPr>
              <w:spacing w:after="0"/>
              <w:rPr>
                <w:sz w:val="15"/>
                <w:szCs w:val="15"/>
                <w:color w:val="auto"/>
              </w:rPr>
            </w:pPr>
          </w:p>
        </w:tc>
      </w:tr>
      <w:tr>
        <w:trPr>
          <w:trHeight w:val="189"/>
        </w:trPr>
        <w:tc>
          <w:tcPr>
            <w:tcW w:w="4100" w:type="dxa"/>
            <w:vAlign w:val="bottom"/>
            <w:tcBorders>
              <w:right w:val="single" w:sz="8" w:color="auto"/>
            </w:tcBorders>
          </w:tcPr>
          <w:p>
            <w:pPr>
              <w:ind w:left="160"/>
              <w:spacing w:after="0" w:line="189" w:lineRule="exact"/>
              <w:rPr>
                <w:sz w:val="20"/>
                <w:szCs w:val="20"/>
                <w:color w:val="auto"/>
              </w:rPr>
            </w:pPr>
            <w:r>
              <w:rPr>
                <w:rFonts w:ascii="Arial" w:cs="Arial" w:eastAsia="Arial" w:hAnsi="Arial"/>
                <w:sz w:val="13"/>
                <w:szCs w:val="13"/>
                <w:color w:val="auto"/>
              </w:rPr>
              <w:t>Equity</w:t>
            </w:r>
            <w:r>
              <w:rPr>
                <w:rFonts w:ascii="Arial" w:cs="Arial" w:eastAsia="Arial" w:hAnsi="Arial"/>
                <w:sz w:val="21"/>
                <w:szCs w:val="21"/>
                <w:color w:val="auto"/>
                <w:vertAlign w:val="superscript"/>
              </w:rPr>
              <w:t>(2)</w:t>
            </w:r>
          </w:p>
        </w:tc>
        <w:tc>
          <w:tcPr>
            <w:tcW w:w="180" w:type="dxa"/>
            <w:vAlign w:val="bottom"/>
          </w:tcPr>
          <w:p>
            <w:pPr>
              <w:ind w:left="100"/>
              <w:spacing w:after="0"/>
              <w:rPr>
                <w:sz w:val="20"/>
                <w:szCs w:val="20"/>
                <w:color w:val="auto"/>
              </w:rPr>
            </w:pPr>
            <w:r>
              <w:rPr>
                <w:rFonts w:ascii="Arial" w:cs="Arial" w:eastAsia="Arial" w:hAnsi="Arial"/>
                <w:sz w:val="15"/>
                <w:szCs w:val="15"/>
                <w:color w:val="auto"/>
                <w:w w:val="71"/>
              </w:rPr>
              <w:t>$</w:t>
            </w:r>
          </w:p>
        </w:tc>
        <w:tc>
          <w:tcPr>
            <w:tcW w:w="880" w:type="dxa"/>
            <w:vAlign w:val="bottom"/>
          </w:tcPr>
          <w:p>
            <w:pPr>
              <w:jc w:val="right"/>
              <w:spacing w:after="0"/>
              <w:rPr>
                <w:sz w:val="20"/>
                <w:szCs w:val="20"/>
                <w:color w:val="auto"/>
              </w:rPr>
            </w:pPr>
            <w:r>
              <w:rPr>
                <w:rFonts w:ascii="Arial" w:cs="Arial" w:eastAsia="Arial" w:hAnsi="Arial"/>
                <w:sz w:val="16"/>
                <w:szCs w:val="16"/>
                <w:color w:val="auto"/>
              </w:rPr>
              <w:t>0</w:t>
            </w:r>
          </w:p>
        </w:tc>
        <w:tc>
          <w:tcPr>
            <w:tcW w:w="960" w:type="dxa"/>
            <w:vAlign w:val="bottom"/>
          </w:tcPr>
          <w:p>
            <w:pPr>
              <w:ind w:left="220"/>
              <w:spacing w:after="0"/>
              <w:rPr>
                <w:sz w:val="20"/>
                <w:szCs w:val="20"/>
                <w:color w:val="auto"/>
              </w:rPr>
            </w:pPr>
            <w:r>
              <w:rPr>
                <w:rFonts w:ascii="Arial" w:cs="Arial" w:eastAsia="Arial" w:hAnsi="Arial"/>
                <w:sz w:val="16"/>
                <w:szCs w:val="16"/>
                <w:color w:val="auto"/>
              </w:rPr>
              <w:t>$</w:t>
            </w:r>
          </w:p>
        </w:tc>
        <w:tc>
          <w:tcPr>
            <w:tcW w:w="280" w:type="dxa"/>
            <w:vAlign w:val="bottom"/>
          </w:tcPr>
          <w:p>
            <w:pPr>
              <w:jc w:val="right"/>
              <w:ind w:right="79"/>
              <w:spacing w:after="0"/>
              <w:rPr>
                <w:sz w:val="20"/>
                <w:szCs w:val="20"/>
                <w:color w:val="auto"/>
              </w:rPr>
            </w:pPr>
            <w:r>
              <w:rPr>
                <w:rFonts w:ascii="Arial" w:cs="Arial" w:eastAsia="Arial" w:hAnsi="Arial"/>
                <w:sz w:val="16"/>
                <w:szCs w:val="16"/>
                <w:color w:val="auto"/>
              </w:rPr>
              <w:t>0</w:t>
            </w:r>
          </w:p>
        </w:tc>
        <w:tc>
          <w:tcPr>
            <w:tcW w:w="380" w:type="dxa"/>
            <w:vAlign w:val="bottom"/>
          </w:tcPr>
          <w:p>
            <w:pPr>
              <w:spacing w:after="0"/>
              <w:rPr>
                <w:sz w:val="16"/>
                <w:szCs w:val="16"/>
                <w:color w:val="auto"/>
              </w:rPr>
            </w:pPr>
          </w:p>
        </w:tc>
        <w:tc>
          <w:tcPr>
            <w:tcW w:w="900" w:type="dxa"/>
            <w:vAlign w:val="bottom"/>
          </w:tcPr>
          <w:p>
            <w:pPr>
              <w:spacing w:after="0"/>
              <w:rPr>
                <w:sz w:val="16"/>
                <w:szCs w:val="16"/>
                <w:color w:val="auto"/>
              </w:rPr>
            </w:pPr>
          </w:p>
        </w:tc>
        <w:tc>
          <w:tcPr>
            <w:tcW w:w="240" w:type="dxa"/>
            <w:vAlign w:val="bottom"/>
          </w:tcPr>
          <w:p>
            <w:pPr>
              <w:jc w:val="right"/>
              <w:spacing w:after="0"/>
              <w:rPr>
                <w:sz w:val="20"/>
                <w:szCs w:val="20"/>
                <w:color w:val="auto"/>
              </w:rPr>
            </w:pPr>
            <w:r>
              <w:rPr>
                <w:rFonts w:ascii="Arial" w:cs="Arial" w:eastAsia="Arial" w:hAnsi="Arial"/>
                <w:sz w:val="16"/>
                <w:szCs w:val="16"/>
                <w:color w:val="auto"/>
              </w:rPr>
              <w:t>$</w:t>
            </w:r>
          </w:p>
        </w:tc>
        <w:tc>
          <w:tcPr>
            <w:tcW w:w="880" w:type="dxa"/>
            <w:vAlign w:val="bottom"/>
          </w:tcPr>
          <w:p>
            <w:pPr>
              <w:jc w:val="right"/>
              <w:ind w:right="60"/>
              <w:spacing w:after="0"/>
              <w:rPr>
                <w:sz w:val="20"/>
                <w:szCs w:val="20"/>
                <w:color w:val="auto"/>
              </w:rPr>
            </w:pPr>
            <w:r>
              <w:rPr>
                <w:rFonts w:ascii="Arial" w:cs="Arial" w:eastAsia="Arial" w:hAnsi="Arial"/>
                <w:sz w:val="16"/>
                <w:szCs w:val="16"/>
                <w:color w:val="auto"/>
              </w:rPr>
              <w:t>84,219</w:t>
            </w:r>
          </w:p>
        </w:tc>
        <w:tc>
          <w:tcPr>
            <w:tcW w:w="260" w:type="dxa"/>
            <w:vAlign w:val="bottom"/>
          </w:tcPr>
          <w:p>
            <w:pPr>
              <w:ind w:left="160"/>
              <w:spacing w:after="0"/>
              <w:rPr>
                <w:sz w:val="20"/>
                <w:szCs w:val="20"/>
                <w:color w:val="auto"/>
              </w:rPr>
            </w:pPr>
            <w:r>
              <w:rPr>
                <w:rFonts w:ascii="Arial" w:cs="Arial" w:eastAsia="Arial" w:hAnsi="Arial"/>
                <w:sz w:val="16"/>
                <w:szCs w:val="16"/>
                <w:color w:val="auto"/>
                <w:w w:val="89"/>
              </w:rPr>
              <w:t>$</w:t>
            </w:r>
          </w:p>
        </w:tc>
        <w:tc>
          <w:tcPr>
            <w:tcW w:w="1140" w:type="dxa"/>
            <w:vAlign w:val="bottom"/>
          </w:tcPr>
          <w:p>
            <w:pPr>
              <w:jc w:val="right"/>
              <w:ind w:right="80"/>
              <w:spacing w:after="0"/>
              <w:rPr>
                <w:sz w:val="20"/>
                <w:szCs w:val="20"/>
                <w:color w:val="auto"/>
              </w:rPr>
            </w:pPr>
            <w:r>
              <w:rPr>
                <w:rFonts w:ascii="Arial" w:cs="Arial" w:eastAsia="Arial" w:hAnsi="Arial"/>
                <w:sz w:val="16"/>
                <w:szCs w:val="16"/>
                <w:color w:val="auto"/>
              </w:rPr>
              <w:t>72,371</w:t>
            </w:r>
          </w:p>
        </w:tc>
        <w:tc>
          <w:tcPr>
            <w:tcW w:w="260" w:type="dxa"/>
            <w:vAlign w:val="bottom"/>
          </w:tcPr>
          <w:p>
            <w:pPr>
              <w:jc w:val="right"/>
              <w:spacing w:after="0"/>
              <w:rPr>
                <w:sz w:val="20"/>
                <w:szCs w:val="20"/>
                <w:color w:val="auto"/>
              </w:rPr>
            </w:pPr>
            <w:r>
              <w:rPr>
                <w:rFonts w:ascii="Arial" w:cs="Arial" w:eastAsia="Arial" w:hAnsi="Arial"/>
                <w:sz w:val="16"/>
                <w:szCs w:val="16"/>
                <w:color w:val="auto"/>
              </w:rPr>
              <w:t>$</w:t>
            </w:r>
          </w:p>
        </w:tc>
        <w:tc>
          <w:tcPr>
            <w:tcW w:w="960" w:type="dxa"/>
            <w:vAlign w:val="bottom"/>
          </w:tcPr>
          <w:p>
            <w:pPr>
              <w:jc w:val="right"/>
              <w:ind w:right="160"/>
              <w:spacing w:after="0"/>
              <w:rPr>
                <w:sz w:val="20"/>
                <w:szCs w:val="20"/>
                <w:color w:val="auto"/>
              </w:rPr>
            </w:pPr>
            <w:r>
              <w:rPr>
                <w:rFonts w:ascii="Arial" w:cs="Arial" w:eastAsia="Arial" w:hAnsi="Arial"/>
                <w:sz w:val="16"/>
                <w:szCs w:val="16"/>
                <w:color w:val="auto"/>
              </w:rPr>
              <w:t>84,219</w:t>
            </w:r>
          </w:p>
        </w:tc>
        <w:tc>
          <w:tcPr>
            <w:tcW w:w="20" w:type="dxa"/>
            <w:vAlign w:val="bottom"/>
          </w:tcPr>
          <w:p>
            <w:pPr>
              <w:spacing w:after="0"/>
              <w:rPr>
                <w:sz w:val="16"/>
                <w:szCs w:val="16"/>
                <w:color w:val="auto"/>
              </w:rPr>
            </w:pPr>
          </w:p>
        </w:tc>
      </w:tr>
      <w:tr>
        <w:trPr>
          <w:trHeight w:val="189"/>
        </w:trPr>
        <w:tc>
          <w:tcPr>
            <w:tcW w:w="4100" w:type="dxa"/>
            <w:vAlign w:val="bottom"/>
            <w:tcBorders>
              <w:right w:val="single" w:sz="8" w:color="auto"/>
            </w:tcBorders>
            <w:shd w:val="clear" w:color="auto" w:fill="CCEEFF"/>
          </w:tcPr>
          <w:p>
            <w:pPr>
              <w:ind w:left="160"/>
              <w:spacing w:after="0" w:line="189" w:lineRule="exact"/>
              <w:rPr>
                <w:sz w:val="20"/>
                <w:szCs w:val="20"/>
                <w:color w:val="auto"/>
              </w:rPr>
            </w:pPr>
            <w:r>
              <w:rPr>
                <w:rFonts w:ascii="Arial" w:cs="Arial" w:eastAsia="Arial" w:hAnsi="Arial"/>
                <w:sz w:val="13"/>
                <w:szCs w:val="13"/>
                <w:color w:val="auto"/>
              </w:rPr>
              <w:t>Retirement Benefits</w:t>
            </w:r>
            <w:r>
              <w:rPr>
                <w:rFonts w:ascii="Arial" w:cs="Arial" w:eastAsia="Arial" w:hAnsi="Arial"/>
                <w:sz w:val="21"/>
                <w:szCs w:val="21"/>
                <w:color w:val="auto"/>
                <w:vertAlign w:val="superscript"/>
              </w:rPr>
              <w:t>(3)</w:t>
            </w:r>
          </w:p>
        </w:tc>
        <w:tc>
          <w:tcPr>
            <w:tcW w:w="180" w:type="dxa"/>
            <w:vAlign w:val="bottom"/>
            <w:shd w:val="clear" w:color="auto" w:fill="CCEEFF"/>
          </w:tcPr>
          <w:p>
            <w:pPr>
              <w:ind w:left="100"/>
              <w:spacing w:after="0"/>
              <w:rPr>
                <w:sz w:val="20"/>
                <w:szCs w:val="20"/>
                <w:color w:val="auto"/>
              </w:rPr>
            </w:pPr>
            <w:r>
              <w:rPr>
                <w:rFonts w:ascii="Arial" w:cs="Arial" w:eastAsia="Arial" w:hAnsi="Arial"/>
                <w:sz w:val="15"/>
                <w:szCs w:val="15"/>
                <w:color w:val="auto"/>
                <w:w w:val="71"/>
              </w:rPr>
              <w:t>$</w:t>
            </w:r>
          </w:p>
        </w:tc>
        <w:tc>
          <w:tcPr>
            <w:tcW w:w="8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0</w:t>
            </w:r>
          </w:p>
        </w:tc>
        <w:tc>
          <w:tcPr>
            <w:tcW w:w="960" w:type="dxa"/>
            <w:vAlign w:val="bottom"/>
            <w:shd w:val="clear" w:color="auto" w:fill="CCEEFF"/>
          </w:tcPr>
          <w:p>
            <w:pPr>
              <w:ind w:left="220"/>
              <w:spacing w:after="0"/>
              <w:rPr>
                <w:sz w:val="20"/>
                <w:szCs w:val="20"/>
                <w:color w:val="auto"/>
              </w:rPr>
            </w:pPr>
            <w:r>
              <w:rPr>
                <w:rFonts w:ascii="Arial" w:cs="Arial" w:eastAsia="Arial" w:hAnsi="Arial"/>
                <w:sz w:val="16"/>
                <w:szCs w:val="16"/>
                <w:color w:val="auto"/>
              </w:rPr>
              <w:t>$</w:t>
            </w:r>
          </w:p>
        </w:tc>
        <w:tc>
          <w:tcPr>
            <w:tcW w:w="280" w:type="dxa"/>
            <w:vAlign w:val="bottom"/>
            <w:shd w:val="clear" w:color="auto" w:fill="CCEEFF"/>
          </w:tcPr>
          <w:p>
            <w:pPr>
              <w:jc w:val="right"/>
              <w:ind w:right="79"/>
              <w:spacing w:after="0"/>
              <w:rPr>
                <w:sz w:val="20"/>
                <w:szCs w:val="20"/>
                <w:color w:val="auto"/>
              </w:rPr>
            </w:pPr>
            <w:r>
              <w:rPr>
                <w:rFonts w:ascii="Arial" w:cs="Arial" w:eastAsia="Arial" w:hAnsi="Arial"/>
                <w:sz w:val="16"/>
                <w:szCs w:val="16"/>
                <w:color w:val="auto"/>
              </w:rPr>
              <w:t>0</w:t>
            </w:r>
          </w:p>
        </w:tc>
        <w:tc>
          <w:tcPr>
            <w:tcW w:w="380" w:type="dxa"/>
            <w:vAlign w:val="bottom"/>
            <w:shd w:val="clear" w:color="auto" w:fill="CCEEFF"/>
          </w:tcPr>
          <w:p>
            <w:pPr>
              <w:spacing w:after="0"/>
              <w:rPr>
                <w:sz w:val="16"/>
                <w:szCs w:val="16"/>
                <w:color w:val="auto"/>
              </w:rPr>
            </w:pPr>
          </w:p>
        </w:tc>
        <w:tc>
          <w:tcPr>
            <w:tcW w:w="900" w:type="dxa"/>
            <w:vAlign w:val="bottom"/>
            <w:shd w:val="clear" w:color="auto" w:fill="CCEEFF"/>
          </w:tcPr>
          <w:p>
            <w:pPr>
              <w:spacing w:after="0"/>
              <w:rPr>
                <w:sz w:val="16"/>
                <w:szCs w:val="16"/>
                <w:color w:val="auto"/>
              </w:rPr>
            </w:pPr>
          </w:p>
        </w:tc>
        <w:tc>
          <w:tcPr>
            <w:tcW w:w="2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880" w:type="dxa"/>
            <w:vAlign w:val="bottom"/>
            <w:shd w:val="clear" w:color="auto" w:fill="CCEEFF"/>
          </w:tcPr>
          <w:p>
            <w:pPr>
              <w:jc w:val="right"/>
              <w:ind w:right="60"/>
              <w:spacing w:after="0"/>
              <w:rPr>
                <w:sz w:val="20"/>
                <w:szCs w:val="20"/>
                <w:color w:val="auto"/>
              </w:rPr>
            </w:pPr>
            <w:r>
              <w:rPr>
                <w:rFonts w:ascii="Arial" w:cs="Arial" w:eastAsia="Arial" w:hAnsi="Arial"/>
                <w:sz w:val="16"/>
                <w:szCs w:val="16"/>
                <w:color w:val="auto"/>
              </w:rPr>
              <w:t>0</w:t>
            </w:r>
          </w:p>
        </w:tc>
        <w:tc>
          <w:tcPr>
            <w:tcW w:w="260" w:type="dxa"/>
            <w:vAlign w:val="bottom"/>
            <w:shd w:val="clear" w:color="auto" w:fill="CCEEFF"/>
          </w:tcPr>
          <w:p>
            <w:pPr>
              <w:ind w:left="160"/>
              <w:spacing w:after="0"/>
              <w:rPr>
                <w:sz w:val="20"/>
                <w:szCs w:val="20"/>
                <w:color w:val="auto"/>
              </w:rPr>
            </w:pPr>
            <w:r>
              <w:rPr>
                <w:rFonts w:ascii="Arial" w:cs="Arial" w:eastAsia="Arial" w:hAnsi="Arial"/>
                <w:sz w:val="16"/>
                <w:szCs w:val="16"/>
                <w:color w:val="auto"/>
                <w:w w:val="89"/>
              </w:rPr>
              <w:t>$</w:t>
            </w:r>
          </w:p>
        </w:tc>
        <w:tc>
          <w:tcPr>
            <w:tcW w:w="1140" w:type="dxa"/>
            <w:vAlign w:val="bottom"/>
            <w:shd w:val="clear" w:color="auto" w:fill="CCEEFF"/>
          </w:tcPr>
          <w:p>
            <w:pPr>
              <w:jc w:val="right"/>
              <w:ind w:right="80"/>
              <w:spacing w:after="0"/>
              <w:rPr>
                <w:sz w:val="20"/>
                <w:szCs w:val="20"/>
                <w:color w:val="auto"/>
              </w:rPr>
            </w:pPr>
            <w:r>
              <w:rPr>
                <w:rFonts w:ascii="Arial" w:cs="Arial" w:eastAsia="Arial" w:hAnsi="Arial"/>
                <w:sz w:val="16"/>
                <w:szCs w:val="16"/>
                <w:color w:val="auto"/>
              </w:rPr>
              <w:t>0</w:t>
            </w:r>
          </w:p>
        </w:tc>
        <w:tc>
          <w:tcPr>
            <w:tcW w:w="2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960" w:type="dxa"/>
            <w:vAlign w:val="bottom"/>
            <w:shd w:val="clear" w:color="auto" w:fill="CCEEFF"/>
          </w:tcPr>
          <w:p>
            <w:pPr>
              <w:jc w:val="right"/>
              <w:ind w:right="160"/>
              <w:spacing w:after="0"/>
              <w:rPr>
                <w:sz w:val="20"/>
                <w:szCs w:val="20"/>
                <w:color w:val="auto"/>
              </w:rPr>
            </w:pPr>
            <w:r>
              <w:rPr>
                <w:rFonts w:ascii="Arial" w:cs="Arial" w:eastAsia="Arial" w:hAnsi="Arial"/>
                <w:sz w:val="16"/>
                <w:szCs w:val="16"/>
                <w:color w:val="auto"/>
              </w:rPr>
              <w:t>155,000</w:t>
            </w:r>
          </w:p>
        </w:tc>
        <w:tc>
          <w:tcPr>
            <w:tcW w:w="20" w:type="dxa"/>
            <w:vAlign w:val="bottom"/>
          </w:tcPr>
          <w:p>
            <w:pPr>
              <w:spacing w:after="0"/>
              <w:rPr>
                <w:sz w:val="16"/>
                <w:szCs w:val="16"/>
                <w:color w:val="auto"/>
              </w:rPr>
            </w:pPr>
          </w:p>
        </w:tc>
      </w:tr>
      <w:tr>
        <w:trPr>
          <w:trHeight w:val="189"/>
        </w:trPr>
        <w:tc>
          <w:tcPr>
            <w:tcW w:w="4100" w:type="dxa"/>
            <w:vAlign w:val="bottom"/>
            <w:tcBorders>
              <w:right w:val="single" w:sz="8" w:color="auto"/>
            </w:tcBorders>
          </w:tcPr>
          <w:p>
            <w:pPr>
              <w:ind w:left="160"/>
              <w:spacing w:after="0" w:line="189" w:lineRule="exact"/>
              <w:rPr>
                <w:sz w:val="20"/>
                <w:szCs w:val="20"/>
                <w:color w:val="auto"/>
              </w:rPr>
            </w:pPr>
            <w:r>
              <w:rPr>
                <w:rFonts w:ascii="Arial" w:cs="Arial" w:eastAsia="Arial" w:hAnsi="Arial"/>
                <w:sz w:val="13"/>
                <w:szCs w:val="13"/>
                <w:color w:val="auto"/>
              </w:rPr>
              <w:t>Other Benefits</w:t>
            </w:r>
            <w:r>
              <w:rPr>
                <w:rFonts w:ascii="Arial" w:cs="Arial" w:eastAsia="Arial" w:hAnsi="Arial"/>
                <w:sz w:val="21"/>
                <w:szCs w:val="21"/>
                <w:color w:val="auto"/>
                <w:vertAlign w:val="superscript"/>
              </w:rPr>
              <w:t>(4)</w:t>
            </w:r>
          </w:p>
        </w:tc>
        <w:tc>
          <w:tcPr>
            <w:tcW w:w="180" w:type="dxa"/>
            <w:vAlign w:val="bottom"/>
          </w:tcPr>
          <w:p>
            <w:pPr>
              <w:ind w:left="100"/>
              <w:spacing w:after="0"/>
              <w:rPr>
                <w:sz w:val="20"/>
                <w:szCs w:val="20"/>
                <w:color w:val="auto"/>
              </w:rPr>
            </w:pPr>
            <w:r>
              <w:rPr>
                <w:rFonts w:ascii="Arial" w:cs="Arial" w:eastAsia="Arial" w:hAnsi="Arial"/>
                <w:sz w:val="15"/>
                <w:szCs w:val="15"/>
                <w:color w:val="auto"/>
                <w:w w:val="71"/>
              </w:rPr>
              <w:t>$</w:t>
            </w:r>
          </w:p>
        </w:tc>
        <w:tc>
          <w:tcPr>
            <w:tcW w:w="880" w:type="dxa"/>
            <w:vAlign w:val="bottom"/>
          </w:tcPr>
          <w:p>
            <w:pPr>
              <w:jc w:val="right"/>
              <w:spacing w:after="0"/>
              <w:rPr>
                <w:sz w:val="20"/>
                <w:szCs w:val="20"/>
                <w:color w:val="auto"/>
              </w:rPr>
            </w:pPr>
            <w:r>
              <w:rPr>
                <w:rFonts w:ascii="Arial" w:cs="Arial" w:eastAsia="Arial" w:hAnsi="Arial"/>
                <w:sz w:val="16"/>
                <w:szCs w:val="16"/>
                <w:color w:val="auto"/>
              </w:rPr>
              <w:t>0</w:t>
            </w:r>
          </w:p>
        </w:tc>
        <w:tc>
          <w:tcPr>
            <w:tcW w:w="960" w:type="dxa"/>
            <w:vAlign w:val="bottom"/>
          </w:tcPr>
          <w:p>
            <w:pPr>
              <w:ind w:left="220"/>
              <w:spacing w:after="0"/>
              <w:rPr>
                <w:sz w:val="20"/>
                <w:szCs w:val="20"/>
                <w:color w:val="auto"/>
              </w:rPr>
            </w:pPr>
            <w:r>
              <w:rPr>
                <w:rFonts w:ascii="Arial" w:cs="Arial" w:eastAsia="Arial" w:hAnsi="Arial"/>
                <w:sz w:val="16"/>
                <w:szCs w:val="16"/>
                <w:color w:val="auto"/>
              </w:rPr>
              <w:t>$</w:t>
            </w:r>
          </w:p>
        </w:tc>
        <w:tc>
          <w:tcPr>
            <w:tcW w:w="280" w:type="dxa"/>
            <w:vAlign w:val="bottom"/>
          </w:tcPr>
          <w:p>
            <w:pPr>
              <w:jc w:val="right"/>
              <w:ind w:right="79"/>
              <w:spacing w:after="0"/>
              <w:rPr>
                <w:sz w:val="20"/>
                <w:szCs w:val="20"/>
                <w:color w:val="auto"/>
              </w:rPr>
            </w:pPr>
            <w:r>
              <w:rPr>
                <w:rFonts w:ascii="Arial" w:cs="Arial" w:eastAsia="Arial" w:hAnsi="Arial"/>
                <w:sz w:val="16"/>
                <w:szCs w:val="16"/>
                <w:color w:val="auto"/>
              </w:rPr>
              <w:t>0</w:t>
            </w:r>
          </w:p>
        </w:tc>
        <w:tc>
          <w:tcPr>
            <w:tcW w:w="380" w:type="dxa"/>
            <w:vAlign w:val="bottom"/>
          </w:tcPr>
          <w:p>
            <w:pPr>
              <w:spacing w:after="0"/>
              <w:rPr>
                <w:sz w:val="16"/>
                <w:szCs w:val="16"/>
                <w:color w:val="auto"/>
              </w:rPr>
            </w:pPr>
          </w:p>
        </w:tc>
        <w:tc>
          <w:tcPr>
            <w:tcW w:w="900" w:type="dxa"/>
            <w:vAlign w:val="bottom"/>
          </w:tcPr>
          <w:p>
            <w:pPr>
              <w:spacing w:after="0"/>
              <w:rPr>
                <w:sz w:val="16"/>
                <w:szCs w:val="16"/>
                <w:color w:val="auto"/>
              </w:rPr>
            </w:pPr>
          </w:p>
        </w:tc>
        <w:tc>
          <w:tcPr>
            <w:tcW w:w="240" w:type="dxa"/>
            <w:vAlign w:val="bottom"/>
          </w:tcPr>
          <w:p>
            <w:pPr>
              <w:jc w:val="right"/>
              <w:spacing w:after="0"/>
              <w:rPr>
                <w:sz w:val="20"/>
                <w:szCs w:val="20"/>
                <w:color w:val="auto"/>
              </w:rPr>
            </w:pPr>
            <w:r>
              <w:rPr>
                <w:rFonts w:ascii="Arial" w:cs="Arial" w:eastAsia="Arial" w:hAnsi="Arial"/>
                <w:sz w:val="16"/>
                <w:szCs w:val="16"/>
                <w:color w:val="auto"/>
              </w:rPr>
              <w:t>$</w:t>
            </w:r>
          </w:p>
        </w:tc>
        <w:tc>
          <w:tcPr>
            <w:tcW w:w="880" w:type="dxa"/>
            <w:vAlign w:val="bottom"/>
          </w:tcPr>
          <w:p>
            <w:pPr>
              <w:jc w:val="right"/>
              <w:ind w:right="60"/>
              <w:spacing w:after="0"/>
              <w:rPr>
                <w:sz w:val="20"/>
                <w:szCs w:val="20"/>
                <w:color w:val="auto"/>
              </w:rPr>
            </w:pPr>
            <w:r>
              <w:rPr>
                <w:rFonts w:ascii="Arial" w:cs="Arial" w:eastAsia="Arial" w:hAnsi="Arial"/>
                <w:sz w:val="16"/>
                <w:szCs w:val="16"/>
                <w:color w:val="auto"/>
              </w:rPr>
              <w:t>0</w:t>
            </w:r>
          </w:p>
        </w:tc>
        <w:tc>
          <w:tcPr>
            <w:tcW w:w="260" w:type="dxa"/>
            <w:vAlign w:val="bottom"/>
          </w:tcPr>
          <w:p>
            <w:pPr>
              <w:ind w:left="160"/>
              <w:spacing w:after="0"/>
              <w:rPr>
                <w:sz w:val="20"/>
                <w:szCs w:val="20"/>
                <w:color w:val="auto"/>
              </w:rPr>
            </w:pPr>
            <w:r>
              <w:rPr>
                <w:rFonts w:ascii="Arial" w:cs="Arial" w:eastAsia="Arial" w:hAnsi="Arial"/>
                <w:sz w:val="16"/>
                <w:szCs w:val="16"/>
                <w:color w:val="auto"/>
                <w:w w:val="89"/>
              </w:rPr>
              <w:t>$</w:t>
            </w:r>
          </w:p>
        </w:tc>
        <w:tc>
          <w:tcPr>
            <w:tcW w:w="1140" w:type="dxa"/>
            <w:vAlign w:val="bottom"/>
          </w:tcPr>
          <w:p>
            <w:pPr>
              <w:jc w:val="right"/>
              <w:ind w:right="80"/>
              <w:spacing w:after="0"/>
              <w:rPr>
                <w:sz w:val="20"/>
                <w:szCs w:val="20"/>
                <w:color w:val="auto"/>
              </w:rPr>
            </w:pPr>
            <w:r>
              <w:rPr>
                <w:rFonts w:ascii="Arial" w:cs="Arial" w:eastAsia="Arial" w:hAnsi="Arial"/>
                <w:sz w:val="16"/>
                <w:szCs w:val="16"/>
                <w:color w:val="auto"/>
              </w:rPr>
              <w:t>42,500</w:t>
            </w:r>
          </w:p>
        </w:tc>
        <w:tc>
          <w:tcPr>
            <w:tcW w:w="260" w:type="dxa"/>
            <w:vAlign w:val="bottom"/>
          </w:tcPr>
          <w:p>
            <w:pPr>
              <w:jc w:val="right"/>
              <w:spacing w:after="0"/>
              <w:rPr>
                <w:sz w:val="20"/>
                <w:szCs w:val="20"/>
                <w:color w:val="auto"/>
              </w:rPr>
            </w:pPr>
            <w:r>
              <w:rPr>
                <w:rFonts w:ascii="Arial" w:cs="Arial" w:eastAsia="Arial" w:hAnsi="Arial"/>
                <w:sz w:val="16"/>
                <w:szCs w:val="16"/>
                <w:color w:val="auto"/>
              </w:rPr>
              <w:t>$</w:t>
            </w:r>
          </w:p>
        </w:tc>
        <w:tc>
          <w:tcPr>
            <w:tcW w:w="960" w:type="dxa"/>
            <w:vAlign w:val="bottom"/>
          </w:tcPr>
          <w:p>
            <w:pPr>
              <w:jc w:val="right"/>
              <w:ind w:right="160"/>
              <w:spacing w:after="0"/>
              <w:rPr>
                <w:sz w:val="20"/>
                <w:szCs w:val="20"/>
                <w:color w:val="auto"/>
              </w:rPr>
            </w:pPr>
            <w:r>
              <w:rPr>
                <w:rFonts w:ascii="Arial" w:cs="Arial" w:eastAsia="Arial" w:hAnsi="Arial"/>
                <w:sz w:val="16"/>
                <w:szCs w:val="16"/>
                <w:color w:val="auto"/>
              </w:rPr>
              <w:t>65,000</w:t>
            </w:r>
          </w:p>
        </w:tc>
        <w:tc>
          <w:tcPr>
            <w:tcW w:w="20" w:type="dxa"/>
            <w:vAlign w:val="bottom"/>
          </w:tcPr>
          <w:p>
            <w:pPr>
              <w:spacing w:after="0"/>
              <w:rPr>
                <w:sz w:val="16"/>
                <w:szCs w:val="16"/>
                <w:color w:val="auto"/>
              </w:rPr>
            </w:pPr>
          </w:p>
        </w:tc>
      </w:tr>
      <w:tr>
        <w:trPr>
          <w:trHeight w:val="189"/>
        </w:trPr>
        <w:tc>
          <w:tcPr>
            <w:tcW w:w="4100" w:type="dxa"/>
            <w:vAlign w:val="bottom"/>
            <w:tcBorders>
              <w:right w:val="single" w:sz="8" w:color="auto"/>
            </w:tcBorders>
            <w:shd w:val="clear" w:color="auto" w:fill="CCEEFF"/>
          </w:tcPr>
          <w:p>
            <w:pPr>
              <w:ind w:left="160"/>
              <w:spacing w:after="0" w:line="189" w:lineRule="exact"/>
              <w:rPr>
                <w:sz w:val="20"/>
                <w:szCs w:val="20"/>
                <w:color w:val="auto"/>
              </w:rPr>
            </w:pPr>
            <w:r>
              <w:rPr>
                <w:rFonts w:ascii="Arial" w:cs="Arial" w:eastAsia="Arial" w:hAnsi="Arial"/>
                <w:sz w:val="13"/>
                <w:szCs w:val="13"/>
                <w:color w:val="auto"/>
              </w:rPr>
              <w:t>Excise Tax Gross-Up</w:t>
            </w:r>
            <w:r>
              <w:rPr>
                <w:rFonts w:ascii="Arial" w:cs="Arial" w:eastAsia="Arial" w:hAnsi="Arial"/>
                <w:sz w:val="21"/>
                <w:szCs w:val="21"/>
                <w:color w:val="auto"/>
                <w:vertAlign w:val="superscript"/>
              </w:rPr>
              <w:t>(5)</w:t>
            </w:r>
          </w:p>
        </w:tc>
        <w:tc>
          <w:tcPr>
            <w:tcW w:w="180" w:type="dxa"/>
            <w:vAlign w:val="bottom"/>
            <w:shd w:val="clear" w:color="auto" w:fill="CCEEFF"/>
          </w:tcPr>
          <w:p>
            <w:pPr>
              <w:spacing w:after="0"/>
              <w:rPr>
                <w:sz w:val="16"/>
                <w:szCs w:val="16"/>
                <w:color w:val="auto"/>
              </w:rPr>
            </w:pPr>
          </w:p>
        </w:tc>
        <w:tc>
          <w:tcPr>
            <w:tcW w:w="880" w:type="dxa"/>
            <w:vAlign w:val="bottom"/>
            <w:shd w:val="clear" w:color="auto" w:fill="CCEEFF"/>
          </w:tcPr>
          <w:p>
            <w:pPr>
              <w:spacing w:after="0"/>
              <w:rPr>
                <w:sz w:val="16"/>
                <w:szCs w:val="16"/>
                <w:color w:val="auto"/>
              </w:rPr>
            </w:pPr>
          </w:p>
        </w:tc>
        <w:tc>
          <w:tcPr>
            <w:tcW w:w="960" w:type="dxa"/>
            <w:vAlign w:val="bottom"/>
            <w:shd w:val="clear" w:color="auto" w:fill="CCEEFF"/>
          </w:tcPr>
          <w:p>
            <w:pPr>
              <w:spacing w:after="0"/>
              <w:rPr>
                <w:sz w:val="16"/>
                <w:szCs w:val="16"/>
                <w:color w:val="auto"/>
              </w:rPr>
            </w:pPr>
          </w:p>
        </w:tc>
        <w:tc>
          <w:tcPr>
            <w:tcW w:w="280" w:type="dxa"/>
            <w:vAlign w:val="bottom"/>
            <w:shd w:val="clear" w:color="auto" w:fill="CCEEFF"/>
          </w:tcPr>
          <w:p>
            <w:pPr>
              <w:spacing w:after="0"/>
              <w:rPr>
                <w:sz w:val="16"/>
                <w:szCs w:val="16"/>
                <w:color w:val="auto"/>
              </w:rPr>
            </w:pPr>
          </w:p>
        </w:tc>
        <w:tc>
          <w:tcPr>
            <w:tcW w:w="380" w:type="dxa"/>
            <w:vAlign w:val="bottom"/>
            <w:shd w:val="clear" w:color="auto" w:fill="CCEEFF"/>
          </w:tcPr>
          <w:p>
            <w:pPr>
              <w:spacing w:after="0"/>
              <w:rPr>
                <w:sz w:val="16"/>
                <w:szCs w:val="16"/>
                <w:color w:val="auto"/>
              </w:rPr>
            </w:pPr>
          </w:p>
        </w:tc>
        <w:tc>
          <w:tcPr>
            <w:tcW w:w="900" w:type="dxa"/>
            <w:vAlign w:val="bottom"/>
            <w:shd w:val="clear" w:color="auto" w:fill="CCEEFF"/>
          </w:tcPr>
          <w:p>
            <w:pPr>
              <w:spacing w:after="0"/>
              <w:rPr>
                <w:sz w:val="16"/>
                <w:szCs w:val="16"/>
                <w:color w:val="auto"/>
              </w:rPr>
            </w:pPr>
          </w:p>
        </w:tc>
        <w:tc>
          <w:tcPr>
            <w:tcW w:w="240" w:type="dxa"/>
            <w:vAlign w:val="bottom"/>
            <w:shd w:val="clear" w:color="auto" w:fill="CCEEFF"/>
          </w:tcPr>
          <w:p>
            <w:pPr>
              <w:spacing w:after="0"/>
              <w:rPr>
                <w:sz w:val="16"/>
                <w:szCs w:val="16"/>
                <w:color w:val="auto"/>
              </w:rPr>
            </w:pPr>
          </w:p>
        </w:tc>
        <w:tc>
          <w:tcPr>
            <w:tcW w:w="880" w:type="dxa"/>
            <w:vAlign w:val="bottom"/>
            <w:shd w:val="clear" w:color="auto" w:fill="CCEEFF"/>
          </w:tcPr>
          <w:p>
            <w:pPr>
              <w:spacing w:after="0"/>
              <w:rPr>
                <w:sz w:val="16"/>
                <w:szCs w:val="16"/>
                <w:color w:val="auto"/>
              </w:rPr>
            </w:pPr>
          </w:p>
        </w:tc>
        <w:tc>
          <w:tcPr>
            <w:tcW w:w="260" w:type="dxa"/>
            <w:vAlign w:val="bottom"/>
            <w:shd w:val="clear" w:color="auto" w:fill="CCEEFF"/>
          </w:tcPr>
          <w:p>
            <w:pPr>
              <w:spacing w:after="0"/>
              <w:rPr>
                <w:sz w:val="16"/>
                <w:szCs w:val="16"/>
                <w:color w:val="auto"/>
              </w:rPr>
            </w:pPr>
          </w:p>
        </w:tc>
        <w:tc>
          <w:tcPr>
            <w:tcW w:w="1140" w:type="dxa"/>
            <w:vAlign w:val="bottom"/>
            <w:shd w:val="clear" w:color="auto" w:fill="CCEEFF"/>
          </w:tcPr>
          <w:p>
            <w:pPr>
              <w:spacing w:after="0"/>
              <w:rPr>
                <w:sz w:val="16"/>
                <w:szCs w:val="16"/>
                <w:color w:val="auto"/>
              </w:rPr>
            </w:pPr>
          </w:p>
        </w:tc>
        <w:tc>
          <w:tcPr>
            <w:tcW w:w="2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960" w:type="dxa"/>
            <w:vAlign w:val="bottom"/>
            <w:shd w:val="clear" w:color="auto" w:fill="CCEEFF"/>
          </w:tcPr>
          <w:p>
            <w:pPr>
              <w:jc w:val="right"/>
              <w:ind w:right="160"/>
              <w:spacing w:after="0"/>
              <w:rPr>
                <w:sz w:val="20"/>
                <w:szCs w:val="20"/>
                <w:color w:val="auto"/>
              </w:rPr>
            </w:pPr>
            <w:r>
              <w:rPr>
                <w:rFonts w:ascii="Arial" w:cs="Arial" w:eastAsia="Arial" w:hAnsi="Arial"/>
                <w:sz w:val="16"/>
                <w:szCs w:val="16"/>
                <w:color w:val="auto"/>
              </w:rPr>
              <w:t>0</w:t>
            </w:r>
          </w:p>
        </w:tc>
        <w:tc>
          <w:tcPr>
            <w:tcW w:w="20" w:type="dxa"/>
            <w:vAlign w:val="bottom"/>
          </w:tcPr>
          <w:p>
            <w:pPr>
              <w:spacing w:after="0"/>
              <w:rPr>
                <w:sz w:val="16"/>
                <w:szCs w:val="16"/>
                <w:color w:val="auto"/>
              </w:rPr>
            </w:pPr>
          </w:p>
        </w:tc>
      </w:tr>
      <w:tr>
        <w:trPr>
          <w:trHeight w:val="189"/>
        </w:trPr>
        <w:tc>
          <w:tcPr>
            <w:tcW w:w="4100" w:type="dxa"/>
            <w:vAlign w:val="bottom"/>
            <w:tcBorders>
              <w:bottom w:val="single" w:sz="8" w:color="auto"/>
              <w:right w:val="single" w:sz="8" w:color="auto"/>
            </w:tcBorders>
          </w:tcPr>
          <w:p>
            <w:pPr>
              <w:ind w:left="160"/>
              <w:spacing w:after="0"/>
              <w:rPr>
                <w:sz w:val="20"/>
                <w:szCs w:val="20"/>
                <w:color w:val="auto"/>
              </w:rPr>
            </w:pPr>
            <w:r>
              <w:rPr>
                <w:rFonts w:ascii="Arial" w:cs="Arial" w:eastAsia="Arial" w:hAnsi="Arial"/>
                <w:sz w:val="16"/>
                <w:szCs w:val="16"/>
                <w:color w:val="auto"/>
              </w:rPr>
              <w:t>Total</w:t>
            </w:r>
          </w:p>
        </w:tc>
        <w:tc>
          <w:tcPr>
            <w:tcW w:w="180" w:type="dxa"/>
            <w:vAlign w:val="bottom"/>
            <w:tcBorders>
              <w:bottom w:val="single" w:sz="8" w:color="auto"/>
            </w:tcBorders>
          </w:tcPr>
          <w:p>
            <w:pPr>
              <w:ind w:left="100"/>
              <w:spacing w:after="0"/>
              <w:rPr>
                <w:sz w:val="20"/>
                <w:szCs w:val="20"/>
                <w:color w:val="auto"/>
              </w:rPr>
            </w:pPr>
            <w:r>
              <w:rPr>
                <w:rFonts w:ascii="Arial" w:cs="Arial" w:eastAsia="Arial" w:hAnsi="Arial"/>
                <w:sz w:val="15"/>
                <w:szCs w:val="15"/>
                <w:color w:val="auto"/>
                <w:w w:val="71"/>
              </w:rPr>
              <w:t>$</w:t>
            </w: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0</w:t>
            </w:r>
          </w:p>
        </w:tc>
        <w:tc>
          <w:tcPr>
            <w:tcW w:w="960" w:type="dxa"/>
            <w:vAlign w:val="bottom"/>
            <w:tcBorders>
              <w:bottom w:val="single" w:sz="8" w:color="auto"/>
            </w:tcBorders>
          </w:tcPr>
          <w:p>
            <w:pPr>
              <w:ind w:left="220"/>
              <w:spacing w:after="0"/>
              <w:rPr>
                <w:sz w:val="20"/>
                <w:szCs w:val="20"/>
                <w:color w:val="auto"/>
              </w:rPr>
            </w:pPr>
            <w:r>
              <w:rPr>
                <w:rFonts w:ascii="Arial" w:cs="Arial" w:eastAsia="Arial" w:hAnsi="Arial"/>
                <w:sz w:val="16"/>
                <w:szCs w:val="16"/>
                <w:color w:val="auto"/>
              </w:rPr>
              <w:t>$</w:t>
            </w:r>
          </w:p>
        </w:tc>
        <w:tc>
          <w:tcPr>
            <w:tcW w:w="280" w:type="dxa"/>
            <w:vAlign w:val="bottom"/>
            <w:tcBorders>
              <w:bottom w:val="single" w:sz="8" w:color="auto"/>
            </w:tcBorders>
          </w:tcPr>
          <w:p>
            <w:pPr>
              <w:jc w:val="right"/>
              <w:ind w:right="79"/>
              <w:spacing w:after="0"/>
              <w:rPr>
                <w:sz w:val="20"/>
                <w:szCs w:val="20"/>
                <w:color w:val="auto"/>
              </w:rPr>
            </w:pPr>
            <w:r>
              <w:rPr>
                <w:rFonts w:ascii="Arial" w:cs="Arial" w:eastAsia="Arial" w:hAnsi="Arial"/>
                <w:sz w:val="16"/>
                <w:szCs w:val="16"/>
                <w:color w:val="auto"/>
              </w:rPr>
              <w:t>0</w:t>
            </w:r>
          </w:p>
        </w:tc>
        <w:tc>
          <w:tcPr>
            <w:tcW w:w="380" w:type="dxa"/>
            <w:vAlign w:val="bottom"/>
            <w:tcBorders>
              <w:bottom w:val="single" w:sz="8" w:color="auto"/>
            </w:tcBorders>
          </w:tcPr>
          <w:p>
            <w:pPr>
              <w:ind w:left="160"/>
              <w:spacing w:after="0"/>
              <w:rPr>
                <w:sz w:val="20"/>
                <w:szCs w:val="20"/>
                <w:color w:val="auto"/>
              </w:rPr>
            </w:pPr>
            <w:r>
              <w:rPr>
                <w:rFonts w:ascii="Arial" w:cs="Arial" w:eastAsia="Arial" w:hAnsi="Arial"/>
                <w:sz w:val="16"/>
                <w:szCs w:val="16"/>
                <w:color w:val="auto"/>
              </w:rPr>
              <w:t>$</w:t>
            </w:r>
          </w:p>
        </w:tc>
        <w:tc>
          <w:tcPr>
            <w:tcW w:w="900" w:type="dxa"/>
            <w:vAlign w:val="bottom"/>
            <w:tcBorders>
              <w:bottom w:val="single" w:sz="8" w:color="auto"/>
            </w:tcBorders>
          </w:tcPr>
          <w:p>
            <w:pPr>
              <w:jc w:val="right"/>
              <w:ind w:right="79"/>
              <w:spacing w:after="0"/>
              <w:rPr>
                <w:sz w:val="20"/>
                <w:szCs w:val="20"/>
                <w:color w:val="auto"/>
              </w:rPr>
            </w:pPr>
            <w:r>
              <w:rPr>
                <w:rFonts w:ascii="Arial" w:cs="Arial" w:eastAsia="Arial" w:hAnsi="Arial"/>
                <w:sz w:val="16"/>
                <w:szCs w:val="16"/>
                <w:color w:val="auto"/>
              </w:rPr>
              <w:t>0</w:t>
            </w:r>
          </w:p>
        </w:tc>
        <w:tc>
          <w:tcPr>
            <w:tcW w:w="2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880" w:type="dxa"/>
            <w:vAlign w:val="bottom"/>
            <w:tcBorders>
              <w:bottom w:val="single" w:sz="8" w:color="auto"/>
            </w:tcBorders>
          </w:tcPr>
          <w:p>
            <w:pPr>
              <w:jc w:val="right"/>
              <w:ind w:right="60"/>
              <w:spacing w:after="0"/>
              <w:rPr>
                <w:sz w:val="20"/>
                <w:szCs w:val="20"/>
                <w:color w:val="auto"/>
              </w:rPr>
            </w:pPr>
            <w:r>
              <w:rPr>
                <w:rFonts w:ascii="Arial" w:cs="Arial" w:eastAsia="Arial" w:hAnsi="Arial"/>
                <w:sz w:val="16"/>
                <w:szCs w:val="16"/>
                <w:color w:val="auto"/>
              </w:rPr>
              <w:t>84,219</w:t>
            </w:r>
          </w:p>
        </w:tc>
        <w:tc>
          <w:tcPr>
            <w:tcW w:w="260" w:type="dxa"/>
            <w:vAlign w:val="bottom"/>
            <w:tcBorders>
              <w:bottom w:val="single" w:sz="8" w:color="auto"/>
            </w:tcBorders>
          </w:tcPr>
          <w:p>
            <w:pPr>
              <w:ind w:left="160"/>
              <w:spacing w:after="0"/>
              <w:rPr>
                <w:sz w:val="20"/>
                <w:szCs w:val="20"/>
                <w:color w:val="auto"/>
              </w:rPr>
            </w:pPr>
            <w:r>
              <w:rPr>
                <w:rFonts w:ascii="Arial" w:cs="Arial" w:eastAsia="Arial" w:hAnsi="Arial"/>
                <w:sz w:val="16"/>
                <w:szCs w:val="16"/>
                <w:color w:val="auto"/>
                <w:w w:val="89"/>
              </w:rPr>
              <w:t>$</w:t>
            </w:r>
          </w:p>
        </w:tc>
        <w:tc>
          <w:tcPr>
            <w:tcW w:w="1140" w:type="dxa"/>
            <w:vAlign w:val="bottom"/>
            <w:tcBorders>
              <w:bottom w:val="single" w:sz="8" w:color="auto"/>
            </w:tcBorders>
          </w:tcPr>
          <w:p>
            <w:pPr>
              <w:jc w:val="right"/>
              <w:ind w:right="80"/>
              <w:spacing w:after="0"/>
              <w:rPr>
                <w:sz w:val="20"/>
                <w:szCs w:val="20"/>
                <w:color w:val="auto"/>
              </w:rPr>
            </w:pPr>
            <w:r>
              <w:rPr>
                <w:rFonts w:ascii="Arial" w:cs="Arial" w:eastAsia="Arial" w:hAnsi="Arial"/>
                <w:sz w:val="16"/>
                <w:szCs w:val="16"/>
                <w:color w:val="auto"/>
              </w:rPr>
              <w:t>990,967</w:t>
            </w:r>
          </w:p>
        </w:tc>
        <w:tc>
          <w:tcPr>
            <w:tcW w:w="1220" w:type="dxa"/>
            <w:vAlign w:val="bottom"/>
            <w:tcBorders>
              <w:bottom w:val="single" w:sz="8" w:color="auto"/>
            </w:tcBorders>
            <w:gridSpan w:val="2"/>
          </w:tcPr>
          <w:p>
            <w:pPr>
              <w:jc w:val="right"/>
              <w:ind w:right="160"/>
              <w:spacing w:after="0"/>
              <w:rPr>
                <w:sz w:val="20"/>
                <w:szCs w:val="20"/>
                <w:color w:val="auto"/>
              </w:rPr>
            </w:pPr>
            <w:r>
              <w:rPr>
                <w:rFonts w:ascii="Arial" w:cs="Arial" w:eastAsia="Arial" w:hAnsi="Arial"/>
                <w:sz w:val="16"/>
                <w:szCs w:val="16"/>
                <w:color w:val="auto"/>
              </w:rPr>
              <w:t>$2,056,411</w:t>
            </w:r>
          </w:p>
        </w:tc>
        <w:tc>
          <w:tcPr>
            <w:tcW w:w="20" w:type="dxa"/>
            <w:vAlign w:val="bottom"/>
            <w:tcBorders>
              <w:bottom w:val="single" w:sz="8" w:color="auto"/>
            </w:tcBorders>
          </w:tcPr>
          <w:p>
            <w:pPr>
              <w:spacing w:after="0"/>
              <w:rPr>
                <w:sz w:val="16"/>
                <w:szCs w:val="16"/>
                <w:color w:val="auto"/>
              </w:rPr>
            </w:pPr>
          </w:p>
        </w:tc>
      </w:tr>
      <w:tr>
        <w:trPr>
          <w:trHeight w:val="156"/>
        </w:trPr>
        <w:tc>
          <w:tcPr>
            <w:tcW w:w="4100" w:type="dxa"/>
            <w:vAlign w:val="bottom"/>
            <w:tcBorders>
              <w:bottom w:val="single" w:sz="8" w:color="auto"/>
            </w:tcBorders>
          </w:tcPr>
          <w:p>
            <w:pPr>
              <w:spacing w:after="0"/>
              <w:rPr>
                <w:sz w:val="13"/>
                <w:szCs w:val="13"/>
                <w:color w:val="auto"/>
              </w:rPr>
            </w:pPr>
          </w:p>
        </w:tc>
        <w:tc>
          <w:tcPr>
            <w:tcW w:w="180" w:type="dxa"/>
            <w:vAlign w:val="bottom"/>
            <w:tcBorders>
              <w:bottom w:val="single" w:sz="8" w:color="auto"/>
            </w:tcBorders>
          </w:tcPr>
          <w:p>
            <w:pPr>
              <w:spacing w:after="0"/>
              <w:rPr>
                <w:sz w:val="13"/>
                <w:szCs w:val="13"/>
                <w:color w:val="auto"/>
              </w:rPr>
            </w:pPr>
          </w:p>
        </w:tc>
        <w:tc>
          <w:tcPr>
            <w:tcW w:w="880" w:type="dxa"/>
            <w:vAlign w:val="bottom"/>
            <w:tcBorders>
              <w:bottom w:val="single" w:sz="8" w:color="auto"/>
            </w:tcBorders>
          </w:tcPr>
          <w:p>
            <w:pPr>
              <w:spacing w:after="0"/>
              <w:rPr>
                <w:sz w:val="13"/>
                <w:szCs w:val="13"/>
                <w:color w:val="auto"/>
              </w:rPr>
            </w:pPr>
          </w:p>
        </w:tc>
        <w:tc>
          <w:tcPr>
            <w:tcW w:w="960" w:type="dxa"/>
            <w:vAlign w:val="bottom"/>
            <w:tcBorders>
              <w:bottom w:val="single" w:sz="8" w:color="auto"/>
            </w:tcBorders>
          </w:tcPr>
          <w:p>
            <w:pPr>
              <w:jc w:val="center"/>
              <w:ind w:left="1"/>
              <w:spacing w:after="0" w:line="156" w:lineRule="exact"/>
              <w:rPr>
                <w:sz w:val="20"/>
                <w:szCs w:val="20"/>
                <w:color w:val="auto"/>
              </w:rPr>
            </w:pPr>
            <w:r>
              <w:rPr>
                <w:rFonts w:ascii="Arial" w:cs="Arial" w:eastAsia="Arial" w:hAnsi="Arial"/>
                <w:sz w:val="15"/>
                <w:szCs w:val="15"/>
                <w:b w:val="1"/>
                <w:bCs w:val="1"/>
                <w:color w:val="auto"/>
              </w:rPr>
              <w:t>Mr. Walker</w:t>
            </w:r>
          </w:p>
        </w:tc>
        <w:tc>
          <w:tcPr>
            <w:tcW w:w="280" w:type="dxa"/>
            <w:vAlign w:val="bottom"/>
            <w:tcBorders>
              <w:bottom w:val="single" w:sz="8" w:color="auto"/>
            </w:tcBorders>
          </w:tcPr>
          <w:p>
            <w:pPr>
              <w:spacing w:after="0"/>
              <w:rPr>
                <w:sz w:val="13"/>
                <w:szCs w:val="13"/>
                <w:color w:val="auto"/>
              </w:rPr>
            </w:pPr>
          </w:p>
        </w:tc>
        <w:tc>
          <w:tcPr>
            <w:tcW w:w="380" w:type="dxa"/>
            <w:vAlign w:val="bottom"/>
            <w:tcBorders>
              <w:bottom w:val="single" w:sz="8" w:color="auto"/>
            </w:tcBorders>
          </w:tcPr>
          <w:p>
            <w:pPr>
              <w:spacing w:after="0"/>
              <w:rPr>
                <w:sz w:val="13"/>
                <w:szCs w:val="13"/>
                <w:color w:val="auto"/>
              </w:rPr>
            </w:pPr>
          </w:p>
        </w:tc>
        <w:tc>
          <w:tcPr>
            <w:tcW w:w="900" w:type="dxa"/>
            <w:vAlign w:val="bottom"/>
            <w:tcBorders>
              <w:bottom w:val="single" w:sz="8" w:color="auto"/>
            </w:tcBorders>
          </w:tcPr>
          <w:p>
            <w:pPr>
              <w:spacing w:after="0"/>
              <w:rPr>
                <w:sz w:val="13"/>
                <w:szCs w:val="13"/>
                <w:color w:val="auto"/>
              </w:rPr>
            </w:pPr>
          </w:p>
        </w:tc>
        <w:tc>
          <w:tcPr>
            <w:tcW w:w="240" w:type="dxa"/>
            <w:vAlign w:val="bottom"/>
            <w:tcBorders>
              <w:bottom w:val="single" w:sz="8" w:color="auto"/>
            </w:tcBorders>
          </w:tcPr>
          <w:p>
            <w:pPr>
              <w:spacing w:after="0"/>
              <w:rPr>
                <w:sz w:val="13"/>
                <w:szCs w:val="13"/>
                <w:color w:val="auto"/>
              </w:rPr>
            </w:pPr>
          </w:p>
        </w:tc>
        <w:tc>
          <w:tcPr>
            <w:tcW w:w="880" w:type="dxa"/>
            <w:vAlign w:val="bottom"/>
            <w:tcBorders>
              <w:bottom w:val="single" w:sz="8" w:color="auto"/>
            </w:tcBorders>
          </w:tcPr>
          <w:p>
            <w:pPr>
              <w:spacing w:after="0"/>
              <w:rPr>
                <w:sz w:val="13"/>
                <w:szCs w:val="13"/>
                <w:color w:val="auto"/>
              </w:rPr>
            </w:pPr>
          </w:p>
        </w:tc>
        <w:tc>
          <w:tcPr>
            <w:tcW w:w="260" w:type="dxa"/>
            <w:vAlign w:val="bottom"/>
            <w:tcBorders>
              <w:bottom w:val="single" w:sz="8" w:color="auto"/>
            </w:tcBorders>
          </w:tcPr>
          <w:p>
            <w:pPr>
              <w:spacing w:after="0"/>
              <w:rPr>
                <w:sz w:val="13"/>
                <w:szCs w:val="13"/>
                <w:color w:val="auto"/>
              </w:rPr>
            </w:pPr>
          </w:p>
        </w:tc>
        <w:tc>
          <w:tcPr>
            <w:tcW w:w="1140" w:type="dxa"/>
            <w:vAlign w:val="bottom"/>
            <w:tcBorders>
              <w:bottom w:val="single" w:sz="8" w:color="auto"/>
            </w:tcBorders>
          </w:tcPr>
          <w:p>
            <w:pPr>
              <w:spacing w:after="0"/>
              <w:rPr>
                <w:sz w:val="13"/>
                <w:szCs w:val="13"/>
                <w:color w:val="auto"/>
              </w:rPr>
            </w:pPr>
          </w:p>
        </w:tc>
        <w:tc>
          <w:tcPr>
            <w:tcW w:w="260" w:type="dxa"/>
            <w:vAlign w:val="bottom"/>
            <w:tcBorders>
              <w:bottom w:val="single" w:sz="8" w:color="auto"/>
            </w:tcBorders>
          </w:tcPr>
          <w:p>
            <w:pPr>
              <w:spacing w:after="0"/>
              <w:rPr>
                <w:sz w:val="13"/>
                <w:szCs w:val="13"/>
                <w:color w:val="auto"/>
              </w:rPr>
            </w:pPr>
          </w:p>
        </w:tc>
        <w:tc>
          <w:tcPr>
            <w:tcW w:w="960" w:type="dxa"/>
            <w:vAlign w:val="bottom"/>
            <w:tcBorders>
              <w:bottom w:val="single" w:sz="8" w:color="auto"/>
            </w:tcBorders>
          </w:tcPr>
          <w:p>
            <w:pPr>
              <w:spacing w:after="0"/>
              <w:rPr>
                <w:sz w:val="13"/>
                <w:szCs w:val="13"/>
                <w:color w:val="auto"/>
              </w:rPr>
            </w:pPr>
          </w:p>
        </w:tc>
        <w:tc>
          <w:tcPr>
            <w:tcW w:w="20" w:type="dxa"/>
            <w:vAlign w:val="bottom"/>
            <w:tcBorders>
              <w:bottom w:val="single" w:sz="8" w:color="auto"/>
            </w:tcBorders>
          </w:tcPr>
          <w:p>
            <w:pPr>
              <w:spacing w:after="0"/>
              <w:rPr>
                <w:sz w:val="13"/>
                <w:szCs w:val="13"/>
                <w:color w:val="auto"/>
              </w:rPr>
            </w:pPr>
          </w:p>
        </w:tc>
      </w:tr>
      <w:tr>
        <w:trPr>
          <w:trHeight w:val="134"/>
        </w:trPr>
        <w:tc>
          <w:tcPr>
            <w:tcW w:w="4100" w:type="dxa"/>
            <w:vAlign w:val="bottom"/>
            <w:tcBorders>
              <w:right w:val="single" w:sz="8" w:color="auto"/>
            </w:tcBorders>
          </w:tcPr>
          <w:p>
            <w:pPr>
              <w:spacing w:after="0"/>
              <w:rPr>
                <w:sz w:val="11"/>
                <w:szCs w:val="11"/>
                <w:color w:val="auto"/>
              </w:rPr>
            </w:pPr>
          </w:p>
        </w:tc>
        <w:tc>
          <w:tcPr>
            <w:tcW w:w="180" w:type="dxa"/>
            <w:vAlign w:val="bottom"/>
          </w:tcPr>
          <w:p>
            <w:pPr>
              <w:spacing w:after="0"/>
              <w:rPr>
                <w:sz w:val="11"/>
                <w:szCs w:val="11"/>
                <w:color w:val="auto"/>
              </w:rPr>
            </w:pPr>
          </w:p>
        </w:tc>
        <w:tc>
          <w:tcPr>
            <w:tcW w:w="880" w:type="dxa"/>
            <w:vAlign w:val="bottom"/>
          </w:tcPr>
          <w:p>
            <w:pPr>
              <w:jc w:val="right"/>
              <w:ind w:right="100"/>
              <w:spacing w:after="0" w:line="134" w:lineRule="exact"/>
              <w:rPr>
                <w:sz w:val="20"/>
                <w:szCs w:val="20"/>
                <w:color w:val="auto"/>
              </w:rPr>
            </w:pPr>
            <w:r>
              <w:rPr>
                <w:rFonts w:ascii="Arial" w:cs="Arial" w:eastAsia="Arial" w:hAnsi="Arial"/>
                <w:sz w:val="15"/>
                <w:szCs w:val="15"/>
                <w:b w:val="1"/>
                <w:bCs w:val="1"/>
                <w:color w:val="auto"/>
                <w:w w:val="98"/>
              </w:rPr>
              <w:t>Voluntary</w:t>
            </w:r>
          </w:p>
        </w:tc>
        <w:tc>
          <w:tcPr>
            <w:tcW w:w="1240" w:type="dxa"/>
            <w:vAlign w:val="bottom"/>
            <w:gridSpan w:val="2"/>
          </w:tcPr>
          <w:p>
            <w:pPr>
              <w:ind w:left="220"/>
              <w:spacing w:after="0" w:line="134" w:lineRule="exact"/>
              <w:rPr>
                <w:sz w:val="20"/>
                <w:szCs w:val="20"/>
                <w:color w:val="auto"/>
              </w:rPr>
            </w:pPr>
            <w:r>
              <w:rPr>
                <w:rFonts w:ascii="Arial" w:cs="Arial" w:eastAsia="Arial" w:hAnsi="Arial"/>
                <w:sz w:val="15"/>
                <w:szCs w:val="15"/>
                <w:b w:val="1"/>
                <w:bCs w:val="1"/>
                <w:color w:val="auto"/>
              </w:rPr>
              <w:t>Termination</w:t>
            </w:r>
          </w:p>
        </w:tc>
        <w:tc>
          <w:tcPr>
            <w:tcW w:w="38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80" w:type="dxa"/>
            <w:vAlign w:val="bottom"/>
          </w:tcPr>
          <w:p>
            <w:pPr>
              <w:jc w:val="center"/>
              <w:ind w:right="160"/>
              <w:spacing w:after="0" w:line="134" w:lineRule="exact"/>
              <w:rPr>
                <w:sz w:val="20"/>
                <w:szCs w:val="20"/>
                <w:color w:val="auto"/>
              </w:rPr>
            </w:pPr>
            <w:r>
              <w:rPr>
                <w:rFonts w:ascii="Arial" w:cs="Arial" w:eastAsia="Arial" w:hAnsi="Arial"/>
                <w:sz w:val="15"/>
                <w:szCs w:val="15"/>
                <w:b w:val="1"/>
                <w:bCs w:val="1"/>
                <w:color w:val="auto"/>
                <w:w w:val="98"/>
              </w:rPr>
              <w:t>Death &amp;</w:t>
            </w:r>
          </w:p>
        </w:tc>
        <w:tc>
          <w:tcPr>
            <w:tcW w:w="260" w:type="dxa"/>
            <w:vAlign w:val="bottom"/>
          </w:tcPr>
          <w:p>
            <w:pPr>
              <w:spacing w:after="0"/>
              <w:rPr>
                <w:sz w:val="11"/>
                <w:szCs w:val="11"/>
                <w:color w:val="auto"/>
              </w:rPr>
            </w:pPr>
          </w:p>
        </w:tc>
        <w:tc>
          <w:tcPr>
            <w:tcW w:w="1140" w:type="dxa"/>
            <w:vAlign w:val="bottom"/>
          </w:tcPr>
          <w:p>
            <w:pPr>
              <w:jc w:val="right"/>
              <w:ind w:right="180"/>
              <w:spacing w:after="0" w:line="134" w:lineRule="exact"/>
              <w:rPr>
                <w:sz w:val="20"/>
                <w:szCs w:val="20"/>
                <w:color w:val="auto"/>
              </w:rPr>
            </w:pPr>
            <w:r>
              <w:rPr>
                <w:rFonts w:ascii="Arial" w:cs="Arial" w:eastAsia="Arial" w:hAnsi="Arial"/>
                <w:sz w:val="15"/>
                <w:szCs w:val="15"/>
                <w:b w:val="1"/>
                <w:bCs w:val="1"/>
                <w:color w:val="auto"/>
              </w:rPr>
              <w:t>Termination</w:t>
            </w:r>
          </w:p>
        </w:tc>
        <w:tc>
          <w:tcPr>
            <w:tcW w:w="1220" w:type="dxa"/>
            <w:vAlign w:val="bottom"/>
            <w:gridSpan w:val="2"/>
          </w:tcPr>
          <w:p>
            <w:pPr>
              <w:jc w:val="center"/>
              <w:spacing w:after="0" w:line="134" w:lineRule="exact"/>
              <w:rPr>
                <w:sz w:val="20"/>
                <w:szCs w:val="20"/>
                <w:color w:val="auto"/>
              </w:rPr>
            </w:pPr>
            <w:r>
              <w:rPr>
                <w:rFonts w:ascii="Arial" w:cs="Arial" w:eastAsia="Arial" w:hAnsi="Arial"/>
                <w:sz w:val="15"/>
                <w:szCs w:val="15"/>
                <w:b w:val="1"/>
                <w:bCs w:val="1"/>
                <w:color w:val="auto"/>
              </w:rPr>
              <w:t>Change in</w:t>
            </w:r>
          </w:p>
        </w:tc>
        <w:tc>
          <w:tcPr>
            <w:tcW w:w="20" w:type="dxa"/>
            <w:vAlign w:val="bottom"/>
          </w:tcPr>
          <w:p>
            <w:pPr>
              <w:spacing w:after="0"/>
              <w:rPr>
                <w:sz w:val="11"/>
                <w:szCs w:val="11"/>
                <w:color w:val="auto"/>
              </w:rPr>
            </w:pPr>
          </w:p>
        </w:tc>
      </w:tr>
      <w:tr>
        <w:trPr>
          <w:trHeight w:val="183"/>
        </w:trPr>
        <w:tc>
          <w:tcPr>
            <w:tcW w:w="4100" w:type="dxa"/>
            <w:vAlign w:val="bottom"/>
            <w:tcBorders>
              <w:bottom w:val="single" w:sz="8" w:color="auto"/>
              <w:right w:val="single" w:sz="8" w:color="auto"/>
            </w:tcBorders>
          </w:tcPr>
          <w:p>
            <w:pPr>
              <w:spacing w:after="0"/>
              <w:rPr>
                <w:sz w:val="15"/>
                <w:szCs w:val="15"/>
                <w:color w:val="auto"/>
              </w:rPr>
            </w:pPr>
          </w:p>
        </w:tc>
        <w:tc>
          <w:tcPr>
            <w:tcW w:w="1060" w:type="dxa"/>
            <w:vAlign w:val="bottom"/>
            <w:tcBorders>
              <w:bottom w:val="single" w:sz="8" w:color="auto"/>
            </w:tcBorders>
            <w:gridSpan w:val="2"/>
          </w:tcPr>
          <w:p>
            <w:pPr>
              <w:ind w:left="100"/>
              <w:spacing w:after="0"/>
              <w:rPr>
                <w:sz w:val="20"/>
                <w:szCs w:val="20"/>
                <w:color w:val="auto"/>
              </w:rPr>
            </w:pPr>
            <w:r>
              <w:rPr>
                <w:rFonts w:ascii="Arial" w:cs="Arial" w:eastAsia="Arial" w:hAnsi="Arial"/>
                <w:sz w:val="15"/>
                <w:szCs w:val="15"/>
                <w:b w:val="1"/>
                <w:bCs w:val="1"/>
                <w:color w:val="auto"/>
              </w:rPr>
              <w:t>Resignation</w:t>
            </w:r>
          </w:p>
        </w:tc>
        <w:tc>
          <w:tcPr>
            <w:tcW w:w="1240" w:type="dxa"/>
            <w:vAlign w:val="bottom"/>
            <w:tcBorders>
              <w:bottom w:val="single" w:sz="8" w:color="auto"/>
            </w:tcBorders>
            <w:gridSpan w:val="2"/>
          </w:tcPr>
          <w:p>
            <w:pPr>
              <w:ind w:left="240"/>
              <w:spacing w:after="0"/>
              <w:rPr>
                <w:sz w:val="20"/>
                <w:szCs w:val="20"/>
                <w:color w:val="auto"/>
              </w:rPr>
            </w:pPr>
            <w:r>
              <w:rPr>
                <w:rFonts w:ascii="Arial" w:cs="Arial" w:eastAsia="Arial" w:hAnsi="Arial"/>
                <w:sz w:val="15"/>
                <w:szCs w:val="15"/>
                <w:b w:val="1"/>
                <w:bCs w:val="1"/>
                <w:color w:val="auto"/>
              </w:rPr>
              <w:t>With Cause</w:t>
            </w:r>
          </w:p>
        </w:tc>
        <w:tc>
          <w:tcPr>
            <w:tcW w:w="1280" w:type="dxa"/>
            <w:vAlign w:val="bottom"/>
            <w:tcBorders>
              <w:bottom w:val="single" w:sz="8" w:color="auto"/>
            </w:tcBorders>
            <w:gridSpan w:val="2"/>
          </w:tcPr>
          <w:p>
            <w:pPr>
              <w:ind w:left="160"/>
              <w:spacing w:after="0"/>
              <w:rPr>
                <w:sz w:val="20"/>
                <w:szCs w:val="20"/>
                <w:color w:val="auto"/>
              </w:rPr>
            </w:pPr>
            <w:r>
              <w:rPr>
                <w:rFonts w:ascii="Arial" w:cs="Arial" w:eastAsia="Arial" w:hAnsi="Arial"/>
                <w:sz w:val="15"/>
                <w:szCs w:val="15"/>
                <w:b w:val="1"/>
                <w:bCs w:val="1"/>
                <w:color w:val="auto"/>
              </w:rPr>
              <w:t>Retirement</w:t>
            </w:r>
            <w:r>
              <w:rPr>
                <w:rFonts w:ascii="Arial" w:cs="Arial" w:eastAsia="Arial" w:hAnsi="Arial"/>
                <w:sz w:val="13"/>
                <w:szCs w:val="13"/>
                <w:b w:val="1"/>
                <w:bCs w:val="1"/>
                <w:color w:val="auto"/>
              </w:rPr>
              <w:t>(6)</w:t>
            </w:r>
          </w:p>
        </w:tc>
        <w:tc>
          <w:tcPr>
            <w:tcW w:w="1120" w:type="dxa"/>
            <w:vAlign w:val="bottom"/>
            <w:tcBorders>
              <w:bottom w:val="single" w:sz="8" w:color="auto"/>
            </w:tcBorders>
            <w:gridSpan w:val="2"/>
          </w:tcPr>
          <w:p>
            <w:pPr>
              <w:jc w:val="center"/>
              <w:spacing w:after="0"/>
              <w:rPr>
                <w:sz w:val="20"/>
                <w:szCs w:val="20"/>
                <w:color w:val="auto"/>
              </w:rPr>
            </w:pPr>
            <w:r>
              <w:rPr>
                <w:rFonts w:ascii="Arial" w:cs="Arial" w:eastAsia="Arial" w:hAnsi="Arial"/>
                <w:sz w:val="15"/>
                <w:szCs w:val="15"/>
                <w:b w:val="1"/>
                <w:bCs w:val="1"/>
                <w:color w:val="auto"/>
              </w:rPr>
              <w:t>Disability</w:t>
            </w:r>
          </w:p>
        </w:tc>
        <w:tc>
          <w:tcPr>
            <w:tcW w:w="1400" w:type="dxa"/>
            <w:vAlign w:val="bottom"/>
            <w:tcBorders>
              <w:bottom w:val="single" w:sz="8" w:color="auto"/>
            </w:tcBorders>
            <w:gridSpan w:val="2"/>
          </w:tcPr>
          <w:p>
            <w:pPr>
              <w:ind w:left="160"/>
              <w:spacing w:after="0"/>
              <w:rPr>
                <w:sz w:val="20"/>
                <w:szCs w:val="20"/>
                <w:color w:val="auto"/>
              </w:rPr>
            </w:pPr>
            <w:r>
              <w:rPr>
                <w:rFonts w:ascii="Arial" w:cs="Arial" w:eastAsia="Arial" w:hAnsi="Arial"/>
                <w:sz w:val="15"/>
                <w:szCs w:val="15"/>
                <w:b w:val="1"/>
                <w:bCs w:val="1"/>
                <w:color w:val="auto"/>
              </w:rPr>
              <w:t>Without Cause</w:t>
            </w:r>
          </w:p>
        </w:tc>
        <w:tc>
          <w:tcPr>
            <w:tcW w:w="260" w:type="dxa"/>
            <w:vAlign w:val="bottom"/>
            <w:tcBorders>
              <w:bottom w:val="single" w:sz="8" w:color="auto"/>
            </w:tcBorders>
          </w:tcPr>
          <w:p>
            <w:pPr>
              <w:spacing w:after="0"/>
              <w:rPr>
                <w:sz w:val="15"/>
                <w:szCs w:val="15"/>
                <w:color w:val="auto"/>
              </w:rPr>
            </w:pPr>
          </w:p>
        </w:tc>
        <w:tc>
          <w:tcPr>
            <w:tcW w:w="960" w:type="dxa"/>
            <w:vAlign w:val="bottom"/>
            <w:tcBorders>
              <w:bottom w:val="single" w:sz="8" w:color="auto"/>
            </w:tcBorders>
          </w:tcPr>
          <w:p>
            <w:pPr>
              <w:jc w:val="center"/>
              <w:ind w:right="260"/>
              <w:spacing w:after="0"/>
              <w:rPr>
                <w:sz w:val="20"/>
                <w:szCs w:val="20"/>
                <w:color w:val="auto"/>
              </w:rPr>
            </w:pPr>
            <w:r>
              <w:rPr>
                <w:rFonts w:ascii="Arial" w:cs="Arial" w:eastAsia="Arial" w:hAnsi="Arial"/>
                <w:sz w:val="15"/>
                <w:szCs w:val="15"/>
                <w:b w:val="1"/>
                <w:bCs w:val="1"/>
                <w:color w:val="auto"/>
              </w:rPr>
              <w:t>Control</w:t>
            </w:r>
          </w:p>
        </w:tc>
        <w:tc>
          <w:tcPr>
            <w:tcW w:w="20" w:type="dxa"/>
            <w:vAlign w:val="bottom"/>
            <w:tcBorders>
              <w:bottom w:val="single" w:sz="8" w:color="auto"/>
            </w:tcBorders>
          </w:tcPr>
          <w:p>
            <w:pPr>
              <w:spacing w:after="0"/>
              <w:rPr>
                <w:sz w:val="15"/>
                <w:szCs w:val="15"/>
                <w:color w:val="auto"/>
              </w:rPr>
            </w:pPr>
          </w:p>
        </w:tc>
      </w:tr>
      <w:tr>
        <w:trPr>
          <w:trHeight w:val="183"/>
        </w:trPr>
        <w:tc>
          <w:tcPr>
            <w:tcW w:w="4100" w:type="dxa"/>
            <w:vAlign w:val="bottom"/>
            <w:tcBorders>
              <w:right w:val="single" w:sz="8" w:color="auto"/>
            </w:tcBorders>
            <w:shd w:val="clear" w:color="auto" w:fill="CCEEFF"/>
          </w:tcPr>
          <w:p>
            <w:pPr>
              <w:ind w:left="160"/>
              <w:spacing w:after="0" w:line="183" w:lineRule="exact"/>
              <w:rPr>
                <w:sz w:val="20"/>
                <w:szCs w:val="20"/>
                <w:color w:val="auto"/>
              </w:rPr>
            </w:pPr>
            <w:r>
              <w:rPr>
                <w:rFonts w:ascii="Arial" w:cs="Arial" w:eastAsia="Arial" w:hAnsi="Arial"/>
                <w:sz w:val="13"/>
                <w:szCs w:val="13"/>
                <w:color w:val="auto"/>
              </w:rPr>
              <w:t>Cash Severance</w:t>
            </w:r>
            <w:r>
              <w:rPr>
                <w:rFonts w:ascii="Arial" w:cs="Arial" w:eastAsia="Arial" w:hAnsi="Arial"/>
                <w:sz w:val="21"/>
                <w:szCs w:val="21"/>
                <w:color w:val="auto"/>
                <w:vertAlign w:val="superscript"/>
              </w:rPr>
              <w:t>(1)</w:t>
            </w:r>
          </w:p>
        </w:tc>
        <w:tc>
          <w:tcPr>
            <w:tcW w:w="180" w:type="dxa"/>
            <w:vAlign w:val="bottom"/>
            <w:shd w:val="clear" w:color="auto" w:fill="CCEEFF"/>
          </w:tcPr>
          <w:p>
            <w:pPr>
              <w:ind w:left="100"/>
              <w:spacing w:after="0"/>
              <w:rPr>
                <w:sz w:val="20"/>
                <w:szCs w:val="20"/>
                <w:color w:val="auto"/>
              </w:rPr>
            </w:pPr>
            <w:r>
              <w:rPr>
                <w:rFonts w:ascii="Arial" w:cs="Arial" w:eastAsia="Arial" w:hAnsi="Arial"/>
                <w:sz w:val="15"/>
                <w:szCs w:val="15"/>
                <w:color w:val="auto"/>
                <w:w w:val="71"/>
              </w:rPr>
              <w:t>$</w:t>
            </w:r>
          </w:p>
        </w:tc>
        <w:tc>
          <w:tcPr>
            <w:tcW w:w="880" w:type="dxa"/>
            <w:vAlign w:val="bottom"/>
            <w:shd w:val="clear" w:color="auto" w:fill="CCEEFF"/>
          </w:tcPr>
          <w:p>
            <w:pPr>
              <w:jc w:val="right"/>
              <w:spacing w:after="0" w:line="183" w:lineRule="exact"/>
              <w:rPr>
                <w:sz w:val="20"/>
                <w:szCs w:val="20"/>
                <w:color w:val="auto"/>
              </w:rPr>
            </w:pPr>
            <w:r>
              <w:rPr>
                <w:rFonts w:ascii="Arial" w:cs="Arial" w:eastAsia="Arial" w:hAnsi="Arial"/>
                <w:sz w:val="16"/>
                <w:szCs w:val="16"/>
                <w:color w:val="auto"/>
              </w:rPr>
              <w:t>0</w:t>
            </w:r>
          </w:p>
        </w:tc>
        <w:tc>
          <w:tcPr>
            <w:tcW w:w="960" w:type="dxa"/>
            <w:vAlign w:val="bottom"/>
            <w:shd w:val="clear" w:color="auto" w:fill="CCEEFF"/>
          </w:tcPr>
          <w:p>
            <w:pPr>
              <w:ind w:left="220"/>
              <w:spacing w:after="0" w:line="183" w:lineRule="exact"/>
              <w:rPr>
                <w:sz w:val="20"/>
                <w:szCs w:val="20"/>
                <w:color w:val="auto"/>
              </w:rPr>
            </w:pPr>
            <w:r>
              <w:rPr>
                <w:rFonts w:ascii="Arial" w:cs="Arial" w:eastAsia="Arial" w:hAnsi="Arial"/>
                <w:sz w:val="16"/>
                <w:szCs w:val="16"/>
                <w:color w:val="auto"/>
              </w:rPr>
              <w:t>$</w:t>
            </w:r>
          </w:p>
        </w:tc>
        <w:tc>
          <w:tcPr>
            <w:tcW w:w="280" w:type="dxa"/>
            <w:vAlign w:val="bottom"/>
            <w:shd w:val="clear" w:color="auto" w:fill="CCEEFF"/>
          </w:tcPr>
          <w:p>
            <w:pPr>
              <w:jc w:val="right"/>
              <w:ind w:right="79"/>
              <w:spacing w:after="0" w:line="183" w:lineRule="exact"/>
              <w:rPr>
                <w:sz w:val="20"/>
                <w:szCs w:val="20"/>
                <w:color w:val="auto"/>
              </w:rPr>
            </w:pPr>
            <w:r>
              <w:rPr>
                <w:rFonts w:ascii="Arial" w:cs="Arial" w:eastAsia="Arial" w:hAnsi="Arial"/>
                <w:sz w:val="16"/>
                <w:szCs w:val="16"/>
                <w:color w:val="auto"/>
              </w:rPr>
              <w:t>0</w:t>
            </w:r>
          </w:p>
        </w:tc>
        <w:tc>
          <w:tcPr>
            <w:tcW w:w="380" w:type="dxa"/>
            <w:vAlign w:val="bottom"/>
            <w:shd w:val="clear" w:color="auto" w:fill="CCEEFF"/>
          </w:tcPr>
          <w:p>
            <w:pPr>
              <w:ind w:left="160"/>
              <w:spacing w:after="0" w:line="183" w:lineRule="exact"/>
              <w:rPr>
                <w:sz w:val="20"/>
                <w:szCs w:val="20"/>
                <w:color w:val="auto"/>
              </w:rPr>
            </w:pPr>
            <w:r>
              <w:rPr>
                <w:rFonts w:ascii="Arial" w:cs="Arial" w:eastAsia="Arial" w:hAnsi="Arial"/>
                <w:sz w:val="16"/>
                <w:szCs w:val="16"/>
                <w:color w:val="auto"/>
              </w:rPr>
              <w:t>$</w:t>
            </w:r>
          </w:p>
        </w:tc>
        <w:tc>
          <w:tcPr>
            <w:tcW w:w="900" w:type="dxa"/>
            <w:vAlign w:val="bottom"/>
            <w:shd w:val="clear" w:color="auto" w:fill="CCEEFF"/>
          </w:tcPr>
          <w:p>
            <w:pPr>
              <w:jc w:val="right"/>
              <w:ind w:right="79"/>
              <w:spacing w:after="0" w:line="183" w:lineRule="exact"/>
              <w:rPr>
                <w:sz w:val="20"/>
                <w:szCs w:val="20"/>
                <w:color w:val="auto"/>
              </w:rPr>
            </w:pPr>
            <w:r>
              <w:rPr>
                <w:rFonts w:ascii="Arial" w:cs="Arial" w:eastAsia="Arial" w:hAnsi="Arial"/>
                <w:sz w:val="16"/>
                <w:szCs w:val="16"/>
                <w:color w:val="auto"/>
              </w:rPr>
              <w:t>0</w:t>
            </w:r>
          </w:p>
        </w:tc>
        <w:tc>
          <w:tcPr>
            <w:tcW w:w="240" w:type="dxa"/>
            <w:vAlign w:val="bottom"/>
            <w:shd w:val="clear" w:color="auto" w:fill="CCEEFF"/>
          </w:tcPr>
          <w:p>
            <w:pPr>
              <w:jc w:val="right"/>
              <w:spacing w:after="0" w:line="183" w:lineRule="exact"/>
              <w:rPr>
                <w:sz w:val="20"/>
                <w:szCs w:val="20"/>
                <w:color w:val="auto"/>
              </w:rPr>
            </w:pPr>
            <w:r>
              <w:rPr>
                <w:rFonts w:ascii="Arial" w:cs="Arial" w:eastAsia="Arial" w:hAnsi="Arial"/>
                <w:sz w:val="16"/>
                <w:szCs w:val="16"/>
                <w:color w:val="auto"/>
              </w:rPr>
              <w:t>$</w:t>
            </w:r>
          </w:p>
        </w:tc>
        <w:tc>
          <w:tcPr>
            <w:tcW w:w="880" w:type="dxa"/>
            <w:vAlign w:val="bottom"/>
            <w:shd w:val="clear" w:color="auto" w:fill="CCEEFF"/>
          </w:tcPr>
          <w:p>
            <w:pPr>
              <w:jc w:val="right"/>
              <w:ind w:right="60"/>
              <w:spacing w:after="0" w:line="183" w:lineRule="exact"/>
              <w:rPr>
                <w:sz w:val="20"/>
                <w:szCs w:val="20"/>
                <w:color w:val="auto"/>
              </w:rPr>
            </w:pPr>
            <w:r>
              <w:rPr>
                <w:rFonts w:ascii="Arial" w:cs="Arial" w:eastAsia="Arial" w:hAnsi="Arial"/>
                <w:sz w:val="16"/>
                <w:szCs w:val="16"/>
                <w:color w:val="auto"/>
              </w:rPr>
              <w:t>0</w:t>
            </w:r>
          </w:p>
        </w:tc>
        <w:tc>
          <w:tcPr>
            <w:tcW w:w="260" w:type="dxa"/>
            <w:vAlign w:val="bottom"/>
            <w:shd w:val="clear" w:color="auto" w:fill="CCEEFF"/>
          </w:tcPr>
          <w:p>
            <w:pPr>
              <w:ind w:left="160"/>
              <w:spacing w:after="0" w:line="183" w:lineRule="exact"/>
              <w:rPr>
                <w:sz w:val="20"/>
                <w:szCs w:val="20"/>
                <w:color w:val="auto"/>
              </w:rPr>
            </w:pPr>
            <w:r>
              <w:rPr>
                <w:rFonts w:ascii="Arial" w:cs="Arial" w:eastAsia="Arial" w:hAnsi="Arial"/>
                <w:sz w:val="16"/>
                <w:szCs w:val="16"/>
                <w:color w:val="auto"/>
                <w:w w:val="89"/>
              </w:rPr>
              <w:t>$</w:t>
            </w:r>
          </w:p>
        </w:tc>
        <w:tc>
          <w:tcPr>
            <w:tcW w:w="1140" w:type="dxa"/>
            <w:vAlign w:val="bottom"/>
            <w:shd w:val="clear" w:color="auto" w:fill="CCEEFF"/>
          </w:tcPr>
          <w:p>
            <w:pPr>
              <w:jc w:val="right"/>
              <w:ind w:right="80"/>
              <w:spacing w:after="0" w:line="183" w:lineRule="exact"/>
              <w:rPr>
                <w:sz w:val="20"/>
                <w:szCs w:val="20"/>
                <w:color w:val="auto"/>
              </w:rPr>
            </w:pPr>
            <w:r>
              <w:rPr>
                <w:rFonts w:ascii="Arial" w:cs="Arial" w:eastAsia="Arial" w:hAnsi="Arial"/>
                <w:sz w:val="16"/>
                <w:szCs w:val="16"/>
                <w:color w:val="auto"/>
              </w:rPr>
              <w:t>902,343</w:t>
            </w:r>
          </w:p>
        </w:tc>
        <w:tc>
          <w:tcPr>
            <w:tcW w:w="1220" w:type="dxa"/>
            <w:vAlign w:val="bottom"/>
            <w:gridSpan w:val="2"/>
            <w:shd w:val="clear" w:color="auto" w:fill="CCEEFF"/>
          </w:tcPr>
          <w:p>
            <w:pPr>
              <w:jc w:val="right"/>
              <w:ind w:right="160"/>
              <w:spacing w:after="0" w:line="183" w:lineRule="exact"/>
              <w:rPr>
                <w:sz w:val="20"/>
                <w:szCs w:val="20"/>
                <w:color w:val="auto"/>
              </w:rPr>
            </w:pPr>
            <w:r>
              <w:rPr>
                <w:rFonts w:ascii="Arial" w:cs="Arial" w:eastAsia="Arial" w:hAnsi="Arial"/>
                <w:sz w:val="16"/>
                <w:szCs w:val="16"/>
                <w:color w:val="auto"/>
              </w:rPr>
              <w:t>$1,804,686</w:t>
            </w:r>
          </w:p>
        </w:tc>
        <w:tc>
          <w:tcPr>
            <w:tcW w:w="20" w:type="dxa"/>
            <w:vAlign w:val="bottom"/>
          </w:tcPr>
          <w:p>
            <w:pPr>
              <w:spacing w:after="0"/>
              <w:rPr>
                <w:sz w:val="15"/>
                <w:szCs w:val="15"/>
                <w:color w:val="auto"/>
              </w:rPr>
            </w:pPr>
          </w:p>
        </w:tc>
      </w:tr>
      <w:tr>
        <w:trPr>
          <w:trHeight w:val="189"/>
        </w:trPr>
        <w:tc>
          <w:tcPr>
            <w:tcW w:w="4100" w:type="dxa"/>
            <w:vAlign w:val="bottom"/>
            <w:tcBorders>
              <w:right w:val="single" w:sz="8" w:color="auto"/>
            </w:tcBorders>
          </w:tcPr>
          <w:p>
            <w:pPr>
              <w:ind w:left="160"/>
              <w:spacing w:after="0" w:line="189" w:lineRule="exact"/>
              <w:rPr>
                <w:sz w:val="20"/>
                <w:szCs w:val="20"/>
                <w:color w:val="auto"/>
              </w:rPr>
            </w:pPr>
            <w:r>
              <w:rPr>
                <w:rFonts w:ascii="Arial" w:cs="Arial" w:eastAsia="Arial" w:hAnsi="Arial"/>
                <w:sz w:val="13"/>
                <w:szCs w:val="13"/>
                <w:color w:val="auto"/>
              </w:rPr>
              <w:t>Equity</w:t>
            </w:r>
            <w:r>
              <w:rPr>
                <w:rFonts w:ascii="Arial" w:cs="Arial" w:eastAsia="Arial" w:hAnsi="Arial"/>
                <w:sz w:val="21"/>
                <w:szCs w:val="21"/>
                <w:color w:val="auto"/>
                <w:vertAlign w:val="superscript"/>
              </w:rPr>
              <w:t>(2)</w:t>
            </w:r>
          </w:p>
        </w:tc>
        <w:tc>
          <w:tcPr>
            <w:tcW w:w="180" w:type="dxa"/>
            <w:vAlign w:val="bottom"/>
          </w:tcPr>
          <w:p>
            <w:pPr>
              <w:ind w:left="100"/>
              <w:spacing w:after="0"/>
              <w:rPr>
                <w:sz w:val="20"/>
                <w:szCs w:val="20"/>
                <w:color w:val="auto"/>
              </w:rPr>
            </w:pPr>
            <w:r>
              <w:rPr>
                <w:rFonts w:ascii="Arial" w:cs="Arial" w:eastAsia="Arial" w:hAnsi="Arial"/>
                <w:sz w:val="15"/>
                <w:szCs w:val="15"/>
                <w:color w:val="auto"/>
                <w:w w:val="71"/>
              </w:rPr>
              <w:t>$</w:t>
            </w:r>
          </w:p>
        </w:tc>
        <w:tc>
          <w:tcPr>
            <w:tcW w:w="880" w:type="dxa"/>
            <w:vAlign w:val="bottom"/>
          </w:tcPr>
          <w:p>
            <w:pPr>
              <w:jc w:val="right"/>
              <w:spacing w:after="0"/>
              <w:rPr>
                <w:sz w:val="20"/>
                <w:szCs w:val="20"/>
                <w:color w:val="auto"/>
              </w:rPr>
            </w:pPr>
            <w:r>
              <w:rPr>
                <w:rFonts w:ascii="Arial" w:cs="Arial" w:eastAsia="Arial" w:hAnsi="Arial"/>
                <w:sz w:val="16"/>
                <w:szCs w:val="16"/>
                <w:color w:val="auto"/>
              </w:rPr>
              <w:t>0</w:t>
            </w:r>
          </w:p>
        </w:tc>
        <w:tc>
          <w:tcPr>
            <w:tcW w:w="960" w:type="dxa"/>
            <w:vAlign w:val="bottom"/>
          </w:tcPr>
          <w:p>
            <w:pPr>
              <w:ind w:left="220"/>
              <w:spacing w:after="0"/>
              <w:rPr>
                <w:sz w:val="20"/>
                <w:szCs w:val="20"/>
                <w:color w:val="auto"/>
              </w:rPr>
            </w:pPr>
            <w:r>
              <w:rPr>
                <w:rFonts w:ascii="Arial" w:cs="Arial" w:eastAsia="Arial" w:hAnsi="Arial"/>
                <w:sz w:val="16"/>
                <w:szCs w:val="16"/>
                <w:color w:val="auto"/>
              </w:rPr>
              <w:t>$</w:t>
            </w:r>
          </w:p>
        </w:tc>
        <w:tc>
          <w:tcPr>
            <w:tcW w:w="280" w:type="dxa"/>
            <w:vAlign w:val="bottom"/>
          </w:tcPr>
          <w:p>
            <w:pPr>
              <w:jc w:val="right"/>
              <w:ind w:right="79"/>
              <w:spacing w:after="0"/>
              <w:rPr>
                <w:sz w:val="20"/>
                <w:szCs w:val="20"/>
                <w:color w:val="auto"/>
              </w:rPr>
            </w:pPr>
            <w:r>
              <w:rPr>
                <w:rFonts w:ascii="Arial" w:cs="Arial" w:eastAsia="Arial" w:hAnsi="Arial"/>
                <w:sz w:val="16"/>
                <w:szCs w:val="16"/>
                <w:color w:val="auto"/>
              </w:rPr>
              <w:t>0</w:t>
            </w:r>
          </w:p>
        </w:tc>
        <w:tc>
          <w:tcPr>
            <w:tcW w:w="380" w:type="dxa"/>
            <w:vAlign w:val="bottom"/>
          </w:tcPr>
          <w:p>
            <w:pPr>
              <w:ind w:left="160"/>
              <w:spacing w:after="0"/>
              <w:rPr>
                <w:sz w:val="20"/>
                <w:szCs w:val="20"/>
                <w:color w:val="auto"/>
              </w:rPr>
            </w:pPr>
            <w:r>
              <w:rPr>
                <w:rFonts w:ascii="Arial" w:cs="Arial" w:eastAsia="Arial" w:hAnsi="Arial"/>
                <w:sz w:val="16"/>
                <w:szCs w:val="16"/>
                <w:color w:val="auto"/>
              </w:rPr>
              <w:t>$</w:t>
            </w:r>
          </w:p>
        </w:tc>
        <w:tc>
          <w:tcPr>
            <w:tcW w:w="900" w:type="dxa"/>
            <w:vAlign w:val="bottom"/>
          </w:tcPr>
          <w:p>
            <w:pPr>
              <w:jc w:val="right"/>
              <w:ind w:right="79"/>
              <w:spacing w:after="0"/>
              <w:rPr>
                <w:sz w:val="20"/>
                <w:szCs w:val="20"/>
                <w:color w:val="auto"/>
              </w:rPr>
            </w:pPr>
            <w:r>
              <w:rPr>
                <w:rFonts w:ascii="Arial" w:cs="Arial" w:eastAsia="Arial" w:hAnsi="Arial"/>
                <w:sz w:val="16"/>
                <w:szCs w:val="16"/>
                <w:color w:val="auto"/>
              </w:rPr>
              <w:t>25,466</w:t>
            </w:r>
          </w:p>
        </w:tc>
        <w:tc>
          <w:tcPr>
            <w:tcW w:w="240" w:type="dxa"/>
            <w:vAlign w:val="bottom"/>
          </w:tcPr>
          <w:p>
            <w:pPr>
              <w:jc w:val="right"/>
              <w:spacing w:after="0"/>
              <w:rPr>
                <w:sz w:val="20"/>
                <w:szCs w:val="20"/>
                <w:color w:val="auto"/>
              </w:rPr>
            </w:pPr>
            <w:r>
              <w:rPr>
                <w:rFonts w:ascii="Arial" w:cs="Arial" w:eastAsia="Arial" w:hAnsi="Arial"/>
                <w:sz w:val="16"/>
                <w:szCs w:val="16"/>
                <w:color w:val="auto"/>
              </w:rPr>
              <w:t>$</w:t>
            </w:r>
          </w:p>
        </w:tc>
        <w:tc>
          <w:tcPr>
            <w:tcW w:w="880" w:type="dxa"/>
            <w:vAlign w:val="bottom"/>
          </w:tcPr>
          <w:p>
            <w:pPr>
              <w:jc w:val="right"/>
              <w:ind w:right="60"/>
              <w:spacing w:after="0"/>
              <w:rPr>
                <w:sz w:val="20"/>
                <w:szCs w:val="20"/>
                <w:color w:val="auto"/>
              </w:rPr>
            </w:pPr>
            <w:r>
              <w:rPr>
                <w:rFonts w:ascii="Arial" w:cs="Arial" w:eastAsia="Arial" w:hAnsi="Arial"/>
                <w:sz w:val="16"/>
                <w:szCs w:val="16"/>
                <w:color w:val="auto"/>
              </w:rPr>
              <w:t>64,526</w:t>
            </w:r>
          </w:p>
        </w:tc>
        <w:tc>
          <w:tcPr>
            <w:tcW w:w="260" w:type="dxa"/>
            <w:vAlign w:val="bottom"/>
          </w:tcPr>
          <w:p>
            <w:pPr>
              <w:ind w:left="160"/>
              <w:spacing w:after="0"/>
              <w:rPr>
                <w:sz w:val="20"/>
                <w:szCs w:val="20"/>
                <w:color w:val="auto"/>
              </w:rPr>
            </w:pPr>
            <w:r>
              <w:rPr>
                <w:rFonts w:ascii="Arial" w:cs="Arial" w:eastAsia="Arial" w:hAnsi="Arial"/>
                <w:sz w:val="16"/>
                <w:szCs w:val="16"/>
                <w:color w:val="auto"/>
                <w:w w:val="89"/>
              </w:rPr>
              <w:t>$</w:t>
            </w:r>
          </w:p>
        </w:tc>
        <w:tc>
          <w:tcPr>
            <w:tcW w:w="1140" w:type="dxa"/>
            <w:vAlign w:val="bottom"/>
          </w:tcPr>
          <w:p>
            <w:pPr>
              <w:jc w:val="right"/>
              <w:ind w:right="80"/>
              <w:spacing w:after="0"/>
              <w:rPr>
                <w:sz w:val="20"/>
                <w:szCs w:val="20"/>
                <w:color w:val="auto"/>
              </w:rPr>
            </w:pPr>
            <w:r>
              <w:rPr>
                <w:rFonts w:ascii="Arial" w:cs="Arial" w:eastAsia="Arial" w:hAnsi="Arial"/>
                <w:sz w:val="16"/>
                <w:szCs w:val="16"/>
                <w:color w:val="auto"/>
              </w:rPr>
              <w:t>55,867</w:t>
            </w:r>
          </w:p>
        </w:tc>
        <w:tc>
          <w:tcPr>
            <w:tcW w:w="260" w:type="dxa"/>
            <w:vAlign w:val="bottom"/>
          </w:tcPr>
          <w:p>
            <w:pPr>
              <w:jc w:val="right"/>
              <w:spacing w:after="0"/>
              <w:rPr>
                <w:sz w:val="20"/>
                <w:szCs w:val="20"/>
                <w:color w:val="auto"/>
              </w:rPr>
            </w:pPr>
            <w:r>
              <w:rPr>
                <w:rFonts w:ascii="Arial" w:cs="Arial" w:eastAsia="Arial" w:hAnsi="Arial"/>
                <w:sz w:val="16"/>
                <w:szCs w:val="16"/>
                <w:color w:val="auto"/>
              </w:rPr>
              <w:t>$</w:t>
            </w:r>
          </w:p>
        </w:tc>
        <w:tc>
          <w:tcPr>
            <w:tcW w:w="960" w:type="dxa"/>
            <w:vAlign w:val="bottom"/>
          </w:tcPr>
          <w:p>
            <w:pPr>
              <w:jc w:val="right"/>
              <w:ind w:right="160"/>
              <w:spacing w:after="0"/>
              <w:rPr>
                <w:sz w:val="20"/>
                <w:szCs w:val="20"/>
                <w:color w:val="auto"/>
              </w:rPr>
            </w:pPr>
            <w:r>
              <w:rPr>
                <w:rFonts w:ascii="Arial" w:cs="Arial" w:eastAsia="Arial" w:hAnsi="Arial"/>
                <w:sz w:val="16"/>
                <w:szCs w:val="16"/>
                <w:color w:val="auto"/>
              </w:rPr>
              <w:t>64,526</w:t>
            </w:r>
          </w:p>
        </w:tc>
        <w:tc>
          <w:tcPr>
            <w:tcW w:w="20" w:type="dxa"/>
            <w:vAlign w:val="bottom"/>
          </w:tcPr>
          <w:p>
            <w:pPr>
              <w:spacing w:after="0"/>
              <w:rPr>
                <w:sz w:val="16"/>
                <w:szCs w:val="16"/>
                <w:color w:val="auto"/>
              </w:rPr>
            </w:pPr>
          </w:p>
        </w:tc>
      </w:tr>
      <w:tr>
        <w:trPr>
          <w:trHeight w:val="189"/>
        </w:trPr>
        <w:tc>
          <w:tcPr>
            <w:tcW w:w="4100" w:type="dxa"/>
            <w:vAlign w:val="bottom"/>
            <w:tcBorders>
              <w:right w:val="single" w:sz="8" w:color="auto"/>
            </w:tcBorders>
            <w:shd w:val="clear" w:color="auto" w:fill="CCEEFF"/>
          </w:tcPr>
          <w:p>
            <w:pPr>
              <w:ind w:left="160"/>
              <w:spacing w:after="0" w:line="189" w:lineRule="exact"/>
              <w:rPr>
                <w:sz w:val="20"/>
                <w:szCs w:val="20"/>
                <w:color w:val="auto"/>
              </w:rPr>
            </w:pPr>
            <w:r>
              <w:rPr>
                <w:rFonts w:ascii="Arial" w:cs="Arial" w:eastAsia="Arial" w:hAnsi="Arial"/>
                <w:sz w:val="13"/>
                <w:szCs w:val="13"/>
                <w:color w:val="auto"/>
              </w:rPr>
              <w:t>Retirement Benefits</w:t>
            </w:r>
            <w:r>
              <w:rPr>
                <w:rFonts w:ascii="Arial" w:cs="Arial" w:eastAsia="Arial" w:hAnsi="Arial"/>
                <w:sz w:val="21"/>
                <w:szCs w:val="21"/>
                <w:color w:val="auto"/>
                <w:vertAlign w:val="superscript"/>
              </w:rPr>
              <w:t>(3)</w:t>
            </w:r>
          </w:p>
        </w:tc>
        <w:tc>
          <w:tcPr>
            <w:tcW w:w="180" w:type="dxa"/>
            <w:vAlign w:val="bottom"/>
            <w:shd w:val="clear" w:color="auto" w:fill="CCEEFF"/>
          </w:tcPr>
          <w:p>
            <w:pPr>
              <w:ind w:left="100"/>
              <w:spacing w:after="0"/>
              <w:rPr>
                <w:sz w:val="20"/>
                <w:szCs w:val="20"/>
                <w:color w:val="auto"/>
              </w:rPr>
            </w:pPr>
            <w:r>
              <w:rPr>
                <w:rFonts w:ascii="Arial" w:cs="Arial" w:eastAsia="Arial" w:hAnsi="Arial"/>
                <w:sz w:val="15"/>
                <w:szCs w:val="15"/>
                <w:color w:val="auto"/>
                <w:w w:val="71"/>
              </w:rPr>
              <w:t>$</w:t>
            </w:r>
          </w:p>
        </w:tc>
        <w:tc>
          <w:tcPr>
            <w:tcW w:w="8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0</w:t>
            </w:r>
          </w:p>
        </w:tc>
        <w:tc>
          <w:tcPr>
            <w:tcW w:w="960" w:type="dxa"/>
            <w:vAlign w:val="bottom"/>
            <w:shd w:val="clear" w:color="auto" w:fill="CCEEFF"/>
          </w:tcPr>
          <w:p>
            <w:pPr>
              <w:ind w:left="220"/>
              <w:spacing w:after="0"/>
              <w:rPr>
                <w:sz w:val="20"/>
                <w:szCs w:val="20"/>
                <w:color w:val="auto"/>
              </w:rPr>
            </w:pPr>
            <w:r>
              <w:rPr>
                <w:rFonts w:ascii="Arial" w:cs="Arial" w:eastAsia="Arial" w:hAnsi="Arial"/>
                <w:sz w:val="16"/>
                <w:szCs w:val="16"/>
                <w:color w:val="auto"/>
              </w:rPr>
              <w:t>$</w:t>
            </w:r>
          </w:p>
        </w:tc>
        <w:tc>
          <w:tcPr>
            <w:tcW w:w="280" w:type="dxa"/>
            <w:vAlign w:val="bottom"/>
            <w:shd w:val="clear" w:color="auto" w:fill="CCEEFF"/>
          </w:tcPr>
          <w:p>
            <w:pPr>
              <w:jc w:val="right"/>
              <w:ind w:right="79"/>
              <w:spacing w:after="0"/>
              <w:rPr>
                <w:sz w:val="20"/>
                <w:szCs w:val="20"/>
                <w:color w:val="auto"/>
              </w:rPr>
            </w:pPr>
            <w:r>
              <w:rPr>
                <w:rFonts w:ascii="Arial" w:cs="Arial" w:eastAsia="Arial" w:hAnsi="Arial"/>
                <w:sz w:val="16"/>
                <w:szCs w:val="16"/>
                <w:color w:val="auto"/>
              </w:rPr>
              <w:t>0</w:t>
            </w:r>
          </w:p>
        </w:tc>
        <w:tc>
          <w:tcPr>
            <w:tcW w:w="380" w:type="dxa"/>
            <w:vAlign w:val="bottom"/>
            <w:shd w:val="clear" w:color="auto" w:fill="CCEEFF"/>
          </w:tcPr>
          <w:p>
            <w:pPr>
              <w:ind w:left="160"/>
              <w:spacing w:after="0"/>
              <w:rPr>
                <w:sz w:val="20"/>
                <w:szCs w:val="20"/>
                <w:color w:val="auto"/>
              </w:rPr>
            </w:pPr>
            <w:r>
              <w:rPr>
                <w:rFonts w:ascii="Arial" w:cs="Arial" w:eastAsia="Arial" w:hAnsi="Arial"/>
                <w:sz w:val="16"/>
                <w:szCs w:val="16"/>
                <w:color w:val="auto"/>
              </w:rPr>
              <w:t>$</w:t>
            </w:r>
          </w:p>
        </w:tc>
        <w:tc>
          <w:tcPr>
            <w:tcW w:w="900" w:type="dxa"/>
            <w:vAlign w:val="bottom"/>
            <w:shd w:val="clear" w:color="auto" w:fill="CCEEFF"/>
          </w:tcPr>
          <w:p>
            <w:pPr>
              <w:jc w:val="right"/>
              <w:ind w:right="79"/>
              <w:spacing w:after="0"/>
              <w:rPr>
                <w:sz w:val="20"/>
                <w:szCs w:val="20"/>
                <w:color w:val="auto"/>
              </w:rPr>
            </w:pPr>
            <w:r>
              <w:rPr>
                <w:rFonts w:ascii="Arial" w:cs="Arial" w:eastAsia="Arial" w:hAnsi="Arial"/>
                <w:sz w:val="16"/>
                <w:szCs w:val="16"/>
                <w:color w:val="auto"/>
              </w:rPr>
              <w:t>301,000</w:t>
            </w:r>
          </w:p>
        </w:tc>
        <w:tc>
          <w:tcPr>
            <w:tcW w:w="2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880" w:type="dxa"/>
            <w:vAlign w:val="bottom"/>
            <w:shd w:val="clear" w:color="auto" w:fill="CCEEFF"/>
          </w:tcPr>
          <w:p>
            <w:pPr>
              <w:jc w:val="right"/>
              <w:ind w:right="60"/>
              <w:spacing w:after="0"/>
              <w:rPr>
                <w:sz w:val="20"/>
                <w:szCs w:val="20"/>
                <w:color w:val="auto"/>
              </w:rPr>
            </w:pPr>
            <w:r>
              <w:rPr>
                <w:rFonts w:ascii="Arial" w:cs="Arial" w:eastAsia="Arial" w:hAnsi="Arial"/>
                <w:sz w:val="16"/>
                <w:szCs w:val="16"/>
                <w:color w:val="auto"/>
              </w:rPr>
              <w:t>0</w:t>
            </w:r>
          </w:p>
        </w:tc>
        <w:tc>
          <w:tcPr>
            <w:tcW w:w="260" w:type="dxa"/>
            <w:vAlign w:val="bottom"/>
            <w:shd w:val="clear" w:color="auto" w:fill="CCEEFF"/>
          </w:tcPr>
          <w:p>
            <w:pPr>
              <w:ind w:left="160"/>
              <w:spacing w:after="0"/>
              <w:rPr>
                <w:sz w:val="20"/>
                <w:szCs w:val="20"/>
                <w:color w:val="auto"/>
              </w:rPr>
            </w:pPr>
            <w:r>
              <w:rPr>
                <w:rFonts w:ascii="Arial" w:cs="Arial" w:eastAsia="Arial" w:hAnsi="Arial"/>
                <w:sz w:val="16"/>
                <w:szCs w:val="16"/>
                <w:color w:val="auto"/>
                <w:w w:val="89"/>
              </w:rPr>
              <w:t>$</w:t>
            </w:r>
          </w:p>
        </w:tc>
        <w:tc>
          <w:tcPr>
            <w:tcW w:w="1140" w:type="dxa"/>
            <w:vAlign w:val="bottom"/>
            <w:shd w:val="clear" w:color="auto" w:fill="CCEEFF"/>
          </w:tcPr>
          <w:p>
            <w:pPr>
              <w:jc w:val="right"/>
              <w:ind w:right="80"/>
              <w:spacing w:after="0"/>
              <w:rPr>
                <w:sz w:val="20"/>
                <w:szCs w:val="20"/>
                <w:color w:val="auto"/>
              </w:rPr>
            </w:pPr>
            <w:r>
              <w:rPr>
                <w:rFonts w:ascii="Arial" w:cs="Arial" w:eastAsia="Arial" w:hAnsi="Arial"/>
                <w:sz w:val="16"/>
                <w:szCs w:val="16"/>
                <w:color w:val="auto"/>
              </w:rPr>
              <w:t>0</w:t>
            </w:r>
          </w:p>
        </w:tc>
        <w:tc>
          <w:tcPr>
            <w:tcW w:w="2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960" w:type="dxa"/>
            <w:vAlign w:val="bottom"/>
            <w:shd w:val="clear" w:color="auto" w:fill="CCEEFF"/>
          </w:tcPr>
          <w:p>
            <w:pPr>
              <w:jc w:val="right"/>
              <w:ind w:right="160"/>
              <w:spacing w:after="0"/>
              <w:rPr>
                <w:sz w:val="20"/>
                <w:szCs w:val="20"/>
                <w:color w:val="auto"/>
              </w:rPr>
            </w:pPr>
            <w:r>
              <w:rPr>
                <w:rFonts w:ascii="Arial" w:cs="Arial" w:eastAsia="Arial" w:hAnsi="Arial"/>
                <w:sz w:val="16"/>
                <w:szCs w:val="16"/>
                <w:color w:val="auto"/>
              </w:rPr>
              <w:t>79,000</w:t>
            </w:r>
          </w:p>
        </w:tc>
        <w:tc>
          <w:tcPr>
            <w:tcW w:w="20" w:type="dxa"/>
            <w:vAlign w:val="bottom"/>
          </w:tcPr>
          <w:p>
            <w:pPr>
              <w:spacing w:after="0"/>
              <w:rPr>
                <w:sz w:val="16"/>
                <w:szCs w:val="16"/>
                <w:color w:val="auto"/>
              </w:rPr>
            </w:pPr>
          </w:p>
        </w:tc>
      </w:tr>
      <w:tr>
        <w:trPr>
          <w:trHeight w:val="189"/>
        </w:trPr>
        <w:tc>
          <w:tcPr>
            <w:tcW w:w="4100" w:type="dxa"/>
            <w:vAlign w:val="bottom"/>
            <w:tcBorders>
              <w:right w:val="single" w:sz="8" w:color="auto"/>
            </w:tcBorders>
          </w:tcPr>
          <w:p>
            <w:pPr>
              <w:ind w:left="160"/>
              <w:spacing w:after="0" w:line="189" w:lineRule="exact"/>
              <w:rPr>
                <w:sz w:val="20"/>
                <w:szCs w:val="20"/>
                <w:color w:val="auto"/>
              </w:rPr>
            </w:pPr>
            <w:r>
              <w:rPr>
                <w:rFonts w:ascii="Arial" w:cs="Arial" w:eastAsia="Arial" w:hAnsi="Arial"/>
                <w:sz w:val="13"/>
                <w:szCs w:val="13"/>
                <w:color w:val="auto"/>
              </w:rPr>
              <w:t>Other Benefits</w:t>
            </w:r>
            <w:r>
              <w:rPr>
                <w:rFonts w:ascii="Arial" w:cs="Arial" w:eastAsia="Arial" w:hAnsi="Arial"/>
                <w:sz w:val="21"/>
                <w:szCs w:val="21"/>
                <w:color w:val="auto"/>
                <w:vertAlign w:val="superscript"/>
              </w:rPr>
              <w:t>(4)</w:t>
            </w:r>
          </w:p>
        </w:tc>
        <w:tc>
          <w:tcPr>
            <w:tcW w:w="180" w:type="dxa"/>
            <w:vAlign w:val="bottom"/>
          </w:tcPr>
          <w:p>
            <w:pPr>
              <w:ind w:left="100"/>
              <w:spacing w:after="0"/>
              <w:rPr>
                <w:sz w:val="20"/>
                <w:szCs w:val="20"/>
                <w:color w:val="auto"/>
              </w:rPr>
            </w:pPr>
            <w:r>
              <w:rPr>
                <w:rFonts w:ascii="Arial" w:cs="Arial" w:eastAsia="Arial" w:hAnsi="Arial"/>
                <w:sz w:val="15"/>
                <w:szCs w:val="15"/>
                <w:color w:val="auto"/>
                <w:w w:val="71"/>
              </w:rPr>
              <w:t>$</w:t>
            </w:r>
          </w:p>
        </w:tc>
        <w:tc>
          <w:tcPr>
            <w:tcW w:w="880" w:type="dxa"/>
            <w:vAlign w:val="bottom"/>
          </w:tcPr>
          <w:p>
            <w:pPr>
              <w:jc w:val="right"/>
              <w:spacing w:after="0"/>
              <w:rPr>
                <w:sz w:val="20"/>
                <w:szCs w:val="20"/>
                <w:color w:val="auto"/>
              </w:rPr>
            </w:pPr>
            <w:r>
              <w:rPr>
                <w:rFonts w:ascii="Arial" w:cs="Arial" w:eastAsia="Arial" w:hAnsi="Arial"/>
                <w:sz w:val="16"/>
                <w:szCs w:val="16"/>
                <w:color w:val="auto"/>
              </w:rPr>
              <w:t>0</w:t>
            </w:r>
          </w:p>
        </w:tc>
        <w:tc>
          <w:tcPr>
            <w:tcW w:w="960" w:type="dxa"/>
            <w:vAlign w:val="bottom"/>
          </w:tcPr>
          <w:p>
            <w:pPr>
              <w:ind w:left="220"/>
              <w:spacing w:after="0"/>
              <w:rPr>
                <w:sz w:val="20"/>
                <w:szCs w:val="20"/>
                <w:color w:val="auto"/>
              </w:rPr>
            </w:pPr>
            <w:r>
              <w:rPr>
                <w:rFonts w:ascii="Arial" w:cs="Arial" w:eastAsia="Arial" w:hAnsi="Arial"/>
                <w:sz w:val="16"/>
                <w:szCs w:val="16"/>
                <w:color w:val="auto"/>
              </w:rPr>
              <w:t>$</w:t>
            </w:r>
          </w:p>
        </w:tc>
        <w:tc>
          <w:tcPr>
            <w:tcW w:w="280" w:type="dxa"/>
            <w:vAlign w:val="bottom"/>
          </w:tcPr>
          <w:p>
            <w:pPr>
              <w:jc w:val="right"/>
              <w:ind w:right="79"/>
              <w:spacing w:after="0"/>
              <w:rPr>
                <w:sz w:val="20"/>
                <w:szCs w:val="20"/>
                <w:color w:val="auto"/>
              </w:rPr>
            </w:pPr>
            <w:r>
              <w:rPr>
                <w:rFonts w:ascii="Arial" w:cs="Arial" w:eastAsia="Arial" w:hAnsi="Arial"/>
                <w:sz w:val="16"/>
                <w:szCs w:val="16"/>
                <w:color w:val="auto"/>
              </w:rPr>
              <w:t>0</w:t>
            </w:r>
          </w:p>
        </w:tc>
        <w:tc>
          <w:tcPr>
            <w:tcW w:w="380" w:type="dxa"/>
            <w:vAlign w:val="bottom"/>
          </w:tcPr>
          <w:p>
            <w:pPr>
              <w:ind w:left="160"/>
              <w:spacing w:after="0"/>
              <w:rPr>
                <w:sz w:val="20"/>
                <w:szCs w:val="20"/>
                <w:color w:val="auto"/>
              </w:rPr>
            </w:pPr>
            <w:r>
              <w:rPr>
                <w:rFonts w:ascii="Arial" w:cs="Arial" w:eastAsia="Arial" w:hAnsi="Arial"/>
                <w:sz w:val="16"/>
                <w:szCs w:val="16"/>
                <w:color w:val="auto"/>
              </w:rPr>
              <w:t>$</w:t>
            </w:r>
          </w:p>
        </w:tc>
        <w:tc>
          <w:tcPr>
            <w:tcW w:w="900" w:type="dxa"/>
            <w:vAlign w:val="bottom"/>
          </w:tcPr>
          <w:p>
            <w:pPr>
              <w:jc w:val="right"/>
              <w:ind w:right="79"/>
              <w:spacing w:after="0"/>
              <w:rPr>
                <w:sz w:val="20"/>
                <w:szCs w:val="20"/>
                <w:color w:val="auto"/>
              </w:rPr>
            </w:pPr>
            <w:r>
              <w:rPr>
                <w:rFonts w:ascii="Arial" w:cs="Arial" w:eastAsia="Arial" w:hAnsi="Arial"/>
                <w:sz w:val="16"/>
                <w:szCs w:val="16"/>
                <w:color w:val="auto"/>
              </w:rPr>
              <w:t>0</w:t>
            </w:r>
          </w:p>
        </w:tc>
        <w:tc>
          <w:tcPr>
            <w:tcW w:w="240" w:type="dxa"/>
            <w:vAlign w:val="bottom"/>
          </w:tcPr>
          <w:p>
            <w:pPr>
              <w:jc w:val="right"/>
              <w:spacing w:after="0"/>
              <w:rPr>
                <w:sz w:val="20"/>
                <w:szCs w:val="20"/>
                <w:color w:val="auto"/>
              </w:rPr>
            </w:pPr>
            <w:r>
              <w:rPr>
                <w:rFonts w:ascii="Arial" w:cs="Arial" w:eastAsia="Arial" w:hAnsi="Arial"/>
                <w:sz w:val="16"/>
                <w:szCs w:val="16"/>
                <w:color w:val="auto"/>
              </w:rPr>
              <w:t>$</w:t>
            </w:r>
          </w:p>
        </w:tc>
        <w:tc>
          <w:tcPr>
            <w:tcW w:w="880" w:type="dxa"/>
            <w:vAlign w:val="bottom"/>
          </w:tcPr>
          <w:p>
            <w:pPr>
              <w:jc w:val="right"/>
              <w:ind w:right="60"/>
              <w:spacing w:after="0"/>
              <w:rPr>
                <w:sz w:val="20"/>
                <w:szCs w:val="20"/>
                <w:color w:val="auto"/>
              </w:rPr>
            </w:pPr>
            <w:r>
              <w:rPr>
                <w:rFonts w:ascii="Arial" w:cs="Arial" w:eastAsia="Arial" w:hAnsi="Arial"/>
                <w:sz w:val="16"/>
                <w:szCs w:val="16"/>
                <w:color w:val="auto"/>
              </w:rPr>
              <w:t>0</w:t>
            </w:r>
          </w:p>
        </w:tc>
        <w:tc>
          <w:tcPr>
            <w:tcW w:w="260" w:type="dxa"/>
            <w:vAlign w:val="bottom"/>
          </w:tcPr>
          <w:p>
            <w:pPr>
              <w:ind w:left="160"/>
              <w:spacing w:after="0"/>
              <w:rPr>
                <w:sz w:val="20"/>
                <w:szCs w:val="20"/>
                <w:color w:val="auto"/>
              </w:rPr>
            </w:pPr>
            <w:r>
              <w:rPr>
                <w:rFonts w:ascii="Arial" w:cs="Arial" w:eastAsia="Arial" w:hAnsi="Arial"/>
                <w:sz w:val="16"/>
                <w:szCs w:val="16"/>
                <w:color w:val="auto"/>
                <w:w w:val="89"/>
              </w:rPr>
              <w:t>$</w:t>
            </w:r>
          </w:p>
        </w:tc>
        <w:tc>
          <w:tcPr>
            <w:tcW w:w="1140" w:type="dxa"/>
            <w:vAlign w:val="bottom"/>
          </w:tcPr>
          <w:p>
            <w:pPr>
              <w:jc w:val="right"/>
              <w:ind w:right="80"/>
              <w:spacing w:after="0"/>
              <w:rPr>
                <w:sz w:val="20"/>
                <w:szCs w:val="20"/>
                <w:color w:val="auto"/>
              </w:rPr>
            </w:pPr>
            <w:r>
              <w:rPr>
                <w:rFonts w:ascii="Arial" w:cs="Arial" w:eastAsia="Arial" w:hAnsi="Arial"/>
                <w:sz w:val="16"/>
                <w:szCs w:val="16"/>
                <w:color w:val="auto"/>
              </w:rPr>
              <w:t>42,500</w:t>
            </w:r>
          </w:p>
        </w:tc>
        <w:tc>
          <w:tcPr>
            <w:tcW w:w="260" w:type="dxa"/>
            <w:vAlign w:val="bottom"/>
          </w:tcPr>
          <w:p>
            <w:pPr>
              <w:jc w:val="right"/>
              <w:spacing w:after="0"/>
              <w:rPr>
                <w:sz w:val="20"/>
                <w:szCs w:val="20"/>
                <w:color w:val="auto"/>
              </w:rPr>
            </w:pPr>
            <w:r>
              <w:rPr>
                <w:rFonts w:ascii="Arial" w:cs="Arial" w:eastAsia="Arial" w:hAnsi="Arial"/>
                <w:sz w:val="16"/>
                <w:szCs w:val="16"/>
                <w:color w:val="auto"/>
              </w:rPr>
              <w:t>$</w:t>
            </w:r>
          </w:p>
        </w:tc>
        <w:tc>
          <w:tcPr>
            <w:tcW w:w="960" w:type="dxa"/>
            <w:vAlign w:val="bottom"/>
          </w:tcPr>
          <w:p>
            <w:pPr>
              <w:jc w:val="right"/>
              <w:ind w:right="160"/>
              <w:spacing w:after="0"/>
              <w:rPr>
                <w:sz w:val="20"/>
                <w:szCs w:val="20"/>
                <w:color w:val="auto"/>
              </w:rPr>
            </w:pPr>
            <w:r>
              <w:rPr>
                <w:rFonts w:ascii="Arial" w:cs="Arial" w:eastAsia="Arial" w:hAnsi="Arial"/>
                <w:sz w:val="16"/>
                <w:szCs w:val="16"/>
                <w:color w:val="auto"/>
              </w:rPr>
              <w:t>65,000</w:t>
            </w:r>
          </w:p>
        </w:tc>
        <w:tc>
          <w:tcPr>
            <w:tcW w:w="20" w:type="dxa"/>
            <w:vAlign w:val="bottom"/>
          </w:tcPr>
          <w:p>
            <w:pPr>
              <w:spacing w:after="0"/>
              <w:rPr>
                <w:sz w:val="16"/>
                <w:szCs w:val="16"/>
                <w:color w:val="auto"/>
              </w:rPr>
            </w:pPr>
          </w:p>
        </w:tc>
      </w:tr>
      <w:tr>
        <w:trPr>
          <w:trHeight w:val="189"/>
        </w:trPr>
        <w:tc>
          <w:tcPr>
            <w:tcW w:w="4100" w:type="dxa"/>
            <w:vAlign w:val="bottom"/>
            <w:tcBorders>
              <w:right w:val="single" w:sz="8" w:color="auto"/>
            </w:tcBorders>
            <w:shd w:val="clear" w:color="auto" w:fill="CCEEFF"/>
          </w:tcPr>
          <w:p>
            <w:pPr>
              <w:ind w:left="160"/>
              <w:spacing w:after="0" w:line="189" w:lineRule="exact"/>
              <w:rPr>
                <w:sz w:val="20"/>
                <w:szCs w:val="20"/>
                <w:color w:val="auto"/>
              </w:rPr>
            </w:pPr>
            <w:r>
              <w:rPr>
                <w:rFonts w:ascii="Arial" w:cs="Arial" w:eastAsia="Arial" w:hAnsi="Arial"/>
                <w:sz w:val="13"/>
                <w:szCs w:val="13"/>
                <w:color w:val="auto"/>
              </w:rPr>
              <w:t>Excise Tax Gross-Up</w:t>
            </w:r>
            <w:r>
              <w:rPr>
                <w:rFonts w:ascii="Arial" w:cs="Arial" w:eastAsia="Arial" w:hAnsi="Arial"/>
                <w:sz w:val="21"/>
                <w:szCs w:val="21"/>
                <w:color w:val="auto"/>
                <w:vertAlign w:val="superscript"/>
              </w:rPr>
              <w:t>(5)</w:t>
            </w:r>
          </w:p>
        </w:tc>
        <w:tc>
          <w:tcPr>
            <w:tcW w:w="180" w:type="dxa"/>
            <w:vAlign w:val="bottom"/>
            <w:shd w:val="clear" w:color="auto" w:fill="CCEEFF"/>
          </w:tcPr>
          <w:p>
            <w:pPr>
              <w:spacing w:after="0"/>
              <w:rPr>
                <w:sz w:val="16"/>
                <w:szCs w:val="16"/>
                <w:color w:val="auto"/>
              </w:rPr>
            </w:pPr>
          </w:p>
        </w:tc>
        <w:tc>
          <w:tcPr>
            <w:tcW w:w="880" w:type="dxa"/>
            <w:vAlign w:val="bottom"/>
            <w:shd w:val="clear" w:color="auto" w:fill="CCEEFF"/>
          </w:tcPr>
          <w:p>
            <w:pPr>
              <w:spacing w:after="0"/>
              <w:rPr>
                <w:sz w:val="16"/>
                <w:szCs w:val="16"/>
                <w:color w:val="auto"/>
              </w:rPr>
            </w:pPr>
          </w:p>
        </w:tc>
        <w:tc>
          <w:tcPr>
            <w:tcW w:w="960" w:type="dxa"/>
            <w:vAlign w:val="bottom"/>
            <w:shd w:val="clear" w:color="auto" w:fill="CCEEFF"/>
          </w:tcPr>
          <w:p>
            <w:pPr>
              <w:spacing w:after="0"/>
              <w:rPr>
                <w:sz w:val="16"/>
                <w:szCs w:val="16"/>
                <w:color w:val="auto"/>
              </w:rPr>
            </w:pPr>
          </w:p>
        </w:tc>
        <w:tc>
          <w:tcPr>
            <w:tcW w:w="280" w:type="dxa"/>
            <w:vAlign w:val="bottom"/>
            <w:shd w:val="clear" w:color="auto" w:fill="CCEEFF"/>
          </w:tcPr>
          <w:p>
            <w:pPr>
              <w:spacing w:after="0"/>
              <w:rPr>
                <w:sz w:val="16"/>
                <w:szCs w:val="16"/>
                <w:color w:val="auto"/>
              </w:rPr>
            </w:pPr>
          </w:p>
        </w:tc>
        <w:tc>
          <w:tcPr>
            <w:tcW w:w="380" w:type="dxa"/>
            <w:vAlign w:val="bottom"/>
            <w:shd w:val="clear" w:color="auto" w:fill="CCEEFF"/>
          </w:tcPr>
          <w:p>
            <w:pPr>
              <w:spacing w:after="0"/>
              <w:rPr>
                <w:sz w:val="16"/>
                <w:szCs w:val="16"/>
                <w:color w:val="auto"/>
              </w:rPr>
            </w:pPr>
          </w:p>
        </w:tc>
        <w:tc>
          <w:tcPr>
            <w:tcW w:w="900" w:type="dxa"/>
            <w:vAlign w:val="bottom"/>
            <w:shd w:val="clear" w:color="auto" w:fill="CCEEFF"/>
          </w:tcPr>
          <w:p>
            <w:pPr>
              <w:spacing w:after="0"/>
              <w:rPr>
                <w:sz w:val="16"/>
                <w:szCs w:val="16"/>
                <w:color w:val="auto"/>
              </w:rPr>
            </w:pPr>
          </w:p>
        </w:tc>
        <w:tc>
          <w:tcPr>
            <w:tcW w:w="240" w:type="dxa"/>
            <w:vAlign w:val="bottom"/>
            <w:shd w:val="clear" w:color="auto" w:fill="CCEEFF"/>
          </w:tcPr>
          <w:p>
            <w:pPr>
              <w:spacing w:after="0"/>
              <w:rPr>
                <w:sz w:val="16"/>
                <w:szCs w:val="16"/>
                <w:color w:val="auto"/>
              </w:rPr>
            </w:pPr>
          </w:p>
        </w:tc>
        <w:tc>
          <w:tcPr>
            <w:tcW w:w="880" w:type="dxa"/>
            <w:vAlign w:val="bottom"/>
            <w:shd w:val="clear" w:color="auto" w:fill="CCEEFF"/>
          </w:tcPr>
          <w:p>
            <w:pPr>
              <w:spacing w:after="0"/>
              <w:rPr>
                <w:sz w:val="16"/>
                <w:szCs w:val="16"/>
                <w:color w:val="auto"/>
              </w:rPr>
            </w:pPr>
          </w:p>
        </w:tc>
        <w:tc>
          <w:tcPr>
            <w:tcW w:w="260" w:type="dxa"/>
            <w:vAlign w:val="bottom"/>
            <w:shd w:val="clear" w:color="auto" w:fill="CCEEFF"/>
          </w:tcPr>
          <w:p>
            <w:pPr>
              <w:spacing w:after="0"/>
              <w:rPr>
                <w:sz w:val="16"/>
                <w:szCs w:val="16"/>
                <w:color w:val="auto"/>
              </w:rPr>
            </w:pPr>
          </w:p>
        </w:tc>
        <w:tc>
          <w:tcPr>
            <w:tcW w:w="1140" w:type="dxa"/>
            <w:vAlign w:val="bottom"/>
            <w:shd w:val="clear" w:color="auto" w:fill="CCEEFF"/>
          </w:tcPr>
          <w:p>
            <w:pPr>
              <w:spacing w:after="0"/>
              <w:rPr>
                <w:sz w:val="16"/>
                <w:szCs w:val="16"/>
                <w:color w:val="auto"/>
              </w:rPr>
            </w:pPr>
          </w:p>
        </w:tc>
        <w:tc>
          <w:tcPr>
            <w:tcW w:w="2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960" w:type="dxa"/>
            <w:vAlign w:val="bottom"/>
            <w:shd w:val="clear" w:color="auto" w:fill="CCEEFF"/>
          </w:tcPr>
          <w:p>
            <w:pPr>
              <w:jc w:val="right"/>
              <w:ind w:right="160"/>
              <w:spacing w:after="0"/>
              <w:rPr>
                <w:sz w:val="20"/>
                <w:szCs w:val="20"/>
                <w:color w:val="auto"/>
              </w:rPr>
            </w:pPr>
            <w:r>
              <w:rPr>
                <w:rFonts w:ascii="Arial" w:cs="Arial" w:eastAsia="Arial" w:hAnsi="Arial"/>
                <w:sz w:val="16"/>
                <w:szCs w:val="16"/>
                <w:color w:val="auto"/>
              </w:rPr>
              <w:t>0</w:t>
            </w:r>
          </w:p>
        </w:tc>
        <w:tc>
          <w:tcPr>
            <w:tcW w:w="20" w:type="dxa"/>
            <w:vAlign w:val="bottom"/>
          </w:tcPr>
          <w:p>
            <w:pPr>
              <w:spacing w:after="0"/>
              <w:rPr>
                <w:sz w:val="16"/>
                <w:szCs w:val="16"/>
                <w:color w:val="auto"/>
              </w:rPr>
            </w:pPr>
          </w:p>
        </w:tc>
      </w:tr>
      <w:tr>
        <w:trPr>
          <w:trHeight w:val="189"/>
        </w:trPr>
        <w:tc>
          <w:tcPr>
            <w:tcW w:w="4100" w:type="dxa"/>
            <w:vAlign w:val="bottom"/>
            <w:tcBorders>
              <w:bottom w:val="single" w:sz="8" w:color="auto"/>
              <w:right w:val="single" w:sz="8" w:color="auto"/>
            </w:tcBorders>
          </w:tcPr>
          <w:p>
            <w:pPr>
              <w:ind w:left="160"/>
              <w:spacing w:after="0"/>
              <w:rPr>
                <w:sz w:val="20"/>
                <w:szCs w:val="20"/>
                <w:color w:val="auto"/>
              </w:rPr>
            </w:pPr>
            <w:r>
              <w:rPr>
                <w:rFonts w:ascii="Arial" w:cs="Arial" w:eastAsia="Arial" w:hAnsi="Arial"/>
                <w:sz w:val="16"/>
                <w:szCs w:val="16"/>
                <w:color w:val="auto"/>
              </w:rPr>
              <w:t>Total</w:t>
            </w:r>
          </w:p>
        </w:tc>
        <w:tc>
          <w:tcPr>
            <w:tcW w:w="180" w:type="dxa"/>
            <w:vAlign w:val="bottom"/>
            <w:tcBorders>
              <w:bottom w:val="single" w:sz="8" w:color="auto"/>
            </w:tcBorders>
          </w:tcPr>
          <w:p>
            <w:pPr>
              <w:ind w:left="100"/>
              <w:spacing w:after="0"/>
              <w:rPr>
                <w:sz w:val="20"/>
                <w:szCs w:val="20"/>
                <w:color w:val="auto"/>
              </w:rPr>
            </w:pPr>
            <w:r>
              <w:rPr>
                <w:rFonts w:ascii="Arial" w:cs="Arial" w:eastAsia="Arial" w:hAnsi="Arial"/>
                <w:sz w:val="15"/>
                <w:szCs w:val="15"/>
                <w:color w:val="auto"/>
                <w:w w:val="71"/>
              </w:rPr>
              <w:t>$</w:t>
            </w: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0</w:t>
            </w:r>
          </w:p>
        </w:tc>
        <w:tc>
          <w:tcPr>
            <w:tcW w:w="960" w:type="dxa"/>
            <w:vAlign w:val="bottom"/>
            <w:tcBorders>
              <w:bottom w:val="single" w:sz="8" w:color="auto"/>
            </w:tcBorders>
          </w:tcPr>
          <w:p>
            <w:pPr>
              <w:ind w:left="220"/>
              <w:spacing w:after="0"/>
              <w:rPr>
                <w:sz w:val="20"/>
                <w:szCs w:val="20"/>
                <w:color w:val="auto"/>
              </w:rPr>
            </w:pPr>
            <w:r>
              <w:rPr>
                <w:rFonts w:ascii="Arial" w:cs="Arial" w:eastAsia="Arial" w:hAnsi="Arial"/>
                <w:sz w:val="16"/>
                <w:szCs w:val="16"/>
                <w:color w:val="auto"/>
              </w:rPr>
              <w:t>$</w:t>
            </w:r>
          </w:p>
        </w:tc>
        <w:tc>
          <w:tcPr>
            <w:tcW w:w="280" w:type="dxa"/>
            <w:vAlign w:val="bottom"/>
            <w:tcBorders>
              <w:bottom w:val="single" w:sz="8" w:color="auto"/>
            </w:tcBorders>
          </w:tcPr>
          <w:p>
            <w:pPr>
              <w:jc w:val="right"/>
              <w:ind w:right="79"/>
              <w:spacing w:after="0"/>
              <w:rPr>
                <w:sz w:val="20"/>
                <w:szCs w:val="20"/>
                <w:color w:val="auto"/>
              </w:rPr>
            </w:pPr>
            <w:r>
              <w:rPr>
                <w:rFonts w:ascii="Arial" w:cs="Arial" w:eastAsia="Arial" w:hAnsi="Arial"/>
                <w:sz w:val="16"/>
                <w:szCs w:val="16"/>
                <w:color w:val="auto"/>
              </w:rPr>
              <w:t>0</w:t>
            </w:r>
          </w:p>
        </w:tc>
        <w:tc>
          <w:tcPr>
            <w:tcW w:w="380" w:type="dxa"/>
            <w:vAlign w:val="bottom"/>
            <w:tcBorders>
              <w:bottom w:val="single" w:sz="8" w:color="auto"/>
            </w:tcBorders>
          </w:tcPr>
          <w:p>
            <w:pPr>
              <w:ind w:left="160"/>
              <w:spacing w:after="0"/>
              <w:rPr>
                <w:sz w:val="20"/>
                <w:szCs w:val="20"/>
                <w:color w:val="auto"/>
              </w:rPr>
            </w:pPr>
            <w:r>
              <w:rPr>
                <w:rFonts w:ascii="Arial" w:cs="Arial" w:eastAsia="Arial" w:hAnsi="Arial"/>
                <w:sz w:val="16"/>
                <w:szCs w:val="16"/>
                <w:color w:val="auto"/>
              </w:rPr>
              <w:t>$</w:t>
            </w:r>
          </w:p>
        </w:tc>
        <w:tc>
          <w:tcPr>
            <w:tcW w:w="900" w:type="dxa"/>
            <w:vAlign w:val="bottom"/>
            <w:tcBorders>
              <w:bottom w:val="single" w:sz="8" w:color="auto"/>
            </w:tcBorders>
          </w:tcPr>
          <w:p>
            <w:pPr>
              <w:jc w:val="right"/>
              <w:ind w:right="79"/>
              <w:spacing w:after="0"/>
              <w:rPr>
                <w:sz w:val="20"/>
                <w:szCs w:val="20"/>
                <w:color w:val="auto"/>
              </w:rPr>
            </w:pPr>
            <w:r>
              <w:rPr>
                <w:rFonts w:ascii="Arial" w:cs="Arial" w:eastAsia="Arial" w:hAnsi="Arial"/>
                <w:sz w:val="16"/>
                <w:szCs w:val="16"/>
                <w:color w:val="auto"/>
              </w:rPr>
              <w:t>326,466</w:t>
            </w:r>
          </w:p>
        </w:tc>
        <w:tc>
          <w:tcPr>
            <w:tcW w:w="2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880" w:type="dxa"/>
            <w:vAlign w:val="bottom"/>
            <w:tcBorders>
              <w:bottom w:val="single" w:sz="8" w:color="auto"/>
            </w:tcBorders>
          </w:tcPr>
          <w:p>
            <w:pPr>
              <w:jc w:val="right"/>
              <w:ind w:right="60"/>
              <w:spacing w:after="0"/>
              <w:rPr>
                <w:sz w:val="20"/>
                <w:szCs w:val="20"/>
                <w:color w:val="auto"/>
              </w:rPr>
            </w:pPr>
            <w:r>
              <w:rPr>
                <w:rFonts w:ascii="Arial" w:cs="Arial" w:eastAsia="Arial" w:hAnsi="Arial"/>
                <w:sz w:val="16"/>
                <w:szCs w:val="16"/>
                <w:color w:val="auto"/>
              </w:rPr>
              <w:t>64,526</w:t>
            </w:r>
          </w:p>
        </w:tc>
        <w:tc>
          <w:tcPr>
            <w:tcW w:w="260" w:type="dxa"/>
            <w:vAlign w:val="bottom"/>
            <w:tcBorders>
              <w:bottom w:val="single" w:sz="8" w:color="auto"/>
            </w:tcBorders>
          </w:tcPr>
          <w:p>
            <w:pPr>
              <w:ind w:left="160"/>
              <w:spacing w:after="0"/>
              <w:rPr>
                <w:sz w:val="20"/>
                <w:szCs w:val="20"/>
                <w:color w:val="auto"/>
              </w:rPr>
            </w:pPr>
            <w:r>
              <w:rPr>
                <w:rFonts w:ascii="Arial" w:cs="Arial" w:eastAsia="Arial" w:hAnsi="Arial"/>
                <w:sz w:val="16"/>
                <w:szCs w:val="16"/>
                <w:color w:val="auto"/>
                <w:w w:val="89"/>
              </w:rPr>
              <w:t>$</w:t>
            </w:r>
          </w:p>
        </w:tc>
        <w:tc>
          <w:tcPr>
            <w:tcW w:w="1140" w:type="dxa"/>
            <w:vAlign w:val="bottom"/>
            <w:tcBorders>
              <w:bottom w:val="single" w:sz="8" w:color="auto"/>
            </w:tcBorders>
          </w:tcPr>
          <w:p>
            <w:pPr>
              <w:jc w:val="right"/>
              <w:ind w:right="80"/>
              <w:spacing w:after="0"/>
              <w:rPr>
                <w:sz w:val="20"/>
                <w:szCs w:val="20"/>
                <w:color w:val="auto"/>
              </w:rPr>
            </w:pPr>
            <w:r>
              <w:rPr>
                <w:rFonts w:ascii="Arial" w:cs="Arial" w:eastAsia="Arial" w:hAnsi="Arial"/>
                <w:sz w:val="16"/>
                <w:szCs w:val="16"/>
                <w:color w:val="auto"/>
              </w:rPr>
              <w:t>1,000,710</w:t>
            </w:r>
          </w:p>
        </w:tc>
        <w:tc>
          <w:tcPr>
            <w:tcW w:w="1220" w:type="dxa"/>
            <w:vAlign w:val="bottom"/>
            <w:tcBorders>
              <w:bottom w:val="single" w:sz="8" w:color="auto"/>
            </w:tcBorders>
            <w:gridSpan w:val="2"/>
          </w:tcPr>
          <w:p>
            <w:pPr>
              <w:jc w:val="right"/>
              <w:ind w:right="160"/>
              <w:spacing w:after="0"/>
              <w:rPr>
                <w:sz w:val="20"/>
                <w:szCs w:val="20"/>
                <w:color w:val="auto"/>
              </w:rPr>
            </w:pPr>
            <w:r>
              <w:rPr>
                <w:rFonts w:ascii="Arial" w:cs="Arial" w:eastAsia="Arial" w:hAnsi="Arial"/>
                <w:sz w:val="16"/>
                <w:szCs w:val="16"/>
                <w:color w:val="auto"/>
              </w:rPr>
              <w:t>$2,013,212</w:t>
            </w:r>
          </w:p>
        </w:tc>
        <w:tc>
          <w:tcPr>
            <w:tcW w:w="20" w:type="dxa"/>
            <w:vAlign w:val="bottom"/>
            <w:tcBorders>
              <w:bottom w:val="single" w:sz="8" w:color="auto"/>
            </w:tcBorders>
          </w:tcPr>
          <w:p>
            <w:pPr>
              <w:spacing w:after="0"/>
              <w:rPr>
                <w:sz w:val="16"/>
                <w:szCs w:val="16"/>
                <w:color w:val="auto"/>
              </w:rPr>
            </w:pPr>
          </w:p>
        </w:tc>
      </w:tr>
      <w:tr>
        <w:trPr>
          <w:trHeight w:val="156"/>
        </w:trPr>
        <w:tc>
          <w:tcPr>
            <w:tcW w:w="4100" w:type="dxa"/>
            <w:vAlign w:val="bottom"/>
            <w:tcBorders>
              <w:bottom w:val="single" w:sz="8" w:color="auto"/>
            </w:tcBorders>
          </w:tcPr>
          <w:p>
            <w:pPr>
              <w:spacing w:after="0"/>
              <w:rPr>
                <w:sz w:val="13"/>
                <w:szCs w:val="13"/>
                <w:color w:val="auto"/>
              </w:rPr>
            </w:pPr>
          </w:p>
        </w:tc>
        <w:tc>
          <w:tcPr>
            <w:tcW w:w="180" w:type="dxa"/>
            <w:vAlign w:val="bottom"/>
            <w:tcBorders>
              <w:bottom w:val="single" w:sz="8" w:color="auto"/>
            </w:tcBorders>
          </w:tcPr>
          <w:p>
            <w:pPr>
              <w:spacing w:after="0"/>
              <w:rPr>
                <w:sz w:val="13"/>
                <w:szCs w:val="13"/>
                <w:color w:val="auto"/>
              </w:rPr>
            </w:pPr>
          </w:p>
        </w:tc>
        <w:tc>
          <w:tcPr>
            <w:tcW w:w="880" w:type="dxa"/>
            <w:vAlign w:val="bottom"/>
            <w:tcBorders>
              <w:bottom w:val="single" w:sz="8" w:color="auto"/>
            </w:tcBorders>
          </w:tcPr>
          <w:p>
            <w:pPr>
              <w:spacing w:after="0"/>
              <w:rPr>
                <w:sz w:val="13"/>
                <w:szCs w:val="13"/>
                <w:color w:val="auto"/>
              </w:rPr>
            </w:pPr>
          </w:p>
        </w:tc>
        <w:tc>
          <w:tcPr>
            <w:tcW w:w="960" w:type="dxa"/>
            <w:vAlign w:val="bottom"/>
            <w:tcBorders>
              <w:bottom w:val="single" w:sz="8" w:color="auto"/>
            </w:tcBorders>
          </w:tcPr>
          <w:p>
            <w:pPr>
              <w:jc w:val="center"/>
              <w:ind w:left="1"/>
              <w:spacing w:after="0" w:line="156" w:lineRule="exact"/>
              <w:rPr>
                <w:sz w:val="20"/>
                <w:szCs w:val="20"/>
                <w:color w:val="auto"/>
              </w:rPr>
            </w:pPr>
            <w:r>
              <w:rPr>
                <w:rFonts w:ascii="Arial" w:cs="Arial" w:eastAsia="Arial" w:hAnsi="Arial"/>
                <w:sz w:val="15"/>
                <w:szCs w:val="15"/>
                <w:b w:val="1"/>
                <w:bCs w:val="1"/>
                <w:color w:val="auto"/>
              </w:rPr>
              <w:t>Mr. DiPiero</w:t>
            </w:r>
          </w:p>
        </w:tc>
        <w:tc>
          <w:tcPr>
            <w:tcW w:w="280" w:type="dxa"/>
            <w:vAlign w:val="bottom"/>
            <w:tcBorders>
              <w:bottom w:val="single" w:sz="8" w:color="auto"/>
            </w:tcBorders>
          </w:tcPr>
          <w:p>
            <w:pPr>
              <w:spacing w:after="0"/>
              <w:rPr>
                <w:sz w:val="13"/>
                <w:szCs w:val="13"/>
                <w:color w:val="auto"/>
              </w:rPr>
            </w:pPr>
          </w:p>
        </w:tc>
        <w:tc>
          <w:tcPr>
            <w:tcW w:w="380" w:type="dxa"/>
            <w:vAlign w:val="bottom"/>
            <w:tcBorders>
              <w:bottom w:val="single" w:sz="8" w:color="auto"/>
            </w:tcBorders>
          </w:tcPr>
          <w:p>
            <w:pPr>
              <w:spacing w:after="0"/>
              <w:rPr>
                <w:sz w:val="13"/>
                <w:szCs w:val="13"/>
                <w:color w:val="auto"/>
              </w:rPr>
            </w:pPr>
          </w:p>
        </w:tc>
        <w:tc>
          <w:tcPr>
            <w:tcW w:w="900" w:type="dxa"/>
            <w:vAlign w:val="bottom"/>
            <w:tcBorders>
              <w:bottom w:val="single" w:sz="8" w:color="auto"/>
            </w:tcBorders>
          </w:tcPr>
          <w:p>
            <w:pPr>
              <w:spacing w:after="0"/>
              <w:rPr>
                <w:sz w:val="13"/>
                <w:szCs w:val="13"/>
                <w:color w:val="auto"/>
              </w:rPr>
            </w:pPr>
          </w:p>
        </w:tc>
        <w:tc>
          <w:tcPr>
            <w:tcW w:w="240" w:type="dxa"/>
            <w:vAlign w:val="bottom"/>
            <w:tcBorders>
              <w:bottom w:val="single" w:sz="8" w:color="auto"/>
            </w:tcBorders>
          </w:tcPr>
          <w:p>
            <w:pPr>
              <w:spacing w:after="0"/>
              <w:rPr>
                <w:sz w:val="13"/>
                <w:szCs w:val="13"/>
                <w:color w:val="auto"/>
              </w:rPr>
            </w:pPr>
          </w:p>
        </w:tc>
        <w:tc>
          <w:tcPr>
            <w:tcW w:w="880" w:type="dxa"/>
            <w:vAlign w:val="bottom"/>
            <w:tcBorders>
              <w:bottom w:val="single" w:sz="8" w:color="auto"/>
            </w:tcBorders>
          </w:tcPr>
          <w:p>
            <w:pPr>
              <w:spacing w:after="0"/>
              <w:rPr>
                <w:sz w:val="13"/>
                <w:szCs w:val="13"/>
                <w:color w:val="auto"/>
              </w:rPr>
            </w:pPr>
          </w:p>
        </w:tc>
        <w:tc>
          <w:tcPr>
            <w:tcW w:w="260" w:type="dxa"/>
            <w:vAlign w:val="bottom"/>
            <w:tcBorders>
              <w:bottom w:val="single" w:sz="8" w:color="auto"/>
            </w:tcBorders>
          </w:tcPr>
          <w:p>
            <w:pPr>
              <w:spacing w:after="0"/>
              <w:rPr>
                <w:sz w:val="13"/>
                <w:szCs w:val="13"/>
                <w:color w:val="auto"/>
              </w:rPr>
            </w:pPr>
          </w:p>
        </w:tc>
        <w:tc>
          <w:tcPr>
            <w:tcW w:w="1140" w:type="dxa"/>
            <w:vAlign w:val="bottom"/>
            <w:tcBorders>
              <w:bottom w:val="single" w:sz="8" w:color="auto"/>
            </w:tcBorders>
          </w:tcPr>
          <w:p>
            <w:pPr>
              <w:spacing w:after="0"/>
              <w:rPr>
                <w:sz w:val="13"/>
                <w:szCs w:val="13"/>
                <w:color w:val="auto"/>
              </w:rPr>
            </w:pPr>
          </w:p>
        </w:tc>
        <w:tc>
          <w:tcPr>
            <w:tcW w:w="260" w:type="dxa"/>
            <w:vAlign w:val="bottom"/>
            <w:tcBorders>
              <w:bottom w:val="single" w:sz="8" w:color="auto"/>
            </w:tcBorders>
          </w:tcPr>
          <w:p>
            <w:pPr>
              <w:spacing w:after="0"/>
              <w:rPr>
                <w:sz w:val="13"/>
                <w:szCs w:val="13"/>
                <w:color w:val="auto"/>
              </w:rPr>
            </w:pPr>
          </w:p>
        </w:tc>
        <w:tc>
          <w:tcPr>
            <w:tcW w:w="960" w:type="dxa"/>
            <w:vAlign w:val="bottom"/>
            <w:tcBorders>
              <w:bottom w:val="single" w:sz="8" w:color="auto"/>
            </w:tcBorders>
          </w:tcPr>
          <w:p>
            <w:pPr>
              <w:spacing w:after="0"/>
              <w:rPr>
                <w:sz w:val="13"/>
                <w:szCs w:val="13"/>
                <w:color w:val="auto"/>
              </w:rPr>
            </w:pPr>
          </w:p>
        </w:tc>
        <w:tc>
          <w:tcPr>
            <w:tcW w:w="20" w:type="dxa"/>
            <w:vAlign w:val="bottom"/>
            <w:tcBorders>
              <w:bottom w:val="single" w:sz="8" w:color="auto"/>
            </w:tcBorders>
          </w:tcPr>
          <w:p>
            <w:pPr>
              <w:spacing w:after="0"/>
              <w:rPr>
                <w:sz w:val="13"/>
                <w:szCs w:val="13"/>
                <w:color w:val="auto"/>
              </w:rPr>
            </w:pPr>
          </w:p>
        </w:tc>
      </w:tr>
      <w:tr>
        <w:trPr>
          <w:trHeight w:val="134"/>
        </w:trPr>
        <w:tc>
          <w:tcPr>
            <w:tcW w:w="4100" w:type="dxa"/>
            <w:vAlign w:val="bottom"/>
            <w:tcBorders>
              <w:right w:val="single" w:sz="8" w:color="auto"/>
            </w:tcBorders>
          </w:tcPr>
          <w:p>
            <w:pPr>
              <w:spacing w:after="0"/>
              <w:rPr>
                <w:sz w:val="11"/>
                <w:szCs w:val="11"/>
                <w:color w:val="auto"/>
              </w:rPr>
            </w:pPr>
          </w:p>
        </w:tc>
        <w:tc>
          <w:tcPr>
            <w:tcW w:w="180" w:type="dxa"/>
            <w:vAlign w:val="bottom"/>
          </w:tcPr>
          <w:p>
            <w:pPr>
              <w:spacing w:after="0"/>
              <w:rPr>
                <w:sz w:val="11"/>
                <w:szCs w:val="11"/>
                <w:color w:val="auto"/>
              </w:rPr>
            </w:pPr>
          </w:p>
        </w:tc>
        <w:tc>
          <w:tcPr>
            <w:tcW w:w="880" w:type="dxa"/>
            <w:vAlign w:val="bottom"/>
          </w:tcPr>
          <w:p>
            <w:pPr>
              <w:jc w:val="right"/>
              <w:ind w:right="100"/>
              <w:spacing w:after="0" w:line="134" w:lineRule="exact"/>
              <w:rPr>
                <w:sz w:val="20"/>
                <w:szCs w:val="20"/>
                <w:color w:val="auto"/>
              </w:rPr>
            </w:pPr>
            <w:r>
              <w:rPr>
                <w:rFonts w:ascii="Arial" w:cs="Arial" w:eastAsia="Arial" w:hAnsi="Arial"/>
                <w:sz w:val="15"/>
                <w:szCs w:val="15"/>
                <w:b w:val="1"/>
                <w:bCs w:val="1"/>
                <w:color w:val="auto"/>
                <w:w w:val="98"/>
              </w:rPr>
              <w:t>Voluntary</w:t>
            </w:r>
          </w:p>
        </w:tc>
        <w:tc>
          <w:tcPr>
            <w:tcW w:w="1240" w:type="dxa"/>
            <w:vAlign w:val="bottom"/>
            <w:gridSpan w:val="2"/>
          </w:tcPr>
          <w:p>
            <w:pPr>
              <w:ind w:left="220"/>
              <w:spacing w:after="0" w:line="134" w:lineRule="exact"/>
              <w:rPr>
                <w:sz w:val="20"/>
                <w:szCs w:val="20"/>
                <w:color w:val="auto"/>
              </w:rPr>
            </w:pPr>
            <w:r>
              <w:rPr>
                <w:rFonts w:ascii="Arial" w:cs="Arial" w:eastAsia="Arial" w:hAnsi="Arial"/>
                <w:sz w:val="15"/>
                <w:szCs w:val="15"/>
                <w:b w:val="1"/>
                <w:bCs w:val="1"/>
                <w:color w:val="auto"/>
              </w:rPr>
              <w:t>Termination</w:t>
            </w:r>
          </w:p>
        </w:tc>
        <w:tc>
          <w:tcPr>
            <w:tcW w:w="38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80" w:type="dxa"/>
            <w:vAlign w:val="bottom"/>
          </w:tcPr>
          <w:p>
            <w:pPr>
              <w:jc w:val="center"/>
              <w:ind w:right="160"/>
              <w:spacing w:after="0" w:line="134" w:lineRule="exact"/>
              <w:rPr>
                <w:sz w:val="20"/>
                <w:szCs w:val="20"/>
                <w:color w:val="auto"/>
              </w:rPr>
            </w:pPr>
            <w:r>
              <w:rPr>
                <w:rFonts w:ascii="Arial" w:cs="Arial" w:eastAsia="Arial" w:hAnsi="Arial"/>
                <w:sz w:val="15"/>
                <w:szCs w:val="15"/>
                <w:b w:val="1"/>
                <w:bCs w:val="1"/>
                <w:color w:val="auto"/>
                <w:w w:val="98"/>
              </w:rPr>
              <w:t>Death &amp;</w:t>
            </w:r>
          </w:p>
        </w:tc>
        <w:tc>
          <w:tcPr>
            <w:tcW w:w="260" w:type="dxa"/>
            <w:vAlign w:val="bottom"/>
          </w:tcPr>
          <w:p>
            <w:pPr>
              <w:spacing w:after="0"/>
              <w:rPr>
                <w:sz w:val="11"/>
                <w:szCs w:val="11"/>
                <w:color w:val="auto"/>
              </w:rPr>
            </w:pPr>
          </w:p>
        </w:tc>
        <w:tc>
          <w:tcPr>
            <w:tcW w:w="1140" w:type="dxa"/>
            <w:vAlign w:val="bottom"/>
          </w:tcPr>
          <w:p>
            <w:pPr>
              <w:jc w:val="right"/>
              <w:ind w:right="180"/>
              <w:spacing w:after="0" w:line="134" w:lineRule="exact"/>
              <w:rPr>
                <w:sz w:val="20"/>
                <w:szCs w:val="20"/>
                <w:color w:val="auto"/>
              </w:rPr>
            </w:pPr>
            <w:r>
              <w:rPr>
                <w:rFonts w:ascii="Arial" w:cs="Arial" w:eastAsia="Arial" w:hAnsi="Arial"/>
                <w:sz w:val="15"/>
                <w:szCs w:val="15"/>
                <w:b w:val="1"/>
                <w:bCs w:val="1"/>
                <w:color w:val="auto"/>
              </w:rPr>
              <w:t>Termination</w:t>
            </w:r>
          </w:p>
        </w:tc>
        <w:tc>
          <w:tcPr>
            <w:tcW w:w="1220" w:type="dxa"/>
            <w:vAlign w:val="bottom"/>
            <w:gridSpan w:val="2"/>
          </w:tcPr>
          <w:p>
            <w:pPr>
              <w:jc w:val="center"/>
              <w:spacing w:after="0" w:line="134" w:lineRule="exact"/>
              <w:rPr>
                <w:sz w:val="20"/>
                <w:szCs w:val="20"/>
                <w:color w:val="auto"/>
              </w:rPr>
            </w:pPr>
            <w:r>
              <w:rPr>
                <w:rFonts w:ascii="Arial" w:cs="Arial" w:eastAsia="Arial" w:hAnsi="Arial"/>
                <w:sz w:val="15"/>
                <w:szCs w:val="15"/>
                <w:b w:val="1"/>
                <w:bCs w:val="1"/>
                <w:color w:val="auto"/>
              </w:rPr>
              <w:t>Change in</w:t>
            </w:r>
          </w:p>
        </w:tc>
        <w:tc>
          <w:tcPr>
            <w:tcW w:w="20" w:type="dxa"/>
            <w:vAlign w:val="bottom"/>
          </w:tcPr>
          <w:p>
            <w:pPr>
              <w:spacing w:after="0"/>
              <w:rPr>
                <w:sz w:val="11"/>
                <w:szCs w:val="11"/>
                <w:color w:val="auto"/>
              </w:rPr>
            </w:pPr>
          </w:p>
        </w:tc>
      </w:tr>
      <w:tr>
        <w:trPr>
          <w:trHeight w:val="183"/>
        </w:trPr>
        <w:tc>
          <w:tcPr>
            <w:tcW w:w="4100" w:type="dxa"/>
            <w:vAlign w:val="bottom"/>
            <w:tcBorders>
              <w:bottom w:val="single" w:sz="8" w:color="auto"/>
              <w:right w:val="single" w:sz="8" w:color="auto"/>
            </w:tcBorders>
          </w:tcPr>
          <w:p>
            <w:pPr>
              <w:spacing w:after="0"/>
              <w:rPr>
                <w:sz w:val="15"/>
                <w:szCs w:val="15"/>
                <w:color w:val="auto"/>
              </w:rPr>
            </w:pPr>
          </w:p>
        </w:tc>
        <w:tc>
          <w:tcPr>
            <w:tcW w:w="1060" w:type="dxa"/>
            <w:vAlign w:val="bottom"/>
            <w:tcBorders>
              <w:bottom w:val="single" w:sz="8" w:color="auto"/>
            </w:tcBorders>
            <w:gridSpan w:val="2"/>
          </w:tcPr>
          <w:p>
            <w:pPr>
              <w:ind w:left="100"/>
              <w:spacing w:after="0"/>
              <w:rPr>
                <w:sz w:val="20"/>
                <w:szCs w:val="20"/>
                <w:color w:val="auto"/>
              </w:rPr>
            </w:pPr>
            <w:r>
              <w:rPr>
                <w:rFonts w:ascii="Arial" w:cs="Arial" w:eastAsia="Arial" w:hAnsi="Arial"/>
                <w:sz w:val="15"/>
                <w:szCs w:val="15"/>
                <w:b w:val="1"/>
                <w:bCs w:val="1"/>
                <w:color w:val="auto"/>
              </w:rPr>
              <w:t>Resignation</w:t>
            </w:r>
          </w:p>
        </w:tc>
        <w:tc>
          <w:tcPr>
            <w:tcW w:w="1240" w:type="dxa"/>
            <w:vAlign w:val="bottom"/>
            <w:tcBorders>
              <w:bottom w:val="single" w:sz="8" w:color="auto"/>
            </w:tcBorders>
            <w:gridSpan w:val="2"/>
          </w:tcPr>
          <w:p>
            <w:pPr>
              <w:ind w:left="240"/>
              <w:spacing w:after="0"/>
              <w:rPr>
                <w:sz w:val="20"/>
                <w:szCs w:val="20"/>
                <w:color w:val="auto"/>
              </w:rPr>
            </w:pPr>
            <w:r>
              <w:rPr>
                <w:rFonts w:ascii="Arial" w:cs="Arial" w:eastAsia="Arial" w:hAnsi="Arial"/>
                <w:sz w:val="15"/>
                <w:szCs w:val="15"/>
                <w:b w:val="1"/>
                <w:bCs w:val="1"/>
                <w:color w:val="auto"/>
              </w:rPr>
              <w:t>With Cause</w:t>
            </w:r>
          </w:p>
        </w:tc>
        <w:tc>
          <w:tcPr>
            <w:tcW w:w="1280" w:type="dxa"/>
            <w:vAlign w:val="bottom"/>
            <w:tcBorders>
              <w:bottom w:val="single" w:sz="8" w:color="auto"/>
            </w:tcBorders>
            <w:gridSpan w:val="2"/>
          </w:tcPr>
          <w:p>
            <w:pPr>
              <w:ind w:left="160"/>
              <w:spacing w:after="0"/>
              <w:rPr>
                <w:sz w:val="20"/>
                <w:szCs w:val="20"/>
                <w:color w:val="auto"/>
              </w:rPr>
            </w:pPr>
            <w:r>
              <w:rPr>
                <w:rFonts w:ascii="Arial" w:cs="Arial" w:eastAsia="Arial" w:hAnsi="Arial"/>
                <w:sz w:val="15"/>
                <w:szCs w:val="15"/>
                <w:b w:val="1"/>
                <w:bCs w:val="1"/>
                <w:color w:val="auto"/>
              </w:rPr>
              <w:t>Retirement</w:t>
            </w:r>
            <w:r>
              <w:rPr>
                <w:rFonts w:ascii="Arial" w:cs="Arial" w:eastAsia="Arial" w:hAnsi="Arial"/>
                <w:sz w:val="13"/>
                <w:szCs w:val="13"/>
                <w:b w:val="1"/>
                <w:bCs w:val="1"/>
                <w:color w:val="auto"/>
              </w:rPr>
              <w:t>(6)</w:t>
            </w:r>
          </w:p>
        </w:tc>
        <w:tc>
          <w:tcPr>
            <w:tcW w:w="1120" w:type="dxa"/>
            <w:vAlign w:val="bottom"/>
            <w:tcBorders>
              <w:bottom w:val="single" w:sz="8" w:color="auto"/>
            </w:tcBorders>
            <w:gridSpan w:val="2"/>
          </w:tcPr>
          <w:p>
            <w:pPr>
              <w:jc w:val="center"/>
              <w:spacing w:after="0"/>
              <w:rPr>
                <w:sz w:val="20"/>
                <w:szCs w:val="20"/>
                <w:color w:val="auto"/>
              </w:rPr>
            </w:pPr>
            <w:r>
              <w:rPr>
                <w:rFonts w:ascii="Arial" w:cs="Arial" w:eastAsia="Arial" w:hAnsi="Arial"/>
                <w:sz w:val="15"/>
                <w:szCs w:val="15"/>
                <w:b w:val="1"/>
                <w:bCs w:val="1"/>
                <w:color w:val="auto"/>
              </w:rPr>
              <w:t>Disability</w:t>
            </w:r>
          </w:p>
        </w:tc>
        <w:tc>
          <w:tcPr>
            <w:tcW w:w="1400" w:type="dxa"/>
            <w:vAlign w:val="bottom"/>
            <w:tcBorders>
              <w:bottom w:val="single" w:sz="8" w:color="auto"/>
            </w:tcBorders>
            <w:gridSpan w:val="2"/>
          </w:tcPr>
          <w:p>
            <w:pPr>
              <w:ind w:left="160"/>
              <w:spacing w:after="0"/>
              <w:rPr>
                <w:sz w:val="20"/>
                <w:szCs w:val="20"/>
                <w:color w:val="auto"/>
              </w:rPr>
            </w:pPr>
            <w:r>
              <w:rPr>
                <w:rFonts w:ascii="Arial" w:cs="Arial" w:eastAsia="Arial" w:hAnsi="Arial"/>
                <w:sz w:val="15"/>
                <w:szCs w:val="15"/>
                <w:b w:val="1"/>
                <w:bCs w:val="1"/>
                <w:color w:val="auto"/>
              </w:rPr>
              <w:t>Without Cause</w:t>
            </w:r>
          </w:p>
        </w:tc>
        <w:tc>
          <w:tcPr>
            <w:tcW w:w="260" w:type="dxa"/>
            <w:vAlign w:val="bottom"/>
            <w:tcBorders>
              <w:bottom w:val="single" w:sz="8" w:color="auto"/>
            </w:tcBorders>
          </w:tcPr>
          <w:p>
            <w:pPr>
              <w:spacing w:after="0"/>
              <w:rPr>
                <w:sz w:val="15"/>
                <w:szCs w:val="15"/>
                <w:color w:val="auto"/>
              </w:rPr>
            </w:pPr>
          </w:p>
        </w:tc>
        <w:tc>
          <w:tcPr>
            <w:tcW w:w="960" w:type="dxa"/>
            <w:vAlign w:val="bottom"/>
            <w:tcBorders>
              <w:bottom w:val="single" w:sz="8" w:color="auto"/>
            </w:tcBorders>
          </w:tcPr>
          <w:p>
            <w:pPr>
              <w:jc w:val="center"/>
              <w:ind w:right="260"/>
              <w:spacing w:after="0"/>
              <w:rPr>
                <w:sz w:val="20"/>
                <w:szCs w:val="20"/>
                <w:color w:val="auto"/>
              </w:rPr>
            </w:pPr>
            <w:r>
              <w:rPr>
                <w:rFonts w:ascii="Arial" w:cs="Arial" w:eastAsia="Arial" w:hAnsi="Arial"/>
                <w:sz w:val="15"/>
                <w:szCs w:val="15"/>
                <w:b w:val="1"/>
                <w:bCs w:val="1"/>
                <w:color w:val="auto"/>
              </w:rPr>
              <w:t>Control</w:t>
            </w:r>
          </w:p>
        </w:tc>
        <w:tc>
          <w:tcPr>
            <w:tcW w:w="20" w:type="dxa"/>
            <w:vAlign w:val="bottom"/>
            <w:tcBorders>
              <w:bottom w:val="single" w:sz="8" w:color="auto"/>
            </w:tcBorders>
          </w:tcPr>
          <w:p>
            <w:pPr>
              <w:spacing w:after="0"/>
              <w:rPr>
                <w:sz w:val="15"/>
                <w:szCs w:val="15"/>
                <w:color w:val="auto"/>
              </w:rPr>
            </w:pPr>
          </w:p>
        </w:tc>
      </w:tr>
      <w:tr>
        <w:trPr>
          <w:trHeight w:val="183"/>
        </w:trPr>
        <w:tc>
          <w:tcPr>
            <w:tcW w:w="4100" w:type="dxa"/>
            <w:vAlign w:val="bottom"/>
            <w:tcBorders>
              <w:right w:val="single" w:sz="8" w:color="auto"/>
            </w:tcBorders>
            <w:shd w:val="clear" w:color="auto" w:fill="CCEEFF"/>
          </w:tcPr>
          <w:p>
            <w:pPr>
              <w:ind w:left="160"/>
              <w:spacing w:after="0" w:line="183" w:lineRule="exact"/>
              <w:rPr>
                <w:sz w:val="20"/>
                <w:szCs w:val="20"/>
                <w:color w:val="auto"/>
              </w:rPr>
            </w:pPr>
            <w:r>
              <w:rPr>
                <w:rFonts w:ascii="Arial" w:cs="Arial" w:eastAsia="Arial" w:hAnsi="Arial"/>
                <w:sz w:val="13"/>
                <w:szCs w:val="13"/>
                <w:color w:val="auto"/>
              </w:rPr>
              <w:t>Cash Severance</w:t>
            </w:r>
            <w:r>
              <w:rPr>
                <w:rFonts w:ascii="Arial" w:cs="Arial" w:eastAsia="Arial" w:hAnsi="Arial"/>
                <w:sz w:val="21"/>
                <w:szCs w:val="21"/>
                <w:color w:val="auto"/>
                <w:vertAlign w:val="superscript"/>
              </w:rPr>
              <w:t>(1)</w:t>
            </w:r>
          </w:p>
        </w:tc>
        <w:tc>
          <w:tcPr>
            <w:tcW w:w="180" w:type="dxa"/>
            <w:vAlign w:val="bottom"/>
            <w:shd w:val="clear" w:color="auto" w:fill="CCEEFF"/>
          </w:tcPr>
          <w:p>
            <w:pPr>
              <w:ind w:left="100"/>
              <w:spacing w:after="0"/>
              <w:rPr>
                <w:sz w:val="20"/>
                <w:szCs w:val="20"/>
                <w:color w:val="auto"/>
              </w:rPr>
            </w:pPr>
            <w:r>
              <w:rPr>
                <w:rFonts w:ascii="Arial" w:cs="Arial" w:eastAsia="Arial" w:hAnsi="Arial"/>
                <w:sz w:val="15"/>
                <w:szCs w:val="15"/>
                <w:color w:val="auto"/>
                <w:w w:val="71"/>
              </w:rPr>
              <w:t>$</w:t>
            </w:r>
          </w:p>
        </w:tc>
        <w:tc>
          <w:tcPr>
            <w:tcW w:w="880" w:type="dxa"/>
            <w:vAlign w:val="bottom"/>
            <w:shd w:val="clear" w:color="auto" w:fill="CCEEFF"/>
          </w:tcPr>
          <w:p>
            <w:pPr>
              <w:jc w:val="right"/>
              <w:spacing w:after="0" w:line="183" w:lineRule="exact"/>
              <w:rPr>
                <w:sz w:val="20"/>
                <w:szCs w:val="20"/>
                <w:color w:val="auto"/>
              </w:rPr>
            </w:pPr>
            <w:r>
              <w:rPr>
                <w:rFonts w:ascii="Arial" w:cs="Arial" w:eastAsia="Arial" w:hAnsi="Arial"/>
                <w:sz w:val="16"/>
                <w:szCs w:val="16"/>
                <w:color w:val="auto"/>
              </w:rPr>
              <w:t>0</w:t>
            </w:r>
          </w:p>
        </w:tc>
        <w:tc>
          <w:tcPr>
            <w:tcW w:w="960" w:type="dxa"/>
            <w:vAlign w:val="bottom"/>
            <w:shd w:val="clear" w:color="auto" w:fill="CCEEFF"/>
          </w:tcPr>
          <w:p>
            <w:pPr>
              <w:ind w:left="220"/>
              <w:spacing w:after="0" w:line="183" w:lineRule="exact"/>
              <w:rPr>
                <w:sz w:val="20"/>
                <w:szCs w:val="20"/>
                <w:color w:val="auto"/>
              </w:rPr>
            </w:pPr>
            <w:r>
              <w:rPr>
                <w:rFonts w:ascii="Arial" w:cs="Arial" w:eastAsia="Arial" w:hAnsi="Arial"/>
                <w:sz w:val="16"/>
                <w:szCs w:val="16"/>
                <w:color w:val="auto"/>
              </w:rPr>
              <w:t>$</w:t>
            </w:r>
          </w:p>
        </w:tc>
        <w:tc>
          <w:tcPr>
            <w:tcW w:w="280" w:type="dxa"/>
            <w:vAlign w:val="bottom"/>
            <w:shd w:val="clear" w:color="auto" w:fill="CCEEFF"/>
          </w:tcPr>
          <w:p>
            <w:pPr>
              <w:jc w:val="right"/>
              <w:ind w:right="79"/>
              <w:spacing w:after="0" w:line="183" w:lineRule="exact"/>
              <w:rPr>
                <w:sz w:val="20"/>
                <w:szCs w:val="20"/>
                <w:color w:val="auto"/>
              </w:rPr>
            </w:pPr>
            <w:r>
              <w:rPr>
                <w:rFonts w:ascii="Arial" w:cs="Arial" w:eastAsia="Arial" w:hAnsi="Arial"/>
                <w:sz w:val="16"/>
                <w:szCs w:val="16"/>
                <w:color w:val="auto"/>
              </w:rPr>
              <w:t>0</w:t>
            </w:r>
          </w:p>
        </w:tc>
        <w:tc>
          <w:tcPr>
            <w:tcW w:w="380" w:type="dxa"/>
            <w:vAlign w:val="bottom"/>
            <w:shd w:val="clear" w:color="auto" w:fill="CCEEFF"/>
          </w:tcPr>
          <w:p>
            <w:pPr>
              <w:spacing w:after="0"/>
              <w:rPr>
                <w:sz w:val="15"/>
                <w:szCs w:val="15"/>
                <w:color w:val="auto"/>
              </w:rPr>
            </w:pPr>
          </w:p>
        </w:tc>
        <w:tc>
          <w:tcPr>
            <w:tcW w:w="900" w:type="dxa"/>
            <w:vAlign w:val="bottom"/>
            <w:shd w:val="clear" w:color="auto" w:fill="CCEEFF"/>
          </w:tcPr>
          <w:p>
            <w:pPr>
              <w:spacing w:after="0"/>
              <w:rPr>
                <w:sz w:val="15"/>
                <w:szCs w:val="15"/>
                <w:color w:val="auto"/>
              </w:rPr>
            </w:pPr>
          </w:p>
        </w:tc>
        <w:tc>
          <w:tcPr>
            <w:tcW w:w="240" w:type="dxa"/>
            <w:vAlign w:val="bottom"/>
            <w:shd w:val="clear" w:color="auto" w:fill="CCEEFF"/>
          </w:tcPr>
          <w:p>
            <w:pPr>
              <w:jc w:val="right"/>
              <w:spacing w:after="0" w:line="183" w:lineRule="exact"/>
              <w:rPr>
                <w:sz w:val="20"/>
                <w:szCs w:val="20"/>
                <w:color w:val="auto"/>
              </w:rPr>
            </w:pPr>
            <w:r>
              <w:rPr>
                <w:rFonts w:ascii="Arial" w:cs="Arial" w:eastAsia="Arial" w:hAnsi="Arial"/>
                <w:sz w:val="16"/>
                <w:szCs w:val="16"/>
                <w:color w:val="auto"/>
              </w:rPr>
              <w:t>$</w:t>
            </w:r>
          </w:p>
        </w:tc>
        <w:tc>
          <w:tcPr>
            <w:tcW w:w="880" w:type="dxa"/>
            <w:vAlign w:val="bottom"/>
            <w:shd w:val="clear" w:color="auto" w:fill="CCEEFF"/>
          </w:tcPr>
          <w:p>
            <w:pPr>
              <w:jc w:val="right"/>
              <w:ind w:right="60"/>
              <w:spacing w:after="0" w:line="183" w:lineRule="exact"/>
              <w:rPr>
                <w:sz w:val="20"/>
                <w:szCs w:val="20"/>
                <w:color w:val="auto"/>
              </w:rPr>
            </w:pPr>
            <w:r>
              <w:rPr>
                <w:rFonts w:ascii="Arial" w:cs="Arial" w:eastAsia="Arial" w:hAnsi="Arial"/>
                <w:sz w:val="16"/>
                <w:szCs w:val="16"/>
                <w:color w:val="auto"/>
              </w:rPr>
              <w:t>0</w:t>
            </w:r>
          </w:p>
        </w:tc>
        <w:tc>
          <w:tcPr>
            <w:tcW w:w="260" w:type="dxa"/>
            <w:vAlign w:val="bottom"/>
            <w:shd w:val="clear" w:color="auto" w:fill="CCEEFF"/>
          </w:tcPr>
          <w:p>
            <w:pPr>
              <w:ind w:left="160"/>
              <w:spacing w:after="0" w:line="183" w:lineRule="exact"/>
              <w:rPr>
                <w:sz w:val="20"/>
                <w:szCs w:val="20"/>
                <w:color w:val="auto"/>
              </w:rPr>
            </w:pPr>
            <w:r>
              <w:rPr>
                <w:rFonts w:ascii="Arial" w:cs="Arial" w:eastAsia="Arial" w:hAnsi="Arial"/>
                <w:sz w:val="16"/>
                <w:szCs w:val="16"/>
                <w:color w:val="auto"/>
                <w:w w:val="89"/>
              </w:rPr>
              <w:t>$</w:t>
            </w:r>
          </w:p>
        </w:tc>
        <w:tc>
          <w:tcPr>
            <w:tcW w:w="1140" w:type="dxa"/>
            <w:vAlign w:val="bottom"/>
            <w:shd w:val="clear" w:color="auto" w:fill="CCEEFF"/>
          </w:tcPr>
          <w:p>
            <w:pPr>
              <w:jc w:val="right"/>
              <w:ind w:right="80"/>
              <w:spacing w:after="0" w:line="183" w:lineRule="exact"/>
              <w:rPr>
                <w:sz w:val="20"/>
                <w:szCs w:val="20"/>
                <w:color w:val="auto"/>
              </w:rPr>
            </w:pPr>
            <w:r>
              <w:rPr>
                <w:rFonts w:ascii="Arial" w:cs="Arial" w:eastAsia="Arial" w:hAnsi="Arial"/>
                <w:sz w:val="16"/>
                <w:szCs w:val="16"/>
                <w:color w:val="auto"/>
              </w:rPr>
              <w:t>834,103</w:t>
            </w:r>
          </w:p>
        </w:tc>
        <w:tc>
          <w:tcPr>
            <w:tcW w:w="1220" w:type="dxa"/>
            <w:vAlign w:val="bottom"/>
            <w:gridSpan w:val="2"/>
            <w:shd w:val="clear" w:color="auto" w:fill="CCEEFF"/>
          </w:tcPr>
          <w:p>
            <w:pPr>
              <w:jc w:val="right"/>
              <w:ind w:right="160"/>
              <w:spacing w:after="0" w:line="183" w:lineRule="exact"/>
              <w:rPr>
                <w:sz w:val="20"/>
                <w:szCs w:val="20"/>
                <w:color w:val="auto"/>
              </w:rPr>
            </w:pPr>
            <w:r>
              <w:rPr>
                <w:rFonts w:ascii="Arial" w:cs="Arial" w:eastAsia="Arial" w:hAnsi="Arial"/>
                <w:sz w:val="16"/>
                <w:szCs w:val="16"/>
                <w:color w:val="auto"/>
              </w:rPr>
              <w:t>$1,668,206</w:t>
            </w:r>
          </w:p>
        </w:tc>
        <w:tc>
          <w:tcPr>
            <w:tcW w:w="20" w:type="dxa"/>
            <w:vAlign w:val="bottom"/>
          </w:tcPr>
          <w:p>
            <w:pPr>
              <w:spacing w:after="0"/>
              <w:rPr>
                <w:sz w:val="15"/>
                <w:szCs w:val="15"/>
                <w:color w:val="auto"/>
              </w:rPr>
            </w:pPr>
          </w:p>
        </w:tc>
      </w:tr>
      <w:tr>
        <w:trPr>
          <w:trHeight w:val="189"/>
        </w:trPr>
        <w:tc>
          <w:tcPr>
            <w:tcW w:w="4100" w:type="dxa"/>
            <w:vAlign w:val="bottom"/>
            <w:tcBorders>
              <w:right w:val="single" w:sz="8" w:color="auto"/>
            </w:tcBorders>
          </w:tcPr>
          <w:p>
            <w:pPr>
              <w:ind w:left="160"/>
              <w:spacing w:after="0" w:line="189" w:lineRule="exact"/>
              <w:rPr>
                <w:sz w:val="20"/>
                <w:szCs w:val="20"/>
                <w:color w:val="auto"/>
              </w:rPr>
            </w:pPr>
            <w:r>
              <w:rPr>
                <w:rFonts w:ascii="Arial" w:cs="Arial" w:eastAsia="Arial" w:hAnsi="Arial"/>
                <w:sz w:val="13"/>
                <w:szCs w:val="13"/>
                <w:color w:val="auto"/>
              </w:rPr>
              <w:t>Equity</w:t>
            </w:r>
            <w:r>
              <w:rPr>
                <w:rFonts w:ascii="Arial" w:cs="Arial" w:eastAsia="Arial" w:hAnsi="Arial"/>
                <w:sz w:val="21"/>
                <w:szCs w:val="21"/>
                <w:color w:val="auto"/>
                <w:vertAlign w:val="superscript"/>
              </w:rPr>
              <w:t>(2)</w:t>
            </w:r>
          </w:p>
        </w:tc>
        <w:tc>
          <w:tcPr>
            <w:tcW w:w="180" w:type="dxa"/>
            <w:vAlign w:val="bottom"/>
          </w:tcPr>
          <w:p>
            <w:pPr>
              <w:ind w:left="100"/>
              <w:spacing w:after="0"/>
              <w:rPr>
                <w:sz w:val="20"/>
                <w:szCs w:val="20"/>
                <w:color w:val="auto"/>
              </w:rPr>
            </w:pPr>
            <w:r>
              <w:rPr>
                <w:rFonts w:ascii="Arial" w:cs="Arial" w:eastAsia="Arial" w:hAnsi="Arial"/>
                <w:sz w:val="15"/>
                <w:szCs w:val="15"/>
                <w:color w:val="auto"/>
                <w:w w:val="71"/>
              </w:rPr>
              <w:t>$</w:t>
            </w:r>
          </w:p>
        </w:tc>
        <w:tc>
          <w:tcPr>
            <w:tcW w:w="880" w:type="dxa"/>
            <w:vAlign w:val="bottom"/>
          </w:tcPr>
          <w:p>
            <w:pPr>
              <w:jc w:val="right"/>
              <w:spacing w:after="0"/>
              <w:rPr>
                <w:sz w:val="20"/>
                <w:szCs w:val="20"/>
                <w:color w:val="auto"/>
              </w:rPr>
            </w:pPr>
            <w:r>
              <w:rPr>
                <w:rFonts w:ascii="Arial" w:cs="Arial" w:eastAsia="Arial" w:hAnsi="Arial"/>
                <w:sz w:val="16"/>
                <w:szCs w:val="16"/>
                <w:color w:val="auto"/>
              </w:rPr>
              <w:t>0</w:t>
            </w:r>
          </w:p>
        </w:tc>
        <w:tc>
          <w:tcPr>
            <w:tcW w:w="960" w:type="dxa"/>
            <w:vAlign w:val="bottom"/>
          </w:tcPr>
          <w:p>
            <w:pPr>
              <w:ind w:left="220"/>
              <w:spacing w:after="0"/>
              <w:rPr>
                <w:sz w:val="20"/>
                <w:szCs w:val="20"/>
                <w:color w:val="auto"/>
              </w:rPr>
            </w:pPr>
            <w:r>
              <w:rPr>
                <w:rFonts w:ascii="Arial" w:cs="Arial" w:eastAsia="Arial" w:hAnsi="Arial"/>
                <w:sz w:val="16"/>
                <w:szCs w:val="16"/>
                <w:color w:val="auto"/>
              </w:rPr>
              <w:t>$</w:t>
            </w:r>
          </w:p>
        </w:tc>
        <w:tc>
          <w:tcPr>
            <w:tcW w:w="280" w:type="dxa"/>
            <w:vAlign w:val="bottom"/>
          </w:tcPr>
          <w:p>
            <w:pPr>
              <w:jc w:val="right"/>
              <w:ind w:right="79"/>
              <w:spacing w:after="0"/>
              <w:rPr>
                <w:sz w:val="20"/>
                <w:szCs w:val="20"/>
                <w:color w:val="auto"/>
              </w:rPr>
            </w:pPr>
            <w:r>
              <w:rPr>
                <w:rFonts w:ascii="Arial" w:cs="Arial" w:eastAsia="Arial" w:hAnsi="Arial"/>
                <w:sz w:val="16"/>
                <w:szCs w:val="16"/>
                <w:color w:val="auto"/>
              </w:rPr>
              <w:t>0</w:t>
            </w:r>
          </w:p>
        </w:tc>
        <w:tc>
          <w:tcPr>
            <w:tcW w:w="380" w:type="dxa"/>
            <w:vAlign w:val="bottom"/>
          </w:tcPr>
          <w:p>
            <w:pPr>
              <w:spacing w:after="0"/>
              <w:rPr>
                <w:sz w:val="16"/>
                <w:szCs w:val="16"/>
                <w:color w:val="auto"/>
              </w:rPr>
            </w:pPr>
          </w:p>
        </w:tc>
        <w:tc>
          <w:tcPr>
            <w:tcW w:w="900" w:type="dxa"/>
            <w:vAlign w:val="bottom"/>
          </w:tcPr>
          <w:p>
            <w:pPr>
              <w:spacing w:after="0"/>
              <w:rPr>
                <w:sz w:val="16"/>
                <w:szCs w:val="16"/>
                <w:color w:val="auto"/>
              </w:rPr>
            </w:pPr>
          </w:p>
        </w:tc>
        <w:tc>
          <w:tcPr>
            <w:tcW w:w="240" w:type="dxa"/>
            <w:vAlign w:val="bottom"/>
          </w:tcPr>
          <w:p>
            <w:pPr>
              <w:jc w:val="right"/>
              <w:spacing w:after="0"/>
              <w:rPr>
                <w:sz w:val="20"/>
                <w:szCs w:val="20"/>
                <w:color w:val="auto"/>
              </w:rPr>
            </w:pPr>
            <w:r>
              <w:rPr>
                <w:rFonts w:ascii="Arial" w:cs="Arial" w:eastAsia="Arial" w:hAnsi="Arial"/>
                <w:sz w:val="16"/>
                <w:szCs w:val="16"/>
                <w:color w:val="auto"/>
              </w:rPr>
              <w:t>$</w:t>
            </w:r>
          </w:p>
        </w:tc>
        <w:tc>
          <w:tcPr>
            <w:tcW w:w="880" w:type="dxa"/>
            <w:vAlign w:val="bottom"/>
          </w:tcPr>
          <w:p>
            <w:pPr>
              <w:jc w:val="right"/>
              <w:ind w:right="60"/>
              <w:spacing w:after="0"/>
              <w:rPr>
                <w:sz w:val="20"/>
                <w:szCs w:val="20"/>
                <w:color w:val="auto"/>
              </w:rPr>
            </w:pPr>
            <w:r>
              <w:rPr>
                <w:rFonts w:ascii="Arial" w:cs="Arial" w:eastAsia="Arial" w:hAnsi="Arial"/>
                <w:sz w:val="16"/>
                <w:szCs w:val="16"/>
                <w:color w:val="auto"/>
              </w:rPr>
              <w:t>76,677</w:t>
            </w:r>
          </w:p>
        </w:tc>
        <w:tc>
          <w:tcPr>
            <w:tcW w:w="260" w:type="dxa"/>
            <w:vAlign w:val="bottom"/>
          </w:tcPr>
          <w:p>
            <w:pPr>
              <w:ind w:left="160"/>
              <w:spacing w:after="0"/>
              <w:rPr>
                <w:sz w:val="20"/>
                <w:szCs w:val="20"/>
                <w:color w:val="auto"/>
              </w:rPr>
            </w:pPr>
            <w:r>
              <w:rPr>
                <w:rFonts w:ascii="Arial" w:cs="Arial" w:eastAsia="Arial" w:hAnsi="Arial"/>
                <w:sz w:val="16"/>
                <w:szCs w:val="16"/>
                <w:color w:val="auto"/>
                <w:w w:val="89"/>
              </w:rPr>
              <w:t>$</w:t>
            </w:r>
          </w:p>
        </w:tc>
        <w:tc>
          <w:tcPr>
            <w:tcW w:w="1140" w:type="dxa"/>
            <w:vAlign w:val="bottom"/>
          </w:tcPr>
          <w:p>
            <w:pPr>
              <w:jc w:val="right"/>
              <w:ind w:right="80"/>
              <w:spacing w:after="0"/>
              <w:rPr>
                <w:sz w:val="20"/>
                <w:szCs w:val="20"/>
                <w:color w:val="auto"/>
              </w:rPr>
            </w:pPr>
            <w:r>
              <w:rPr>
                <w:rFonts w:ascii="Arial" w:cs="Arial" w:eastAsia="Arial" w:hAnsi="Arial"/>
                <w:sz w:val="16"/>
                <w:szCs w:val="16"/>
                <w:color w:val="auto"/>
              </w:rPr>
              <w:t>68,355</w:t>
            </w:r>
          </w:p>
        </w:tc>
        <w:tc>
          <w:tcPr>
            <w:tcW w:w="260" w:type="dxa"/>
            <w:vAlign w:val="bottom"/>
          </w:tcPr>
          <w:p>
            <w:pPr>
              <w:jc w:val="right"/>
              <w:spacing w:after="0"/>
              <w:rPr>
                <w:sz w:val="20"/>
                <w:szCs w:val="20"/>
                <w:color w:val="auto"/>
              </w:rPr>
            </w:pPr>
            <w:r>
              <w:rPr>
                <w:rFonts w:ascii="Arial" w:cs="Arial" w:eastAsia="Arial" w:hAnsi="Arial"/>
                <w:sz w:val="16"/>
                <w:szCs w:val="16"/>
                <w:color w:val="auto"/>
              </w:rPr>
              <w:t>$</w:t>
            </w:r>
          </w:p>
        </w:tc>
        <w:tc>
          <w:tcPr>
            <w:tcW w:w="960" w:type="dxa"/>
            <w:vAlign w:val="bottom"/>
          </w:tcPr>
          <w:p>
            <w:pPr>
              <w:jc w:val="right"/>
              <w:ind w:right="160"/>
              <w:spacing w:after="0"/>
              <w:rPr>
                <w:sz w:val="20"/>
                <w:szCs w:val="20"/>
                <w:color w:val="auto"/>
              </w:rPr>
            </w:pPr>
            <w:r>
              <w:rPr>
                <w:rFonts w:ascii="Arial" w:cs="Arial" w:eastAsia="Arial" w:hAnsi="Arial"/>
                <w:sz w:val="16"/>
                <w:szCs w:val="16"/>
                <w:color w:val="auto"/>
              </w:rPr>
              <w:t>76,677</w:t>
            </w:r>
          </w:p>
        </w:tc>
        <w:tc>
          <w:tcPr>
            <w:tcW w:w="20" w:type="dxa"/>
            <w:vAlign w:val="bottom"/>
          </w:tcPr>
          <w:p>
            <w:pPr>
              <w:spacing w:after="0"/>
              <w:rPr>
                <w:sz w:val="16"/>
                <w:szCs w:val="16"/>
                <w:color w:val="auto"/>
              </w:rPr>
            </w:pPr>
          </w:p>
        </w:tc>
      </w:tr>
      <w:tr>
        <w:trPr>
          <w:trHeight w:val="189"/>
        </w:trPr>
        <w:tc>
          <w:tcPr>
            <w:tcW w:w="4100" w:type="dxa"/>
            <w:vAlign w:val="bottom"/>
            <w:tcBorders>
              <w:right w:val="single" w:sz="8" w:color="auto"/>
            </w:tcBorders>
            <w:shd w:val="clear" w:color="auto" w:fill="CCEEFF"/>
          </w:tcPr>
          <w:p>
            <w:pPr>
              <w:ind w:left="160"/>
              <w:spacing w:after="0" w:line="189" w:lineRule="exact"/>
              <w:rPr>
                <w:sz w:val="20"/>
                <w:szCs w:val="20"/>
                <w:color w:val="auto"/>
              </w:rPr>
            </w:pPr>
            <w:r>
              <w:rPr>
                <w:rFonts w:ascii="Arial" w:cs="Arial" w:eastAsia="Arial" w:hAnsi="Arial"/>
                <w:sz w:val="13"/>
                <w:szCs w:val="13"/>
                <w:color w:val="auto"/>
              </w:rPr>
              <w:t>Retirement Benefits</w:t>
            </w:r>
            <w:r>
              <w:rPr>
                <w:rFonts w:ascii="Arial" w:cs="Arial" w:eastAsia="Arial" w:hAnsi="Arial"/>
                <w:sz w:val="21"/>
                <w:szCs w:val="21"/>
                <w:color w:val="auto"/>
                <w:vertAlign w:val="superscript"/>
              </w:rPr>
              <w:t>(3)</w:t>
            </w:r>
          </w:p>
        </w:tc>
        <w:tc>
          <w:tcPr>
            <w:tcW w:w="180" w:type="dxa"/>
            <w:vAlign w:val="bottom"/>
            <w:shd w:val="clear" w:color="auto" w:fill="CCEEFF"/>
          </w:tcPr>
          <w:p>
            <w:pPr>
              <w:ind w:left="100"/>
              <w:spacing w:after="0"/>
              <w:rPr>
                <w:sz w:val="20"/>
                <w:szCs w:val="20"/>
                <w:color w:val="auto"/>
              </w:rPr>
            </w:pPr>
            <w:r>
              <w:rPr>
                <w:rFonts w:ascii="Arial" w:cs="Arial" w:eastAsia="Arial" w:hAnsi="Arial"/>
                <w:sz w:val="15"/>
                <w:szCs w:val="15"/>
                <w:color w:val="auto"/>
                <w:w w:val="71"/>
              </w:rPr>
              <w:t>$</w:t>
            </w:r>
          </w:p>
        </w:tc>
        <w:tc>
          <w:tcPr>
            <w:tcW w:w="8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0</w:t>
            </w:r>
          </w:p>
        </w:tc>
        <w:tc>
          <w:tcPr>
            <w:tcW w:w="960" w:type="dxa"/>
            <w:vAlign w:val="bottom"/>
            <w:shd w:val="clear" w:color="auto" w:fill="CCEEFF"/>
          </w:tcPr>
          <w:p>
            <w:pPr>
              <w:ind w:left="220"/>
              <w:spacing w:after="0"/>
              <w:rPr>
                <w:sz w:val="20"/>
                <w:szCs w:val="20"/>
                <w:color w:val="auto"/>
              </w:rPr>
            </w:pPr>
            <w:r>
              <w:rPr>
                <w:rFonts w:ascii="Arial" w:cs="Arial" w:eastAsia="Arial" w:hAnsi="Arial"/>
                <w:sz w:val="16"/>
                <w:szCs w:val="16"/>
                <w:color w:val="auto"/>
              </w:rPr>
              <w:t>$</w:t>
            </w:r>
          </w:p>
        </w:tc>
        <w:tc>
          <w:tcPr>
            <w:tcW w:w="280" w:type="dxa"/>
            <w:vAlign w:val="bottom"/>
            <w:shd w:val="clear" w:color="auto" w:fill="CCEEFF"/>
          </w:tcPr>
          <w:p>
            <w:pPr>
              <w:jc w:val="right"/>
              <w:ind w:right="79"/>
              <w:spacing w:after="0"/>
              <w:rPr>
                <w:sz w:val="20"/>
                <w:szCs w:val="20"/>
                <w:color w:val="auto"/>
              </w:rPr>
            </w:pPr>
            <w:r>
              <w:rPr>
                <w:rFonts w:ascii="Arial" w:cs="Arial" w:eastAsia="Arial" w:hAnsi="Arial"/>
                <w:sz w:val="16"/>
                <w:szCs w:val="16"/>
                <w:color w:val="auto"/>
              </w:rPr>
              <w:t>0</w:t>
            </w:r>
          </w:p>
        </w:tc>
        <w:tc>
          <w:tcPr>
            <w:tcW w:w="380" w:type="dxa"/>
            <w:vAlign w:val="bottom"/>
            <w:shd w:val="clear" w:color="auto" w:fill="CCEEFF"/>
          </w:tcPr>
          <w:p>
            <w:pPr>
              <w:spacing w:after="0"/>
              <w:rPr>
                <w:sz w:val="16"/>
                <w:szCs w:val="16"/>
                <w:color w:val="auto"/>
              </w:rPr>
            </w:pPr>
          </w:p>
        </w:tc>
        <w:tc>
          <w:tcPr>
            <w:tcW w:w="900" w:type="dxa"/>
            <w:vAlign w:val="bottom"/>
            <w:shd w:val="clear" w:color="auto" w:fill="CCEEFF"/>
          </w:tcPr>
          <w:p>
            <w:pPr>
              <w:spacing w:after="0"/>
              <w:rPr>
                <w:sz w:val="16"/>
                <w:szCs w:val="16"/>
                <w:color w:val="auto"/>
              </w:rPr>
            </w:pPr>
          </w:p>
        </w:tc>
        <w:tc>
          <w:tcPr>
            <w:tcW w:w="2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880" w:type="dxa"/>
            <w:vAlign w:val="bottom"/>
            <w:shd w:val="clear" w:color="auto" w:fill="CCEEFF"/>
          </w:tcPr>
          <w:p>
            <w:pPr>
              <w:jc w:val="right"/>
              <w:ind w:right="60"/>
              <w:spacing w:after="0"/>
              <w:rPr>
                <w:sz w:val="20"/>
                <w:szCs w:val="20"/>
                <w:color w:val="auto"/>
              </w:rPr>
            </w:pPr>
            <w:r>
              <w:rPr>
                <w:rFonts w:ascii="Arial" w:cs="Arial" w:eastAsia="Arial" w:hAnsi="Arial"/>
                <w:sz w:val="16"/>
                <w:szCs w:val="16"/>
                <w:color w:val="auto"/>
              </w:rPr>
              <w:t>0</w:t>
            </w:r>
          </w:p>
        </w:tc>
        <w:tc>
          <w:tcPr>
            <w:tcW w:w="260" w:type="dxa"/>
            <w:vAlign w:val="bottom"/>
            <w:shd w:val="clear" w:color="auto" w:fill="CCEEFF"/>
          </w:tcPr>
          <w:p>
            <w:pPr>
              <w:ind w:left="160"/>
              <w:spacing w:after="0"/>
              <w:rPr>
                <w:sz w:val="20"/>
                <w:szCs w:val="20"/>
                <w:color w:val="auto"/>
              </w:rPr>
            </w:pPr>
            <w:r>
              <w:rPr>
                <w:rFonts w:ascii="Arial" w:cs="Arial" w:eastAsia="Arial" w:hAnsi="Arial"/>
                <w:sz w:val="16"/>
                <w:szCs w:val="16"/>
                <w:color w:val="auto"/>
                <w:w w:val="89"/>
              </w:rPr>
              <w:t>$</w:t>
            </w:r>
          </w:p>
        </w:tc>
        <w:tc>
          <w:tcPr>
            <w:tcW w:w="1140" w:type="dxa"/>
            <w:vAlign w:val="bottom"/>
            <w:shd w:val="clear" w:color="auto" w:fill="CCEEFF"/>
          </w:tcPr>
          <w:p>
            <w:pPr>
              <w:jc w:val="right"/>
              <w:ind w:right="80"/>
              <w:spacing w:after="0"/>
              <w:rPr>
                <w:sz w:val="20"/>
                <w:szCs w:val="20"/>
                <w:color w:val="auto"/>
              </w:rPr>
            </w:pPr>
            <w:r>
              <w:rPr>
                <w:rFonts w:ascii="Arial" w:cs="Arial" w:eastAsia="Arial" w:hAnsi="Arial"/>
                <w:sz w:val="16"/>
                <w:szCs w:val="16"/>
                <w:color w:val="auto"/>
              </w:rPr>
              <w:t>0</w:t>
            </w:r>
          </w:p>
        </w:tc>
        <w:tc>
          <w:tcPr>
            <w:tcW w:w="2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960" w:type="dxa"/>
            <w:vAlign w:val="bottom"/>
            <w:shd w:val="clear" w:color="auto" w:fill="CCEEFF"/>
          </w:tcPr>
          <w:p>
            <w:pPr>
              <w:jc w:val="right"/>
              <w:ind w:right="160"/>
              <w:spacing w:after="0"/>
              <w:rPr>
                <w:sz w:val="20"/>
                <w:szCs w:val="20"/>
                <w:color w:val="auto"/>
              </w:rPr>
            </w:pPr>
            <w:r>
              <w:rPr>
                <w:rFonts w:ascii="Arial" w:cs="Arial" w:eastAsia="Arial" w:hAnsi="Arial"/>
                <w:sz w:val="16"/>
                <w:szCs w:val="16"/>
                <w:color w:val="auto"/>
              </w:rPr>
              <w:t>137,000</w:t>
            </w:r>
          </w:p>
        </w:tc>
        <w:tc>
          <w:tcPr>
            <w:tcW w:w="20" w:type="dxa"/>
            <w:vAlign w:val="bottom"/>
          </w:tcPr>
          <w:p>
            <w:pPr>
              <w:spacing w:after="0"/>
              <w:rPr>
                <w:sz w:val="16"/>
                <w:szCs w:val="16"/>
                <w:color w:val="auto"/>
              </w:rPr>
            </w:pPr>
          </w:p>
        </w:tc>
      </w:tr>
      <w:tr>
        <w:trPr>
          <w:trHeight w:val="189"/>
        </w:trPr>
        <w:tc>
          <w:tcPr>
            <w:tcW w:w="4100" w:type="dxa"/>
            <w:vAlign w:val="bottom"/>
            <w:tcBorders>
              <w:right w:val="single" w:sz="8" w:color="auto"/>
            </w:tcBorders>
          </w:tcPr>
          <w:p>
            <w:pPr>
              <w:ind w:left="160"/>
              <w:spacing w:after="0" w:line="189" w:lineRule="exact"/>
              <w:rPr>
                <w:sz w:val="20"/>
                <w:szCs w:val="20"/>
                <w:color w:val="auto"/>
              </w:rPr>
            </w:pPr>
            <w:r>
              <w:rPr>
                <w:rFonts w:ascii="Arial" w:cs="Arial" w:eastAsia="Arial" w:hAnsi="Arial"/>
                <w:sz w:val="13"/>
                <w:szCs w:val="13"/>
                <w:color w:val="auto"/>
              </w:rPr>
              <w:t>Other Benefits</w:t>
            </w:r>
            <w:r>
              <w:rPr>
                <w:rFonts w:ascii="Arial" w:cs="Arial" w:eastAsia="Arial" w:hAnsi="Arial"/>
                <w:sz w:val="21"/>
                <w:szCs w:val="21"/>
                <w:color w:val="auto"/>
                <w:vertAlign w:val="superscript"/>
              </w:rPr>
              <w:t>(4)</w:t>
            </w:r>
          </w:p>
        </w:tc>
        <w:tc>
          <w:tcPr>
            <w:tcW w:w="180" w:type="dxa"/>
            <w:vAlign w:val="bottom"/>
          </w:tcPr>
          <w:p>
            <w:pPr>
              <w:ind w:left="100"/>
              <w:spacing w:after="0"/>
              <w:rPr>
                <w:sz w:val="20"/>
                <w:szCs w:val="20"/>
                <w:color w:val="auto"/>
              </w:rPr>
            </w:pPr>
            <w:r>
              <w:rPr>
                <w:rFonts w:ascii="Arial" w:cs="Arial" w:eastAsia="Arial" w:hAnsi="Arial"/>
                <w:sz w:val="15"/>
                <w:szCs w:val="15"/>
                <w:color w:val="auto"/>
                <w:w w:val="71"/>
              </w:rPr>
              <w:t>$</w:t>
            </w:r>
          </w:p>
        </w:tc>
        <w:tc>
          <w:tcPr>
            <w:tcW w:w="880" w:type="dxa"/>
            <w:vAlign w:val="bottom"/>
          </w:tcPr>
          <w:p>
            <w:pPr>
              <w:jc w:val="right"/>
              <w:spacing w:after="0"/>
              <w:rPr>
                <w:sz w:val="20"/>
                <w:szCs w:val="20"/>
                <w:color w:val="auto"/>
              </w:rPr>
            </w:pPr>
            <w:r>
              <w:rPr>
                <w:rFonts w:ascii="Arial" w:cs="Arial" w:eastAsia="Arial" w:hAnsi="Arial"/>
                <w:sz w:val="16"/>
                <w:szCs w:val="16"/>
                <w:color w:val="auto"/>
              </w:rPr>
              <w:t>0</w:t>
            </w:r>
          </w:p>
        </w:tc>
        <w:tc>
          <w:tcPr>
            <w:tcW w:w="960" w:type="dxa"/>
            <w:vAlign w:val="bottom"/>
          </w:tcPr>
          <w:p>
            <w:pPr>
              <w:ind w:left="220"/>
              <w:spacing w:after="0"/>
              <w:rPr>
                <w:sz w:val="20"/>
                <w:szCs w:val="20"/>
                <w:color w:val="auto"/>
              </w:rPr>
            </w:pPr>
            <w:r>
              <w:rPr>
                <w:rFonts w:ascii="Arial" w:cs="Arial" w:eastAsia="Arial" w:hAnsi="Arial"/>
                <w:sz w:val="16"/>
                <w:szCs w:val="16"/>
                <w:color w:val="auto"/>
              </w:rPr>
              <w:t>$</w:t>
            </w:r>
          </w:p>
        </w:tc>
        <w:tc>
          <w:tcPr>
            <w:tcW w:w="280" w:type="dxa"/>
            <w:vAlign w:val="bottom"/>
          </w:tcPr>
          <w:p>
            <w:pPr>
              <w:jc w:val="right"/>
              <w:ind w:right="79"/>
              <w:spacing w:after="0"/>
              <w:rPr>
                <w:sz w:val="20"/>
                <w:szCs w:val="20"/>
                <w:color w:val="auto"/>
              </w:rPr>
            </w:pPr>
            <w:r>
              <w:rPr>
                <w:rFonts w:ascii="Arial" w:cs="Arial" w:eastAsia="Arial" w:hAnsi="Arial"/>
                <w:sz w:val="16"/>
                <w:szCs w:val="16"/>
                <w:color w:val="auto"/>
              </w:rPr>
              <w:t>0</w:t>
            </w:r>
          </w:p>
        </w:tc>
        <w:tc>
          <w:tcPr>
            <w:tcW w:w="380" w:type="dxa"/>
            <w:vAlign w:val="bottom"/>
          </w:tcPr>
          <w:p>
            <w:pPr>
              <w:spacing w:after="0"/>
              <w:rPr>
                <w:sz w:val="16"/>
                <w:szCs w:val="16"/>
                <w:color w:val="auto"/>
              </w:rPr>
            </w:pPr>
          </w:p>
        </w:tc>
        <w:tc>
          <w:tcPr>
            <w:tcW w:w="900" w:type="dxa"/>
            <w:vAlign w:val="bottom"/>
          </w:tcPr>
          <w:p>
            <w:pPr>
              <w:spacing w:after="0"/>
              <w:rPr>
                <w:sz w:val="16"/>
                <w:szCs w:val="16"/>
                <w:color w:val="auto"/>
              </w:rPr>
            </w:pPr>
          </w:p>
        </w:tc>
        <w:tc>
          <w:tcPr>
            <w:tcW w:w="240" w:type="dxa"/>
            <w:vAlign w:val="bottom"/>
          </w:tcPr>
          <w:p>
            <w:pPr>
              <w:jc w:val="right"/>
              <w:spacing w:after="0"/>
              <w:rPr>
                <w:sz w:val="20"/>
                <w:szCs w:val="20"/>
                <w:color w:val="auto"/>
              </w:rPr>
            </w:pPr>
            <w:r>
              <w:rPr>
                <w:rFonts w:ascii="Arial" w:cs="Arial" w:eastAsia="Arial" w:hAnsi="Arial"/>
                <w:sz w:val="16"/>
                <w:szCs w:val="16"/>
                <w:color w:val="auto"/>
              </w:rPr>
              <w:t>$</w:t>
            </w:r>
          </w:p>
        </w:tc>
        <w:tc>
          <w:tcPr>
            <w:tcW w:w="880" w:type="dxa"/>
            <w:vAlign w:val="bottom"/>
          </w:tcPr>
          <w:p>
            <w:pPr>
              <w:jc w:val="right"/>
              <w:ind w:right="60"/>
              <w:spacing w:after="0"/>
              <w:rPr>
                <w:sz w:val="20"/>
                <w:szCs w:val="20"/>
                <w:color w:val="auto"/>
              </w:rPr>
            </w:pPr>
            <w:r>
              <w:rPr>
                <w:rFonts w:ascii="Arial" w:cs="Arial" w:eastAsia="Arial" w:hAnsi="Arial"/>
                <w:sz w:val="16"/>
                <w:szCs w:val="16"/>
                <w:color w:val="auto"/>
              </w:rPr>
              <w:t>0</w:t>
            </w:r>
          </w:p>
        </w:tc>
        <w:tc>
          <w:tcPr>
            <w:tcW w:w="260" w:type="dxa"/>
            <w:vAlign w:val="bottom"/>
          </w:tcPr>
          <w:p>
            <w:pPr>
              <w:ind w:left="160"/>
              <w:spacing w:after="0"/>
              <w:rPr>
                <w:sz w:val="20"/>
                <w:szCs w:val="20"/>
                <w:color w:val="auto"/>
              </w:rPr>
            </w:pPr>
            <w:r>
              <w:rPr>
                <w:rFonts w:ascii="Arial" w:cs="Arial" w:eastAsia="Arial" w:hAnsi="Arial"/>
                <w:sz w:val="16"/>
                <w:szCs w:val="16"/>
                <w:color w:val="auto"/>
                <w:w w:val="89"/>
              </w:rPr>
              <w:t>$</w:t>
            </w:r>
          </w:p>
        </w:tc>
        <w:tc>
          <w:tcPr>
            <w:tcW w:w="1140" w:type="dxa"/>
            <w:vAlign w:val="bottom"/>
          </w:tcPr>
          <w:p>
            <w:pPr>
              <w:jc w:val="right"/>
              <w:ind w:right="80"/>
              <w:spacing w:after="0"/>
              <w:rPr>
                <w:sz w:val="20"/>
                <w:szCs w:val="20"/>
                <w:color w:val="auto"/>
              </w:rPr>
            </w:pPr>
            <w:r>
              <w:rPr>
                <w:rFonts w:ascii="Arial" w:cs="Arial" w:eastAsia="Arial" w:hAnsi="Arial"/>
                <w:sz w:val="16"/>
                <w:szCs w:val="16"/>
                <w:color w:val="auto"/>
              </w:rPr>
              <w:t>42,500</w:t>
            </w:r>
          </w:p>
        </w:tc>
        <w:tc>
          <w:tcPr>
            <w:tcW w:w="260" w:type="dxa"/>
            <w:vAlign w:val="bottom"/>
          </w:tcPr>
          <w:p>
            <w:pPr>
              <w:jc w:val="right"/>
              <w:spacing w:after="0"/>
              <w:rPr>
                <w:sz w:val="20"/>
                <w:szCs w:val="20"/>
                <w:color w:val="auto"/>
              </w:rPr>
            </w:pPr>
            <w:r>
              <w:rPr>
                <w:rFonts w:ascii="Arial" w:cs="Arial" w:eastAsia="Arial" w:hAnsi="Arial"/>
                <w:sz w:val="16"/>
                <w:szCs w:val="16"/>
                <w:color w:val="auto"/>
              </w:rPr>
              <w:t>$</w:t>
            </w:r>
          </w:p>
        </w:tc>
        <w:tc>
          <w:tcPr>
            <w:tcW w:w="960" w:type="dxa"/>
            <w:vAlign w:val="bottom"/>
          </w:tcPr>
          <w:p>
            <w:pPr>
              <w:jc w:val="right"/>
              <w:ind w:right="160"/>
              <w:spacing w:after="0"/>
              <w:rPr>
                <w:sz w:val="20"/>
                <w:szCs w:val="20"/>
                <w:color w:val="auto"/>
              </w:rPr>
            </w:pPr>
            <w:r>
              <w:rPr>
                <w:rFonts w:ascii="Arial" w:cs="Arial" w:eastAsia="Arial" w:hAnsi="Arial"/>
                <w:sz w:val="16"/>
                <w:szCs w:val="16"/>
                <w:color w:val="auto"/>
              </w:rPr>
              <w:t>65,000</w:t>
            </w:r>
          </w:p>
        </w:tc>
        <w:tc>
          <w:tcPr>
            <w:tcW w:w="20" w:type="dxa"/>
            <w:vAlign w:val="bottom"/>
          </w:tcPr>
          <w:p>
            <w:pPr>
              <w:spacing w:after="0"/>
              <w:rPr>
                <w:sz w:val="16"/>
                <w:szCs w:val="16"/>
                <w:color w:val="auto"/>
              </w:rPr>
            </w:pPr>
          </w:p>
        </w:tc>
      </w:tr>
      <w:tr>
        <w:trPr>
          <w:trHeight w:val="189"/>
        </w:trPr>
        <w:tc>
          <w:tcPr>
            <w:tcW w:w="4100" w:type="dxa"/>
            <w:vAlign w:val="bottom"/>
            <w:tcBorders>
              <w:right w:val="single" w:sz="8" w:color="auto"/>
            </w:tcBorders>
            <w:shd w:val="clear" w:color="auto" w:fill="CCEEFF"/>
          </w:tcPr>
          <w:p>
            <w:pPr>
              <w:ind w:left="160"/>
              <w:spacing w:after="0" w:line="189" w:lineRule="exact"/>
              <w:rPr>
                <w:sz w:val="20"/>
                <w:szCs w:val="20"/>
                <w:color w:val="auto"/>
              </w:rPr>
            </w:pPr>
            <w:r>
              <w:rPr>
                <w:rFonts w:ascii="Arial" w:cs="Arial" w:eastAsia="Arial" w:hAnsi="Arial"/>
                <w:sz w:val="13"/>
                <w:szCs w:val="13"/>
                <w:color w:val="auto"/>
              </w:rPr>
              <w:t>Excise Tax Gross-Up</w:t>
            </w:r>
            <w:r>
              <w:rPr>
                <w:rFonts w:ascii="Arial" w:cs="Arial" w:eastAsia="Arial" w:hAnsi="Arial"/>
                <w:sz w:val="21"/>
                <w:szCs w:val="21"/>
                <w:color w:val="auto"/>
                <w:vertAlign w:val="superscript"/>
              </w:rPr>
              <w:t>(5)</w:t>
            </w:r>
          </w:p>
        </w:tc>
        <w:tc>
          <w:tcPr>
            <w:tcW w:w="180" w:type="dxa"/>
            <w:vAlign w:val="bottom"/>
            <w:shd w:val="clear" w:color="auto" w:fill="CCEEFF"/>
          </w:tcPr>
          <w:p>
            <w:pPr>
              <w:spacing w:after="0"/>
              <w:rPr>
                <w:sz w:val="16"/>
                <w:szCs w:val="16"/>
                <w:color w:val="auto"/>
              </w:rPr>
            </w:pPr>
          </w:p>
        </w:tc>
        <w:tc>
          <w:tcPr>
            <w:tcW w:w="880" w:type="dxa"/>
            <w:vAlign w:val="bottom"/>
            <w:shd w:val="clear" w:color="auto" w:fill="CCEEFF"/>
          </w:tcPr>
          <w:p>
            <w:pPr>
              <w:spacing w:after="0"/>
              <w:rPr>
                <w:sz w:val="16"/>
                <w:szCs w:val="16"/>
                <w:color w:val="auto"/>
              </w:rPr>
            </w:pPr>
          </w:p>
        </w:tc>
        <w:tc>
          <w:tcPr>
            <w:tcW w:w="960" w:type="dxa"/>
            <w:vAlign w:val="bottom"/>
            <w:shd w:val="clear" w:color="auto" w:fill="CCEEFF"/>
          </w:tcPr>
          <w:p>
            <w:pPr>
              <w:spacing w:after="0"/>
              <w:rPr>
                <w:sz w:val="16"/>
                <w:szCs w:val="16"/>
                <w:color w:val="auto"/>
              </w:rPr>
            </w:pPr>
          </w:p>
        </w:tc>
        <w:tc>
          <w:tcPr>
            <w:tcW w:w="280" w:type="dxa"/>
            <w:vAlign w:val="bottom"/>
            <w:shd w:val="clear" w:color="auto" w:fill="CCEEFF"/>
          </w:tcPr>
          <w:p>
            <w:pPr>
              <w:spacing w:after="0"/>
              <w:rPr>
                <w:sz w:val="16"/>
                <w:szCs w:val="16"/>
                <w:color w:val="auto"/>
              </w:rPr>
            </w:pPr>
          </w:p>
        </w:tc>
        <w:tc>
          <w:tcPr>
            <w:tcW w:w="380" w:type="dxa"/>
            <w:vAlign w:val="bottom"/>
            <w:shd w:val="clear" w:color="auto" w:fill="CCEEFF"/>
          </w:tcPr>
          <w:p>
            <w:pPr>
              <w:spacing w:after="0"/>
              <w:rPr>
                <w:sz w:val="16"/>
                <w:szCs w:val="16"/>
                <w:color w:val="auto"/>
              </w:rPr>
            </w:pPr>
          </w:p>
        </w:tc>
        <w:tc>
          <w:tcPr>
            <w:tcW w:w="900" w:type="dxa"/>
            <w:vAlign w:val="bottom"/>
            <w:shd w:val="clear" w:color="auto" w:fill="CCEEFF"/>
          </w:tcPr>
          <w:p>
            <w:pPr>
              <w:spacing w:after="0"/>
              <w:rPr>
                <w:sz w:val="16"/>
                <w:szCs w:val="16"/>
                <w:color w:val="auto"/>
              </w:rPr>
            </w:pPr>
          </w:p>
        </w:tc>
        <w:tc>
          <w:tcPr>
            <w:tcW w:w="240" w:type="dxa"/>
            <w:vAlign w:val="bottom"/>
            <w:shd w:val="clear" w:color="auto" w:fill="CCEEFF"/>
          </w:tcPr>
          <w:p>
            <w:pPr>
              <w:spacing w:after="0"/>
              <w:rPr>
                <w:sz w:val="16"/>
                <w:szCs w:val="16"/>
                <w:color w:val="auto"/>
              </w:rPr>
            </w:pPr>
          </w:p>
        </w:tc>
        <w:tc>
          <w:tcPr>
            <w:tcW w:w="880" w:type="dxa"/>
            <w:vAlign w:val="bottom"/>
            <w:shd w:val="clear" w:color="auto" w:fill="CCEEFF"/>
          </w:tcPr>
          <w:p>
            <w:pPr>
              <w:spacing w:after="0"/>
              <w:rPr>
                <w:sz w:val="16"/>
                <w:szCs w:val="16"/>
                <w:color w:val="auto"/>
              </w:rPr>
            </w:pPr>
          </w:p>
        </w:tc>
        <w:tc>
          <w:tcPr>
            <w:tcW w:w="260" w:type="dxa"/>
            <w:vAlign w:val="bottom"/>
            <w:shd w:val="clear" w:color="auto" w:fill="CCEEFF"/>
          </w:tcPr>
          <w:p>
            <w:pPr>
              <w:spacing w:after="0"/>
              <w:rPr>
                <w:sz w:val="16"/>
                <w:szCs w:val="16"/>
                <w:color w:val="auto"/>
              </w:rPr>
            </w:pPr>
          </w:p>
        </w:tc>
        <w:tc>
          <w:tcPr>
            <w:tcW w:w="1140" w:type="dxa"/>
            <w:vAlign w:val="bottom"/>
            <w:shd w:val="clear" w:color="auto" w:fill="CCEEFF"/>
          </w:tcPr>
          <w:p>
            <w:pPr>
              <w:spacing w:after="0"/>
              <w:rPr>
                <w:sz w:val="16"/>
                <w:szCs w:val="16"/>
                <w:color w:val="auto"/>
              </w:rPr>
            </w:pPr>
          </w:p>
        </w:tc>
        <w:tc>
          <w:tcPr>
            <w:tcW w:w="2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960" w:type="dxa"/>
            <w:vAlign w:val="bottom"/>
            <w:shd w:val="clear" w:color="auto" w:fill="CCEEFF"/>
          </w:tcPr>
          <w:p>
            <w:pPr>
              <w:jc w:val="right"/>
              <w:ind w:right="160"/>
              <w:spacing w:after="0"/>
              <w:rPr>
                <w:sz w:val="20"/>
                <w:szCs w:val="20"/>
                <w:color w:val="auto"/>
              </w:rPr>
            </w:pPr>
            <w:r>
              <w:rPr>
                <w:rFonts w:ascii="Arial" w:cs="Arial" w:eastAsia="Arial" w:hAnsi="Arial"/>
                <w:sz w:val="16"/>
                <w:szCs w:val="16"/>
                <w:color w:val="auto"/>
              </w:rPr>
              <w:t>0</w:t>
            </w:r>
          </w:p>
        </w:tc>
        <w:tc>
          <w:tcPr>
            <w:tcW w:w="20" w:type="dxa"/>
            <w:vAlign w:val="bottom"/>
          </w:tcPr>
          <w:p>
            <w:pPr>
              <w:spacing w:after="0"/>
              <w:rPr>
                <w:sz w:val="16"/>
                <w:szCs w:val="16"/>
                <w:color w:val="auto"/>
              </w:rPr>
            </w:pPr>
          </w:p>
        </w:tc>
      </w:tr>
      <w:tr>
        <w:trPr>
          <w:trHeight w:val="189"/>
        </w:trPr>
        <w:tc>
          <w:tcPr>
            <w:tcW w:w="4100" w:type="dxa"/>
            <w:vAlign w:val="bottom"/>
            <w:tcBorders>
              <w:bottom w:val="single" w:sz="8" w:color="auto"/>
              <w:right w:val="single" w:sz="8" w:color="auto"/>
            </w:tcBorders>
          </w:tcPr>
          <w:p>
            <w:pPr>
              <w:ind w:left="160"/>
              <w:spacing w:after="0"/>
              <w:rPr>
                <w:sz w:val="20"/>
                <w:szCs w:val="20"/>
                <w:color w:val="auto"/>
              </w:rPr>
            </w:pPr>
            <w:r>
              <w:rPr>
                <w:rFonts w:ascii="Arial" w:cs="Arial" w:eastAsia="Arial" w:hAnsi="Arial"/>
                <w:sz w:val="16"/>
                <w:szCs w:val="16"/>
                <w:color w:val="auto"/>
              </w:rPr>
              <w:t>Total</w:t>
            </w:r>
          </w:p>
        </w:tc>
        <w:tc>
          <w:tcPr>
            <w:tcW w:w="180" w:type="dxa"/>
            <w:vAlign w:val="bottom"/>
            <w:tcBorders>
              <w:bottom w:val="single" w:sz="8" w:color="auto"/>
            </w:tcBorders>
          </w:tcPr>
          <w:p>
            <w:pPr>
              <w:ind w:left="100"/>
              <w:spacing w:after="0"/>
              <w:rPr>
                <w:sz w:val="20"/>
                <w:szCs w:val="20"/>
                <w:color w:val="auto"/>
              </w:rPr>
            </w:pPr>
            <w:r>
              <w:rPr>
                <w:rFonts w:ascii="Arial" w:cs="Arial" w:eastAsia="Arial" w:hAnsi="Arial"/>
                <w:sz w:val="15"/>
                <w:szCs w:val="15"/>
                <w:color w:val="auto"/>
                <w:w w:val="71"/>
              </w:rPr>
              <w:t>$</w:t>
            </w: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0</w:t>
            </w:r>
          </w:p>
        </w:tc>
        <w:tc>
          <w:tcPr>
            <w:tcW w:w="960" w:type="dxa"/>
            <w:vAlign w:val="bottom"/>
            <w:tcBorders>
              <w:bottom w:val="single" w:sz="8" w:color="auto"/>
            </w:tcBorders>
          </w:tcPr>
          <w:p>
            <w:pPr>
              <w:ind w:left="220"/>
              <w:spacing w:after="0"/>
              <w:rPr>
                <w:sz w:val="20"/>
                <w:szCs w:val="20"/>
                <w:color w:val="auto"/>
              </w:rPr>
            </w:pPr>
            <w:r>
              <w:rPr>
                <w:rFonts w:ascii="Arial" w:cs="Arial" w:eastAsia="Arial" w:hAnsi="Arial"/>
                <w:sz w:val="16"/>
                <w:szCs w:val="16"/>
                <w:color w:val="auto"/>
              </w:rPr>
              <w:t>$</w:t>
            </w:r>
          </w:p>
        </w:tc>
        <w:tc>
          <w:tcPr>
            <w:tcW w:w="280" w:type="dxa"/>
            <w:vAlign w:val="bottom"/>
            <w:tcBorders>
              <w:bottom w:val="single" w:sz="8" w:color="auto"/>
            </w:tcBorders>
          </w:tcPr>
          <w:p>
            <w:pPr>
              <w:jc w:val="right"/>
              <w:ind w:right="79"/>
              <w:spacing w:after="0"/>
              <w:rPr>
                <w:sz w:val="20"/>
                <w:szCs w:val="20"/>
                <w:color w:val="auto"/>
              </w:rPr>
            </w:pPr>
            <w:r>
              <w:rPr>
                <w:rFonts w:ascii="Arial" w:cs="Arial" w:eastAsia="Arial" w:hAnsi="Arial"/>
                <w:sz w:val="16"/>
                <w:szCs w:val="16"/>
                <w:color w:val="auto"/>
              </w:rPr>
              <w:t>0</w:t>
            </w:r>
          </w:p>
        </w:tc>
        <w:tc>
          <w:tcPr>
            <w:tcW w:w="380" w:type="dxa"/>
            <w:vAlign w:val="bottom"/>
            <w:tcBorders>
              <w:bottom w:val="single" w:sz="8" w:color="auto"/>
            </w:tcBorders>
          </w:tcPr>
          <w:p>
            <w:pPr>
              <w:ind w:left="160"/>
              <w:spacing w:after="0"/>
              <w:rPr>
                <w:sz w:val="20"/>
                <w:szCs w:val="20"/>
                <w:color w:val="auto"/>
              </w:rPr>
            </w:pPr>
            <w:r>
              <w:rPr>
                <w:rFonts w:ascii="Arial" w:cs="Arial" w:eastAsia="Arial" w:hAnsi="Arial"/>
                <w:sz w:val="16"/>
                <w:szCs w:val="16"/>
                <w:color w:val="auto"/>
              </w:rPr>
              <w:t>$</w:t>
            </w:r>
          </w:p>
        </w:tc>
        <w:tc>
          <w:tcPr>
            <w:tcW w:w="900" w:type="dxa"/>
            <w:vAlign w:val="bottom"/>
            <w:tcBorders>
              <w:bottom w:val="single" w:sz="8" w:color="auto"/>
            </w:tcBorders>
          </w:tcPr>
          <w:p>
            <w:pPr>
              <w:jc w:val="right"/>
              <w:ind w:right="79"/>
              <w:spacing w:after="0"/>
              <w:rPr>
                <w:sz w:val="20"/>
                <w:szCs w:val="20"/>
                <w:color w:val="auto"/>
              </w:rPr>
            </w:pPr>
            <w:r>
              <w:rPr>
                <w:rFonts w:ascii="Arial" w:cs="Arial" w:eastAsia="Arial" w:hAnsi="Arial"/>
                <w:sz w:val="16"/>
                <w:szCs w:val="16"/>
                <w:color w:val="auto"/>
              </w:rPr>
              <w:t>0</w:t>
            </w:r>
          </w:p>
        </w:tc>
        <w:tc>
          <w:tcPr>
            <w:tcW w:w="2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880" w:type="dxa"/>
            <w:vAlign w:val="bottom"/>
            <w:tcBorders>
              <w:bottom w:val="single" w:sz="8" w:color="auto"/>
            </w:tcBorders>
          </w:tcPr>
          <w:p>
            <w:pPr>
              <w:jc w:val="right"/>
              <w:ind w:right="60"/>
              <w:spacing w:after="0"/>
              <w:rPr>
                <w:sz w:val="20"/>
                <w:szCs w:val="20"/>
                <w:color w:val="auto"/>
              </w:rPr>
            </w:pPr>
            <w:r>
              <w:rPr>
                <w:rFonts w:ascii="Arial" w:cs="Arial" w:eastAsia="Arial" w:hAnsi="Arial"/>
                <w:sz w:val="16"/>
                <w:szCs w:val="16"/>
                <w:color w:val="auto"/>
              </w:rPr>
              <w:t>76,677</w:t>
            </w:r>
          </w:p>
        </w:tc>
        <w:tc>
          <w:tcPr>
            <w:tcW w:w="260" w:type="dxa"/>
            <w:vAlign w:val="bottom"/>
            <w:tcBorders>
              <w:bottom w:val="single" w:sz="8" w:color="auto"/>
            </w:tcBorders>
          </w:tcPr>
          <w:p>
            <w:pPr>
              <w:ind w:left="160"/>
              <w:spacing w:after="0"/>
              <w:rPr>
                <w:sz w:val="20"/>
                <w:szCs w:val="20"/>
                <w:color w:val="auto"/>
              </w:rPr>
            </w:pPr>
            <w:r>
              <w:rPr>
                <w:rFonts w:ascii="Arial" w:cs="Arial" w:eastAsia="Arial" w:hAnsi="Arial"/>
                <w:sz w:val="16"/>
                <w:szCs w:val="16"/>
                <w:color w:val="auto"/>
                <w:w w:val="89"/>
              </w:rPr>
              <w:t>$</w:t>
            </w:r>
          </w:p>
        </w:tc>
        <w:tc>
          <w:tcPr>
            <w:tcW w:w="1140" w:type="dxa"/>
            <w:vAlign w:val="bottom"/>
            <w:tcBorders>
              <w:bottom w:val="single" w:sz="8" w:color="auto"/>
            </w:tcBorders>
          </w:tcPr>
          <w:p>
            <w:pPr>
              <w:jc w:val="right"/>
              <w:ind w:right="80"/>
              <w:spacing w:after="0"/>
              <w:rPr>
                <w:sz w:val="20"/>
                <w:szCs w:val="20"/>
                <w:color w:val="auto"/>
              </w:rPr>
            </w:pPr>
            <w:r>
              <w:rPr>
                <w:rFonts w:ascii="Arial" w:cs="Arial" w:eastAsia="Arial" w:hAnsi="Arial"/>
                <w:sz w:val="16"/>
                <w:szCs w:val="16"/>
                <w:color w:val="auto"/>
              </w:rPr>
              <w:t>944,958</w:t>
            </w:r>
          </w:p>
        </w:tc>
        <w:tc>
          <w:tcPr>
            <w:tcW w:w="1220" w:type="dxa"/>
            <w:vAlign w:val="bottom"/>
            <w:tcBorders>
              <w:bottom w:val="single" w:sz="8" w:color="auto"/>
            </w:tcBorders>
            <w:gridSpan w:val="2"/>
          </w:tcPr>
          <w:p>
            <w:pPr>
              <w:jc w:val="right"/>
              <w:ind w:right="160"/>
              <w:spacing w:after="0"/>
              <w:rPr>
                <w:sz w:val="20"/>
                <w:szCs w:val="20"/>
                <w:color w:val="auto"/>
              </w:rPr>
            </w:pPr>
            <w:r>
              <w:rPr>
                <w:rFonts w:ascii="Arial" w:cs="Arial" w:eastAsia="Arial" w:hAnsi="Arial"/>
                <w:sz w:val="16"/>
                <w:szCs w:val="16"/>
                <w:color w:val="auto"/>
              </w:rPr>
              <w:t>$1,946,883</w:t>
            </w:r>
          </w:p>
        </w:tc>
        <w:tc>
          <w:tcPr>
            <w:tcW w:w="20" w:type="dxa"/>
            <w:vAlign w:val="bottom"/>
            <w:tcBorders>
              <w:bottom w:val="single" w:sz="8" w:color="auto"/>
            </w:tcBorders>
          </w:tcPr>
          <w:p>
            <w:pPr>
              <w:spacing w:after="0"/>
              <w:rPr>
                <w:sz w:val="16"/>
                <w:szCs w:val="16"/>
                <w:color w:val="auto"/>
              </w:rPr>
            </w:pPr>
          </w:p>
        </w:tc>
      </w:tr>
    </w:tbl>
    <w:p>
      <w:pPr>
        <w:spacing w:after="0" w:line="210" w:lineRule="exact"/>
        <w:rPr>
          <w:sz w:val="20"/>
          <w:szCs w:val="20"/>
          <w:color w:val="auto"/>
        </w:rPr>
      </w:pPr>
    </w:p>
    <w:p>
      <w:pPr>
        <w:ind w:left="460" w:hanging="452"/>
        <w:spacing w:after="0"/>
        <w:tabs>
          <w:tab w:leader="none" w:pos="460" w:val="left"/>
        </w:tabs>
        <w:numPr>
          <w:ilvl w:val="0"/>
          <w:numId w:val="34"/>
        </w:numPr>
        <w:rPr>
          <w:rFonts w:ascii="Arial" w:cs="Arial" w:eastAsia="Arial" w:hAnsi="Arial"/>
          <w:sz w:val="15"/>
          <w:szCs w:val="15"/>
          <w:color w:val="auto"/>
        </w:rPr>
      </w:pPr>
      <w:r>
        <w:rPr>
          <w:rFonts w:ascii="Arial" w:cs="Arial" w:eastAsia="Arial" w:hAnsi="Arial"/>
          <w:sz w:val="17"/>
          <w:szCs w:val="17"/>
          <w:color w:val="auto"/>
        </w:rPr>
        <w:t>“Cash Severance” refers to amounts payable to each NEO under the Severance Agreements.</w:t>
      </w:r>
    </w:p>
    <w:p>
      <w:pPr>
        <w:spacing w:after="0" w:line="209" w:lineRule="exact"/>
        <w:rPr>
          <w:rFonts w:ascii="Arial" w:cs="Arial" w:eastAsia="Arial" w:hAnsi="Arial"/>
          <w:sz w:val="15"/>
          <w:szCs w:val="15"/>
          <w:color w:val="auto"/>
        </w:rPr>
      </w:pPr>
    </w:p>
    <w:p>
      <w:pPr>
        <w:ind w:left="460" w:right="40" w:hanging="452"/>
        <w:spacing w:after="0" w:line="236" w:lineRule="auto"/>
        <w:tabs>
          <w:tab w:leader="none" w:pos="460" w:val="left"/>
        </w:tabs>
        <w:numPr>
          <w:ilvl w:val="0"/>
          <w:numId w:val="34"/>
        </w:numPr>
        <w:rPr>
          <w:rFonts w:ascii="Arial" w:cs="Arial" w:eastAsia="Arial" w:hAnsi="Arial"/>
          <w:sz w:val="15"/>
          <w:szCs w:val="15"/>
          <w:color w:val="auto"/>
        </w:rPr>
      </w:pPr>
      <w:r>
        <w:rPr>
          <w:rFonts w:ascii="Arial" w:cs="Arial" w:eastAsia="Arial" w:hAnsi="Arial"/>
          <w:sz w:val="17"/>
          <w:szCs w:val="17"/>
          <w:color w:val="auto"/>
        </w:rPr>
        <w:t>“Equity” includes the value of restricted shares, performance shares, strategic performance shares and stock option grants which the NEO will be entitled to receive under the termination scenarios described in the table. As discussed above, equity-based grants immediately vest in the event of a change in control (as defined in the Severance Agreements) followed by an involuntary termination of employment or a termination of employment</w:t>
      </w:r>
    </w:p>
    <w:p>
      <w:pPr>
        <w:spacing w:after="0" w:line="147" w:lineRule="exact"/>
        <w:rPr>
          <w:sz w:val="20"/>
          <w:szCs w:val="20"/>
          <w:color w:val="auto"/>
        </w:rPr>
      </w:pPr>
    </w:p>
    <w:p>
      <w:pPr>
        <w:ind w:left="11180"/>
        <w:spacing w:after="0"/>
        <w:rPr>
          <w:sz w:val="20"/>
          <w:szCs w:val="20"/>
          <w:color w:val="auto"/>
        </w:rPr>
      </w:pPr>
      <w:r>
        <w:rPr>
          <w:rFonts w:ascii="Arial" w:cs="Arial" w:eastAsia="Arial" w:hAnsi="Arial"/>
          <w:sz w:val="14"/>
          <w:szCs w:val="14"/>
          <w:color w:val="auto"/>
        </w:rPr>
        <w:t>55</w:t>
      </w:r>
    </w:p>
    <w:p>
      <w:pPr>
        <w:sectPr>
          <w:pgSz w:w="11900" w:h="16838" w:orient="portrait"/>
          <w:cols w:equalWidth="0" w:num="1">
            <w:col w:w="11440"/>
          </w:cols>
          <w:pgMar w:left="240" w:top="459" w:right="219" w:bottom="1440" w:gutter="0" w:footer="0" w:header="0"/>
        </w:sectPr>
      </w:pPr>
    </w:p>
    <w:bookmarkStart w:id="61" w:name="page62"/>
    <w:bookmarkEnd w:id="6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77">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3109595</wp:posOffset>
            </wp:positionH>
            <wp:positionV relativeFrom="paragraph">
              <wp:posOffset>205740</wp:posOffset>
            </wp:positionV>
            <wp:extent cx="1046480" cy="205740"/>
            <wp:wrapNone/>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78">
                      <a:extLst>
                        <a:ext uri="{28A0092B-C50C-407E-A947-70E740481C1C}"/>
                      </a:extLst>
                    </a:blip>
                    <a:srcRect/>
                    <a:stretch>
                      <a:fillRect/>
                    </a:stretch>
                  </pic:blipFill>
                  <pic:spPr bwMode="auto">
                    <a:xfrm>
                      <a:off x="0" y="0"/>
                      <a:ext cx="1046480" cy="20574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70" w:lineRule="exact"/>
        <w:rPr>
          <w:sz w:val="20"/>
          <w:szCs w:val="20"/>
          <w:color w:val="auto"/>
        </w:rPr>
      </w:pPr>
    </w:p>
    <w:p>
      <w:pPr>
        <w:ind w:left="460" w:right="20"/>
        <w:spacing w:after="0" w:line="235" w:lineRule="auto"/>
        <w:rPr>
          <w:sz w:val="20"/>
          <w:szCs w:val="20"/>
          <w:color w:val="auto"/>
        </w:rPr>
      </w:pPr>
      <w:r>
        <w:rPr>
          <w:rFonts w:ascii="Arial" w:cs="Arial" w:eastAsia="Arial" w:hAnsi="Arial"/>
          <w:sz w:val="17"/>
          <w:szCs w:val="17"/>
          <w:color w:val="auto"/>
        </w:rPr>
        <w:t>for good cause, or at the time of death or permanent disability. In the case of an involuntary termination without cause, equity-based grants will continue to vest through the period of time represented by the cash severance multiple. For purposes of calculating the value of equity reflected in this table, all full-share awards are valued at the closing price of our common shares on December 31, 2015, which was $8.38. As of December 31, 2015, all outstanding stock options are underwater, resulting in no value in the table. Our equity grant agreements include a double-trigger vesting requirement for awards in the event of a change in control.</w:t>
      </w:r>
    </w:p>
    <w:p>
      <w:pPr>
        <w:spacing w:after="0" w:line="204" w:lineRule="exact"/>
        <w:rPr>
          <w:sz w:val="20"/>
          <w:szCs w:val="20"/>
          <w:color w:val="auto"/>
        </w:rPr>
      </w:pPr>
    </w:p>
    <w:p>
      <w:pPr>
        <w:ind w:left="460" w:hanging="452"/>
        <w:spacing w:after="0" w:line="238" w:lineRule="auto"/>
        <w:tabs>
          <w:tab w:leader="none" w:pos="460" w:val="left"/>
        </w:tabs>
        <w:numPr>
          <w:ilvl w:val="0"/>
          <w:numId w:val="35"/>
        </w:numPr>
        <w:rPr>
          <w:rFonts w:ascii="Arial" w:cs="Arial" w:eastAsia="Arial" w:hAnsi="Arial"/>
          <w:sz w:val="15"/>
          <w:szCs w:val="15"/>
          <w:color w:val="auto"/>
        </w:rPr>
      </w:pPr>
      <w:r>
        <w:rPr>
          <w:rFonts w:ascii="Arial" w:cs="Arial" w:eastAsia="Arial" w:hAnsi="Arial"/>
          <w:sz w:val="17"/>
          <w:szCs w:val="17"/>
          <w:color w:val="auto"/>
        </w:rPr>
        <w:t>“Retirement Benefits” represent the value of additional benefits earned under the qualified and supplemental plans as a result of a change in control. Additionally, for Mr. Walker, who was the only NEO eligible for early retirement as of December 31, 2015, “Retirement Benefits” includes the value of early commencement of retirement benefits under the qualified and supplemental plans.</w:t>
      </w:r>
    </w:p>
    <w:p>
      <w:pPr>
        <w:spacing w:after="0" w:line="201" w:lineRule="exact"/>
        <w:rPr>
          <w:rFonts w:ascii="Arial" w:cs="Arial" w:eastAsia="Arial" w:hAnsi="Arial"/>
          <w:sz w:val="15"/>
          <w:szCs w:val="15"/>
          <w:color w:val="auto"/>
        </w:rPr>
      </w:pPr>
    </w:p>
    <w:p>
      <w:pPr>
        <w:ind w:left="460" w:right="20" w:hanging="452"/>
        <w:spacing w:after="0" w:line="236" w:lineRule="auto"/>
        <w:tabs>
          <w:tab w:leader="none" w:pos="460" w:val="left"/>
        </w:tabs>
        <w:numPr>
          <w:ilvl w:val="0"/>
          <w:numId w:val="35"/>
        </w:numPr>
        <w:rPr>
          <w:rFonts w:ascii="Arial" w:cs="Arial" w:eastAsia="Arial" w:hAnsi="Arial"/>
          <w:sz w:val="15"/>
          <w:szCs w:val="15"/>
          <w:color w:val="auto"/>
        </w:rPr>
      </w:pPr>
      <w:r>
        <w:rPr>
          <w:rFonts w:ascii="Arial" w:cs="Arial" w:eastAsia="Arial" w:hAnsi="Arial"/>
          <w:sz w:val="17"/>
          <w:szCs w:val="17"/>
          <w:color w:val="auto"/>
        </w:rPr>
        <w:t>“Other Benefits” includes the value of health and welfare benefits through the applicable severance period, with an estimated value of $15,000 per year, plus outplacement services with an estimated value of $20,000. Additionally, for Mr. Timken, the amount shown under “Death and Disability” represents the value of the death benefit payable pursuant to the terms of a Death Benefit Agreement originally entered into between Mr. Timken and The Timken Company and assumed by the Company at the time of the spinoff.</w:t>
      </w:r>
    </w:p>
    <w:p>
      <w:pPr>
        <w:spacing w:after="0" w:line="203" w:lineRule="exact"/>
        <w:rPr>
          <w:rFonts w:ascii="Arial" w:cs="Arial" w:eastAsia="Arial" w:hAnsi="Arial"/>
          <w:sz w:val="15"/>
          <w:szCs w:val="15"/>
          <w:color w:val="auto"/>
        </w:rPr>
      </w:pPr>
    </w:p>
    <w:p>
      <w:pPr>
        <w:ind w:left="460" w:right="140" w:hanging="452"/>
        <w:spacing w:after="0" w:line="243" w:lineRule="auto"/>
        <w:tabs>
          <w:tab w:leader="none" w:pos="460" w:val="left"/>
        </w:tabs>
        <w:numPr>
          <w:ilvl w:val="0"/>
          <w:numId w:val="35"/>
        </w:numPr>
        <w:rPr>
          <w:rFonts w:ascii="Arial" w:cs="Arial" w:eastAsia="Arial" w:hAnsi="Arial"/>
          <w:sz w:val="15"/>
          <w:szCs w:val="15"/>
          <w:color w:val="auto"/>
        </w:rPr>
      </w:pPr>
      <w:r>
        <w:rPr>
          <w:rFonts w:ascii="Arial" w:cs="Arial" w:eastAsia="Arial" w:hAnsi="Arial"/>
          <w:sz w:val="17"/>
          <w:szCs w:val="17"/>
          <w:color w:val="auto"/>
        </w:rPr>
        <w:t>“Excise Tax Gross-Up” will not be triggered for any of the NEOs, as each of them has entered into an agreement that excludes the payment of tax gross-up amounts.</w:t>
      </w:r>
    </w:p>
    <w:p>
      <w:pPr>
        <w:spacing w:after="0" w:line="198" w:lineRule="exact"/>
        <w:rPr>
          <w:rFonts w:ascii="Arial" w:cs="Arial" w:eastAsia="Arial" w:hAnsi="Arial"/>
          <w:sz w:val="15"/>
          <w:szCs w:val="15"/>
          <w:color w:val="auto"/>
        </w:rPr>
      </w:pPr>
    </w:p>
    <w:p>
      <w:pPr>
        <w:ind w:left="460" w:right="260" w:hanging="452"/>
        <w:spacing w:after="0" w:line="238" w:lineRule="auto"/>
        <w:tabs>
          <w:tab w:leader="none" w:pos="460" w:val="left"/>
        </w:tabs>
        <w:numPr>
          <w:ilvl w:val="0"/>
          <w:numId w:val="35"/>
        </w:numPr>
        <w:rPr>
          <w:rFonts w:ascii="Arial" w:cs="Arial" w:eastAsia="Arial" w:hAnsi="Arial"/>
          <w:sz w:val="15"/>
          <w:szCs w:val="15"/>
          <w:color w:val="auto"/>
        </w:rPr>
      </w:pPr>
      <w:r>
        <w:rPr>
          <w:rFonts w:ascii="Arial" w:cs="Arial" w:eastAsia="Arial" w:hAnsi="Arial"/>
          <w:sz w:val="17"/>
          <w:szCs w:val="17"/>
          <w:color w:val="auto"/>
        </w:rPr>
        <w:t>Values are shown under the retirement scenario for only those NEOs who were eligible for normal retirement or early retirement as of December 31, 2015. Mr. Walker is the only NEO who was eligible for early retirement as of December 31, 2015. The amount reflected under “equity” assumes early retirement with Company consent.</w:t>
      </w:r>
    </w:p>
    <w:p>
      <w:pPr>
        <w:spacing w:after="0" w:line="145" w:lineRule="exact"/>
        <w:rPr>
          <w:sz w:val="20"/>
          <w:szCs w:val="20"/>
          <w:color w:val="auto"/>
        </w:rPr>
      </w:pPr>
    </w:p>
    <w:p>
      <w:pPr>
        <w:spacing w:after="0"/>
        <w:rPr>
          <w:sz w:val="20"/>
          <w:szCs w:val="20"/>
          <w:color w:val="auto"/>
        </w:rPr>
      </w:pPr>
      <w:r>
        <w:rPr>
          <w:rFonts w:ascii="Arial" w:cs="Arial" w:eastAsia="Arial" w:hAnsi="Arial"/>
          <w:sz w:val="14"/>
          <w:szCs w:val="14"/>
          <w:color w:val="auto"/>
        </w:rPr>
        <w:t>56</w:t>
      </w:r>
    </w:p>
    <w:p>
      <w:pPr>
        <w:sectPr>
          <w:pgSz w:w="11900" w:h="16838" w:orient="portrait"/>
          <w:cols w:equalWidth="0" w:num="1">
            <w:col w:w="11300"/>
          </w:cols>
          <w:pgMar w:left="240" w:top="459" w:right="359" w:bottom="1440" w:gutter="0" w:footer="0" w:header="0"/>
        </w:sectPr>
      </w:pPr>
    </w:p>
    <w:bookmarkStart w:id="62" w:name="page63"/>
    <w:bookmarkEnd w:id="6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79">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2715260</wp:posOffset>
            </wp:positionH>
            <wp:positionV relativeFrom="paragraph">
              <wp:posOffset>205740</wp:posOffset>
            </wp:positionV>
            <wp:extent cx="1826895" cy="205740"/>
            <wp:wrapNone/>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80">
                      <a:extLst>
                        <a:ext uri="{28A0092B-C50C-407E-A947-70E740481C1C}"/>
                      </a:extLst>
                    </a:blip>
                    <a:srcRect/>
                    <a:stretch>
                      <a:fillRect/>
                    </a:stretch>
                  </pic:blipFill>
                  <pic:spPr bwMode="auto">
                    <a:xfrm>
                      <a:off x="0" y="0"/>
                      <a:ext cx="1826895" cy="20574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71" w:lineRule="exact"/>
        <w:rPr>
          <w:sz w:val="20"/>
          <w:szCs w:val="20"/>
          <w:color w:val="auto"/>
        </w:rPr>
      </w:pPr>
    </w:p>
    <w:p>
      <w:pPr>
        <w:spacing w:after="0"/>
        <w:rPr>
          <w:sz w:val="20"/>
          <w:szCs w:val="20"/>
          <w:color w:val="auto"/>
        </w:rPr>
      </w:pPr>
      <w:r>
        <w:rPr>
          <w:rFonts w:ascii="Arial" w:cs="Arial" w:eastAsia="Arial" w:hAnsi="Arial"/>
          <w:sz w:val="18"/>
          <w:szCs w:val="18"/>
          <w:color w:val="auto"/>
        </w:rPr>
        <w:t>PROPOSAL 2</w:t>
      </w:r>
    </w:p>
    <w:p>
      <w:pPr>
        <w:spacing w:after="0"/>
        <w:rPr>
          <w:sz w:val="20"/>
          <w:szCs w:val="20"/>
          <w:color w:val="auto"/>
        </w:rPr>
      </w:pPr>
      <w:r>
        <w:rPr>
          <w:rFonts w:ascii="Arial" w:cs="Arial" w:eastAsia="Arial" w:hAnsi="Arial"/>
          <w:sz w:val="18"/>
          <w:szCs w:val="18"/>
          <w:color w:val="auto"/>
        </w:rPr>
        <w:t>RATIFICATION OF APPOINTMENT OF INDEPENDENT AUDITOR</w:t>
      </w:r>
    </w:p>
    <w:p>
      <w:pPr>
        <w:spacing w:after="0" w:line="159" w:lineRule="exact"/>
        <w:rPr>
          <w:sz w:val="20"/>
          <w:szCs w:val="20"/>
          <w:color w:val="auto"/>
        </w:rPr>
      </w:pPr>
    </w:p>
    <w:p>
      <w:pPr>
        <w:spacing w:after="0"/>
        <w:rPr>
          <w:sz w:val="20"/>
          <w:szCs w:val="20"/>
          <w:color w:val="auto"/>
        </w:rPr>
      </w:pPr>
      <w:r>
        <w:rPr>
          <w:rFonts w:ascii="Arial" w:cs="Arial" w:eastAsia="Arial" w:hAnsi="Arial"/>
          <w:sz w:val="17"/>
          <w:szCs w:val="17"/>
          <w:b w:val="1"/>
          <w:bCs w:val="1"/>
          <w:color w:val="666666"/>
        </w:rPr>
        <w:t>APPOINTMENT OF INDEPENDENT AUDITOR FOR 2016</w:t>
      </w:r>
    </w:p>
    <w:p>
      <w:pPr>
        <w:spacing w:after="0" w:line="14" w:lineRule="exact"/>
        <w:rPr>
          <w:sz w:val="20"/>
          <w:szCs w:val="20"/>
          <w:color w:val="auto"/>
        </w:rPr>
      </w:pPr>
    </w:p>
    <w:p>
      <w:pPr>
        <w:ind w:right="20"/>
        <w:spacing w:after="0" w:line="236" w:lineRule="auto"/>
        <w:rPr>
          <w:sz w:val="20"/>
          <w:szCs w:val="20"/>
          <w:color w:val="auto"/>
        </w:rPr>
      </w:pPr>
      <w:r>
        <w:rPr>
          <w:rFonts w:ascii="Arial" w:cs="Arial" w:eastAsia="Arial" w:hAnsi="Arial"/>
          <w:sz w:val="17"/>
          <w:szCs w:val="17"/>
          <w:color w:val="auto"/>
        </w:rPr>
        <w:t>The Audit Committee of the Board of Directors has selected Ernst &amp; Young LLP, an independent registered public accounting firm, to perform the audit of our financial statements and our internal control over financial reporting for the 2016 fiscal year. Ernst &amp; Young has acted as our independent accounting firm since the spinoff of TimkenSteel on June 30, 2014, and prior to that, had served as the independent accounting firm for The Timken Company.</w:t>
      </w:r>
    </w:p>
    <w:p>
      <w:pPr>
        <w:spacing w:after="0" w:line="163" w:lineRule="exact"/>
        <w:rPr>
          <w:sz w:val="20"/>
          <w:szCs w:val="20"/>
          <w:color w:val="auto"/>
        </w:rPr>
      </w:pPr>
    </w:p>
    <w:p>
      <w:pPr>
        <w:spacing w:after="0" w:line="235" w:lineRule="auto"/>
        <w:rPr>
          <w:sz w:val="20"/>
          <w:szCs w:val="20"/>
          <w:color w:val="auto"/>
        </w:rPr>
      </w:pPr>
      <w:r>
        <w:rPr>
          <w:rFonts w:ascii="Arial" w:cs="Arial" w:eastAsia="Arial" w:hAnsi="Arial"/>
          <w:sz w:val="17"/>
          <w:szCs w:val="17"/>
          <w:color w:val="auto"/>
        </w:rPr>
        <w:t>The selection of Ernst &amp; Young as our independent auditor is not required to be submitted to a vote of our shareholders for ratification. However, the Board of Directors believes that obtaining shareholder ratification is a sound governance practice. If our shareholders fail to vote in favor of the selection of Ernst &amp; Young, the Audit Committee will reconsider whether to retain Ernst &amp; Young and may retain that firm or another firm without re-submitting the matter to our shareholders. Even if the shareholders ratify this appointment, the Audit Committee may, in its discretion, direct the appointment of a different independent registered public accounting firm at any time during the year if it determines that such a change would be in the Company’s best interest.</w:t>
      </w:r>
    </w:p>
    <w:p>
      <w:pPr>
        <w:spacing w:after="0" w:line="162" w:lineRule="exact"/>
        <w:rPr>
          <w:sz w:val="20"/>
          <w:szCs w:val="20"/>
          <w:color w:val="auto"/>
        </w:rPr>
      </w:pPr>
    </w:p>
    <w:p>
      <w:pPr>
        <w:ind w:right="220"/>
        <w:spacing w:after="0" w:line="243" w:lineRule="auto"/>
        <w:rPr>
          <w:sz w:val="20"/>
          <w:szCs w:val="20"/>
          <w:color w:val="auto"/>
        </w:rPr>
      </w:pPr>
      <w:r>
        <w:rPr>
          <w:rFonts w:ascii="Arial" w:cs="Arial" w:eastAsia="Arial" w:hAnsi="Arial"/>
          <w:sz w:val="17"/>
          <w:szCs w:val="17"/>
          <w:color w:val="auto"/>
        </w:rPr>
        <w:t>Representatives of Ernst &amp; Young are expected to be present at the 2016 Annual Meeting of Shareholders. They will have an opportunity to make a statement if they desire to do so and will be available to respond to appropriate questions.</w:t>
      </w:r>
    </w:p>
    <w:p>
      <w:pPr>
        <w:spacing w:after="0" w:line="171" w:lineRule="exact"/>
        <w:rPr>
          <w:sz w:val="20"/>
          <w:szCs w:val="20"/>
          <w:color w:val="auto"/>
        </w:rPr>
      </w:pPr>
    </w:p>
    <w:p>
      <w:pPr>
        <w:ind w:right="140"/>
        <w:spacing w:after="0" w:line="238" w:lineRule="auto"/>
        <w:rPr>
          <w:sz w:val="20"/>
          <w:szCs w:val="20"/>
          <w:color w:val="auto"/>
        </w:rPr>
      </w:pPr>
      <w:r>
        <w:rPr>
          <w:rFonts w:ascii="Arial" w:cs="Arial" w:eastAsia="Arial" w:hAnsi="Arial"/>
          <w:sz w:val="17"/>
          <w:szCs w:val="17"/>
          <w:color w:val="auto"/>
        </w:rPr>
        <w:t xml:space="preserve">Ratification of the appointment of Ernst &amp; Young as the Company’s independent auditor for the 2016 fiscal year requires the affirmative vote of a majority of the votes cast on the proposal. </w:t>
      </w:r>
      <w:r>
        <w:rPr>
          <w:rFonts w:ascii="Arial" w:cs="Arial" w:eastAsia="Arial" w:hAnsi="Arial"/>
          <w:sz w:val="17"/>
          <w:szCs w:val="17"/>
          <w:b w:val="1"/>
          <w:bCs w:val="1"/>
          <w:color w:val="auto"/>
        </w:rPr>
        <w:t>Shares represented by proxy will be voted FOR this proposal unless you specify otherwise in your</w:t>
      </w:r>
      <w:r>
        <w:rPr>
          <w:rFonts w:ascii="Arial" w:cs="Arial" w:eastAsia="Arial" w:hAnsi="Arial"/>
          <w:sz w:val="17"/>
          <w:szCs w:val="17"/>
          <w:color w:val="auto"/>
        </w:rPr>
        <w:t xml:space="preserve"> </w:t>
      </w:r>
      <w:r>
        <w:rPr>
          <w:rFonts w:ascii="Arial" w:cs="Arial" w:eastAsia="Arial" w:hAnsi="Arial"/>
          <w:sz w:val="17"/>
          <w:szCs w:val="17"/>
          <w:b w:val="1"/>
          <w:bCs w:val="1"/>
          <w:color w:val="auto"/>
        </w:rPr>
        <w:t>voting instructions</w:t>
      </w:r>
      <w:r>
        <w:rPr>
          <w:rFonts w:ascii="Arial" w:cs="Arial" w:eastAsia="Arial" w:hAnsi="Arial"/>
          <w:sz w:val="17"/>
          <w:szCs w:val="17"/>
          <w:color w:val="auto"/>
        </w:rPr>
        <w:t>.</w:t>
      </w:r>
    </w:p>
    <w:p>
      <w:pPr>
        <w:spacing w:after="0" w:line="141" w:lineRule="exact"/>
        <w:rPr>
          <w:sz w:val="20"/>
          <w:szCs w:val="20"/>
          <w:color w:val="auto"/>
        </w:rPr>
      </w:pPr>
    </w:p>
    <w:p>
      <w:pPr>
        <w:jc w:val="center"/>
        <w:ind w:left="300" w:right="220"/>
        <w:spacing w:after="0" w:line="268" w:lineRule="auto"/>
        <w:rPr>
          <w:sz w:val="20"/>
          <w:szCs w:val="20"/>
          <w:color w:val="auto"/>
        </w:rPr>
      </w:pPr>
      <w:r>
        <w:rPr>
          <w:rFonts w:ascii="Arial" w:cs="Arial" w:eastAsia="Arial" w:hAnsi="Arial"/>
          <w:sz w:val="17"/>
          <w:szCs w:val="17"/>
          <w:b w:val="1"/>
          <w:bCs w:val="1"/>
          <w:color w:val="auto"/>
        </w:rPr>
        <w:t xml:space="preserve">THE BOARD OF DIRECTORS RECOMMENDS A VOTE </w:t>
      </w:r>
      <w:r>
        <w:rPr>
          <w:rFonts w:ascii="Arial" w:cs="Arial" w:eastAsia="Arial" w:hAnsi="Arial"/>
          <w:sz w:val="17"/>
          <w:szCs w:val="17"/>
          <w:b w:val="1"/>
          <w:bCs w:val="1"/>
          <w:u w:val="single" w:color="auto"/>
          <w:color w:val="auto"/>
        </w:rPr>
        <w:t>FOR</w:t>
      </w:r>
      <w:r>
        <w:rPr>
          <w:rFonts w:ascii="Arial" w:cs="Arial" w:eastAsia="Arial" w:hAnsi="Arial"/>
          <w:sz w:val="17"/>
          <w:szCs w:val="17"/>
          <w:b w:val="1"/>
          <w:bCs w:val="1"/>
          <w:color w:val="auto"/>
        </w:rPr>
        <w:t xml:space="preserve"> THE RATIFICATION OF THE SELECTION OF ERNST &amp; YOUNG LLP AS THE INDEPENDENT AUDITOR FOR THE 2016 FISCAL YEAR.</w:t>
      </w:r>
    </w:p>
    <w:p>
      <w:pPr>
        <w:spacing w:after="0" w:line="121" w:lineRule="exact"/>
        <w:rPr>
          <w:sz w:val="20"/>
          <w:szCs w:val="20"/>
          <w:color w:val="auto"/>
        </w:rPr>
      </w:pPr>
    </w:p>
    <w:p>
      <w:pPr>
        <w:ind w:left="11180"/>
        <w:spacing w:after="0"/>
        <w:rPr>
          <w:sz w:val="20"/>
          <w:szCs w:val="20"/>
          <w:color w:val="auto"/>
        </w:rPr>
      </w:pPr>
      <w:r>
        <w:rPr>
          <w:rFonts w:ascii="Arial" w:cs="Arial" w:eastAsia="Arial" w:hAnsi="Arial"/>
          <w:sz w:val="14"/>
          <w:szCs w:val="14"/>
          <w:color w:val="auto"/>
        </w:rPr>
        <w:t>57</w:t>
      </w:r>
    </w:p>
    <w:p>
      <w:pPr>
        <w:sectPr>
          <w:pgSz w:w="11900" w:h="16838" w:orient="portrait"/>
          <w:cols w:equalWidth="0" w:num="1">
            <w:col w:w="11360"/>
          </w:cols>
          <w:pgMar w:left="240" w:top="459" w:right="299" w:bottom="1440" w:gutter="0" w:footer="0" w:header="0"/>
        </w:sectPr>
      </w:pPr>
    </w:p>
    <w:bookmarkStart w:id="63" w:name="page64"/>
    <w:bookmarkEnd w:id="6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81">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3109595</wp:posOffset>
            </wp:positionH>
            <wp:positionV relativeFrom="paragraph">
              <wp:posOffset>205740</wp:posOffset>
            </wp:positionV>
            <wp:extent cx="1046480" cy="205740"/>
            <wp:wrapNone/>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82">
                      <a:extLst>
                        <a:ext uri="{28A0092B-C50C-407E-A947-70E740481C1C}"/>
                      </a:extLst>
                    </a:blip>
                    <a:srcRect/>
                    <a:stretch>
                      <a:fillRect/>
                    </a:stretch>
                  </pic:blipFill>
                  <pic:spPr bwMode="auto">
                    <a:xfrm>
                      <a:off x="0" y="0"/>
                      <a:ext cx="1046480" cy="20574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50" w:lineRule="exact"/>
        <w:rPr>
          <w:sz w:val="20"/>
          <w:szCs w:val="20"/>
          <w:color w:val="auto"/>
        </w:rPr>
      </w:pPr>
    </w:p>
    <w:p>
      <w:pPr>
        <w:spacing w:after="0"/>
        <w:rPr>
          <w:sz w:val="20"/>
          <w:szCs w:val="20"/>
          <w:color w:val="auto"/>
        </w:rPr>
      </w:pPr>
      <w:r>
        <w:rPr>
          <w:rFonts w:ascii="Arial" w:cs="Arial" w:eastAsia="Arial" w:hAnsi="Arial"/>
          <w:sz w:val="17"/>
          <w:szCs w:val="17"/>
          <w:b w:val="1"/>
          <w:bCs w:val="1"/>
          <w:color w:val="666666"/>
        </w:rPr>
        <w:t>SERVICES OF INDEPENDENT AUDITOR FOR 2015</w:t>
      </w:r>
    </w:p>
    <w:p>
      <w:pPr>
        <w:spacing w:after="0" w:line="14" w:lineRule="exact"/>
        <w:rPr>
          <w:sz w:val="20"/>
          <w:szCs w:val="20"/>
          <w:color w:val="auto"/>
        </w:rPr>
      </w:pPr>
    </w:p>
    <w:p>
      <w:pPr>
        <w:ind w:right="140"/>
        <w:spacing w:after="0" w:line="243" w:lineRule="auto"/>
        <w:rPr>
          <w:sz w:val="20"/>
          <w:szCs w:val="20"/>
          <w:color w:val="auto"/>
        </w:rPr>
      </w:pPr>
      <w:r>
        <w:rPr>
          <w:rFonts w:ascii="Arial" w:cs="Arial" w:eastAsia="Arial" w:hAnsi="Arial"/>
          <w:sz w:val="17"/>
          <w:szCs w:val="17"/>
          <w:color w:val="auto"/>
        </w:rPr>
        <w:t>Set forth below are the aggregate fees billed by Ernst &amp; Young for professional services rendered to us for the fiscal years ended December 31, 2015 and December 31, 2014:</w:t>
      </w:r>
    </w:p>
    <w:p>
      <w:pPr>
        <w:spacing w:after="0" w:line="212" w:lineRule="exact"/>
        <w:rPr>
          <w:sz w:val="20"/>
          <w:szCs w:val="20"/>
          <w:color w:val="auto"/>
        </w:rPr>
      </w:pPr>
    </w:p>
    <w:tbl>
      <w:tblPr>
        <w:tblLayout w:type="fixed"/>
        <w:tblInd w:w="0" w:type="dxa"/>
        <w:tblCellMar>
          <w:top w:w="0" w:type="dxa"/>
          <w:left w:w="0" w:type="dxa"/>
          <w:bottom w:w="0" w:type="dxa"/>
          <w:right w:w="0" w:type="dxa"/>
        </w:tblCellMar>
      </w:tblPr>
      <w:tr>
        <w:trPr>
          <w:trHeight w:val="203"/>
        </w:trPr>
        <w:tc>
          <w:tcPr>
            <w:tcW w:w="1480" w:type="dxa"/>
            <w:vAlign w:val="bottom"/>
            <w:tcBorders>
              <w:top w:val="single" w:sz="8" w:color="auto"/>
              <w:bottom w:val="single" w:sz="8" w:color="auto"/>
            </w:tcBorders>
          </w:tcPr>
          <w:p>
            <w:pPr>
              <w:spacing w:after="0"/>
              <w:rPr>
                <w:sz w:val="17"/>
                <w:szCs w:val="17"/>
                <w:color w:val="auto"/>
              </w:rPr>
            </w:pPr>
          </w:p>
        </w:tc>
        <w:tc>
          <w:tcPr>
            <w:tcW w:w="7140" w:type="dxa"/>
            <w:vAlign w:val="bottom"/>
            <w:tcBorders>
              <w:top w:val="single" w:sz="8" w:color="auto"/>
              <w:bottom w:val="single" w:sz="8" w:color="auto"/>
            </w:tcBorders>
          </w:tcPr>
          <w:p>
            <w:pPr>
              <w:spacing w:after="0"/>
              <w:rPr>
                <w:sz w:val="17"/>
                <w:szCs w:val="17"/>
                <w:color w:val="auto"/>
              </w:rPr>
            </w:pPr>
          </w:p>
        </w:tc>
        <w:tc>
          <w:tcPr>
            <w:tcW w:w="1140" w:type="dxa"/>
            <w:vAlign w:val="bottom"/>
            <w:tcBorders>
              <w:top w:val="single" w:sz="8" w:color="auto"/>
              <w:bottom w:val="single" w:sz="8" w:color="auto"/>
            </w:tcBorders>
          </w:tcPr>
          <w:p>
            <w:pPr>
              <w:jc w:val="right"/>
              <w:ind w:right="536"/>
              <w:spacing w:after="0"/>
              <w:rPr>
                <w:sz w:val="20"/>
                <w:szCs w:val="20"/>
                <w:color w:val="auto"/>
              </w:rPr>
            </w:pPr>
            <w:r>
              <w:rPr>
                <w:rFonts w:ascii="Arial" w:cs="Arial" w:eastAsia="Arial" w:hAnsi="Arial"/>
                <w:sz w:val="17"/>
                <w:szCs w:val="17"/>
                <w:b w:val="1"/>
                <w:bCs w:val="1"/>
                <w:color w:val="auto"/>
              </w:rPr>
              <w:t>2015</w:t>
            </w:r>
          </w:p>
        </w:tc>
        <w:tc>
          <w:tcPr>
            <w:tcW w:w="460" w:type="dxa"/>
            <w:vAlign w:val="bottom"/>
            <w:tcBorders>
              <w:top w:val="single" w:sz="8" w:color="auto"/>
              <w:bottom w:val="single" w:sz="8" w:color="auto"/>
            </w:tcBorders>
          </w:tcPr>
          <w:p>
            <w:pPr>
              <w:spacing w:after="0"/>
              <w:rPr>
                <w:sz w:val="17"/>
                <w:szCs w:val="17"/>
                <w:color w:val="auto"/>
              </w:rPr>
            </w:pPr>
          </w:p>
        </w:tc>
        <w:tc>
          <w:tcPr>
            <w:tcW w:w="1200" w:type="dxa"/>
            <w:vAlign w:val="bottom"/>
            <w:tcBorders>
              <w:top w:val="single" w:sz="8" w:color="auto"/>
              <w:bottom w:val="single" w:sz="8" w:color="auto"/>
            </w:tcBorders>
          </w:tcPr>
          <w:p>
            <w:pPr>
              <w:jc w:val="right"/>
              <w:ind w:right="596"/>
              <w:spacing w:after="0"/>
              <w:rPr>
                <w:sz w:val="20"/>
                <w:szCs w:val="20"/>
                <w:color w:val="auto"/>
              </w:rPr>
            </w:pPr>
            <w:r>
              <w:rPr>
                <w:rFonts w:ascii="Arial" w:cs="Arial" w:eastAsia="Arial" w:hAnsi="Arial"/>
                <w:sz w:val="17"/>
                <w:szCs w:val="17"/>
                <w:b w:val="1"/>
                <w:bCs w:val="1"/>
                <w:color w:val="auto"/>
              </w:rPr>
              <w:t>2014</w:t>
            </w:r>
          </w:p>
        </w:tc>
        <w:tc>
          <w:tcPr>
            <w:tcW w:w="0" w:type="dxa"/>
            <w:vAlign w:val="bottom"/>
          </w:tcPr>
          <w:p>
            <w:pPr>
              <w:spacing w:after="0"/>
              <w:rPr>
                <w:sz w:val="1"/>
                <w:szCs w:val="1"/>
                <w:color w:val="auto"/>
              </w:rPr>
            </w:pPr>
          </w:p>
        </w:tc>
      </w:tr>
      <w:tr>
        <w:trPr>
          <w:trHeight w:val="183"/>
        </w:trPr>
        <w:tc>
          <w:tcPr>
            <w:tcW w:w="1480" w:type="dxa"/>
            <w:vAlign w:val="bottom"/>
            <w:shd w:val="clear" w:color="auto" w:fill="CCEEFF"/>
          </w:tcPr>
          <w:p>
            <w:pPr>
              <w:spacing w:after="0" w:line="183" w:lineRule="exact"/>
              <w:rPr>
                <w:sz w:val="20"/>
                <w:szCs w:val="20"/>
                <w:color w:val="auto"/>
              </w:rPr>
            </w:pPr>
            <w:r>
              <w:rPr>
                <w:rFonts w:ascii="Arial" w:cs="Arial" w:eastAsia="Arial" w:hAnsi="Arial"/>
                <w:sz w:val="17"/>
                <w:szCs w:val="17"/>
                <w:color w:val="auto"/>
              </w:rPr>
              <w:t>Audit Fees</w:t>
            </w:r>
            <w:r>
              <w:rPr>
                <w:rFonts w:ascii="Arial" w:cs="Arial" w:eastAsia="Arial" w:hAnsi="Arial"/>
                <w:sz w:val="14"/>
                <w:szCs w:val="14"/>
                <w:color w:val="auto"/>
              </w:rPr>
              <w:t>(a)</w:t>
            </w:r>
          </w:p>
        </w:tc>
        <w:tc>
          <w:tcPr>
            <w:tcW w:w="7140" w:type="dxa"/>
            <w:vAlign w:val="bottom"/>
            <w:shd w:val="clear" w:color="auto" w:fill="CCEEFF"/>
          </w:tcPr>
          <w:p>
            <w:pPr>
              <w:jc w:val="right"/>
              <w:spacing w:after="0" w:line="183" w:lineRule="exact"/>
              <w:rPr>
                <w:sz w:val="20"/>
                <w:szCs w:val="20"/>
                <w:color w:val="auto"/>
              </w:rPr>
            </w:pPr>
            <w:r>
              <w:rPr>
                <w:rFonts w:ascii="Arial" w:cs="Arial" w:eastAsia="Arial" w:hAnsi="Arial"/>
                <w:sz w:val="17"/>
                <w:szCs w:val="17"/>
                <w:color w:val="auto"/>
              </w:rPr>
              <w:t>$</w:t>
            </w:r>
          </w:p>
        </w:tc>
        <w:tc>
          <w:tcPr>
            <w:tcW w:w="1140" w:type="dxa"/>
            <w:vAlign w:val="bottom"/>
            <w:shd w:val="clear" w:color="auto" w:fill="CCEEFF"/>
          </w:tcPr>
          <w:p>
            <w:pPr>
              <w:jc w:val="right"/>
              <w:ind w:right="196"/>
              <w:spacing w:after="0" w:line="183" w:lineRule="exact"/>
              <w:rPr>
                <w:sz w:val="20"/>
                <w:szCs w:val="20"/>
                <w:color w:val="auto"/>
              </w:rPr>
            </w:pPr>
            <w:r>
              <w:rPr>
                <w:rFonts w:ascii="Arial" w:cs="Arial" w:eastAsia="Arial" w:hAnsi="Arial"/>
                <w:sz w:val="17"/>
                <w:szCs w:val="17"/>
                <w:color w:val="auto"/>
              </w:rPr>
              <w:t>1,471,921</w:t>
            </w:r>
          </w:p>
        </w:tc>
        <w:tc>
          <w:tcPr>
            <w:tcW w:w="460" w:type="dxa"/>
            <w:vAlign w:val="bottom"/>
            <w:shd w:val="clear" w:color="auto" w:fill="CCEEFF"/>
          </w:tcPr>
          <w:p>
            <w:pPr>
              <w:jc w:val="right"/>
              <w:ind w:right="15"/>
              <w:spacing w:after="0" w:line="183" w:lineRule="exact"/>
              <w:rPr>
                <w:sz w:val="20"/>
                <w:szCs w:val="20"/>
                <w:color w:val="auto"/>
              </w:rPr>
            </w:pPr>
            <w:r>
              <w:rPr>
                <w:rFonts w:ascii="Arial" w:cs="Arial" w:eastAsia="Arial" w:hAnsi="Arial"/>
                <w:sz w:val="17"/>
                <w:szCs w:val="17"/>
                <w:color w:val="auto"/>
              </w:rPr>
              <w:t>$</w:t>
            </w:r>
          </w:p>
        </w:tc>
        <w:tc>
          <w:tcPr>
            <w:tcW w:w="1200" w:type="dxa"/>
            <w:vAlign w:val="bottom"/>
            <w:shd w:val="clear" w:color="auto" w:fill="CCEEFF"/>
          </w:tcPr>
          <w:p>
            <w:pPr>
              <w:jc w:val="right"/>
              <w:ind w:right="256"/>
              <w:spacing w:after="0" w:line="183" w:lineRule="exact"/>
              <w:rPr>
                <w:sz w:val="20"/>
                <w:szCs w:val="20"/>
                <w:color w:val="auto"/>
              </w:rPr>
            </w:pPr>
            <w:r>
              <w:rPr>
                <w:rFonts w:ascii="Arial" w:cs="Arial" w:eastAsia="Arial" w:hAnsi="Arial"/>
                <w:sz w:val="17"/>
                <w:szCs w:val="17"/>
                <w:color w:val="auto"/>
              </w:rPr>
              <w:t>1,452,012</w:t>
            </w:r>
          </w:p>
        </w:tc>
        <w:tc>
          <w:tcPr>
            <w:tcW w:w="0" w:type="dxa"/>
            <w:vAlign w:val="bottom"/>
          </w:tcPr>
          <w:p>
            <w:pPr>
              <w:spacing w:after="0"/>
              <w:rPr>
                <w:sz w:val="1"/>
                <w:szCs w:val="1"/>
                <w:color w:val="auto"/>
              </w:rPr>
            </w:pPr>
          </w:p>
        </w:tc>
      </w:tr>
      <w:tr>
        <w:trPr>
          <w:trHeight w:val="135"/>
        </w:trPr>
        <w:tc>
          <w:tcPr>
            <w:tcW w:w="1480" w:type="dxa"/>
            <w:vAlign w:val="bottom"/>
          </w:tcPr>
          <w:p>
            <w:pPr>
              <w:spacing w:after="0" w:line="135" w:lineRule="exact"/>
              <w:rPr>
                <w:sz w:val="20"/>
                <w:szCs w:val="20"/>
                <w:color w:val="auto"/>
              </w:rPr>
            </w:pPr>
            <w:r>
              <w:rPr>
                <w:rFonts w:ascii="Arial" w:cs="Arial" w:eastAsia="Arial" w:hAnsi="Arial"/>
                <w:sz w:val="15"/>
                <w:szCs w:val="15"/>
                <w:color w:val="auto"/>
              </w:rPr>
              <w:t>Audit-Related Fees</w:t>
            </w:r>
          </w:p>
        </w:tc>
        <w:tc>
          <w:tcPr>
            <w:tcW w:w="7140" w:type="dxa"/>
            <w:vAlign w:val="bottom"/>
            <w:vMerge w:val="restart"/>
          </w:tcPr>
          <w:p>
            <w:pPr>
              <w:jc w:val="right"/>
              <w:ind w:right="6899"/>
              <w:spacing w:after="0"/>
              <w:rPr>
                <w:sz w:val="20"/>
                <w:szCs w:val="20"/>
                <w:color w:val="auto"/>
              </w:rPr>
            </w:pPr>
            <w:r>
              <w:rPr>
                <w:rFonts w:ascii="Arial" w:cs="Arial" w:eastAsia="Arial" w:hAnsi="Arial"/>
                <w:sz w:val="15"/>
                <w:szCs w:val="15"/>
                <w:color w:val="auto"/>
                <w:w w:val="76"/>
              </w:rPr>
              <w:t>(b)</w:t>
            </w:r>
          </w:p>
        </w:tc>
        <w:tc>
          <w:tcPr>
            <w:tcW w:w="1140" w:type="dxa"/>
            <w:vAlign w:val="bottom"/>
          </w:tcPr>
          <w:p>
            <w:pPr>
              <w:jc w:val="right"/>
              <w:ind w:right="196"/>
              <w:spacing w:after="0" w:line="135" w:lineRule="exact"/>
              <w:rPr>
                <w:sz w:val="20"/>
                <w:szCs w:val="20"/>
                <w:color w:val="auto"/>
              </w:rPr>
            </w:pPr>
            <w:r>
              <w:rPr>
                <w:rFonts w:ascii="Arial" w:cs="Arial" w:eastAsia="Arial" w:hAnsi="Arial"/>
                <w:sz w:val="15"/>
                <w:szCs w:val="15"/>
                <w:color w:val="auto"/>
              </w:rPr>
              <w:t>—</w:t>
            </w:r>
          </w:p>
        </w:tc>
        <w:tc>
          <w:tcPr>
            <w:tcW w:w="460" w:type="dxa"/>
            <w:vAlign w:val="bottom"/>
          </w:tcPr>
          <w:p>
            <w:pPr>
              <w:spacing w:after="0"/>
              <w:rPr>
                <w:sz w:val="11"/>
                <w:szCs w:val="11"/>
                <w:color w:val="auto"/>
              </w:rPr>
            </w:pPr>
          </w:p>
        </w:tc>
        <w:tc>
          <w:tcPr>
            <w:tcW w:w="1200" w:type="dxa"/>
            <w:vAlign w:val="bottom"/>
          </w:tcPr>
          <w:p>
            <w:pPr>
              <w:jc w:val="right"/>
              <w:ind w:right="256"/>
              <w:spacing w:after="0" w:line="135" w:lineRule="exact"/>
              <w:rPr>
                <w:sz w:val="20"/>
                <w:szCs w:val="20"/>
                <w:color w:val="auto"/>
              </w:rPr>
            </w:pPr>
            <w:r>
              <w:rPr>
                <w:rFonts w:ascii="Arial" w:cs="Arial" w:eastAsia="Arial" w:hAnsi="Arial"/>
                <w:sz w:val="15"/>
                <w:szCs w:val="15"/>
                <w:color w:val="auto"/>
              </w:rPr>
              <w:t>—</w:t>
            </w:r>
          </w:p>
        </w:tc>
        <w:tc>
          <w:tcPr>
            <w:tcW w:w="0" w:type="dxa"/>
            <w:vAlign w:val="bottom"/>
          </w:tcPr>
          <w:p>
            <w:pPr>
              <w:spacing w:after="0"/>
              <w:rPr>
                <w:sz w:val="1"/>
                <w:szCs w:val="1"/>
                <w:color w:val="auto"/>
              </w:rPr>
            </w:pPr>
          </w:p>
        </w:tc>
      </w:tr>
      <w:tr>
        <w:trPr>
          <w:trHeight w:val="42"/>
        </w:trPr>
        <w:tc>
          <w:tcPr>
            <w:tcW w:w="1480" w:type="dxa"/>
            <w:vAlign w:val="bottom"/>
          </w:tcPr>
          <w:p>
            <w:pPr>
              <w:spacing w:after="0"/>
              <w:rPr>
                <w:sz w:val="3"/>
                <w:szCs w:val="3"/>
                <w:color w:val="auto"/>
              </w:rPr>
            </w:pPr>
          </w:p>
        </w:tc>
        <w:tc>
          <w:tcPr>
            <w:tcW w:w="7140" w:type="dxa"/>
            <w:vAlign w:val="bottom"/>
            <w:vMerge w:val="continue"/>
          </w:tcPr>
          <w:p>
            <w:pPr>
              <w:spacing w:after="0"/>
              <w:rPr>
                <w:sz w:val="3"/>
                <w:szCs w:val="3"/>
                <w:color w:val="auto"/>
              </w:rPr>
            </w:pPr>
          </w:p>
        </w:tc>
        <w:tc>
          <w:tcPr>
            <w:tcW w:w="1140" w:type="dxa"/>
            <w:vAlign w:val="bottom"/>
          </w:tcPr>
          <w:p>
            <w:pPr>
              <w:spacing w:after="0"/>
              <w:rPr>
                <w:sz w:val="3"/>
                <w:szCs w:val="3"/>
                <w:color w:val="auto"/>
              </w:rPr>
            </w:pPr>
          </w:p>
        </w:tc>
        <w:tc>
          <w:tcPr>
            <w:tcW w:w="460" w:type="dxa"/>
            <w:vAlign w:val="bottom"/>
          </w:tcPr>
          <w:p>
            <w:pPr>
              <w:spacing w:after="0"/>
              <w:rPr>
                <w:sz w:val="3"/>
                <w:szCs w:val="3"/>
                <w:color w:val="auto"/>
              </w:rPr>
            </w:pPr>
          </w:p>
        </w:tc>
        <w:tc>
          <w:tcPr>
            <w:tcW w:w="120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1"/>
        </w:trPr>
        <w:tc>
          <w:tcPr>
            <w:tcW w:w="1480" w:type="dxa"/>
            <w:vAlign w:val="bottom"/>
            <w:shd w:val="clear" w:color="auto" w:fill="CCEEFF"/>
          </w:tcPr>
          <w:p>
            <w:pPr>
              <w:spacing w:after="0"/>
              <w:rPr>
                <w:sz w:val="20"/>
                <w:szCs w:val="20"/>
                <w:color w:val="auto"/>
              </w:rPr>
            </w:pPr>
            <w:r>
              <w:rPr>
                <w:rFonts w:ascii="Arial" w:cs="Arial" w:eastAsia="Arial" w:hAnsi="Arial"/>
                <w:sz w:val="17"/>
                <w:szCs w:val="17"/>
                <w:color w:val="auto"/>
              </w:rPr>
              <w:t>Tax Fees</w:t>
            </w:r>
          </w:p>
        </w:tc>
        <w:tc>
          <w:tcPr>
            <w:tcW w:w="7140" w:type="dxa"/>
            <w:vAlign w:val="bottom"/>
            <w:shd w:val="clear" w:color="auto" w:fill="CCEEFF"/>
          </w:tcPr>
          <w:p>
            <w:pPr>
              <w:spacing w:after="0"/>
              <w:rPr>
                <w:sz w:val="17"/>
                <w:szCs w:val="17"/>
                <w:color w:val="auto"/>
              </w:rPr>
            </w:pPr>
          </w:p>
        </w:tc>
        <w:tc>
          <w:tcPr>
            <w:tcW w:w="1140" w:type="dxa"/>
            <w:vAlign w:val="bottom"/>
            <w:shd w:val="clear" w:color="auto" w:fill="CCEEFF"/>
          </w:tcPr>
          <w:p>
            <w:pPr>
              <w:jc w:val="right"/>
              <w:ind w:right="196"/>
              <w:spacing w:after="0"/>
              <w:rPr>
                <w:sz w:val="20"/>
                <w:szCs w:val="20"/>
                <w:color w:val="auto"/>
              </w:rPr>
            </w:pPr>
            <w:r>
              <w:rPr>
                <w:rFonts w:ascii="Arial" w:cs="Arial" w:eastAsia="Arial" w:hAnsi="Arial"/>
                <w:sz w:val="17"/>
                <w:szCs w:val="17"/>
                <w:color w:val="auto"/>
              </w:rPr>
              <w:t>5,000</w:t>
            </w:r>
          </w:p>
        </w:tc>
        <w:tc>
          <w:tcPr>
            <w:tcW w:w="460" w:type="dxa"/>
            <w:vAlign w:val="bottom"/>
            <w:shd w:val="clear" w:color="auto" w:fill="CCEEFF"/>
          </w:tcPr>
          <w:p>
            <w:pPr>
              <w:spacing w:after="0"/>
              <w:rPr>
                <w:sz w:val="17"/>
                <w:szCs w:val="17"/>
                <w:color w:val="auto"/>
              </w:rPr>
            </w:pPr>
          </w:p>
        </w:tc>
        <w:tc>
          <w:tcPr>
            <w:tcW w:w="1200" w:type="dxa"/>
            <w:vAlign w:val="bottom"/>
            <w:shd w:val="clear" w:color="auto" w:fill="CCEEFF"/>
          </w:tcPr>
          <w:p>
            <w:pPr>
              <w:jc w:val="right"/>
              <w:ind w:right="256"/>
              <w:spacing w:after="0"/>
              <w:rPr>
                <w:sz w:val="20"/>
                <w:szCs w:val="20"/>
                <w:color w:val="auto"/>
              </w:rPr>
            </w:pPr>
            <w:r>
              <w:rPr>
                <w:rFonts w:ascii="Arial" w:cs="Arial" w:eastAsia="Arial" w:hAnsi="Arial"/>
                <w:sz w:val="17"/>
                <w:szCs w:val="17"/>
                <w:color w:val="auto"/>
              </w:rPr>
              <w:t>—</w:t>
            </w:r>
          </w:p>
        </w:tc>
        <w:tc>
          <w:tcPr>
            <w:tcW w:w="0" w:type="dxa"/>
            <w:vAlign w:val="bottom"/>
          </w:tcPr>
          <w:p>
            <w:pPr>
              <w:spacing w:after="0"/>
              <w:rPr>
                <w:sz w:val="1"/>
                <w:szCs w:val="1"/>
                <w:color w:val="auto"/>
              </w:rPr>
            </w:pPr>
          </w:p>
        </w:tc>
      </w:tr>
      <w:tr>
        <w:trPr>
          <w:trHeight w:val="189"/>
        </w:trPr>
        <w:tc>
          <w:tcPr>
            <w:tcW w:w="1480" w:type="dxa"/>
            <w:vAlign w:val="bottom"/>
            <w:tcBorders>
              <w:bottom w:val="single" w:sz="8" w:color="auto"/>
            </w:tcBorders>
          </w:tcPr>
          <w:p>
            <w:pPr>
              <w:spacing w:after="0" w:line="189" w:lineRule="exact"/>
              <w:rPr>
                <w:sz w:val="20"/>
                <w:szCs w:val="20"/>
                <w:color w:val="auto"/>
              </w:rPr>
            </w:pPr>
            <w:r>
              <w:rPr>
                <w:rFonts w:ascii="Arial" w:cs="Arial" w:eastAsia="Arial" w:hAnsi="Arial"/>
                <w:sz w:val="17"/>
                <w:szCs w:val="17"/>
                <w:color w:val="auto"/>
              </w:rPr>
              <w:t>All Other Fees</w:t>
            </w:r>
          </w:p>
        </w:tc>
        <w:tc>
          <w:tcPr>
            <w:tcW w:w="7140" w:type="dxa"/>
            <w:vAlign w:val="bottom"/>
            <w:tcBorders>
              <w:bottom w:val="single" w:sz="8" w:color="auto"/>
            </w:tcBorders>
          </w:tcPr>
          <w:p>
            <w:pPr>
              <w:spacing w:after="0"/>
              <w:rPr>
                <w:sz w:val="16"/>
                <w:szCs w:val="16"/>
                <w:color w:val="auto"/>
              </w:rPr>
            </w:pPr>
          </w:p>
        </w:tc>
        <w:tc>
          <w:tcPr>
            <w:tcW w:w="1140" w:type="dxa"/>
            <w:vAlign w:val="bottom"/>
            <w:tcBorders>
              <w:bottom w:val="single" w:sz="8" w:color="auto"/>
            </w:tcBorders>
          </w:tcPr>
          <w:p>
            <w:pPr>
              <w:jc w:val="right"/>
              <w:ind w:right="196"/>
              <w:spacing w:after="0" w:line="189" w:lineRule="exact"/>
              <w:rPr>
                <w:sz w:val="20"/>
                <w:szCs w:val="20"/>
                <w:color w:val="auto"/>
              </w:rPr>
            </w:pPr>
            <w:r>
              <w:rPr>
                <w:rFonts w:ascii="Arial" w:cs="Arial" w:eastAsia="Arial" w:hAnsi="Arial"/>
                <w:sz w:val="17"/>
                <w:szCs w:val="17"/>
                <w:color w:val="auto"/>
              </w:rPr>
              <w:t>—</w:t>
            </w:r>
          </w:p>
        </w:tc>
        <w:tc>
          <w:tcPr>
            <w:tcW w:w="460" w:type="dxa"/>
            <w:vAlign w:val="bottom"/>
            <w:tcBorders>
              <w:bottom w:val="single" w:sz="8" w:color="auto"/>
            </w:tcBorders>
          </w:tcPr>
          <w:p>
            <w:pPr>
              <w:spacing w:after="0"/>
              <w:rPr>
                <w:sz w:val="16"/>
                <w:szCs w:val="16"/>
                <w:color w:val="auto"/>
              </w:rPr>
            </w:pPr>
          </w:p>
        </w:tc>
        <w:tc>
          <w:tcPr>
            <w:tcW w:w="1200" w:type="dxa"/>
            <w:vAlign w:val="bottom"/>
            <w:tcBorders>
              <w:bottom w:val="single" w:sz="8" w:color="auto"/>
            </w:tcBorders>
          </w:tcPr>
          <w:p>
            <w:pPr>
              <w:jc w:val="right"/>
              <w:ind w:right="256"/>
              <w:spacing w:after="0" w:line="189" w:lineRule="exact"/>
              <w:rPr>
                <w:sz w:val="20"/>
                <w:szCs w:val="20"/>
                <w:color w:val="auto"/>
              </w:rPr>
            </w:pPr>
            <w:r>
              <w:rPr>
                <w:rFonts w:ascii="Arial" w:cs="Arial" w:eastAsia="Arial" w:hAnsi="Arial"/>
                <w:sz w:val="17"/>
                <w:szCs w:val="17"/>
                <w:color w:val="auto"/>
              </w:rPr>
              <w:t>—</w:t>
            </w:r>
          </w:p>
        </w:tc>
        <w:tc>
          <w:tcPr>
            <w:tcW w:w="0" w:type="dxa"/>
            <w:vAlign w:val="bottom"/>
          </w:tcPr>
          <w:p>
            <w:pPr>
              <w:spacing w:after="0"/>
              <w:rPr>
                <w:sz w:val="1"/>
                <w:szCs w:val="1"/>
                <w:color w:val="auto"/>
              </w:rPr>
            </w:pPr>
          </w:p>
        </w:tc>
      </w:tr>
      <w:tr>
        <w:trPr>
          <w:trHeight w:val="183"/>
        </w:trPr>
        <w:tc>
          <w:tcPr>
            <w:tcW w:w="1480" w:type="dxa"/>
            <w:vAlign w:val="bottom"/>
            <w:tcBorders>
              <w:bottom w:val="single" w:sz="8" w:color="auto"/>
            </w:tcBorders>
            <w:shd w:val="clear" w:color="auto" w:fill="CCEEFF"/>
          </w:tcPr>
          <w:p>
            <w:pPr>
              <w:spacing w:after="0" w:line="183" w:lineRule="exact"/>
              <w:rPr>
                <w:sz w:val="20"/>
                <w:szCs w:val="20"/>
                <w:color w:val="auto"/>
              </w:rPr>
            </w:pPr>
            <w:r>
              <w:rPr>
                <w:rFonts w:ascii="Arial" w:cs="Arial" w:eastAsia="Arial" w:hAnsi="Arial"/>
                <w:sz w:val="17"/>
                <w:szCs w:val="17"/>
                <w:b w:val="1"/>
                <w:bCs w:val="1"/>
                <w:color w:val="auto"/>
              </w:rPr>
              <w:t>Total Fees</w:t>
            </w:r>
          </w:p>
        </w:tc>
        <w:tc>
          <w:tcPr>
            <w:tcW w:w="7140" w:type="dxa"/>
            <w:vAlign w:val="bottom"/>
            <w:tcBorders>
              <w:bottom w:val="single" w:sz="8" w:color="auto"/>
            </w:tcBorders>
            <w:shd w:val="clear" w:color="auto" w:fill="CCEEFF"/>
          </w:tcPr>
          <w:p>
            <w:pPr>
              <w:jc w:val="right"/>
              <w:spacing w:after="0" w:line="183" w:lineRule="exact"/>
              <w:rPr>
                <w:sz w:val="20"/>
                <w:szCs w:val="20"/>
                <w:color w:val="auto"/>
              </w:rPr>
            </w:pPr>
            <w:r>
              <w:rPr>
                <w:rFonts w:ascii="Arial" w:cs="Arial" w:eastAsia="Arial" w:hAnsi="Arial"/>
                <w:sz w:val="17"/>
                <w:szCs w:val="17"/>
                <w:color w:val="auto"/>
              </w:rPr>
              <w:t>$</w:t>
            </w:r>
          </w:p>
        </w:tc>
        <w:tc>
          <w:tcPr>
            <w:tcW w:w="1140" w:type="dxa"/>
            <w:vAlign w:val="bottom"/>
            <w:tcBorders>
              <w:bottom w:val="single" w:sz="8" w:color="auto"/>
            </w:tcBorders>
            <w:shd w:val="clear" w:color="auto" w:fill="CCEEFF"/>
          </w:tcPr>
          <w:p>
            <w:pPr>
              <w:jc w:val="right"/>
              <w:ind w:right="196"/>
              <w:spacing w:after="0" w:line="183" w:lineRule="exact"/>
              <w:rPr>
                <w:sz w:val="20"/>
                <w:szCs w:val="20"/>
                <w:color w:val="auto"/>
              </w:rPr>
            </w:pPr>
            <w:r>
              <w:rPr>
                <w:rFonts w:ascii="Arial" w:cs="Arial" w:eastAsia="Arial" w:hAnsi="Arial"/>
                <w:sz w:val="17"/>
                <w:szCs w:val="17"/>
                <w:color w:val="auto"/>
              </w:rPr>
              <w:t>1,476,921</w:t>
            </w:r>
          </w:p>
        </w:tc>
        <w:tc>
          <w:tcPr>
            <w:tcW w:w="460" w:type="dxa"/>
            <w:vAlign w:val="bottom"/>
            <w:tcBorders>
              <w:bottom w:val="single" w:sz="8" w:color="auto"/>
            </w:tcBorders>
            <w:shd w:val="clear" w:color="auto" w:fill="CCEEFF"/>
          </w:tcPr>
          <w:p>
            <w:pPr>
              <w:jc w:val="right"/>
              <w:ind w:right="15"/>
              <w:spacing w:after="0" w:line="183" w:lineRule="exact"/>
              <w:rPr>
                <w:sz w:val="20"/>
                <w:szCs w:val="20"/>
                <w:color w:val="auto"/>
              </w:rPr>
            </w:pPr>
            <w:r>
              <w:rPr>
                <w:rFonts w:ascii="Arial" w:cs="Arial" w:eastAsia="Arial" w:hAnsi="Arial"/>
                <w:sz w:val="17"/>
                <w:szCs w:val="17"/>
                <w:color w:val="auto"/>
              </w:rPr>
              <w:t>$</w:t>
            </w:r>
          </w:p>
        </w:tc>
        <w:tc>
          <w:tcPr>
            <w:tcW w:w="1200" w:type="dxa"/>
            <w:vAlign w:val="bottom"/>
            <w:tcBorders>
              <w:bottom w:val="single" w:sz="8" w:color="auto"/>
            </w:tcBorders>
            <w:shd w:val="clear" w:color="auto" w:fill="CCEEFF"/>
          </w:tcPr>
          <w:p>
            <w:pPr>
              <w:jc w:val="right"/>
              <w:ind w:right="256"/>
              <w:spacing w:after="0" w:line="183" w:lineRule="exact"/>
              <w:rPr>
                <w:sz w:val="20"/>
                <w:szCs w:val="20"/>
                <w:color w:val="auto"/>
              </w:rPr>
            </w:pPr>
            <w:r>
              <w:rPr>
                <w:rFonts w:ascii="Arial" w:cs="Arial" w:eastAsia="Arial" w:hAnsi="Arial"/>
                <w:sz w:val="17"/>
                <w:szCs w:val="17"/>
                <w:color w:val="auto"/>
              </w:rPr>
              <w:t>1,452,012</w:t>
            </w:r>
          </w:p>
        </w:tc>
        <w:tc>
          <w:tcPr>
            <w:tcW w:w="0" w:type="dxa"/>
            <w:vAlign w:val="bottom"/>
          </w:tcPr>
          <w:p>
            <w:pPr>
              <w:spacing w:after="0"/>
              <w:rPr>
                <w:sz w:val="1"/>
                <w:szCs w:val="1"/>
                <w:color w:val="auto"/>
              </w:rPr>
            </w:pPr>
          </w:p>
        </w:tc>
      </w:tr>
    </w:tbl>
    <w:p>
      <w:pPr>
        <w:spacing w:after="0" w:line="210" w:lineRule="exact"/>
        <w:rPr>
          <w:sz w:val="20"/>
          <w:szCs w:val="20"/>
          <w:color w:val="auto"/>
        </w:rPr>
      </w:pPr>
    </w:p>
    <w:p>
      <w:pPr>
        <w:ind w:left="460" w:right="160" w:hanging="452"/>
        <w:spacing w:after="0" w:line="243" w:lineRule="auto"/>
        <w:tabs>
          <w:tab w:leader="none" w:pos="460" w:val="left"/>
        </w:tabs>
        <w:numPr>
          <w:ilvl w:val="0"/>
          <w:numId w:val="36"/>
        </w:numPr>
        <w:rPr>
          <w:rFonts w:ascii="Arial" w:cs="Arial" w:eastAsia="Arial" w:hAnsi="Arial"/>
          <w:sz w:val="15"/>
          <w:szCs w:val="15"/>
          <w:color w:val="auto"/>
        </w:rPr>
      </w:pPr>
      <w:r>
        <w:rPr>
          <w:rFonts w:ascii="Arial" w:cs="Arial" w:eastAsia="Arial" w:hAnsi="Arial"/>
          <w:sz w:val="17"/>
          <w:szCs w:val="17"/>
          <w:color w:val="auto"/>
        </w:rPr>
        <w:t>Audit Fees consists of fees for professional services rendered for the audits of our annual consolidated financial statements, including, for 2014 and 2015, statutory audits of $16,000 and 38,000, respectively.</w:t>
      </w:r>
    </w:p>
    <w:p>
      <w:pPr>
        <w:spacing w:after="0" w:line="198" w:lineRule="exact"/>
        <w:rPr>
          <w:rFonts w:ascii="Arial" w:cs="Arial" w:eastAsia="Arial" w:hAnsi="Arial"/>
          <w:sz w:val="15"/>
          <w:szCs w:val="15"/>
          <w:color w:val="auto"/>
        </w:rPr>
      </w:pPr>
    </w:p>
    <w:p>
      <w:pPr>
        <w:ind w:left="460" w:hanging="452"/>
        <w:spacing w:after="0"/>
        <w:tabs>
          <w:tab w:leader="none" w:pos="460" w:val="left"/>
        </w:tabs>
        <w:numPr>
          <w:ilvl w:val="0"/>
          <w:numId w:val="36"/>
        </w:numPr>
        <w:rPr>
          <w:rFonts w:ascii="Arial" w:cs="Arial" w:eastAsia="Arial" w:hAnsi="Arial"/>
          <w:sz w:val="15"/>
          <w:szCs w:val="15"/>
          <w:color w:val="auto"/>
        </w:rPr>
      </w:pPr>
      <w:r>
        <w:rPr>
          <w:rFonts w:ascii="Arial" w:cs="Arial" w:eastAsia="Arial" w:hAnsi="Arial"/>
          <w:sz w:val="17"/>
          <w:szCs w:val="17"/>
          <w:color w:val="auto"/>
        </w:rPr>
        <w:t>Audit-Related Fees consists of fees for employee benefit plan audits.</w:t>
      </w:r>
    </w:p>
    <w:p>
      <w:pPr>
        <w:spacing w:after="0" w:line="163" w:lineRule="exact"/>
        <w:rPr>
          <w:sz w:val="20"/>
          <w:szCs w:val="20"/>
          <w:color w:val="auto"/>
        </w:rPr>
      </w:pPr>
    </w:p>
    <w:p>
      <w:pPr>
        <w:spacing w:after="0"/>
        <w:rPr>
          <w:sz w:val="20"/>
          <w:szCs w:val="20"/>
          <w:color w:val="auto"/>
        </w:rPr>
      </w:pPr>
      <w:r>
        <w:rPr>
          <w:rFonts w:ascii="Arial" w:cs="Arial" w:eastAsia="Arial" w:hAnsi="Arial"/>
          <w:sz w:val="17"/>
          <w:szCs w:val="17"/>
          <w:b w:val="1"/>
          <w:bCs w:val="1"/>
          <w:color w:val="666666"/>
        </w:rPr>
        <w:t>AUDIT COMMITTEE PRE-APPROVAL POLICIES AND PROCEDURES</w:t>
      </w:r>
    </w:p>
    <w:p>
      <w:pPr>
        <w:spacing w:after="0" w:line="14" w:lineRule="exact"/>
        <w:rPr>
          <w:sz w:val="20"/>
          <w:szCs w:val="20"/>
          <w:color w:val="auto"/>
        </w:rPr>
      </w:pPr>
    </w:p>
    <w:p>
      <w:pPr>
        <w:ind w:right="200"/>
        <w:spacing w:after="0" w:line="234" w:lineRule="auto"/>
        <w:rPr>
          <w:sz w:val="20"/>
          <w:szCs w:val="20"/>
          <w:color w:val="auto"/>
        </w:rPr>
      </w:pPr>
      <w:r>
        <w:rPr>
          <w:rFonts w:ascii="Arial" w:cs="Arial" w:eastAsia="Arial" w:hAnsi="Arial"/>
          <w:sz w:val="17"/>
          <w:szCs w:val="17"/>
          <w:color w:val="auto"/>
        </w:rPr>
        <w:t>The Audit Committee annually approves the scope and fees payable for the year-end audit and statutory audits to be performed by the independent auditor for the next fiscal year. In addition, the Audit Committee has adopted a Pre-Approval Policy pursuant to which the Committee annually approves certain audit, audit-related and tax services which may be provided by the independent auditor, along with the associated fees for such services, during the upcoming fiscal year. Other than services pre-approved in connection with the annual engagement of the independent auditor or pursuant to the Pre-Approval Policy, all services to be provided by the independent auditor must be pre-approved by the Audit Committee. Requests for pre-approval must contain sufficient detail to ensure the Audit Committee knows precisely what services it is being asked to pre-approve so that it can make a well-reasoned assessment of the impact of the service on the auditor’s independence. With certain specified limitations, the Audit Committee has delegated its pre-approval authority to its Chairperson, who must report any pre-approval decisions to the full Audit Committee at its next scheduled meeting. All of the services described above were approved by the Audit Committee in accordance with the foregoing policies and procedures.</w:t>
      </w:r>
    </w:p>
    <w:p>
      <w:pPr>
        <w:spacing w:after="0" w:line="144" w:lineRule="exact"/>
        <w:rPr>
          <w:sz w:val="20"/>
          <w:szCs w:val="20"/>
          <w:color w:val="auto"/>
        </w:rPr>
      </w:pPr>
    </w:p>
    <w:p>
      <w:pPr>
        <w:spacing w:after="0"/>
        <w:rPr>
          <w:sz w:val="20"/>
          <w:szCs w:val="20"/>
          <w:color w:val="auto"/>
        </w:rPr>
      </w:pPr>
      <w:r>
        <w:rPr>
          <w:rFonts w:ascii="Arial" w:cs="Arial" w:eastAsia="Arial" w:hAnsi="Arial"/>
          <w:sz w:val="14"/>
          <w:szCs w:val="14"/>
          <w:color w:val="auto"/>
        </w:rPr>
        <w:t>58</w:t>
      </w:r>
    </w:p>
    <w:p>
      <w:pPr>
        <w:sectPr>
          <w:pgSz w:w="11900" w:h="16838" w:orient="portrait"/>
          <w:cols w:equalWidth="0" w:num="1">
            <w:col w:w="11420"/>
          </w:cols>
          <w:pgMar w:left="240" w:top="459" w:right="239" w:bottom="1440" w:gutter="0" w:footer="0" w:header="0"/>
        </w:sectPr>
      </w:pPr>
    </w:p>
    <w:bookmarkStart w:id="64" w:name="page65"/>
    <w:bookmarkEnd w:id="6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83">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2715260</wp:posOffset>
            </wp:positionH>
            <wp:positionV relativeFrom="paragraph">
              <wp:posOffset>205740</wp:posOffset>
            </wp:positionV>
            <wp:extent cx="1826895" cy="205740"/>
            <wp:wrapNone/>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84">
                      <a:extLst>
                        <a:ext uri="{28A0092B-C50C-407E-A947-70E740481C1C}"/>
                      </a:extLst>
                    </a:blip>
                    <a:srcRect/>
                    <a:stretch>
                      <a:fillRect/>
                    </a:stretch>
                  </pic:blipFill>
                  <pic:spPr bwMode="auto">
                    <a:xfrm>
                      <a:off x="0" y="0"/>
                      <a:ext cx="1826895" cy="20574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71" w:lineRule="exact"/>
        <w:rPr>
          <w:sz w:val="20"/>
          <w:szCs w:val="20"/>
          <w:color w:val="auto"/>
        </w:rPr>
      </w:pPr>
    </w:p>
    <w:p>
      <w:pPr>
        <w:spacing w:after="0"/>
        <w:rPr>
          <w:sz w:val="20"/>
          <w:szCs w:val="20"/>
          <w:color w:val="auto"/>
        </w:rPr>
      </w:pPr>
      <w:r>
        <w:rPr>
          <w:rFonts w:ascii="Arial" w:cs="Arial" w:eastAsia="Arial" w:hAnsi="Arial"/>
          <w:sz w:val="18"/>
          <w:szCs w:val="18"/>
          <w:color w:val="auto"/>
        </w:rPr>
        <w:t>PROPOSAL 3</w:t>
      </w:r>
    </w:p>
    <w:p>
      <w:pPr>
        <w:spacing w:after="0"/>
        <w:rPr>
          <w:sz w:val="20"/>
          <w:szCs w:val="20"/>
          <w:color w:val="auto"/>
        </w:rPr>
      </w:pPr>
      <w:r>
        <w:rPr>
          <w:rFonts w:ascii="Arial" w:cs="Arial" w:eastAsia="Arial" w:hAnsi="Arial"/>
          <w:sz w:val="18"/>
          <w:szCs w:val="18"/>
          <w:color w:val="auto"/>
        </w:rPr>
        <w:t>APPROVAL, ON AN ADVISORY BASIS, OF NAMED EXECUTIVE OFFICER COMPENSATION</w:t>
      </w:r>
    </w:p>
    <w:p>
      <w:pPr>
        <w:spacing w:after="0" w:line="179" w:lineRule="exact"/>
        <w:rPr>
          <w:sz w:val="20"/>
          <w:szCs w:val="20"/>
          <w:color w:val="auto"/>
        </w:rPr>
      </w:pPr>
    </w:p>
    <w:p>
      <w:pPr>
        <w:jc w:val="both"/>
        <w:ind w:right="20"/>
        <w:spacing w:after="0" w:line="238" w:lineRule="auto"/>
        <w:rPr>
          <w:sz w:val="20"/>
          <w:szCs w:val="20"/>
          <w:color w:val="auto"/>
        </w:rPr>
      </w:pPr>
      <w:r>
        <w:rPr>
          <w:rFonts w:ascii="Arial" w:cs="Arial" w:eastAsia="Arial" w:hAnsi="Arial"/>
          <w:sz w:val="17"/>
          <w:szCs w:val="17"/>
          <w:color w:val="auto"/>
        </w:rPr>
        <w:t>At the 2015 Annual Meeting of Shareholders, the advisory vote to approve the compensation of the Company’s named executive officers received very strong support, with 97% of the votes cast in favor of approval. Based on this vote, as well as other input from conversations held with investors during the course of 2015, the Compensation Committee determined to maintain the structure of the Company’s compensation programs.</w:t>
      </w:r>
    </w:p>
    <w:p>
      <w:pPr>
        <w:spacing w:after="0" w:line="161" w:lineRule="exact"/>
        <w:rPr>
          <w:sz w:val="20"/>
          <w:szCs w:val="20"/>
          <w:color w:val="auto"/>
        </w:rPr>
      </w:pPr>
    </w:p>
    <w:p>
      <w:pPr>
        <w:spacing w:after="0"/>
        <w:rPr>
          <w:sz w:val="20"/>
          <w:szCs w:val="20"/>
          <w:color w:val="auto"/>
        </w:rPr>
      </w:pPr>
      <w:r>
        <w:rPr>
          <w:rFonts w:ascii="Arial" w:cs="Arial" w:eastAsia="Arial" w:hAnsi="Arial"/>
          <w:sz w:val="17"/>
          <w:szCs w:val="17"/>
          <w:color w:val="auto"/>
        </w:rPr>
        <w:t>We believe our compensation programs for our named executive officers:</w:t>
      </w:r>
    </w:p>
    <w:p>
      <w:pPr>
        <w:spacing w:after="0" w:line="210" w:lineRule="exact"/>
        <w:rPr>
          <w:sz w:val="20"/>
          <w:szCs w:val="20"/>
          <w:color w:val="auto"/>
        </w:rPr>
      </w:pPr>
    </w:p>
    <w:p>
      <w:pPr>
        <w:ind w:left="220" w:hanging="212"/>
        <w:spacing w:after="0"/>
        <w:tabs>
          <w:tab w:leader="none" w:pos="220" w:val="left"/>
        </w:tabs>
        <w:numPr>
          <w:ilvl w:val="0"/>
          <w:numId w:val="37"/>
        </w:numPr>
        <w:rPr>
          <w:rFonts w:ascii="Arial" w:cs="Arial" w:eastAsia="Arial" w:hAnsi="Arial"/>
          <w:sz w:val="17"/>
          <w:szCs w:val="17"/>
          <w:color w:val="auto"/>
        </w:rPr>
      </w:pPr>
      <w:r>
        <w:rPr>
          <w:rFonts w:ascii="Arial" w:cs="Arial" w:eastAsia="Arial" w:hAnsi="Arial"/>
          <w:sz w:val="17"/>
          <w:szCs w:val="17"/>
          <w:color w:val="auto"/>
        </w:rPr>
        <w:t>align the interests of our executives with those of our shareholders;</w:t>
      </w:r>
    </w:p>
    <w:p>
      <w:pPr>
        <w:spacing w:after="0" w:line="209" w:lineRule="exact"/>
        <w:rPr>
          <w:rFonts w:ascii="Arial" w:cs="Arial" w:eastAsia="Arial" w:hAnsi="Arial"/>
          <w:sz w:val="17"/>
          <w:szCs w:val="17"/>
          <w:color w:val="auto"/>
        </w:rPr>
      </w:pPr>
    </w:p>
    <w:p>
      <w:pPr>
        <w:ind w:left="220" w:hanging="212"/>
        <w:spacing w:after="0"/>
        <w:tabs>
          <w:tab w:leader="none" w:pos="220" w:val="left"/>
        </w:tabs>
        <w:numPr>
          <w:ilvl w:val="0"/>
          <w:numId w:val="37"/>
        </w:numPr>
        <w:rPr>
          <w:rFonts w:ascii="Arial" w:cs="Arial" w:eastAsia="Arial" w:hAnsi="Arial"/>
          <w:sz w:val="17"/>
          <w:szCs w:val="17"/>
          <w:color w:val="auto"/>
        </w:rPr>
      </w:pPr>
      <w:r>
        <w:rPr>
          <w:rFonts w:ascii="Arial" w:cs="Arial" w:eastAsia="Arial" w:hAnsi="Arial"/>
          <w:sz w:val="17"/>
          <w:szCs w:val="17"/>
          <w:color w:val="auto"/>
        </w:rPr>
        <w:t>reward executives for sustained, strong business and financial results; and</w:t>
      </w:r>
    </w:p>
    <w:p>
      <w:pPr>
        <w:spacing w:after="0" w:line="209" w:lineRule="exact"/>
        <w:rPr>
          <w:rFonts w:ascii="Arial" w:cs="Arial" w:eastAsia="Arial" w:hAnsi="Arial"/>
          <w:sz w:val="17"/>
          <w:szCs w:val="17"/>
          <w:color w:val="auto"/>
        </w:rPr>
      </w:pPr>
    </w:p>
    <w:p>
      <w:pPr>
        <w:ind w:left="220" w:hanging="212"/>
        <w:spacing w:after="0"/>
        <w:tabs>
          <w:tab w:leader="none" w:pos="220" w:val="left"/>
        </w:tabs>
        <w:numPr>
          <w:ilvl w:val="0"/>
          <w:numId w:val="37"/>
        </w:numPr>
        <w:rPr>
          <w:rFonts w:ascii="Arial" w:cs="Arial" w:eastAsia="Arial" w:hAnsi="Arial"/>
          <w:sz w:val="17"/>
          <w:szCs w:val="17"/>
          <w:color w:val="auto"/>
        </w:rPr>
      </w:pPr>
      <w:r>
        <w:rPr>
          <w:rFonts w:ascii="Arial" w:cs="Arial" w:eastAsia="Arial" w:hAnsi="Arial"/>
          <w:sz w:val="17"/>
          <w:szCs w:val="17"/>
          <w:color w:val="auto"/>
        </w:rPr>
        <w:t>enable us to attract, retain and motivate the best talent.</w:t>
      </w:r>
    </w:p>
    <w:p>
      <w:pPr>
        <w:spacing w:after="0" w:line="169" w:lineRule="exact"/>
        <w:rPr>
          <w:sz w:val="20"/>
          <w:szCs w:val="20"/>
          <w:color w:val="auto"/>
        </w:rPr>
      </w:pPr>
    </w:p>
    <w:p>
      <w:pPr>
        <w:ind w:right="500"/>
        <w:spacing w:after="0" w:line="243" w:lineRule="auto"/>
        <w:rPr>
          <w:sz w:val="20"/>
          <w:szCs w:val="20"/>
          <w:color w:val="auto"/>
        </w:rPr>
      </w:pPr>
      <w:r>
        <w:rPr>
          <w:rFonts w:ascii="Arial" w:cs="Arial" w:eastAsia="Arial" w:hAnsi="Arial"/>
          <w:sz w:val="17"/>
          <w:szCs w:val="17"/>
          <w:color w:val="auto"/>
        </w:rPr>
        <w:t>As required under the Dodd-Frank Wall Street Reform and Consumer Protection Act and Section 14A of the Exchange Act, we are asking you to approve, on an advisory (non-binding) basis, the following resolution at our 2016 Annual Meeting of Shareholders:</w:t>
      </w:r>
    </w:p>
    <w:p>
      <w:pPr>
        <w:spacing w:after="0" w:line="153" w:lineRule="exact"/>
        <w:rPr>
          <w:sz w:val="20"/>
          <w:szCs w:val="20"/>
          <w:color w:val="auto"/>
        </w:rPr>
      </w:pPr>
    </w:p>
    <w:p>
      <w:pPr>
        <w:jc w:val="both"/>
        <w:ind w:left="460"/>
        <w:spacing w:after="0" w:line="248" w:lineRule="auto"/>
        <w:rPr>
          <w:sz w:val="20"/>
          <w:szCs w:val="20"/>
          <w:color w:val="auto"/>
        </w:rPr>
      </w:pPr>
      <w:r>
        <w:rPr>
          <w:rFonts w:ascii="Arial" w:cs="Arial" w:eastAsia="Arial" w:hAnsi="Arial"/>
          <w:sz w:val="17"/>
          <w:szCs w:val="17"/>
          <w:i w:val="1"/>
          <w:iCs w:val="1"/>
          <w:color w:val="auto"/>
        </w:rPr>
        <w:t>RESOLVED, that the compensation of the named executive officers as disclosed pursuant to the compensation disclosure rules of the Securities and Exchange Commission, including the Compensation Discussion and Analysis, the compensation tables and any related material disclosed in this Proxy Statement, is hereby APPROVED.</w:t>
      </w:r>
    </w:p>
    <w:p>
      <w:pPr>
        <w:spacing w:after="0" w:line="155" w:lineRule="exact"/>
        <w:rPr>
          <w:sz w:val="20"/>
          <w:szCs w:val="20"/>
          <w:color w:val="auto"/>
        </w:rPr>
      </w:pPr>
    </w:p>
    <w:p>
      <w:pPr>
        <w:jc w:val="both"/>
        <w:ind w:right="20"/>
        <w:spacing w:after="0" w:line="238" w:lineRule="auto"/>
        <w:rPr>
          <w:sz w:val="20"/>
          <w:szCs w:val="20"/>
          <w:color w:val="auto"/>
        </w:rPr>
      </w:pPr>
      <w:r>
        <w:rPr>
          <w:rFonts w:ascii="Arial" w:cs="Arial" w:eastAsia="Arial" w:hAnsi="Arial"/>
          <w:sz w:val="17"/>
          <w:szCs w:val="17"/>
          <w:color w:val="auto"/>
        </w:rPr>
        <w:t>We encourage you to carefully review the Compensation Discussion and Analysis, the compensation tables and related disclosures beginning on page 23 of this Proxy Statement. The Board recommends that shareholders indicate their support for the compensation of the Company’s named executive officers as described in this Proxy Statement by voting “FOR” approval of this proposal at the Annual Meeting.</w:t>
      </w:r>
    </w:p>
    <w:p>
      <w:pPr>
        <w:spacing w:after="0" w:line="161" w:lineRule="exact"/>
        <w:rPr>
          <w:sz w:val="20"/>
          <w:szCs w:val="20"/>
          <w:color w:val="auto"/>
        </w:rPr>
      </w:pPr>
    </w:p>
    <w:p>
      <w:pPr>
        <w:ind w:right="40"/>
        <w:spacing w:after="0" w:line="235" w:lineRule="auto"/>
        <w:rPr>
          <w:sz w:val="20"/>
          <w:szCs w:val="20"/>
          <w:color w:val="auto"/>
        </w:rPr>
      </w:pPr>
      <w:r>
        <w:rPr>
          <w:rFonts w:ascii="Arial" w:cs="Arial" w:eastAsia="Arial" w:hAnsi="Arial"/>
          <w:sz w:val="17"/>
          <w:szCs w:val="17"/>
          <w:color w:val="auto"/>
        </w:rPr>
        <w:t>As an advisory vote, this resolution is not binding. However, the Compensation Committee, which is responsible for designing and administering our executive compensation program, values the opinions expressed by our shareholders in their vote on this proposal. The Compensation Committee will consider the affirmative vote of a majority of the votes cast on this proposal as approval of the compensation paid to the Company’s executive officers. If there are a significant number of negative votes, the Compensation Committee will seek to understand and consider the concerns that influenced such votes in making future decisions about executive compensation programs.</w:t>
      </w:r>
    </w:p>
    <w:p>
      <w:pPr>
        <w:spacing w:after="0" w:line="157"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Shares represented by proxy will be voted FOR this proposal unless you specify otherwise in your voting instructions.</w:t>
      </w:r>
    </w:p>
    <w:p>
      <w:pPr>
        <w:spacing w:after="0" w:line="169" w:lineRule="exact"/>
        <w:rPr>
          <w:sz w:val="20"/>
          <w:szCs w:val="20"/>
          <w:color w:val="auto"/>
        </w:rPr>
      </w:pPr>
    </w:p>
    <w:p>
      <w:pPr>
        <w:ind w:left="2380"/>
        <w:spacing w:after="0"/>
        <w:rPr>
          <w:sz w:val="20"/>
          <w:szCs w:val="20"/>
          <w:color w:val="auto"/>
        </w:rPr>
      </w:pPr>
      <w:r>
        <w:rPr>
          <w:rFonts w:ascii="Arial" w:cs="Arial" w:eastAsia="Arial" w:hAnsi="Arial"/>
          <w:sz w:val="17"/>
          <w:szCs w:val="17"/>
          <w:b w:val="1"/>
          <w:bCs w:val="1"/>
          <w:color w:val="auto"/>
        </w:rPr>
        <w:t xml:space="preserve">THE BOARD OF DIRECTORS RECOMMENDS A VOTE </w:t>
      </w:r>
      <w:r>
        <w:rPr>
          <w:rFonts w:ascii="Arial" w:cs="Arial" w:eastAsia="Arial" w:hAnsi="Arial"/>
          <w:sz w:val="17"/>
          <w:szCs w:val="17"/>
          <w:b w:val="1"/>
          <w:bCs w:val="1"/>
          <w:u w:val="single" w:color="auto"/>
          <w:color w:val="auto"/>
        </w:rPr>
        <w:t>FOR</w:t>
      </w:r>
      <w:r>
        <w:rPr>
          <w:rFonts w:ascii="Arial" w:cs="Arial" w:eastAsia="Arial" w:hAnsi="Arial"/>
          <w:sz w:val="17"/>
          <w:szCs w:val="17"/>
          <w:b w:val="1"/>
          <w:bCs w:val="1"/>
          <w:color w:val="auto"/>
        </w:rPr>
        <w:t xml:space="preserve"> ADVISORY APPROVAL</w:t>
      </w:r>
    </w:p>
    <w:p>
      <w:pPr>
        <w:spacing w:after="0" w:line="14" w:lineRule="exact"/>
        <w:rPr>
          <w:sz w:val="20"/>
          <w:szCs w:val="20"/>
          <w:color w:val="auto"/>
        </w:rPr>
      </w:pPr>
    </w:p>
    <w:p>
      <w:pPr>
        <w:jc w:val="center"/>
        <w:ind w:right="-19"/>
        <w:spacing w:after="0"/>
        <w:rPr>
          <w:sz w:val="20"/>
          <w:szCs w:val="20"/>
          <w:color w:val="auto"/>
        </w:rPr>
      </w:pPr>
      <w:r>
        <w:rPr>
          <w:rFonts w:ascii="Arial" w:cs="Arial" w:eastAsia="Arial" w:hAnsi="Arial"/>
          <w:sz w:val="17"/>
          <w:szCs w:val="17"/>
          <w:b w:val="1"/>
          <w:bCs w:val="1"/>
          <w:color w:val="auto"/>
        </w:rPr>
        <w:t>OF THE COMPENSATION OF OUR NAMED EXECUTIVE OFFICERS.</w:t>
      </w:r>
    </w:p>
    <w:p>
      <w:pPr>
        <w:spacing w:after="0" w:line="153" w:lineRule="exact"/>
        <w:rPr>
          <w:sz w:val="20"/>
          <w:szCs w:val="20"/>
          <w:color w:val="auto"/>
        </w:rPr>
      </w:pPr>
    </w:p>
    <w:p>
      <w:pPr>
        <w:ind w:left="11180"/>
        <w:spacing w:after="0"/>
        <w:rPr>
          <w:sz w:val="20"/>
          <w:szCs w:val="20"/>
          <w:color w:val="auto"/>
        </w:rPr>
      </w:pPr>
      <w:r>
        <w:rPr>
          <w:rFonts w:ascii="Arial" w:cs="Arial" w:eastAsia="Arial" w:hAnsi="Arial"/>
          <w:sz w:val="14"/>
          <w:szCs w:val="14"/>
          <w:color w:val="auto"/>
        </w:rPr>
        <w:t>59</w:t>
      </w:r>
    </w:p>
    <w:p>
      <w:pPr>
        <w:sectPr>
          <w:pgSz w:w="11900" w:h="16838" w:orient="portrait"/>
          <w:cols w:equalWidth="0" w:num="1">
            <w:col w:w="11400"/>
          </w:cols>
          <w:pgMar w:left="240" w:top="459" w:right="259" w:bottom="1440" w:gutter="0" w:footer="0" w:header="0"/>
        </w:sectPr>
      </w:pPr>
    </w:p>
    <w:bookmarkStart w:id="65" w:name="page66"/>
    <w:bookmarkEnd w:id="6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85">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3109595</wp:posOffset>
            </wp:positionH>
            <wp:positionV relativeFrom="paragraph">
              <wp:posOffset>205740</wp:posOffset>
            </wp:positionV>
            <wp:extent cx="1046480" cy="205740"/>
            <wp:wrapNone/>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86">
                      <a:extLst>
                        <a:ext uri="{28A0092B-C50C-407E-A947-70E740481C1C}"/>
                      </a:extLst>
                    </a:blip>
                    <a:srcRect/>
                    <a:stretch>
                      <a:fillRect/>
                    </a:stretch>
                  </pic:blipFill>
                  <pic:spPr bwMode="auto">
                    <a:xfrm>
                      <a:off x="0" y="0"/>
                      <a:ext cx="1046480" cy="20574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71" w:lineRule="exact"/>
        <w:rPr>
          <w:sz w:val="20"/>
          <w:szCs w:val="20"/>
          <w:color w:val="auto"/>
        </w:rPr>
      </w:pPr>
    </w:p>
    <w:p>
      <w:pPr>
        <w:spacing w:after="0"/>
        <w:rPr>
          <w:sz w:val="20"/>
          <w:szCs w:val="20"/>
          <w:color w:val="auto"/>
        </w:rPr>
      </w:pPr>
      <w:r>
        <w:rPr>
          <w:rFonts w:ascii="Arial" w:cs="Arial" w:eastAsia="Arial" w:hAnsi="Arial"/>
          <w:sz w:val="18"/>
          <w:szCs w:val="18"/>
          <w:color w:val="auto"/>
        </w:rPr>
        <w:t>PROPOSAL 4</w:t>
      </w:r>
    </w:p>
    <w:p>
      <w:pPr>
        <w:ind w:right="4680"/>
        <w:spacing w:after="0" w:line="246" w:lineRule="auto"/>
        <w:rPr>
          <w:sz w:val="20"/>
          <w:szCs w:val="20"/>
          <w:color w:val="auto"/>
        </w:rPr>
      </w:pPr>
      <w:r>
        <w:rPr>
          <w:rFonts w:ascii="Arial" w:cs="Arial" w:eastAsia="Arial" w:hAnsi="Arial"/>
          <w:sz w:val="18"/>
          <w:szCs w:val="18"/>
          <w:color w:val="auto"/>
        </w:rPr>
        <w:t>APPROVAL OF THE TIMKENSTEEL CORPORATION AMENDED AND RESTATED 2014 EQUITY AND INCENTIVE COMPENSATION PLAN</w:t>
      </w:r>
    </w:p>
    <w:p>
      <w:pPr>
        <w:spacing w:after="0" w:line="145" w:lineRule="exact"/>
        <w:rPr>
          <w:sz w:val="20"/>
          <w:szCs w:val="20"/>
          <w:color w:val="auto"/>
        </w:rPr>
      </w:pPr>
    </w:p>
    <w:p>
      <w:pPr>
        <w:spacing w:after="0"/>
        <w:rPr>
          <w:sz w:val="20"/>
          <w:szCs w:val="20"/>
          <w:color w:val="auto"/>
        </w:rPr>
      </w:pPr>
      <w:r>
        <w:rPr>
          <w:rFonts w:ascii="Arial" w:cs="Arial" w:eastAsia="Arial" w:hAnsi="Arial"/>
          <w:sz w:val="17"/>
          <w:szCs w:val="17"/>
          <w:b w:val="1"/>
          <w:bCs w:val="1"/>
          <w:color w:val="666666"/>
        </w:rPr>
        <w:t>INTRODUCTION</w:t>
      </w:r>
    </w:p>
    <w:p>
      <w:pPr>
        <w:spacing w:after="0" w:line="14" w:lineRule="exact"/>
        <w:rPr>
          <w:sz w:val="20"/>
          <w:szCs w:val="20"/>
          <w:color w:val="auto"/>
        </w:rPr>
      </w:pPr>
    </w:p>
    <w:p>
      <w:pPr>
        <w:ind w:right="80"/>
        <w:spacing w:after="0" w:line="234" w:lineRule="auto"/>
        <w:rPr>
          <w:sz w:val="20"/>
          <w:szCs w:val="20"/>
          <w:color w:val="auto"/>
        </w:rPr>
      </w:pPr>
      <w:r>
        <w:rPr>
          <w:rFonts w:ascii="Arial" w:cs="Arial" w:eastAsia="Arial" w:hAnsi="Arial"/>
          <w:sz w:val="17"/>
          <w:szCs w:val="17"/>
          <w:color w:val="auto"/>
        </w:rPr>
        <w:t>On June 11, 2014, The Timken Company, as our sole shareholder at the time, approved the TimkenSteel Corporation 2014 Equity and Incentive Compensation Plan (the “2014 Equity Plan”) in anticipation of the spinoff of TimkenSteel as an independent, publicly traded company. Following the separation on June 30, 2014, our Board of Directors ratified and approved the 2014 Equity Plan. On May 6, 2015, shareholders approved the material terms for “qualified performance-based compensation” under the 2014 Equity Plan for purposes of Section 162(m) of the Internal Revenue Code. This shareholder approval of the 2014 Equity Plan did not increase the number of shares available for awards under the 2014 Equity Plan or make any other changes to the plan, but rather simply allowed the Company to design certain types of awards that may satisfy the requirements for “qualified performance-based compensation” under Section 162(m) of the Code and thus potentially benefit from certain tax deductions under Section 162(m).</w:t>
      </w:r>
    </w:p>
    <w:p>
      <w:pPr>
        <w:spacing w:after="0" w:line="165" w:lineRule="exact"/>
        <w:rPr>
          <w:sz w:val="20"/>
          <w:szCs w:val="20"/>
          <w:color w:val="auto"/>
        </w:rPr>
      </w:pPr>
    </w:p>
    <w:p>
      <w:pPr>
        <w:spacing w:after="0" w:line="234" w:lineRule="auto"/>
        <w:rPr>
          <w:sz w:val="20"/>
          <w:szCs w:val="20"/>
          <w:color w:val="auto"/>
        </w:rPr>
      </w:pPr>
      <w:r>
        <w:rPr>
          <w:rFonts w:ascii="Arial" w:cs="Arial" w:eastAsia="Arial" w:hAnsi="Arial"/>
          <w:sz w:val="17"/>
          <w:szCs w:val="17"/>
          <w:color w:val="auto"/>
        </w:rPr>
        <w:t>The Company is now seeking shareholder approval to amend and restate the 2014 Equity Plan primarily to increase the maximum number of common shares available for awards under the plan from 6,750,000 common shares to 11,050,000 common shares, an increase of 4,300,000 shares. Based on the number of shares reserved for awards under the 2014 Equity Plan at the time of the spinoff, we anticipated that we would seek shareholder approval for additional shares sometime in the 2016/2017 time frame. Given the market volatility we experienced in 2015 and early 2016, we are seeking this approval at the earlier end of our expected time frame. Shareholder approval of this Proposal 4 is also intended to again secure shareholder approval of the material terms for “qualified performance-based compensation” under the 2014 Equity Plan (as such plan is now proposed to be amended) for purposes of Section 162(m) of the Code.</w:t>
      </w:r>
    </w:p>
    <w:p>
      <w:pPr>
        <w:spacing w:after="0" w:line="165" w:lineRule="exact"/>
        <w:rPr>
          <w:sz w:val="20"/>
          <w:szCs w:val="20"/>
          <w:color w:val="auto"/>
        </w:rPr>
      </w:pPr>
    </w:p>
    <w:p>
      <w:pPr>
        <w:ind w:right="560"/>
        <w:spacing w:after="0" w:line="243" w:lineRule="auto"/>
        <w:rPr>
          <w:sz w:val="20"/>
          <w:szCs w:val="20"/>
          <w:color w:val="auto"/>
        </w:rPr>
      </w:pPr>
      <w:r>
        <w:rPr>
          <w:rFonts w:ascii="Arial" w:cs="Arial" w:eastAsia="Arial" w:hAnsi="Arial"/>
          <w:sz w:val="17"/>
          <w:szCs w:val="17"/>
          <w:color w:val="auto"/>
        </w:rPr>
        <w:t>While the primary purpose of amending the plan is to permit an increase in the shares available for awards under the plan, the Company is also proposing to amend the 2014 Equity Plan to:</w:t>
      </w:r>
    </w:p>
    <w:p>
      <w:pPr>
        <w:spacing w:after="0" w:line="198" w:lineRule="exact"/>
        <w:rPr>
          <w:sz w:val="20"/>
          <w:szCs w:val="20"/>
          <w:color w:val="auto"/>
        </w:rPr>
      </w:pPr>
    </w:p>
    <w:p>
      <w:pPr>
        <w:ind w:left="220" w:hanging="212"/>
        <w:spacing w:after="0"/>
        <w:tabs>
          <w:tab w:leader="none" w:pos="220" w:val="left"/>
        </w:tabs>
        <w:numPr>
          <w:ilvl w:val="0"/>
          <w:numId w:val="38"/>
        </w:numPr>
        <w:rPr>
          <w:rFonts w:ascii="Arial" w:cs="Arial" w:eastAsia="Arial" w:hAnsi="Arial"/>
          <w:sz w:val="17"/>
          <w:szCs w:val="17"/>
          <w:color w:val="auto"/>
        </w:rPr>
      </w:pPr>
      <w:r>
        <w:rPr>
          <w:rFonts w:ascii="Arial" w:cs="Arial" w:eastAsia="Arial" w:hAnsi="Arial"/>
          <w:sz w:val="17"/>
          <w:szCs w:val="17"/>
          <w:color w:val="auto"/>
        </w:rPr>
        <w:t>add a double trigger change-in-control vesting provision for all awards;</w:t>
      </w:r>
    </w:p>
    <w:p>
      <w:pPr>
        <w:spacing w:after="0" w:line="209" w:lineRule="exact"/>
        <w:rPr>
          <w:rFonts w:ascii="Arial" w:cs="Arial" w:eastAsia="Arial" w:hAnsi="Arial"/>
          <w:sz w:val="17"/>
          <w:szCs w:val="17"/>
          <w:color w:val="auto"/>
        </w:rPr>
      </w:pPr>
    </w:p>
    <w:p>
      <w:pPr>
        <w:ind w:left="220" w:right="800" w:hanging="212"/>
        <w:spacing w:after="0" w:line="243" w:lineRule="auto"/>
        <w:tabs>
          <w:tab w:leader="none" w:pos="220" w:val="left"/>
        </w:tabs>
        <w:numPr>
          <w:ilvl w:val="0"/>
          <w:numId w:val="38"/>
        </w:numPr>
        <w:rPr>
          <w:rFonts w:ascii="Arial" w:cs="Arial" w:eastAsia="Arial" w:hAnsi="Arial"/>
          <w:sz w:val="17"/>
          <w:szCs w:val="17"/>
          <w:color w:val="auto"/>
        </w:rPr>
      </w:pPr>
      <w:r>
        <w:rPr>
          <w:rFonts w:ascii="Arial" w:cs="Arial" w:eastAsia="Arial" w:hAnsi="Arial"/>
          <w:sz w:val="17"/>
          <w:szCs w:val="17"/>
          <w:color w:val="auto"/>
        </w:rPr>
        <w:t>add a minimum one-year vesting or performance period requirement for all awards issued under the plan (subject to a 5% “carve out” and discretionary accelerated vesting);</w:t>
      </w:r>
    </w:p>
    <w:p>
      <w:pPr>
        <w:spacing w:after="0" w:line="198" w:lineRule="exact"/>
        <w:rPr>
          <w:rFonts w:ascii="Arial" w:cs="Arial" w:eastAsia="Arial" w:hAnsi="Arial"/>
          <w:sz w:val="17"/>
          <w:szCs w:val="17"/>
          <w:color w:val="auto"/>
        </w:rPr>
      </w:pPr>
    </w:p>
    <w:p>
      <w:pPr>
        <w:ind w:left="220" w:right="40" w:hanging="212"/>
        <w:spacing w:after="0" w:line="243" w:lineRule="auto"/>
        <w:tabs>
          <w:tab w:leader="none" w:pos="220" w:val="left"/>
        </w:tabs>
        <w:numPr>
          <w:ilvl w:val="0"/>
          <w:numId w:val="38"/>
        </w:numPr>
        <w:rPr>
          <w:rFonts w:ascii="Arial" w:cs="Arial" w:eastAsia="Arial" w:hAnsi="Arial"/>
          <w:sz w:val="17"/>
          <w:szCs w:val="17"/>
          <w:color w:val="auto"/>
        </w:rPr>
      </w:pPr>
      <w:r>
        <w:rPr>
          <w:rFonts w:ascii="Arial" w:cs="Arial" w:eastAsia="Arial" w:hAnsi="Arial"/>
          <w:sz w:val="17"/>
          <w:szCs w:val="17"/>
          <w:color w:val="auto"/>
        </w:rPr>
        <w:t>change the annual limits on awards to individual participants, including by changing the annual limit on director awards under the plan from a share-based to a dollar-based limit;</w:t>
      </w:r>
    </w:p>
    <w:p>
      <w:pPr>
        <w:spacing w:after="0" w:line="198" w:lineRule="exact"/>
        <w:rPr>
          <w:rFonts w:ascii="Arial" w:cs="Arial" w:eastAsia="Arial" w:hAnsi="Arial"/>
          <w:sz w:val="17"/>
          <w:szCs w:val="17"/>
          <w:color w:val="auto"/>
        </w:rPr>
      </w:pPr>
    </w:p>
    <w:p>
      <w:pPr>
        <w:ind w:left="220" w:hanging="212"/>
        <w:spacing w:after="0"/>
        <w:tabs>
          <w:tab w:leader="none" w:pos="220" w:val="left"/>
        </w:tabs>
        <w:numPr>
          <w:ilvl w:val="0"/>
          <w:numId w:val="38"/>
        </w:numPr>
        <w:rPr>
          <w:rFonts w:ascii="Arial" w:cs="Arial" w:eastAsia="Arial" w:hAnsi="Arial"/>
          <w:sz w:val="17"/>
          <w:szCs w:val="17"/>
          <w:color w:val="auto"/>
        </w:rPr>
      </w:pPr>
      <w:r>
        <w:rPr>
          <w:rFonts w:ascii="Arial" w:cs="Arial" w:eastAsia="Arial" w:hAnsi="Arial"/>
          <w:sz w:val="17"/>
          <w:szCs w:val="17"/>
          <w:color w:val="auto"/>
        </w:rPr>
        <w:t>add earnings before interest, taxes, depreciation and amortization as a permissible Section 162(m) performance metric;</w:t>
      </w:r>
    </w:p>
    <w:p>
      <w:pPr>
        <w:spacing w:after="0" w:line="209" w:lineRule="exact"/>
        <w:rPr>
          <w:rFonts w:ascii="Arial" w:cs="Arial" w:eastAsia="Arial" w:hAnsi="Arial"/>
          <w:sz w:val="17"/>
          <w:szCs w:val="17"/>
          <w:color w:val="auto"/>
        </w:rPr>
      </w:pPr>
    </w:p>
    <w:p>
      <w:pPr>
        <w:ind w:left="220" w:hanging="212"/>
        <w:spacing w:after="0"/>
        <w:tabs>
          <w:tab w:leader="none" w:pos="220" w:val="left"/>
        </w:tabs>
        <w:numPr>
          <w:ilvl w:val="0"/>
          <w:numId w:val="38"/>
        </w:numPr>
        <w:rPr>
          <w:rFonts w:ascii="Arial" w:cs="Arial" w:eastAsia="Arial" w:hAnsi="Arial"/>
          <w:sz w:val="17"/>
          <w:szCs w:val="17"/>
          <w:color w:val="auto"/>
        </w:rPr>
      </w:pPr>
      <w:r>
        <w:rPr>
          <w:rFonts w:ascii="Arial" w:cs="Arial" w:eastAsia="Arial" w:hAnsi="Arial"/>
          <w:sz w:val="17"/>
          <w:szCs w:val="17"/>
          <w:color w:val="auto"/>
        </w:rPr>
        <w:t>change the fungible share adjustment factor for new awards from 2.46 shares to 2.50 shares;</w:t>
      </w:r>
    </w:p>
    <w:p>
      <w:pPr>
        <w:spacing w:after="0" w:line="209" w:lineRule="exact"/>
        <w:rPr>
          <w:rFonts w:ascii="Arial" w:cs="Arial" w:eastAsia="Arial" w:hAnsi="Arial"/>
          <w:sz w:val="17"/>
          <w:szCs w:val="17"/>
          <w:color w:val="auto"/>
        </w:rPr>
      </w:pPr>
    </w:p>
    <w:p>
      <w:pPr>
        <w:ind w:left="220" w:hanging="212"/>
        <w:spacing w:after="0"/>
        <w:tabs>
          <w:tab w:leader="none" w:pos="220" w:val="left"/>
        </w:tabs>
        <w:numPr>
          <w:ilvl w:val="0"/>
          <w:numId w:val="38"/>
        </w:numPr>
        <w:rPr>
          <w:rFonts w:ascii="Arial" w:cs="Arial" w:eastAsia="Arial" w:hAnsi="Arial"/>
          <w:sz w:val="17"/>
          <w:szCs w:val="17"/>
          <w:color w:val="auto"/>
        </w:rPr>
      </w:pPr>
      <w:r>
        <w:rPr>
          <w:rFonts w:ascii="Arial" w:cs="Arial" w:eastAsia="Arial" w:hAnsi="Arial"/>
          <w:sz w:val="17"/>
          <w:szCs w:val="17"/>
          <w:color w:val="auto"/>
        </w:rPr>
        <w:t>remove certain outdated language concerning spinoff-related awards to Timken participants; and</w:t>
      </w:r>
    </w:p>
    <w:p>
      <w:pPr>
        <w:spacing w:after="0" w:line="209" w:lineRule="exact"/>
        <w:rPr>
          <w:rFonts w:ascii="Arial" w:cs="Arial" w:eastAsia="Arial" w:hAnsi="Arial"/>
          <w:sz w:val="17"/>
          <w:szCs w:val="17"/>
          <w:color w:val="auto"/>
        </w:rPr>
      </w:pPr>
    </w:p>
    <w:p>
      <w:pPr>
        <w:ind w:left="220" w:hanging="212"/>
        <w:spacing w:after="0"/>
        <w:tabs>
          <w:tab w:leader="none" w:pos="220" w:val="left"/>
        </w:tabs>
        <w:numPr>
          <w:ilvl w:val="0"/>
          <w:numId w:val="38"/>
        </w:numPr>
        <w:rPr>
          <w:rFonts w:ascii="Arial" w:cs="Arial" w:eastAsia="Arial" w:hAnsi="Arial"/>
          <w:sz w:val="17"/>
          <w:szCs w:val="17"/>
          <w:color w:val="auto"/>
        </w:rPr>
      </w:pPr>
      <w:r>
        <w:rPr>
          <w:rFonts w:ascii="Arial" w:cs="Arial" w:eastAsia="Arial" w:hAnsi="Arial"/>
          <w:sz w:val="17"/>
          <w:szCs w:val="17"/>
          <w:color w:val="auto"/>
        </w:rPr>
        <w:t>make certain other immaterial or clarification changes to the plan.</w:t>
      </w:r>
    </w:p>
    <w:p>
      <w:pPr>
        <w:spacing w:after="0" w:line="183" w:lineRule="exact"/>
        <w:rPr>
          <w:sz w:val="20"/>
          <w:szCs w:val="20"/>
          <w:color w:val="auto"/>
        </w:rPr>
      </w:pPr>
    </w:p>
    <w:p>
      <w:pPr>
        <w:spacing w:after="0"/>
        <w:rPr>
          <w:sz w:val="20"/>
          <w:szCs w:val="20"/>
          <w:color w:val="auto"/>
        </w:rPr>
      </w:pPr>
      <w:r>
        <w:rPr>
          <w:rFonts w:ascii="Arial" w:cs="Arial" w:eastAsia="Arial" w:hAnsi="Arial"/>
          <w:sz w:val="17"/>
          <w:szCs w:val="17"/>
          <w:color w:val="auto"/>
        </w:rPr>
        <w:t>The 2014 Equity Plan, as such plan is now proposed to be amended, is referred to herein as the “Amended &amp; Restated 2014 Equity Plan” or “plan.”</w:t>
      </w:r>
    </w:p>
    <w:p>
      <w:pPr>
        <w:spacing w:after="0" w:line="153" w:lineRule="exact"/>
        <w:rPr>
          <w:sz w:val="20"/>
          <w:szCs w:val="20"/>
          <w:color w:val="auto"/>
        </w:rPr>
      </w:pPr>
    </w:p>
    <w:p>
      <w:pPr>
        <w:spacing w:after="0"/>
        <w:rPr>
          <w:sz w:val="20"/>
          <w:szCs w:val="20"/>
          <w:color w:val="auto"/>
        </w:rPr>
      </w:pPr>
      <w:r>
        <w:rPr>
          <w:rFonts w:ascii="Arial" w:cs="Arial" w:eastAsia="Arial" w:hAnsi="Arial"/>
          <w:sz w:val="14"/>
          <w:szCs w:val="14"/>
          <w:color w:val="auto"/>
        </w:rPr>
        <w:t>60</w:t>
      </w:r>
    </w:p>
    <w:p>
      <w:pPr>
        <w:sectPr>
          <w:pgSz w:w="11900" w:h="16838" w:orient="portrait"/>
          <w:cols w:equalWidth="0" w:num="1">
            <w:col w:w="11400"/>
          </w:cols>
          <w:pgMar w:left="240" w:top="459" w:right="259" w:bottom="1440" w:gutter="0" w:footer="0" w:header="0"/>
        </w:sectPr>
      </w:pPr>
    </w:p>
    <w:bookmarkStart w:id="66" w:name="page67"/>
    <w:bookmarkEnd w:id="6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87">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2715260</wp:posOffset>
            </wp:positionH>
            <wp:positionV relativeFrom="paragraph">
              <wp:posOffset>205740</wp:posOffset>
            </wp:positionV>
            <wp:extent cx="1826895" cy="205740"/>
            <wp:wrapNone/>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88">
                      <a:extLst>
                        <a:ext uri="{28A0092B-C50C-407E-A947-70E740481C1C}"/>
                      </a:extLst>
                    </a:blip>
                    <a:srcRect/>
                    <a:stretch>
                      <a:fillRect/>
                    </a:stretch>
                  </pic:blipFill>
                  <pic:spPr bwMode="auto">
                    <a:xfrm>
                      <a:off x="0" y="0"/>
                      <a:ext cx="1826895" cy="20574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70" w:lineRule="exact"/>
        <w:rPr>
          <w:sz w:val="20"/>
          <w:szCs w:val="20"/>
          <w:color w:val="auto"/>
        </w:rPr>
      </w:pPr>
    </w:p>
    <w:p>
      <w:pPr>
        <w:ind w:right="20"/>
        <w:spacing w:after="0" w:line="235" w:lineRule="auto"/>
        <w:rPr>
          <w:sz w:val="20"/>
          <w:szCs w:val="20"/>
          <w:color w:val="auto"/>
        </w:rPr>
      </w:pPr>
      <w:r>
        <w:rPr>
          <w:rFonts w:ascii="Arial" w:cs="Arial" w:eastAsia="Arial" w:hAnsi="Arial"/>
          <w:sz w:val="17"/>
          <w:szCs w:val="17"/>
          <w:color w:val="auto"/>
        </w:rPr>
        <w:t>The Board of Directors believes this plan will allow the Company to continue to provide competitive long-term incentive compensation to directors, officers and other employees, thereby aligning more closely the interests of the Company’s management and employees with its shareholders. For this purpose, subject to the approval of the shareholders, on February 18, 2016, the Board of Directors approved the Amended &amp; Restated 2014 Equity Plan. If approved, the Amended &amp; Restated 2014 Equity Plan will become effective as of the date of the Annual Meeting. Outstanding awards under the 2014 Equity Plan will continue in effect in accordance with their terms. If our shareholders do not approve this Proposal 4, the 2014 Equity Plan will continue in its current form; however, our ability to make certain performance awards to certain recipients may be limited.</w:t>
      </w:r>
    </w:p>
    <w:p>
      <w:pPr>
        <w:spacing w:after="0" w:line="155" w:lineRule="exact"/>
        <w:rPr>
          <w:sz w:val="20"/>
          <w:szCs w:val="20"/>
          <w:color w:val="auto"/>
        </w:rPr>
      </w:pPr>
    </w:p>
    <w:p>
      <w:pPr>
        <w:spacing w:after="0"/>
        <w:rPr>
          <w:sz w:val="20"/>
          <w:szCs w:val="20"/>
          <w:color w:val="auto"/>
        </w:rPr>
      </w:pPr>
      <w:r>
        <w:rPr>
          <w:rFonts w:ascii="Arial" w:cs="Arial" w:eastAsia="Arial" w:hAnsi="Arial"/>
          <w:sz w:val="17"/>
          <w:szCs w:val="17"/>
          <w:b w:val="1"/>
          <w:bCs w:val="1"/>
          <w:color w:val="666666"/>
        </w:rPr>
        <w:t>WHY WE BELIEVE YOU SHOULD VOTE FOR PROPOSAL 4.</w:t>
      </w:r>
    </w:p>
    <w:p>
      <w:pPr>
        <w:spacing w:after="0" w:line="14" w:lineRule="exact"/>
        <w:rPr>
          <w:sz w:val="20"/>
          <w:szCs w:val="20"/>
          <w:color w:val="auto"/>
        </w:rPr>
      </w:pPr>
    </w:p>
    <w:p>
      <w:pPr>
        <w:ind w:right="60"/>
        <w:spacing w:after="0" w:line="234" w:lineRule="auto"/>
        <w:rPr>
          <w:sz w:val="20"/>
          <w:szCs w:val="20"/>
          <w:color w:val="auto"/>
        </w:rPr>
      </w:pPr>
      <w:r>
        <w:rPr>
          <w:rFonts w:ascii="Arial" w:cs="Arial" w:eastAsia="Arial" w:hAnsi="Arial"/>
          <w:sz w:val="17"/>
          <w:szCs w:val="17"/>
          <w:color w:val="auto"/>
        </w:rPr>
        <w:t>The Amended &amp; Restated 2014 Equity Plan authorizes our Compensation Committee to provide equity-based compensation in the form of option rights, appreciation rights, restricted shares, restricted stock units, deferred shares, performance shares, performance units, common shares, dividend equivalents and certain other awards for the purpose of providing our non-employee directors, officers and other key executives and employees (and those of our subsidiaries), and certain non-employees who perform employee functions, incentives and rewards for performance. The use of common shares as part of our compensation program is important because it fosters a pay-for-performance culture that is a crucial element of our overall compensation philosophy. We believe equity compensation provides additional motivation for directors and employees to create shareholder value because the value such individuals realize from their equity compensation is based on our stock price performance. Equity compensation also aligns the compensation interests of our directors and employees with the investment interests of our shareholders and promotes a focus on long-term value creation, because our equity compensation awards are subject to vesting and/or performance criteria.</w:t>
      </w:r>
    </w:p>
    <w:p>
      <w:pPr>
        <w:spacing w:after="0" w:line="162" w:lineRule="exact"/>
        <w:rPr>
          <w:sz w:val="20"/>
          <w:szCs w:val="20"/>
          <w:color w:val="auto"/>
        </w:rPr>
      </w:pPr>
    </w:p>
    <w:p>
      <w:pPr>
        <w:ind w:right="160"/>
        <w:spacing w:after="0" w:line="243" w:lineRule="auto"/>
        <w:rPr>
          <w:sz w:val="20"/>
          <w:szCs w:val="20"/>
          <w:color w:val="auto"/>
        </w:rPr>
      </w:pPr>
      <w:r>
        <w:rPr>
          <w:rFonts w:ascii="Arial" w:cs="Arial" w:eastAsia="Arial" w:hAnsi="Arial"/>
          <w:sz w:val="17"/>
          <w:szCs w:val="17"/>
          <w:color w:val="auto"/>
        </w:rPr>
        <w:t>The Amended &amp; Restated 2014 Equity Plan includes the following features designed to support the effective use and management of the Company’s equity incentive compensation program:</w:t>
      </w:r>
    </w:p>
    <w:p>
      <w:pPr>
        <w:sectPr>
          <w:pgSz w:w="11900" w:h="16838" w:orient="portrait"/>
          <w:cols w:equalWidth="0" w:num="1">
            <w:col w:w="11400"/>
          </w:cols>
          <w:pgMar w:left="240" w:top="459" w:right="259" w:bottom="1440" w:gutter="0" w:footer="0" w:header="0"/>
        </w:sectPr>
      </w:pPr>
    </w:p>
    <w:p>
      <w:pPr>
        <w:spacing w:after="0" w:line="212" w:lineRule="exact"/>
        <w:rPr>
          <w:sz w:val="20"/>
          <w:szCs w:val="20"/>
          <w:color w:val="auto"/>
        </w:rPr>
      </w:pPr>
    </w:p>
    <w:p>
      <w:pPr>
        <w:ind w:left="220" w:hanging="212"/>
        <w:spacing w:after="0"/>
        <w:tabs>
          <w:tab w:leader="none" w:pos="220" w:val="left"/>
        </w:tabs>
        <w:numPr>
          <w:ilvl w:val="0"/>
          <w:numId w:val="39"/>
        </w:numPr>
        <w:rPr>
          <w:rFonts w:ascii="Arial" w:cs="Arial" w:eastAsia="Arial" w:hAnsi="Arial"/>
          <w:sz w:val="17"/>
          <w:szCs w:val="17"/>
          <w:color w:val="auto"/>
        </w:rPr>
      </w:pPr>
      <w:r>
        <w:rPr>
          <w:rFonts w:ascii="Arial" w:cs="Arial" w:eastAsia="Arial" w:hAnsi="Arial"/>
          <w:sz w:val="17"/>
          <w:szCs w:val="17"/>
          <w:color w:val="auto"/>
        </w:rPr>
        <w:t>Administered by a committee of independent directors</w:t>
      </w:r>
    </w:p>
    <w:p>
      <w:pPr>
        <w:spacing w:after="0" w:line="7" w:lineRule="exact"/>
        <w:rPr>
          <w:rFonts w:ascii="Arial" w:cs="Arial" w:eastAsia="Arial" w:hAnsi="Arial"/>
          <w:sz w:val="17"/>
          <w:szCs w:val="17"/>
          <w:color w:val="auto"/>
        </w:rPr>
      </w:pPr>
    </w:p>
    <w:p>
      <w:pPr>
        <w:ind w:left="240" w:hanging="232"/>
        <w:spacing w:after="0"/>
        <w:tabs>
          <w:tab w:leader="none" w:pos="240" w:val="left"/>
        </w:tabs>
        <w:numPr>
          <w:ilvl w:val="0"/>
          <w:numId w:val="39"/>
        </w:numPr>
        <w:rPr>
          <w:rFonts w:ascii="Arial" w:cs="Arial" w:eastAsia="Arial" w:hAnsi="Arial"/>
          <w:sz w:val="17"/>
          <w:szCs w:val="17"/>
          <w:color w:val="auto"/>
        </w:rPr>
      </w:pPr>
      <w:r>
        <w:rPr>
          <w:rFonts w:ascii="Arial" w:cs="Arial" w:eastAsia="Arial" w:hAnsi="Arial"/>
          <w:sz w:val="17"/>
          <w:szCs w:val="17"/>
          <w:color w:val="auto"/>
        </w:rPr>
        <w:t>Fungible share counting mechanics</w:t>
      </w:r>
    </w:p>
    <w:p>
      <w:pPr>
        <w:spacing w:after="0" w:line="7" w:lineRule="exact"/>
        <w:rPr>
          <w:rFonts w:ascii="Arial" w:cs="Arial" w:eastAsia="Arial" w:hAnsi="Arial"/>
          <w:sz w:val="17"/>
          <w:szCs w:val="17"/>
          <w:color w:val="auto"/>
        </w:rPr>
      </w:pPr>
    </w:p>
    <w:p>
      <w:pPr>
        <w:ind w:left="280" w:hanging="272"/>
        <w:spacing w:after="0"/>
        <w:tabs>
          <w:tab w:leader="none" w:pos="280" w:val="left"/>
        </w:tabs>
        <w:numPr>
          <w:ilvl w:val="0"/>
          <w:numId w:val="39"/>
        </w:numPr>
        <w:rPr>
          <w:rFonts w:ascii="Arial" w:cs="Arial" w:eastAsia="Arial" w:hAnsi="Arial"/>
          <w:sz w:val="17"/>
          <w:szCs w:val="17"/>
          <w:color w:val="auto"/>
        </w:rPr>
      </w:pPr>
      <w:r>
        <w:rPr>
          <w:rFonts w:ascii="Arial" w:cs="Arial" w:eastAsia="Arial" w:hAnsi="Arial"/>
          <w:sz w:val="17"/>
          <w:szCs w:val="17"/>
          <w:color w:val="auto"/>
        </w:rPr>
        <w:t>“Double-trigger” vesting requirements on a change-in-control</w:t>
      </w:r>
    </w:p>
    <w:p>
      <w:pPr>
        <w:spacing w:after="0" w:line="7" w:lineRule="exact"/>
        <w:rPr>
          <w:rFonts w:ascii="Arial" w:cs="Arial" w:eastAsia="Arial" w:hAnsi="Arial"/>
          <w:sz w:val="17"/>
          <w:szCs w:val="17"/>
          <w:color w:val="auto"/>
        </w:rPr>
      </w:pPr>
    </w:p>
    <w:p>
      <w:pPr>
        <w:ind w:left="240" w:hanging="232"/>
        <w:spacing w:after="0"/>
        <w:tabs>
          <w:tab w:leader="none" w:pos="240" w:val="left"/>
        </w:tabs>
        <w:numPr>
          <w:ilvl w:val="0"/>
          <w:numId w:val="39"/>
        </w:numPr>
        <w:rPr>
          <w:rFonts w:ascii="Arial" w:cs="Arial" w:eastAsia="Arial" w:hAnsi="Arial"/>
          <w:sz w:val="17"/>
          <w:szCs w:val="17"/>
          <w:color w:val="auto"/>
        </w:rPr>
      </w:pPr>
      <w:r>
        <w:rPr>
          <w:rFonts w:ascii="Arial" w:cs="Arial" w:eastAsia="Arial" w:hAnsi="Arial"/>
          <w:sz w:val="17"/>
          <w:szCs w:val="17"/>
          <w:color w:val="auto"/>
        </w:rPr>
        <w:t>Right to “clawback” awards</w:t>
      </w:r>
    </w:p>
    <w:p>
      <w:pPr>
        <w:spacing w:after="0" w:line="7" w:lineRule="exact"/>
        <w:rPr>
          <w:rFonts w:ascii="Arial" w:cs="Arial" w:eastAsia="Arial" w:hAnsi="Arial"/>
          <w:sz w:val="17"/>
          <w:szCs w:val="17"/>
          <w:color w:val="auto"/>
        </w:rPr>
      </w:pPr>
    </w:p>
    <w:p>
      <w:pPr>
        <w:ind w:left="240" w:hanging="232"/>
        <w:spacing w:after="0"/>
        <w:tabs>
          <w:tab w:leader="none" w:pos="240" w:val="left"/>
        </w:tabs>
        <w:numPr>
          <w:ilvl w:val="0"/>
          <w:numId w:val="39"/>
        </w:numPr>
        <w:rPr>
          <w:rFonts w:ascii="Arial" w:cs="Arial" w:eastAsia="Arial" w:hAnsi="Arial"/>
          <w:sz w:val="17"/>
          <w:szCs w:val="17"/>
          <w:color w:val="auto"/>
        </w:rPr>
      </w:pPr>
      <w:r>
        <w:rPr>
          <w:rFonts w:ascii="Arial" w:cs="Arial" w:eastAsia="Arial" w:hAnsi="Arial"/>
          <w:sz w:val="17"/>
          <w:szCs w:val="17"/>
          <w:color w:val="auto"/>
        </w:rPr>
        <w:t>Limitations on awards to non-employee directors</w:t>
      </w:r>
    </w:p>
    <w:p>
      <w:pPr>
        <w:spacing w:after="0" w:line="7" w:lineRule="exact"/>
        <w:rPr>
          <w:rFonts w:ascii="Arial" w:cs="Arial" w:eastAsia="Arial" w:hAnsi="Arial"/>
          <w:sz w:val="17"/>
          <w:szCs w:val="17"/>
          <w:color w:val="auto"/>
        </w:rPr>
      </w:pPr>
    </w:p>
    <w:p>
      <w:pPr>
        <w:ind w:left="220" w:hanging="212"/>
        <w:spacing w:after="0"/>
        <w:tabs>
          <w:tab w:leader="none" w:pos="220" w:val="left"/>
        </w:tabs>
        <w:numPr>
          <w:ilvl w:val="0"/>
          <w:numId w:val="39"/>
        </w:numPr>
        <w:rPr>
          <w:rFonts w:ascii="Arial" w:cs="Arial" w:eastAsia="Arial" w:hAnsi="Arial"/>
          <w:sz w:val="17"/>
          <w:szCs w:val="17"/>
          <w:color w:val="auto"/>
        </w:rPr>
      </w:pPr>
      <w:r>
        <w:rPr>
          <w:rFonts w:ascii="Arial" w:cs="Arial" w:eastAsia="Arial" w:hAnsi="Arial"/>
          <w:sz w:val="17"/>
          <w:szCs w:val="17"/>
          <w:color w:val="auto"/>
        </w:rPr>
        <w:t>Allows for broad-based grants of equity</w:t>
      </w:r>
    </w:p>
    <w:p>
      <w:pPr>
        <w:spacing w:after="0" w:line="7" w:lineRule="exact"/>
        <w:rPr>
          <w:rFonts w:ascii="Arial" w:cs="Arial" w:eastAsia="Arial" w:hAnsi="Arial"/>
          <w:sz w:val="17"/>
          <w:szCs w:val="17"/>
          <w:color w:val="auto"/>
        </w:rPr>
      </w:pPr>
    </w:p>
    <w:p>
      <w:pPr>
        <w:ind w:left="260" w:right="224" w:hanging="252"/>
        <w:spacing w:after="0" w:line="260" w:lineRule="auto"/>
        <w:tabs>
          <w:tab w:leader="none" w:pos="231" w:val="left"/>
        </w:tabs>
        <w:numPr>
          <w:ilvl w:val="0"/>
          <w:numId w:val="39"/>
        </w:numPr>
        <w:rPr>
          <w:rFonts w:ascii="Arial" w:cs="Arial" w:eastAsia="Arial" w:hAnsi="Arial"/>
          <w:sz w:val="17"/>
          <w:szCs w:val="17"/>
          <w:color w:val="auto"/>
        </w:rPr>
      </w:pPr>
      <w:r>
        <w:rPr>
          <w:rFonts w:ascii="Arial" w:cs="Arial" w:eastAsia="Arial" w:hAnsi="Arial"/>
          <w:sz w:val="17"/>
          <w:szCs w:val="17"/>
          <w:color w:val="auto"/>
        </w:rPr>
        <w:t>Minimum one-year vesting/performance requirement for awards (subject to certain exceptions)</w:t>
      </w:r>
    </w:p>
    <w:p>
      <w:pPr>
        <w:spacing w:after="0" w:line="20" w:lineRule="exact"/>
        <w:rPr>
          <w:sz w:val="20"/>
          <w:szCs w:val="20"/>
          <w:color w:val="auto"/>
        </w:rPr>
      </w:pPr>
      <w:r>
        <w:rPr>
          <w:sz w:val="20"/>
          <w:szCs w:val="20"/>
          <w:color w:val="auto"/>
        </w:rPr>
        <w:br w:type="column"/>
      </w:r>
    </w:p>
    <w:p>
      <w:pPr>
        <w:spacing w:after="0" w:line="186" w:lineRule="exact"/>
        <w:rPr>
          <w:sz w:val="20"/>
          <w:szCs w:val="20"/>
          <w:color w:val="auto"/>
        </w:rPr>
      </w:pPr>
    </w:p>
    <w:p>
      <w:pPr>
        <w:ind w:left="336" w:hanging="336"/>
        <w:spacing w:after="0"/>
        <w:tabs>
          <w:tab w:leader="none" w:pos="336" w:val="left"/>
        </w:tabs>
        <w:numPr>
          <w:ilvl w:val="0"/>
          <w:numId w:val="40"/>
        </w:numPr>
        <w:rPr>
          <w:rFonts w:ascii="Arial" w:cs="Arial" w:eastAsia="Arial" w:hAnsi="Arial"/>
          <w:sz w:val="17"/>
          <w:szCs w:val="17"/>
          <w:b w:val="1"/>
          <w:bCs w:val="1"/>
          <w:color w:val="auto"/>
        </w:rPr>
      </w:pPr>
      <w:r>
        <w:rPr>
          <w:rFonts w:ascii="Arial" w:cs="Arial" w:eastAsia="Arial" w:hAnsi="Arial"/>
          <w:sz w:val="17"/>
          <w:szCs w:val="17"/>
          <w:color w:val="auto"/>
        </w:rPr>
        <w:t>Prohibition on repricing</w:t>
      </w:r>
    </w:p>
    <w:p>
      <w:pPr>
        <w:ind w:left="336" w:hanging="336"/>
        <w:spacing w:after="0" w:line="232" w:lineRule="auto"/>
        <w:tabs>
          <w:tab w:leader="none" w:pos="336" w:val="left"/>
        </w:tabs>
        <w:numPr>
          <w:ilvl w:val="0"/>
          <w:numId w:val="40"/>
        </w:numPr>
        <w:rPr>
          <w:rFonts w:ascii="Arial" w:cs="Arial" w:eastAsia="Arial" w:hAnsi="Arial"/>
          <w:sz w:val="17"/>
          <w:szCs w:val="17"/>
          <w:b w:val="1"/>
          <w:bCs w:val="1"/>
          <w:color w:val="auto"/>
        </w:rPr>
      </w:pPr>
      <w:r>
        <w:rPr>
          <w:rFonts w:ascii="Arial" w:cs="Arial" w:eastAsia="Arial" w:hAnsi="Arial"/>
          <w:sz w:val="17"/>
          <w:szCs w:val="17"/>
          <w:color w:val="auto"/>
        </w:rPr>
        <w:t>No liberal share counting provisions</w:t>
      </w:r>
    </w:p>
    <w:p>
      <w:pPr>
        <w:ind w:left="336" w:hanging="336"/>
        <w:spacing w:after="0" w:line="232" w:lineRule="auto"/>
        <w:tabs>
          <w:tab w:leader="none" w:pos="336" w:val="left"/>
        </w:tabs>
        <w:numPr>
          <w:ilvl w:val="0"/>
          <w:numId w:val="40"/>
        </w:numPr>
        <w:rPr>
          <w:rFonts w:ascii="Arial" w:cs="Arial" w:eastAsia="Arial" w:hAnsi="Arial"/>
          <w:sz w:val="17"/>
          <w:szCs w:val="17"/>
          <w:b w:val="1"/>
          <w:bCs w:val="1"/>
          <w:color w:val="auto"/>
        </w:rPr>
      </w:pPr>
      <w:r>
        <w:rPr>
          <w:rFonts w:ascii="Arial" w:cs="Arial" w:eastAsia="Arial" w:hAnsi="Arial"/>
          <w:sz w:val="17"/>
          <w:szCs w:val="17"/>
          <w:color w:val="auto"/>
        </w:rPr>
        <w:t>No reloads on awards</w:t>
      </w:r>
    </w:p>
    <w:p>
      <w:pPr>
        <w:ind w:left="336" w:hanging="336"/>
        <w:spacing w:after="0"/>
        <w:tabs>
          <w:tab w:leader="none" w:pos="336" w:val="left"/>
        </w:tabs>
        <w:numPr>
          <w:ilvl w:val="0"/>
          <w:numId w:val="40"/>
        </w:numPr>
        <w:rPr>
          <w:rFonts w:ascii="Arial" w:cs="Arial" w:eastAsia="Arial" w:hAnsi="Arial"/>
          <w:sz w:val="17"/>
          <w:szCs w:val="17"/>
          <w:b w:val="1"/>
          <w:bCs w:val="1"/>
          <w:color w:val="auto"/>
        </w:rPr>
      </w:pPr>
      <w:r>
        <w:rPr>
          <w:rFonts w:ascii="Arial" w:cs="Arial" w:eastAsia="Arial" w:hAnsi="Arial"/>
          <w:sz w:val="17"/>
          <w:szCs w:val="17"/>
          <w:color w:val="auto"/>
        </w:rPr>
        <w:t>No evergreen provisions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-3806825</wp:posOffset>
            </wp:positionH>
            <wp:positionV relativeFrom="paragraph">
              <wp:posOffset>548640</wp:posOffset>
            </wp:positionV>
            <wp:extent cx="7246620" cy="8890"/>
            <wp:wrapNone/>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89">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-3806825</wp:posOffset>
            </wp:positionH>
            <wp:positionV relativeFrom="paragraph">
              <wp:posOffset>-488315</wp:posOffset>
            </wp:positionV>
            <wp:extent cx="7246620" cy="8890"/>
            <wp:wrapNone/>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90">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1047" w:lineRule="exact"/>
        <w:rPr>
          <w:sz w:val="20"/>
          <w:szCs w:val="20"/>
          <w:color w:val="auto"/>
        </w:rPr>
      </w:pPr>
    </w:p>
    <w:p>
      <w:pPr>
        <w:sectPr>
          <w:pgSz w:w="11900" w:h="16838" w:orient="portrait"/>
          <w:cols w:equalWidth="0" w:num="2">
            <w:col w:w="5284" w:space="720"/>
            <w:col w:w="5396"/>
          </w:cols>
          <w:pgMar w:left="240" w:top="459" w:right="259" w:bottom="1440" w:gutter="0" w:footer="0" w:header="0"/>
          <w:type w:val="continuous"/>
        </w:sectPr>
      </w:pPr>
    </w:p>
    <w:p>
      <w:pPr>
        <w:ind w:right="220"/>
        <w:spacing w:after="0" w:line="243" w:lineRule="auto"/>
        <w:rPr>
          <w:sz w:val="20"/>
          <w:szCs w:val="20"/>
          <w:color w:val="auto"/>
        </w:rPr>
      </w:pPr>
      <w:r>
        <w:rPr>
          <w:rFonts w:ascii="Arial" w:cs="Arial" w:eastAsia="Arial" w:hAnsi="Arial"/>
          <w:sz w:val="17"/>
          <w:szCs w:val="17"/>
          <w:color w:val="auto"/>
        </w:rPr>
        <w:t>The Amended &amp; Restated 2014 Equity Plan is the only equity plan maintained by the Company. Outstanding awards under the 2014 Equity Plan will continue in effect in accordance with their terms.</w:t>
      </w:r>
    </w:p>
    <w:p>
      <w:pPr>
        <w:spacing w:after="0" w:line="171" w:lineRule="exact"/>
        <w:rPr>
          <w:sz w:val="20"/>
          <w:szCs w:val="20"/>
          <w:color w:val="auto"/>
        </w:rPr>
      </w:pPr>
    </w:p>
    <w:p>
      <w:pPr>
        <w:spacing w:after="0" w:line="235" w:lineRule="auto"/>
        <w:rPr>
          <w:sz w:val="20"/>
          <w:szCs w:val="20"/>
          <w:color w:val="auto"/>
        </w:rPr>
      </w:pPr>
      <w:r>
        <w:rPr>
          <w:rFonts w:ascii="Arial" w:cs="Arial" w:eastAsia="Arial" w:hAnsi="Arial"/>
          <w:sz w:val="17"/>
          <w:szCs w:val="17"/>
          <w:color w:val="auto"/>
        </w:rPr>
        <w:t>As of March 1, 2016 there were 2,926,687 common shares subject to outstanding awards, including 675,734 full-value awards (assuming that the outstanding awards achieve maximum performance) and 2,250,953 option rights. These option rights have an average exercise price of $22.66 and an average remaining term of 7 years. As of March 1, 2016, 2,062,327 shares remained available for future awards under the 2014 Equity Plan. If shareholders approve the Amended &amp; Restated 2014 Equity Plan, the number of common shares remaining available for awards would increase to 6,362,327 shares.</w:t>
      </w:r>
    </w:p>
    <w:p>
      <w:pPr>
        <w:spacing w:after="0" w:line="148" w:lineRule="exact"/>
        <w:rPr>
          <w:sz w:val="20"/>
          <w:szCs w:val="20"/>
          <w:color w:val="auto"/>
        </w:rPr>
      </w:pPr>
    </w:p>
    <w:p>
      <w:pPr>
        <w:ind w:left="11180"/>
        <w:spacing w:after="0"/>
        <w:rPr>
          <w:sz w:val="20"/>
          <w:szCs w:val="20"/>
          <w:color w:val="auto"/>
        </w:rPr>
      </w:pPr>
      <w:r>
        <w:rPr>
          <w:rFonts w:ascii="Arial" w:cs="Arial" w:eastAsia="Arial" w:hAnsi="Arial"/>
          <w:sz w:val="14"/>
          <w:szCs w:val="14"/>
          <w:color w:val="auto"/>
        </w:rPr>
        <w:t>61</w:t>
      </w:r>
    </w:p>
    <w:p>
      <w:pPr>
        <w:sectPr>
          <w:pgSz w:w="11900" w:h="16838" w:orient="portrait"/>
          <w:cols w:equalWidth="0" w:num="1">
            <w:col w:w="11400"/>
          </w:cols>
          <w:pgMar w:left="240" w:top="459" w:right="259" w:bottom="1440" w:gutter="0" w:footer="0" w:header="0"/>
          <w:type w:val="continuous"/>
        </w:sectPr>
      </w:pPr>
    </w:p>
    <w:bookmarkStart w:id="67" w:name="page68"/>
    <w:bookmarkEnd w:id="6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91">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3109595</wp:posOffset>
            </wp:positionH>
            <wp:positionV relativeFrom="paragraph">
              <wp:posOffset>205740</wp:posOffset>
            </wp:positionV>
            <wp:extent cx="1046480" cy="205740"/>
            <wp:wrapNone/>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92">
                      <a:extLst>
                        <a:ext uri="{28A0092B-C50C-407E-A947-70E740481C1C}"/>
                      </a:extLst>
                    </a:blip>
                    <a:srcRect/>
                    <a:stretch>
                      <a:fillRect/>
                    </a:stretch>
                  </pic:blipFill>
                  <pic:spPr bwMode="auto">
                    <a:xfrm>
                      <a:off x="0" y="0"/>
                      <a:ext cx="1046480" cy="20574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70" w:lineRule="exact"/>
        <w:rPr>
          <w:sz w:val="20"/>
          <w:szCs w:val="20"/>
          <w:color w:val="auto"/>
        </w:rPr>
      </w:pPr>
    </w:p>
    <w:p>
      <w:pPr>
        <w:jc w:val="both"/>
        <w:ind w:right="240"/>
        <w:spacing w:after="0" w:line="238" w:lineRule="auto"/>
        <w:rPr>
          <w:sz w:val="20"/>
          <w:szCs w:val="20"/>
          <w:color w:val="auto"/>
        </w:rPr>
      </w:pPr>
      <w:r>
        <w:rPr>
          <w:rFonts w:ascii="Arial" w:cs="Arial" w:eastAsia="Arial" w:hAnsi="Arial"/>
          <w:sz w:val="17"/>
          <w:szCs w:val="17"/>
          <w:color w:val="auto"/>
        </w:rPr>
        <w:t>For reference purposes, as of March 1, 2016, there were approximately 44,219,713 common shares outstanding, and the closing price on the New York Stock Exchange for the common shares was $7.78 per share. Based on such closing price, the aggregate market value as of March 1, 2016 of the 4,300,000 additional common shares requested for issuance under the Amended &amp; Restated 2014 Equity Plan was $33,454,000.</w:t>
      </w:r>
    </w:p>
    <w:p>
      <w:pPr>
        <w:spacing w:after="0" w:line="175" w:lineRule="exact"/>
        <w:rPr>
          <w:sz w:val="20"/>
          <w:szCs w:val="20"/>
          <w:color w:val="auto"/>
        </w:rPr>
      </w:pPr>
    </w:p>
    <w:p>
      <w:pPr>
        <w:jc w:val="both"/>
        <w:ind w:right="300"/>
        <w:spacing w:after="0" w:line="238" w:lineRule="auto"/>
        <w:rPr>
          <w:sz w:val="20"/>
          <w:szCs w:val="20"/>
          <w:color w:val="auto"/>
        </w:rPr>
      </w:pPr>
      <w:r>
        <w:rPr>
          <w:rFonts w:ascii="Arial" w:cs="Arial" w:eastAsia="Arial" w:hAnsi="Arial"/>
          <w:sz w:val="17"/>
          <w:szCs w:val="17"/>
          <w:color w:val="auto"/>
        </w:rPr>
        <w:t>In 2014 and 2015 we granted awards under the 2014 Equity Plan covering 2,177,206 common shares and 836,831 common shares (including the fungible share count adjustment for full value awards). Approximately 98% of the awards granted in 2014 were “replacement awards,” granted as a result of the bifurcation of awards outstanding under The Timken Company’s long-term incentive plan at the time of the spinoff.</w:t>
      </w:r>
    </w:p>
    <w:p>
      <w:pPr>
        <w:spacing w:after="0" w:line="161" w:lineRule="exact"/>
        <w:rPr>
          <w:sz w:val="20"/>
          <w:szCs w:val="20"/>
          <w:color w:val="auto"/>
        </w:rPr>
      </w:pPr>
    </w:p>
    <w:p>
      <w:pPr>
        <w:ind w:right="360"/>
        <w:spacing w:after="0" w:line="232" w:lineRule="auto"/>
        <w:rPr>
          <w:sz w:val="20"/>
          <w:szCs w:val="20"/>
          <w:color w:val="auto"/>
        </w:rPr>
      </w:pPr>
      <w:r>
        <w:rPr>
          <w:rFonts w:ascii="Arial" w:cs="Arial" w:eastAsia="Arial" w:hAnsi="Arial"/>
          <w:sz w:val="17"/>
          <w:szCs w:val="17"/>
          <w:color w:val="auto"/>
        </w:rPr>
        <w:t>We recognize that equity compensation awards dilute shareholder equity, so we have and will continue to carefully manage our equity incentive compensation. Our equity compensation practices are intended to be competitive and consistent with market practices, as well as responsible and mindful of shareholder interests, as described above. In determining the new share request for the Amended &amp; Restated 2014 Equity Plan, our management team worked with Meridian Compensation Partners and the Compensation Committee to evaluate a number of factors including our recent share usage and criteria expected to be utilized by institutional proxy advisory firms in evaluating our proposal for the Amended &amp; Restated</w:t>
      </w:r>
    </w:p>
    <w:p>
      <w:pPr>
        <w:spacing w:after="0" w:line="232" w:lineRule="auto"/>
        <w:rPr>
          <w:sz w:val="20"/>
          <w:szCs w:val="20"/>
          <w:color w:val="auto"/>
        </w:rPr>
      </w:pPr>
      <w:r>
        <w:rPr>
          <w:rFonts w:ascii="Arial" w:cs="Arial" w:eastAsia="Arial" w:hAnsi="Arial"/>
          <w:sz w:val="17"/>
          <w:szCs w:val="17"/>
          <w:color w:val="auto"/>
        </w:rPr>
        <w:t>2014 Equity Plan. We currently anticipate that the new shares requested in connection with the approval of the Amended &amp; Restated 2014 Equity Plan,</w:t>
      </w:r>
    </w:p>
    <w:p>
      <w:pPr>
        <w:spacing w:after="0" w:line="232" w:lineRule="auto"/>
        <w:rPr>
          <w:sz w:val="20"/>
          <w:szCs w:val="20"/>
          <w:color w:val="auto"/>
        </w:rPr>
      </w:pPr>
      <w:r>
        <w:rPr>
          <w:rFonts w:ascii="Arial" w:cs="Arial" w:eastAsia="Arial" w:hAnsi="Arial"/>
          <w:sz w:val="17"/>
          <w:szCs w:val="17"/>
          <w:color w:val="auto"/>
        </w:rPr>
        <w:t>when combined with the shares currently remaining available for awards under the plan, will last about three to four years, based on our historic grant</w:t>
      </w:r>
    </w:p>
    <w:p>
      <w:pPr>
        <w:spacing w:after="0" w:line="233" w:lineRule="auto"/>
        <w:rPr>
          <w:sz w:val="20"/>
          <w:szCs w:val="20"/>
          <w:color w:val="auto"/>
        </w:rPr>
      </w:pPr>
      <w:r>
        <w:rPr>
          <w:rFonts w:ascii="Arial" w:cs="Arial" w:eastAsia="Arial" w:hAnsi="Arial"/>
          <w:sz w:val="17"/>
          <w:szCs w:val="17"/>
          <w:color w:val="auto"/>
        </w:rPr>
        <w:t>rates and the approximate current stock price, but could last for a shorter period of time if actual practice does not match historic rates or our stock</w:t>
      </w:r>
    </w:p>
    <w:p>
      <w:pPr>
        <w:spacing w:after="0" w:line="232" w:lineRule="auto"/>
        <w:rPr>
          <w:sz w:val="20"/>
          <w:szCs w:val="20"/>
          <w:color w:val="auto"/>
        </w:rPr>
      </w:pPr>
      <w:r>
        <w:rPr>
          <w:rFonts w:ascii="Arial" w:cs="Arial" w:eastAsia="Arial" w:hAnsi="Arial"/>
          <w:sz w:val="17"/>
          <w:szCs w:val="17"/>
          <w:color w:val="auto"/>
        </w:rPr>
        <w:t>price changes materially. As noted below, our Compensation Committee would retain full discretion under the Amended &amp; Restated 2014 Equity Plan</w:t>
      </w:r>
    </w:p>
    <w:p>
      <w:pPr>
        <w:spacing w:after="0" w:line="232" w:lineRule="auto"/>
        <w:rPr>
          <w:sz w:val="20"/>
          <w:szCs w:val="20"/>
          <w:color w:val="auto"/>
        </w:rPr>
      </w:pPr>
      <w:r>
        <w:rPr>
          <w:rFonts w:ascii="Arial" w:cs="Arial" w:eastAsia="Arial" w:hAnsi="Arial"/>
          <w:sz w:val="17"/>
          <w:szCs w:val="17"/>
          <w:color w:val="auto"/>
        </w:rPr>
        <w:t>to determine the number and amount of awards to be granted under the Amended &amp; Restated 2014 Equity Plan, subject to the terms of the</w:t>
      </w:r>
    </w:p>
    <w:p>
      <w:pPr>
        <w:spacing w:after="0" w:line="232" w:lineRule="auto"/>
        <w:rPr>
          <w:sz w:val="20"/>
          <w:szCs w:val="20"/>
          <w:color w:val="auto"/>
        </w:rPr>
      </w:pPr>
      <w:r>
        <w:rPr>
          <w:rFonts w:ascii="Arial" w:cs="Arial" w:eastAsia="Arial" w:hAnsi="Arial"/>
          <w:sz w:val="17"/>
          <w:szCs w:val="17"/>
          <w:color w:val="auto"/>
        </w:rPr>
        <w:t>Amended &amp; Restated 2014 Equity Plan, and future benefits that may be received by participants under the Amended &amp; Restated 2014 Equity Plan are</w:t>
      </w:r>
    </w:p>
    <w:p>
      <w:pPr>
        <w:spacing w:after="0"/>
        <w:rPr>
          <w:sz w:val="20"/>
          <w:szCs w:val="20"/>
          <w:color w:val="auto"/>
        </w:rPr>
      </w:pPr>
      <w:r>
        <w:rPr>
          <w:rFonts w:ascii="Arial" w:cs="Arial" w:eastAsia="Arial" w:hAnsi="Arial"/>
          <w:sz w:val="17"/>
          <w:szCs w:val="17"/>
          <w:color w:val="auto"/>
        </w:rPr>
        <w:t>not determinable at this time.</w:t>
      </w:r>
    </w:p>
    <w:p>
      <w:pPr>
        <w:spacing w:after="0" w:line="169" w:lineRule="exact"/>
        <w:rPr>
          <w:sz w:val="20"/>
          <w:szCs w:val="20"/>
          <w:color w:val="auto"/>
        </w:rPr>
      </w:pPr>
    </w:p>
    <w:p>
      <w:pPr>
        <w:ind w:right="80"/>
        <w:spacing w:after="0" w:line="236" w:lineRule="auto"/>
        <w:rPr>
          <w:sz w:val="20"/>
          <w:szCs w:val="20"/>
          <w:color w:val="auto"/>
        </w:rPr>
      </w:pPr>
      <w:r>
        <w:rPr>
          <w:rFonts w:ascii="Arial" w:cs="Arial" w:eastAsia="Arial" w:hAnsi="Arial"/>
          <w:sz w:val="17"/>
          <w:szCs w:val="17"/>
          <w:color w:val="auto"/>
        </w:rPr>
        <w:t>Shareholder approval of the Amended &amp; Restated 2014 Equity Plan will allow the Company to continue to provide equity-based long-term incentive compensation to key employees and non-employee directors. We will continue to monitor our equity use (participants, opportunities, award types and mix) in order to manage our overall dilution and annual burn rate, such that we are delivering equity to those employees who have the greatest impact on long-term financial performance and stock price results.</w:t>
      </w:r>
    </w:p>
    <w:p>
      <w:pPr>
        <w:spacing w:after="0" w:line="157" w:lineRule="exact"/>
        <w:rPr>
          <w:sz w:val="20"/>
          <w:szCs w:val="20"/>
          <w:color w:val="auto"/>
        </w:rPr>
      </w:pPr>
    </w:p>
    <w:p>
      <w:pPr>
        <w:spacing w:after="0"/>
        <w:rPr>
          <w:sz w:val="20"/>
          <w:szCs w:val="20"/>
          <w:color w:val="auto"/>
        </w:rPr>
      </w:pPr>
      <w:r>
        <w:rPr>
          <w:rFonts w:ascii="Arial" w:cs="Arial" w:eastAsia="Arial" w:hAnsi="Arial"/>
          <w:sz w:val="17"/>
          <w:szCs w:val="17"/>
          <w:b w:val="1"/>
          <w:bCs w:val="1"/>
          <w:color w:val="666666"/>
        </w:rPr>
        <w:t>SUMMARY OF MATERIAL CHANGES FROM CURRENT PLAN</w:t>
      </w:r>
    </w:p>
    <w:p>
      <w:pPr>
        <w:spacing w:after="0" w:line="14" w:lineRule="exact"/>
        <w:rPr>
          <w:sz w:val="20"/>
          <w:szCs w:val="20"/>
          <w:color w:val="auto"/>
        </w:rPr>
      </w:pPr>
    </w:p>
    <w:p>
      <w:pPr>
        <w:ind w:right="140"/>
        <w:spacing w:after="0" w:line="235" w:lineRule="auto"/>
        <w:rPr>
          <w:sz w:val="20"/>
          <w:szCs w:val="20"/>
          <w:color w:val="auto"/>
        </w:rPr>
      </w:pPr>
      <w:r>
        <w:rPr>
          <w:rFonts w:ascii="Arial" w:cs="Arial" w:eastAsia="Arial" w:hAnsi="Arial"/>
          <w:sz w:val="17"/>
          <w:szCs w:val="17"/>
          <w:b w:val="1"/>
          <w:bCs w:val="1"/>
          <w:color w:val="auto"/>
        </w:rPr>
        <w:t>Increase in Shares Available for Awards</w:t>
      </w:r>
      <w:r>
        <w:rPr>
          <w:rFonts w:ascii="Arial" w:cs="Arial" w:eastAsia="Arial" w:hAnsi="Arial"/>
          <w:sz w:val="17"/>
          <w:szCs w:val="17"/>
          <w:color w:val="auto"/>
        </w:rPr>
        <w:t>: The Amended &amp; Restated 2014 Equity Plan increases the number of shares available for awards under</w:t>
      </w:r>
      <w:r>
        <w:rPr>
          <w:rFonts w:ascii="Arial" w:cs="Arial" w:eastAsia="Arial" w:hAnsi="Arial"/>
          <w:sz w:val="17"/>
          <w:szCs w:val="17"/>
          <w:b w:val="1"/>
          <w:bCs w:val="1"/>
          <w:color w:val="auto"/>
        </w:rPr>
        <w:t xml:space="preserve"> </w:t>
      </w:r>
      <w:r>
        <w:rPr>
          <w:rFonts w:ascii="Arial" w:cs="Arial" w:eastAsia="Arial" w:hAnsi="Arial"/>
          <w:sz w:val="17"/>
          <w:szCs w:val="17"/>
          <w:color w:val="auto"/>
        </w:rPr>
        <w:t>the plan by 4,300,000 common shares. As of March 1, 2016, the total number of shares available for future awards if shareholders approve the Amended &amp; Restated 2014 Equity Plan would be 6,362,327 shares. In addition, the annual limits on the number of shares that may be subject to certain awards during any calendar year to an individual participant have been increased, as further described below under the heading “Summary of Material Terms of the Amended &amp; Restated 2014 Equity Plan.”</w:t>
      </w:r>
    </w:p>
    <w:p>
      <w:pPr>
        <w:spacing w:after="0" w:line="144" w:lineRule="exact"/>
        <w:rPr>
          <w:sz w:val="20"/>
          <w:szCs w:val="20"/>
          <w:color w:val="auto"/>
        </w:rPr>
      </w:pPr>
    </w:p>
    <w:p>
      <w:pPr>
        <w:ind w:right="100"/>
        <w:spacing w:after="0" w:line="239" w:lineRule="auto"/>
        <w:rPr>
          <w:sz w:val="20"/>
          <w:szCs w:val="20"/>
          <w:color w:val="auto"/>
        </w:rPr>
      </w:pPr>
      <w:r>
        <w:rPr>
          <w:rFonts w:ascii="Arial" w:cs="Arial" w:eastAsia="Arial" w:hAnsi="Arial"/>
          <w:sz w:val="17"/>
          <w:szCs w:val="17"/>
          <w:b w:val="1"/>
          <w:bCs w:val="1"/>
          <w:color w:val="auto"/>
        </w:rPr>
        <w:t>Double-Trigger Vesting Requirement</w:t>
      </w:r>
      <w:r>
        <w:rPr>
          <w:rFonts w:ascii="Arial" w:cs="Arial" w:eastAsia="Arial" w:hAnsi="Arial"/>
          <w:sz w:val="17"/>
          <w:szCs w:val="17"/>
          <w:color w:val="auto"/>
        </w:rPr>
        <w:t>: The Amended &amp; Restated 2014 Equity Plan adds a double-trigger vesting requirement for equity awards to</w:t>
      </w:r>
      <w:r>
        <w:rPr>
          <w:rFonts w:ascii="Arial" w:cs="Arial" w:eastAsia="Arial" w:hAnsi="Arial"/>
          <w:sz w:val="17"/>
          <w:szCs w:val="17"/>
          <w:b w:val="1"/>
          <w:bCs w:val="1"/>
          <w:color w:val="auto"/>
        </w:rPr>
        <w:t xml:space="preserve"> </w:t>
      </w:r>
      <w:r>
        <w:rPr>
          <w:rFonts w:ascii="Arial" w:cs="Arial" w:eastAsia="Arial" w:hAnsi="Arial"/>
          <w:sz w:val="17"/>
          <w:szCs w:val="17"/>
          <w:color w:val="auto"/>
        </w:rPr>
        <w:t>vest in the event of a change in control (as defined in the Amended &amp; Restated 2014 Equity Plan). As amended, the plan provides that an award may provide for earlier exercisability or vesting in the event of a change in control only where either (i) within a specified period the recipient’s employment or service is involuntarily terminated (other than for cause) or the recipient terminates his or her employment or service for good reason or (ii) the award is not assumed or converted into a replacement award. Further, with respect to performance-based awards, if any such award is accelerated in connection with a change in control, then the</w:t>
      </w:r>
    </w:p>
    <w:p>
      <w:pPr>
        <w:spacing w:after="0" w:line="146" w:lineRule="exact"/>
        <w:rPr>
          <w:sz w:val="20"/>
          <w:szCs w:val="20"/>
          <w:color w:val="auto"/>
        </w:rPr>
      </w:pPr>
    </w:p>
    <w:p>
      <w:pPr>
        <w:spacing w:after="0"/>
        <w:rPr>
          <w:sz w:val="20"/>
          <w:szCs w:val="20"/>
          <w:color w:val="auto"/>
        </w:rPr>
      </w:pPr>
      <w:r>
        <w:rPr>
          <w:rFonts w:ascii="Arial" w:cs="Arial" w:eastAsia="Arial" w:hAnsi="Arial"/>
          <w:sz w:val="14"/>
          <w:szCs w:val="14"/>
          <w:color w:val="auto"/>
        </w:rPr>
        <w:t>62</w:t>
      </w:r>
    </w:p>
    <w:p>
      <w:pPr>
        <w:sectPr>
          <w:pgSz w:w="11900" w:h="16838" w:orient="portrait"/>
          <w:cols w:equalWidth="0" w:num="1">
            <w:col w:w="11400"/>
          </w:cols>
          <w:pgMar w:left="240" w:top="459" w:right="259" w:bottom="1440" w:gutter="0" w:footer="0" w:header="0"/>
        </w:sectPr>
      </w:pPr>
    </w:p>
    <w:bookmarkStart w:id="68" w:name="page69"/>
    <w:bookmarkEnd w:id="6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93">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2715260</wp:posOffset>
            </wp:positionH>
            <wp:positionV relativeFrom="paragraph">
              <wp:posOffset>205740</wp:posOffset>
            </wp:positionV>
            <wp:extent cx="1826895" cy="205740"/>
            <wp:wrapNone/>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94">
                      <a:extLst>
                        <a:ext uri="{28A0092B-C50C-407E-A947-70E740481C1C}"/>
                      </a:extLst>
                    </a:blip>
                    <a:srcRect/>
                    <a:stretch>
                      <a:fillRect/>
                    </a:stretch>
                  </pic:blipFill>
                  <pic:spPr bwMode="auto">
                    <a:xfrm>
                      <a:off x="0" y="0"/>
                      <a:ext cx="1826895" cy="20574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70" w:lineRule="exact"/>
        <w:rPr>
          <w:sz w:val="20"/>
          <w:szCs w:val="20"/>
          <w:color w:val="auto"/>
        </w:rPr>
      </w:pPr>
    </w:p>
    <w:p>
      <w:pPr>
        <w:ind w:right="60"/>
        <w:spacing w:after="0" w:line="236" w:lineRule="auto"/>
        <w:rPr>
          <w:sz w:val="20"/>
          <w:szCs w:val="20"/>
          <w:color w:val="auto"/>
        </w:rPr>
      </w:pPr>
      <w:r>
        <w:rPr>
          <w:rFonts w:ascii="Arial" w:cs="Arial" w:eastAsia="Arial" w:hAnsi="Arial"/>
          <w:sz w:val="17"/>
          <w:szCs w:val="17"/>
          <w:color w:val="auto"/>
        </w:rPr>
        <w:t>amount of the award will be pro-rated to reflect the fractional performance period through the date of acceleration and the amount of the payout will be based on actual performance through the date of acceleration. The Company’s award agreements previously included double-trigger vesting provisions but such provisions were not required under the terms of the plan. As a result of this amendment, double-trigger change in control accelerated vesting will now be a required term for each award issued under the plan.</w:t>
      </w:r>
    </w:p>
    <w:p>
      <w:pPr>
        <w:spacing w:after="0" w:line="157" w:lineRule="exact"/>
        <w:rPr>
          <w:sz w:val="20"/>
          <w:szCs w:val="20"/>
          <w:color w:val="auto"/>
        </w:rPr>
      </w:pPr>
    </w:p>
    <w:p>
      <w:pPr>
        <w:ind w:right="80"/>
        <w:spacing w:after="0" w:line="237" w:lineRule="auto"/>
        <w:rPr>
          <w:sz w:val="20"/>
          <w:szCs w:val="20"/>
          <w:color w:val="auto"/>
        </w:rPr>
      </w:pPr>
      <w:r>
        <w:rPr>
          <w:rFonts w:ascii="Arial" w:cs="Arial" w:eastAsia="Arial" w:hAnsi="Arial"/>
          <w:sz w:val="17"/>
          <w:szCs w:val="17"/>
          <w:b w:val="1"/>
          <w:bCs w:val="1"/>
          <w:color w:val="auto"/>
        </w:rPr>
        <w:t>Minimum One-Year Vesting Period</w:t>
      </w:r>
      <w:r>
        <w:rPr>
          <w:rFonts w:ascii="Arial" w:cs="Arial" w:eastAsia="Arial" w:hAnsi="Arial"/>
          <w:sz w:val="17"/>
          <w:szCs w:val="17"/>
          <w:color w:val="auto"/>
        </w:rPr>
        <w:t>: The Amended &amp; Restated 2014 Equity Plan adds a minimum one-year vesting or performance period for all</w:t>
      </w:r>
      <w:r>
        <w:rPr>
          <w:rFonts w:ascii="Arial" w:cs="Arial" w:eastAsia="Arial" w:hAnsi="Arial"/>
          <w:sz w:val="17"/>
          <w:szCs w:val="17"/>
          <w:b w:val="1"/>
          <w:bCs w:val="1"/>
          <w:color w:val="auto"/>
        </w:rPr>
        <w:t xml:space="preserve"> </w:t>
      </w:r>
      <w:r>
        <w:rPr>
          <w:rFonts w:ascii="Arial" w:cs="Arial" w:eastAsia="Arial" w:hAnsi="Arial"/>
          <w:sz w:val="17"/>
          <w:szCs w:val="17"/>
          <w:color w:val="auto"/>
        </w:rPr>
        <w:t>awards issued under the plan, subject to a 5% “carve out” for non-compliant awards and discretionary accelerated vesting as provided for under the plan. As amended, the plan provides (for each type of award available under the plan) that the award at grant may not become exercisable or vest sooner than one year after the grant date of the award. Additionally, with respect to any award which vests only upon the achievement of specified performance objectives, the performance period must be at least one year. As a result of this amendment, most equity awards made under the Amended &amp; Restated 2014 Equity Plan will not vest sooner than one year following the grant date, subject to plan provisions permitting earlier vesting under certain circumstances as provided for under the plan. However, up to 5% of the common shares available under the Amended &amp; Restated 2014 Equity Plan may be used for awards under the Amended &amp; Restated 2014 Equity Plan that do not at grant comply with the applicable one-year minimum vesting or performance period requirements.</w:t>
      </w:r>
    </w:p>
    <w:p>
      <w:pPr>
        <w:spacing w:after="0" w:line="140" w:lineRule="exact"/>
        <w:rPr>
          <w:sz w:val="20"/>
          <w:szCs w:val="20"/>
          <w:color w:val="auto"/>
        </w:rPr>
      </w:pPr>
    </w:p>
    <w:p>
      <w:pPr>
        <w:ind w:right="240"/>
        <w:spacing w:after="0" w:line="239" w:lineRule="auto"/>
        <w:rPr>
          <w:sz w:val="20"/>
          <w:szCs w:val="20"/>
          <w:color w:val="auto"/>
        </w:rPr>
      </w:pPr>
      <w:r>
        <w:rPr>
          <w:rFonts w:ascii="Arial" w:cs="Arial" w:eastAsia="Arial" w:hAnsi="Arial"/>
          <w:sz w:val="17"/>
          <w:szCs w:val="17"/>
          <w:b w:val="1"/>
          <w:bCs w:val="1"/>
          <w:color w:val="auto"/>
        </w:rPr>
        <w:t>Revised Limitation on Awards to Directors</w:t>
      </w:r>
      <w:r>
        <w:rPr>
          <w:rFonts w:ascii="Arial" w:cs="Arial" w:eastAsia="Arial" w:hAnsi="Arial"/>
          <w:sz w:val="17"/>
          <w:szCs w:val="17"/>
          <w:color w:val="auto"/>
        </w:rPr>
        <w:t>: The Amended &amp; Restated 2014 Equity Plan changes the individual participant limit applicable to non-employee directors from share-based limits to a dollar-based limit. Previously, the plan provided for an annual limit of 14,000 restricted shares or restricted stock units and 18,000 common shares, options or appreciation rights granted to non-employee directors. As amended, the plan provides that no non-employee director will be granted, in any period of one calendar year, awards under the plan having an aggregate maximum value in excess of $500,000. Given the recent volatility in the Company’s share price, this change is necessary in order to ensure that the Company can continue to provide an appropriate mix of equity compensation in connection with its directors’ compensation program.</w:t>
      </w:r>
    </w:p>
    <w:p>
      <w:pPr>
        <w:spacing w:after="0" w:line="142" w:lineRule="exact"/>
        <w:rPr>
          <w:sz w:val="20"/>
          <w:szCs w:val="20"/>
          <w:color w:val="auto"/>
        </w:rPr>
      </w:pPr>
    </w:p>
    <w:p>
      <w:pPr>
        <w:spacing w:after="0" w:line="238" w:lineRule="auto"/>
        <w:rPr>
          <w:sz w:val="20"/>
          <w:szCs w:val="20"/>
          <w:color w:val="auto"/>
        </w:rPr>
      </w:pPr>
      <w:r>
        <w:rPr>
          <w:rFonts w:ascii="Arial" w:cs="Arial" w:eastAsia="Arial" w:hAnsi="Arial"/>
          <w:sz w:val="17"/>
          <w:szCs w:val="17"/>
          <w:b w:val="1"/>
          <w:bCs w:val="1"/>
          <w:color w:val="auto"/>
        </w:rPr>
        <w:t xml:space="preserve">Change in Fungible Share Adjustment Factor: </w:t>
      </w:r>
      <w:r>
        <w:rPr>
          <w:rFonts w:ascii="Arial" w:cs="Arial" w:eastAsia="Arial" w:hAnsi="Arial"/>
          <w:sz w:val="17"/>
          <w:szCs w:val="17"/>
          <w:color w:val="auto"/>
        </w:rPr>
        <w:t>The Amended &amp; Restated 2014 Equity Plan changes the fungible share adjustment factor for the</w:t>
      </w:r>
      <w:r>
        <w:rPr>
          <w:rFonts w:ascii="Arial" w:cs="Arial" w:eastAsia="Arial" w:hAnsi="Arial"/>
          <w:sz w:val="17"/>
          <w:szCs w:val="17"/>
          <w:b w:val="1"/>
          <w:bCs w:val="1"/>
          <w:color w:val="auto"/>
        </w:rPr>
        <w:t xml:space="preserve"> </w:t>
      </w:r>
      <w:r>
        <w:rPr>
          <w:rFonts w:ascii="Arial" w:cs="Arial" w:eastAsia="Arial" w:hAnsi="Arial"/>
          <w:sz w:val="17"/>
          <w:szCs w:val="17"/>
          <w:color w:val="auto"/>
        </w:rPr>
        <w:t>plan for new awards from 2.46 to 2.50 common shares. Fungible share counting means that, for purposes of determining how many shares have been issued or transferred under the plan, each full-value award (all awards other than option rights and appreciation rights) will count as a greater number of shares issued or transferred under the plan than an option or appreciation right issued or transferred under the plan. As amended, each full-value award issued or transferred under the plan will reduce the available shares under the plan by 2.50 common shares, as compared to one common share for options or appreciation rights. The change in the fungible share adjustment factor from 2.46 to 2.50 was made for administrative convenience and will not have a material effect on the shares available under the plan.</w:t>
      </w:r>
    </w:p>
    <w:p>
      <w:pPr>
        <w:spacing w:after="0" w:line="156" w:lineRule="exact"/>
        <w:rPr>
          <w:sz w:val="20"/>
          <w:szCs w:val="20"/>
          <w:color w:val="auto"/>
        </w:rPr>
      </w:pPr>
    </w:p>
    <w:p>
      <w:pPr>
        <w:ind w:right="20"/>
        <w:spacing w:after="0" w:line="268" w:lineRule="auto"/>
        <w:rPr>
          <w:sz w:val="20"/>
          <w:szCs w:val="20"/>
          <w:color w:val="auto"/>
        </w:rPr>
      </w:pPr>
      <w:r>
        <w:rPr>
          <w:rFonts w:ascii="Arial" w:cs="Arial" w:eastAsia="Arial" w:hAnsi="Arial"/>
          <w:sz w:val="17"/>
          <w:szCs w:val="17"/>
          <w:b w:val="1"/>
          <w:bCs w:val="1"/>
          <w:color w:val="auto"/>
        </w:rPr>
        <w:t>Add Section 162(m) Performance Metric</w:t>
      </w:r>
      <w:r>
        <w:rPr>
          <w:rFonts w:ascii="Arial" w:cs="Arial" w:eastAsia="Arial" w:hAnsi="Arial"/>
          <w:sz w:val="17"/>
          <w:szCs w:val="17"/>
          <w:color w:val="auto"/>
        </w:rPr>
        <w:t>: The Amended &amp; Restated 2014 Equity Plan adds EBITDA as a permissible performance metric for awards</w:t>
      </w:r>
      <w:r>
        <w:rPr>
          <w:rFonts w:ascii="Arial" w:cs="Arial" w:eastAsia="Arial" w:hAnsi="Arial"/>
          <w:sz w:val="17"/>
          <w:szCs w:val="17"/>
          <w:b w:val="1"/>
          <w:bCs w:val="1"/>
          <w:color w:val="auto"/>
        </w:rPr>
        <w:t xml:space="preserve"> </w:t>
      </w:r>
      <w:r>
        <w:rPr>
          <w:rFonts w:ascii="Arial" w:cs="Arial" w:eastAsia="Arial" w:hAnsi="Arial"/>
          <w:sz w:val="17"/>
          <w:szCs w:val="17"/>
          <w:color w:val="auto"/>
        </w:rPr>
        <w:t>intended to qualify as “qualified performance-based compensation” for purposes of Section 162(m).</w:t>
      </w:r>
    </w:p>
    <w:p>
      <w:pPr>
        <w:spacing w:after="0" w:line="117" w:lineRule="exact"/>
        <w:rPr>
          <w:sz w:val="20"/>
          <w:szCs w:val="20"/>
          <w:color w:val="auto"/>
        </w:rPr>
      </w:pPr>
    </w:p>
    <w:p>
      <w:pPr>
        <w:spacing w:after="0"/>
        <w:rPr>
          <w:sz w:val="20"/>
          <w:szCs w:val="20"/>
          <w:color w:val="auto"/>
        </w:rPr>
      </w:pPr>
      <w:r>
        <w:rPr>
          <w:rFonts w:ascii="Arial" w:cs="Arial" w:eastAsia="Arial" w:hAnsi="Arial"/>
          <w:sz w:val="17"/>
          <w:szCs w:val="17"/>
          <w:b w:val="1"/>
          <w:bCs w:val="1"/>
          <w:color w:val="666666"/>
        </w:rPr>
        <w:t>SECTION 162(m)</w:t>
      </w:r>
    </w:p>
    <w:p>
      <w:pPr>
        <w:spacing w:after="0" w:line="14" w:lineRule="exact"/>
        <w:rPr>
          <w:sz w:val="20"/>
          <w:szCs w:val="20"/>
          <w:color w:val="auto"/>
        </w:rPr>
      </w:pPr>
    </w:p>
    <w:p>
      <w:pPr>
        <w:ind w:right="80"/>
        <w:spacing w:after="0" w:line="236" w:lineRule="auto"/>
        <w:rPr>
          <w:sz w:val="20"/>
          <w:szCs w:val="20"/>
          <w:color w:val="auto"/>
        </w:rPr>
      </w:pPr>
      <w:r>
        <w:rPr>
          <w:rFonts w:ascii="Arial" w:cs="Arial" w:eastAsia="Arial" w:hAnsi="Arial"/>
          <w:sz w:val="17"/>
          <w:szCs w:val="17"/>
          <w:color w:val="auto"/>
        </w:rPr>
        <w:t>The Amended &amp; Restated 2014 Equity Plan is again intended to enable us to structure certain awards so that they may be able to qualify as “qualified performance-based compensation” under Section 162(m) of the Code. If our equity awards qualify as “qualified performance-based compensation” for purposes of Section 162(m), then we would generally be able to receive a federal income tax deduction for certain compensation paid to our Chief Executive Officer and the other three most highly compensated executive officers (other than our Chief Financial</w:t>
      </w:r>
    </w:p>
    <w:p>
      <w:pPr>
        <w:spacing w:after="0" w:line="147" w:lineRule="exact"/>
        <w:rPr>
          <w:sz w:val="20"/>
          <w:szCs w:val="20"/>
          <w:color w:val="auto"/>
        </w:rPr>
      </w:pPr>
    </w:p>
    <w:p>
      <w:pPr>
        <w:ind w:left="11180"/>
        <w:spacing w:after="0"/>
        <w:rPr>
          <w:sz w:val="20"/>
          <w:szCs w:val="20"/>
          <w:color w:val="auto"/>
        </w:rPr>
      </w:pPr>
      <w:r>
        <w:rPr>
          <w:rFonts w:ascii="Arial" w:cs="Arial" w:eastAsia="Arial" w:hAnsi="Arial"/>
          <w:sz w:val="14"/>
          <w:szCs w:val="14"/>
          <w:color w:val="auto"/>
        </w:rPr>
        <w:t>63</w:t>
      </w:r>
    </w:p>
    <w:p>
      <w:pPr>
        <w:sectPr>
          <w:pgSz w:w="11900" w:h="16838" w:orient="portrait"/>
          <w:cols w:equalWidth="0" w:num="1">
            <w:col w:w="11400"/>
          </w:cols>
          <w:pgMar w:left="240" w:top="459" w:right="259" w:bottom="1440" w:gutter="0" w:footer="0" w:header="0"/>
        </w:sectPr>
      </w:pPr>
    </w:p>
    <w:bookmarkStart w:id="69" w:name="page70"/>
    <w:bookmarkEnd w:id="6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95">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3109595</wp:posOffset>
            </wp:positionH>
            <wp:positionV relativeFrom="paragraph">
              <wp:posOffset>205740</wp:posOffset>
            </wp:positionV>
            <wp:extent cx="1046480" cy="205740"/>
            <wp:wrapNone/>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196">
                      <a:extLst>
                        <a:ext uri="{28A0092B-C50C-407E-A947-70E740481C1C}"/>
                      </a:extLst>
                    </a:blip>
                    <a:srcRect/>
                    <a:stretch>
                      <a:fillRect/>
                    </a:stretch>
                  </pic:blipFill>
                  <pic:spPr bwMode="auto">
                    <a:xfrm>
                      <a:off x="0" y="0"/>
                      <a:ext cx="1046480" cy="20574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70" w:lineRule="exact"/>
        <w:rPr>
          <w:sz w:val="20"/>
          <w:szCs w:val="20"/>
          <w:color w:val="auto"/>
        </w:rPr>
      </w:pPr>
    </w:p>
    <w:p>
      <w:pPr>
        <w:ind w:right="100"/>
        <w:spacing w:after="0" w:line="236" w:lineRule="auto"/>
        <w:rPr>
          <w:sz w:val="20"/>
          <w:szCs w:val="20"/>
          <w:color w:val="auto"/>
        </w:rPr>
      </w:pPr>
      <w:r>
        <w:rPr>
          <w:rFonts w:ascii="Arial" w:cs="Arial" w:eastAsia="Arial" w:hAnsi="Arial"/>
          <w:sz w:val="17"/>
          <w:szCs w:val="17"/>
          <w:color w:val="auto"/>
        </w:rPr>
        <w:t>Officer) in excess of $1 million for any taxable year. While we believe it is in the best interests of the Company and our shareholders to have the ability to potentially grant “qualified performance-based compensation” under Section 162(m), we may decide to grant compensation that will not qualify as “qualified performance-based compensation.” Moreover, even if we intend to grant compensation that qualifies as “qualified performance-based compensation,” we cannot guarantee that such compensation will so qualify or ultimately will be deductible by us.</w:t>
      </w:r>
    </w:p>
    <w:p>
      <w:pPr>
        <w:spacing w:after="0" w:line="177" w:lineRule="exact"/>
        <w:rPr>
          <w:sz w:val="20"/>
          <w:szCs w:val="20"/>
          <w:color w:val="auto"/>
        </w:rPr>
      </w:pPr>
    </w:p>
    <w:p>
      <w:pPr>
        <w:ind w:right="80"/>
        <w:spacing w:after="0" w:line="232" w:lineRule="auto"/>
        <w:rPr>
          <w:sz w:val="20"/>
          <w:szCs w:val="20"/>
          <w:color w:val="auto"/>
        </w:rPr>
      </w:pPr>
      <w:r>
        <w:rPr>
          <w:rFonts w:ascii="Arial" w:cs="Arial" w:eastAsia="Arial" w:hAnsi="Arial"/>
          <w:sz w:val="17"/>
          <w:szCs w:val="17"/>
          <w:color w:val="auto"/>
        </w:rPr>
        <w:t>With respect to performance awards, in order to satisfy the “qualified performance-based compensation” exception to the deduction limitation of Section 162(m), the vesting of the award must be contingent solely on the attainment of one or more performance goals determined by a committee of two or more outside directors. The award must also be granted pursuant to a shareholder approved plan containing (i) the material terms of the performance criteria pursuant to which the performance goals may be established, (ii) the individuals eligible to receive awards under the plan, and</w:t>
      </w:r>
    </w:p>
    <w:p>
      <w:pPr>
        <w:ind w:right="20" w:firstLine="8"/>
        <w:spacing w:after="0" w:line="234" w:lineRule="auto"/>
        <w:tabs>
          <w:tab w:leader="none" w:pos="275" w:val="left"/>
        </w:tabs>
        <w:numPr>
          <w:ilvl w:val="0"/>
          <w:numId w:val="41"/>
        </w:numPr>
        <w:rPr>
          <w:rFonts w:ascii="Arial" w:cs="Arial" w:eastAsia="Arial" w:hAnsi="Arial"/>
          <w:sz w:val="17"/>
          <w:szCs w:val="17"/>
          <w:color w:val="auto"/>
        </w:rPr>
      </w:pPr>
      <w:r>
        <w:rPr>
          <w:rFonts w:ascii="Arial" w:cs="Arial" w:eastAsia="Arial" w:hAnsi="Arial"/>
          <w:sz w:val="17"/>
          <w:szCs w:val="17"/>
          <w:color w:val="auto"/>
        </w:rPr>
        <w:t>a specified limit on the number of shares or value a participant may receive within a certain time period or periods. Shareholder approval of this Proposal 4 is intended to satisfy the shareholder approval requirements under Section 162(m). In addition to the performance measures, the Amended &amp; Restated 2014 Equity Plan also includes individual grant limits for certain equity or incentive awards that can be granted pursuant to the Amended &amp; Restated 2014 Equity Plan, as further described below. We are seeking shareholder approval of the Amended &amp; Restated 2014 Equity Plan, including the performance measures and individual grant limits under the Amended &amp; Restated 2014 Equity Plan, as well as the individuals eligible to receive awards under the Amended &amp; Restated 2014 Equity Plan, to have the flexibility to potentially grant performance-based awards under the Amended &amp; Restated 2014 Equity Plan that may be fully deductible for federal income tax purposes.</w:t>
      </w:r>
    </w:p>
    <w:p>
      <w:pPr>
        <w:spacing w:after="0" w:line="145" w:lineRule="exact"/>
        <w:rPr>
          <w:sz w:val="20"/>
          <w:szCs w:val="20"/>
          <w:color w:val="auto"/>
        </w:rPr>
      </w:pPr>
    </w:p>
    <w:p>
      <w:pPr>
        <w:spacing w:after="0"/>
        <w:rPr>
          <w:sz w:val="20"/>
          <w:szCs w:val="20"/>
          <w:color w:val="auto"/>
        </w:rPr>
      </w:pPr>
      <w:r>
        <w:rPr>
          <w:rFonts w:ascii="Arial" w:cs="Arial" w:eastAsia="Arial" w:hAnsi="Arial"/>
          <w:sz w:val="17"/>
          <w:szCs w:val="17"/>
          <w:b w:val="1"/>
          <w:bCs w:val="1"/>
          <w:color w:val="666666"/>
        </w:rPr>
        <w:t>SUMMARY OF MATERIAL TERMS OF THE AMENDED &amp; RESTATED 2014 EQUITY PLAN</w:t>
      </w:r>
    </w:p>
    <w:p>
      <w:pPr>
        <w:spacing w:after="0" w:line="14" w:lineRule="exact"/>
        <w:rPr>
          <w:sz w:val="20"/>
          <w:szCs w:val="20"/>
          <w:color w:val="auto"/>
        </w:rPr>
      </w:pPr>
    </w:p>
    <w:p>
      <w:pPr>
        <w:ind w:right="120"/>
        <w:spacing w:after="0" w:line="236" w:lineRule="auto"/>
        <w:rPr>
          <w:sz w:val="20"/>
          <w:szCs w:val="20"/>
          <w:color w:val="auto"/>
        </w:rPr>
      </w:pPr>
      <w:r>
        <w:rPr>
          <w:rFonts w:ascii="Arial" w:cs="Arial" w:eastAsia="Arial" w:hAnsi="Arial"/>
          <w:sz w:val="17"/>
          <w:szCs w:val="17"/>
          <w:color w:val="auto"/>
        </w:rPr>
        <w:t>The actual text of the Amended &amp; Restated 2014 Equity Plan is attached to this Proxy Statement as Appendix A. The following summary of the material terms of the Plan is qualified in its entirety by reference to the complete text of the Amended &amp; Restated 2014 Equity Plan. Any terms used in the following summary that are not otherwise defined herein shall have the meanings given to such terms in the Amended &amp; Restated 2014 Equity Plan.</w:t>
      </w:r>
    </w:p>
    <w:p>
      <w:pPr>
        <w:spacing w:after="0" w:line="143" w:lineRule="exact"/>
        <w:rPr>
          <w:sz w:val="20"/>
          <w:szCs w:val="20"/>
          <w:color w:val="auto"/>
        </w:rPr>
      </w:pPr>
    </w:p>
    <w:p>
      <w:pPr>
        <w:spacing w:after="0" w:line="235" w:lineRule="auto"/>
        <w:rPr>
          <w:sz w:val="20"/>
          <w:szCs w:val="20"/>
          <w:color w:val="auto"/>
        </w:rPr>
      </w:pPr>
      <w:r>
        <w:rPr>
          <w:rFonts w:ascii="Arial" w:cs="Arial" w:eastAsia="Arial" w:hAnsi="Arial"/>
          <w:sz w:val="17"/>
          <w:szCs w:val="17"/>
          <w:b w:val="1"/>
          <w:bCs w:val="1"/>
          <w:color w:val="auto"/>
        </w:rPr>
        <w:t xml:space="preserve">Administration: </w:t>
      </w:r>
      <w:r>
        <w:rPr>
          <w:rFonts w:ascii="Arial" w:cs="Arial" w:eastAsia="Arial" w:hAnsi="Arial"/>
          <w:sz w:val="17"/>
          <w:szCs w:val="17"/>
          <w:color w:val="auto"/>
        </w:rPr>
        <w:t>The Amended &amp; Restated 2014 Equity Plan will be administered by the Compensation Committee of our Board of Directors, provided</w:t>
      </w:r>
      <w:r>
        <w:rPr>
          <w:rFonts w:ascii="Arial" w:cs="Arial" w:eastAsia="Arial" w:hAnsi="Arial"/>
          <w:sz w:val="17"/>
          <w:szCs w:val="17"/>
          <w:b w:val="1"/>
          <w:bCs w:val="1"/>
          <w:color w:val="auto"/>
        </w:rPr>
        <w:t xml:space="preserve"> </w:t>
      </w:r>
      <w:r>
        <w:rPr>
          <w:rFonts w:ascii="Arial" w:cs="Arial" w:eastAsia="Arial" w:hAnsi="Arial"/>
          <w:sz w:val="17"/>
          <w:szCs w:val="17"/>
          <w:color w:val="auto"/>
        </w:rPr>
        <w:t>that such committee consists of not less than three members of the Board, each of whom shall (1) meet all applicable independence requirements of the New York Stock Exchange, (2) be a “non-employee director” within the meaning of Rule 16b-3 under the Exchange Act and (3) be an “outside director” within the meaning of Section 162(m) of the Internal Revenue Code. The Compensation Committee may from time to time delegate all or any part of its authority under the Amended &amp; Restated 2014 Equity Plan to any subcommittee thereof. Any interpretation, construction and determination by the Compensation Committee of any provision of the Amended &amp; Restated 2014 Equity Plan, or of any agreement, notification or document evidencing the grant of awards under the Amended &amp; Restated 2014 Equity Plan, will be final and conclusive. To the maximum extent permitted by applicable law, the Compensation Committee may delegate to one or more of its members or to one or more other directors or any officer, agent or advisor of the Company, such administrative duties or powers as it deems advisable. In addition, the Compensation Committee may, by resolution, authorize one or more officers of the Company to (1) designate employees to be recipients of awards under the Amended &amp; Restated 2014 Equity Plan and (2) determine the size and type of any awards granted under the Amended &amp; Restated 2014 Equity Plan. However, the Compensation Committee may not delegate such responsibilities to officers for awards granted to certain employees who are subject to the reporting requirements of Section 16 of the Exchange Act or subject to Section 162(m) of the Code.</w:t>
      </w:r>
    </w:p>
    <w:p>
      <w:pPr>
        <w:spacing w:after="0" w:line="159" w:lineRule="exact"/>
        <w:rPr>
          <w:sz w:val="20"/>
          <w:szCs w:val="20"/>
          <w:color w:val="auto"/>
        </w:rPr>
      </w:pPr>
    </w:p>
    <w:p>
      <w:pPr>
        <w:ind w:right="20"/>
        <w:spacing w:after="0" w:line="268" w:lineRule="auto"/>
        <w:rPr>
          <w:sz w:val="20"/>
          <w:szCs w:val="20"/>
          <w:color w:val="auto"/>
        </w:rPr>
      </w:pPr>
      <w:r>
        <w:rPr>
          <w:rFonts w:ascii="Arial" w:cs="Arial" w:eastAsia="Arial" w:hAnsi="Arial"/>
          <w:sz w:val="17"/>
          <w:szCs w:val="17"/>
          <w:b w:val="1"/>
          <w:bCs w:val="1"/>
          <w:color w:val="auto"/>
        </w:rPr>
        <w:t xml:space="preserve">Eligibility: </w:t>
      </w:r>
      <w:r>
        <w:rPr>
          <w:rFonts w:ascii="Arial" w:cs="Arial" w:eastAsia="Arial" w:hAnsi="Arial"/>
          <w:sz w:val="17"/>
          <w:szCs w:val="17"/>
          <w:color w:val="auto"/>
        </w:rPr>
        <w:t>Any person who is selected by the Compensation Committee to receive benefits under the Amended &amp; Restated 2014 Equity Plan and who</w:t>
      </w:r>
      <w:r>
        <w:rPr>
          <w:rFonts w:ascii="Arial" w:cs="Arial" w:eastAsia="Arial" w:hAnsi="Arial"/>
          <w:sz w:val="17"/>
          <w:szCs w:val="17"/>
          <w:b w:val="1"/>
          <w:bCs w:val="1"/>
          <w:color w:val="auto"/>
        </w:rPr>
        <w:t xml:space="preserve"> </w:t>
      </w:r>
      <w:r>
        <w:rPr>
          <w:rFonts w:ascii="Arial" w:cs="Arial" w:eastAsia="Arial" w:hAnsi="Arial"/>
          <w:sz w:val="17"/>
          <w:szCs w:val="17"/>
          <w:color w:val="auto"/>
        </w:rPr>
        <w:t>is at that time an officer (including, without limitation, an officer who may also</w:t>
      </w:r>
    </w:p>
    <w:p>
      <w:pPr>
        <w:spacing w:after="0" w:line="121" w:lineRule="exact"/>
        <w:rPr>
          <w:sz w:val="20"/>
          <w:szCs w:val="20"/>
          <w:color w:val="auto"/>
        </w:rPr>
      </w:pPr>
    </w:p>
    <w:p>
      <w:pPr>
        <w:spacing w:after="0"/>
        <w:rPr>
          <w:sz w:val="20"/>
          <w:szCs w:val="20"/>
          <w:color w:val="auto"/>
        </w:rPr>
      </w:pPr>
      <w:r>
        <w:rPr>
          <w:rFonts w:ascii="Arial" w:cs="Arial" w:eastAsia="Arial" w:hAnsi="Arial"/>
          <w:sz w:val="14"/>
          <w:szCs w:val="14"/>
          <w:color w:val="auto"/>
        </w:rPr>
        <w:t>64</w:t>
      </w:r>
    </w:p>
    <w:p>
      <w:pPr>
        <w:sectPr>
          <w:pgSz w:w="11900" w:h="16838" w:orient="portrait"/>
          <w:cols w:equalWidth="0" w:num="1">
            <w:col w:w="11420"/>
          </w:cols>
          <w:pgMar w:left="240" w:top="459" w:right="239" w:bottom="1440" w:gutter="0" w:footer="0" w:header="0"/>
        </w:sectPr>
      </w:pPr>
    </w:p>
    <w:bookmarkStart w:id="70" w:name="page71"/>
    <w:bookmarkEnd w:id="7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197">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2715260</wp:posOffset>
            </wp:positionH>
            <wp:positionV relativeFrom="paragraph">
              <wp:posOffset>205740</wp:posOffset>
            </wp:positionV>
            <wp:extent cx="1826895" cy="205740"/>
            <wp:wrapNone/>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98">
                      <a:extLst>
                        <a:ext uri="{28A0092B-C50C-407E-A947-70E740481C1C}"/>
                      </a:extLst>
                    </a:blip>
                    <a:srcRect/>
                    <a:stretch>
                      <a:fillRect/>
                    </a:stretch>
                  </pic:blipFill>
                  <pic:spPr bwMode="auto">
                    <a:xfrm>
                      <a:off x="0" y="0"/>
                      <a:ext cx="1826895" cy="20574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70" w:lineRule="exact"/>
        <w:rPr>
          <w:sz w:val="20"/>
          <w:szCs w:val="20"/>
          <w:color w:val="auto"/>
        </w:rPr>
      </w:pPr>
    </w:p>
    <w:p>
      <w:pPr>
        <w:spacing w:after="0" w:line="235" w:lineRule="auto"/>
        <w:rPr>
          <w:sz w:val="20"/>
          <w:szCs w:val="20"/>
          <w:color w:val="auto"/>
        </w:rPr>
      </w:pPr>
      <w:r>
        <w:rPr>
          <w:rFonts w:ascii="Arial" w:cs="Arial" w:eastAsia="Arial" w:hAnsi="Arial"/>
          <w:sz w:val="17"/>
          <w:szCs w:val="17"/>
          <w:color w:val="auto"/>
        </w:rPr>
        <w:t>be a member of the Board) or other key employee of the Company or any of its subsidiaries (including a person who has agreed to commence serving in any such capacity within 90 days of the date of grant) is eligible to participate in the Amended &amp; Restated 2014 Equity Plan. Additionally, each non-employee member of the Board of Directors of the Company is eligible to participate in the Amended &amp; Restated 2014 Equity Plan. Further, persons who provide services to the Company or any of its subsidiaries that are equivalent to those typically provided by an employee (subject to limitations as described in the Amended &amp; Restated 2014 Equity Plan) may be selected for participation in the Amended &amp; Restated 2014 Equity Plan.</w:t>
      </w:r>
    </w:p>
    <w:p>
      <w:pPr>
        <w:spacing w:after="0" w:line="177" w:lineRule="exact"/>
        <w:rPr>
          <w:sz w:val="20"/>
          <w:szCs w:val="20"/>
          <w:color w:val="auto"/>
        </w:rPr>
      </w:pPr>
    </w:p>
    <w:p>
      <w:pPr>
        <w:ind w:right="840"/>
        <w:spacing w:after="0" w:line="243" w:lineRule="auto"/>
        <w:rPr>
          <w:sz w:val="20"/>
          <w:szCs w:val="20"/>
          <w:color w:val="auto"/>
        </w:rPr>
      </w:pPr>
      <w:r>
        <w:rPr>
          <w:rFonts w:ascii="Arial" w:cs="Arial" w:eastAsia="Arial" w:hAnsi="Arial"/>
          <w:sz w:val="17"/>
          <w:szCs w:val="17"/>
          <w:color w:val="auto"/>
        </w:rPr>
        <w:t>As of March 1, 2016, there were approximately 100 employees and 9 non-employee directors of the Company eligible for awards under the Amended &amp; Restated 2014 Equity Plan.</w:t>
      </w:r>
    </w:p>
    <w:p>
      <w:pPr>
        <w:spacing w:after="0" w:line="138" w:lineRule="exact"/>
        <w:rPr>
          <w:sz w:val="20"/>
          <w:szCs w:val="20"/>
          <w:color w:val="auto"/>
        </w:rPr>
      </w:pPr>
    </w:p>
    <w:p>
      <w:pPr>
        <w:ind w:right="160"/>
        <w:spacing w:after="0" w:line="244" w:lineRule="auto"/>
        <w:rPr>
          <w:sz w:val="20"/>
          <w:szCs w:val="20"/>
          <w:color w:val="auto"/>
        </w:rPr>
      </w:pPr>
      <w:r>
        <w:rPr>
          <w:rFonts w:ascii="Arial" w:cs="Arial" w:eastAsia="Arial" w:hAnsi="Arial"/>
          <w:sz w:val="17"/>
          <w:szCs w:val="17"/>
          <w:b w:val="1"/>
          <w:bCs w:val="1"/>
          <w:color w:val="auto"/>
        </w:rPr>
        <w:t xml:space="preserve">Shares Available for Awards under the Amended &amp; Restated 2014 Equity Plan: </w:t>
      </w:r>
      <w:r>
        <w:rPr>
          <w:rFonts w:ascii="Arial" w:cs="Arial" w:eastAsia="Arial" w:hAnsi="Arial"/>
          <w:sz w:val="17"/>
          <w:szCs w:val="17"/>
          <w:color w:val="auto"/>
        </w:rPr>
        <w:t>Subject to adjustment as described in the Amended &amp; Restated</w:t>
      </w:r>
      <w:r>
        <w:rPr>
          <w:rFonts w:ascii="Arial" w:cs="Arial" w:eastAsia="Arial" w:hAnsi="Arial"/>
          <w:sz w:val="17"/>
          <w:szCs w:val="17"/>
          <w:b w:val="1"/>
          <w:bCs w:val="1"/>
          <w:color w:val="auto"/>
        </w:rPr>
        <w:t xml:space="preserve"> </w:t>
      </w:r>
      <w:r>
        <w:rPr>
          <w:rFonts w:ascii="Arial" w:cs="Arial" w:eastAsia="Arial" w:hAnsi="Arial"/>
          <w:sz w:val="17"/>
          <w:szCs w:val="17"/>
          <w:color w:val="auto"/>
        </w:rPr>
        <w:t>2014 Equity Plan, the maximum number of common shares that may be issued or transferred pursuant to awards granted under the Amended &amp; Restated 2014 Equity Plan may not in the aggregate exceed 11,050,000 common shares (the “Available Shares”). The Available Shares may be common shares of original issuance or treasury shares, or a combination thereof.</w:t>
      </w:r>
    </w:p>
    <w:p>
      <w:pPr>
        <w:spacing w:after="0" w:line="137" w:lineRule="exact"/>
        <w:rPr>
          <w:sz w:val="20"/>
          <w:szCs w:val="20"/>
          <w:color w:val="auto"/>
        </w:rPr>
      </w:pPr>
    </w:p>
    <w:p>
      <w:pPr>
        <w:ind w:right="680"/>
        <w:spacing w:after="0" w:line="268" w:lineRule="auto"/>
        <w:rPr>
          <w:sz w:val="20"/>
          <w:szCs w:val="20"/>
          <w:color w:val="auto"/>
        </w:rPr>
      </w:pPr>
      <w:r>
        <w:rPr>
          <w:rFonts w:ascii="Arial" w:cs="Arial" w:eastAsia="Arial" w:hAnsi="Arial"/>
          <w:sz w:val="17"/>
          <w:szCs w:val="17"/>
          <w:b w:val="1"/>
          <w:bCs w:val="1"/>
          <w:color w:val="auto"/>
        </w:rPr>
        <w:t xml:space="preserve">Share Limits Under the Amended &amp; Restated 2014 Equity Plan: </w:t>
      </w:r>
      <w:r>
        <w:rPr>
          <w:rFonts w:ascii="Arial" w:cs="Arial" w:eastAsia="Arial" w:hAnsi="Arial"/>
          <w:sz w:val="17"/>
          <w:szCs w:val="17"/>
          <w:color w:val="auto"/>
        </w:rPr>
        <w:t>The Amended &amp; Restated 2014 Equity Plan also provides that, subject to</w:t>
      </w:r>
      <w:r>
        <w:rPr>
          <w:rFonts w:ascii="Arial" w:cs="Arial" w:eastAsia="Arial" w:hAnsi="Arial"/>
          <w:sz w:val="17"/>
          <w:szCs w:val="17"/>
          <w:b w:val="1"/>
          <w:bCs w:val="1"/>
          <w:color w:val="auto"/>
        </w:rPr>
        <w:t xml:space="preserve"> </w:t>
      </w:r>
      <w:r>
        <w:rPr>
          <w:rFonts w:ascii="Arial" w:cs="Arial" w:eastAsia="Arial" w:hAnsi="Arial"/>
          <w:sz w:val="17"/>
          <w:szCs w:val="17"/>
          <w:color w:val="auto"/>
        </w:rPr>
        <w:t>adjustment as described in the Amended &amp; Restated 2014 Equity Plan:</w:t>
      </w:r>
    </w:p>
    <w:p>
      <w:pPr>
        <w:spacing w:after="0" w:line="178" w:lineRule="exact"/>
        <w:rPr>
          <w:sz w:val="20"/>
          <w:szCs w:val="20"/>
          <w:color w:val="auto"/>
        </w:rPr>
      </w:pPr>
    </w:p>
    <w:p>
      <w:pPr>
        <w:ind w:left="220" w:right="340" w:hanging="212"/>
        <w:spacing w:after="0" w:line="243" w:lineRule="auto"/>
        <w:tabs>
          <w:tab w:leader="none" w:pos="220" w:val="left"/>
        </w:tabs>
        <w:numPr>
          <w:ilvl w:val="0"/>
          <w:numId w:val="42"/>
        </w:numPr>
        <w:rPr>
          <w:rFonts w:ascii="Arial" w:cs="Arial" w:eastAsia="Arial" w:hAnsi="Arial"/>
          <w:sz w:val="17"/>
          <w:szCs w:val="17"/>
          <w:color w:val="auto"/>
        </w:rPr>
      </w:pPr>
      <w:r>
        <w:rPr>
          <w:rFonts w:ascii="Arial" w:cs="Arial" w:eastAsia="Arial" w:hAnsi="Arial"/>
          <w:sz w:val="17"/>
          <w:szCs w:val="17"/>
          <w:color w:val="auto"/>
        </w:rPr>
        <w:t>the aggregate number of common shares actually issued or transferred upon the exercise of incentive stock options will not exceed 11,050,000 common shares;</w:t>
      </w:r>
    </w:p>
    <w:p>
      <w:pPr>
        <w:spacing w:after="0" w:line="198" w:lineRule="exact"/>
        <w:rPr>
          <w:rFonts w:ascii="Arial" w:cs="Arial" w:eastAsia="Arial" w:hAnsi="Arial"/>
          <w:sz w:val="17"/>
          <w:szCs w:val="17"/>
          <w:color w:val="auto"/>
        </w:rPr>
      </w:pPr>
    </w:p>
    <w:p>
      <w:pPr>
        <w:ind w:left="220" w:right="280" w:hanging="212"/>
        <w:spacing w:after="0" w:line="243" w:lineRule="auto"/>
        <w:tabs>
          <w:tab w:leader="none" w:pos="220" w:val="left"/>
        </w:tabs>
        <w:numPr>
          <w:ilvl w:val="0"/>
          <w:numId w:val="42"/>
        </w:numPr>
        <w:rPr>
          <w:rFonts w:ascii="Arial" w:cs="Arial" w:eastAsia="Arial" w:hAnsi="Arial"/>
          <w:sz w:val="17"/>
          <w:szCs w:val="17"/>
          <w:color w:val="auto"/>
        </w:rPr>
      </w:pPr>
      <w:r>
        <w:rPr>
          <w:rFonts w:ascii="Arial" w:cs="Arial" w:eastAsia="Arial" w:hAnsi="Arial"/>
          <w:sz w:val="17"/>
          <w:szCs w:val="17"/>
          <w:color w:val="auto"/>
        </w:rPr>
        <w:t>no participant will be granted option rights or appreciation rights, in the aggregate, for more than 1,000,000 common shares during any calendar year;</w:t>
      </w:r>
    </w:p>
    <w:p>
      <w:pPr>
        <w:spacing w:after="0" w:line="198" w:lineRule="exact"/>
        <w:rPr>
          <w:rFonts w:ascii="Arial" w:cs="Arial" w:eastAsia="Arial" w:hAnsi="Arial"/>
          <w:sz w:val="17"/>
          <w:szCs w:val="17"/>
          <w:color w:val="auto"/>
        </w:rPr>
      </w:pPr>
    </w:p>
    <w:p>
      <w:pPr>
        <w:ind w:left="220" w:right="60" w:hanging="212"/>
        <w:spacing w:after="0" w:line="238" w:lineRule="auto"/>
        <w:tabs>
          <w:tab w:leader="none" w:pos="220" w:val="left"/>
        </w:tabs>
        <w:numPr>
          <w:ilvl w:val="0"/>
          <w:numId w:val="42"/>
        </w:numPr>
        <w:rPr>
          <w:rFonts w:ascii="Arial" w:cs="Arial" w:eastAsia="Arial" w:hAnsi="Arial"/>
          <w:sz w:val="17"/>
          <w:szCs w:val="17"/>
          <w:color w:val="auto"/>
        </w:rPr>
      </w:pPr>
      <w:r>
        <w:rPr>
          <w:rFonts w:ascii="Arial" w:cs="Arial" w:eastAsia="Arial" w:hAnsi="Arial"/>
          <w:sz w:val="17"/>
          <w:szCs w:val="17"/>
          <w:color w:val="auto"/>
        </w:rPr>
        <w:t>no participant will be granted awards of restricted shares, restricted stock units, performance shares or other stock-based awards that are intended to qualify as “qualified performance-based compensation” under Section 162(m) of the Code, in the aggregate, for more than 1,000,000 common shares during any calendar year;</w:t>
      </w:r>
    </w:p>
    <w:p>
      <w:pPr>
        <w:spacing w:after="0" w:line="201" w:lineRule="exact"/>
        <w:rPr>
          <w:rFonts w:ascii="Arial" w:cs="Arial" w:eastAsia="Arial" w:hAnsi="Arial"/>
          <w:sz w:val="17"/>
          <w:szCs w:val="17"/>
          <w:color w:val="auto"/>
        </w:rPr>
      </w:pPr>
    </w:p>
    <w:p>
      <w:pPr>
        <w:jc w:val="both"/>
        <w:ind w:left="220" w:right="100" w:hanging="212"/>
        <w:spacing w:after="0" w:line="238" w:lineRule="auto"/>
        <w:tabs>
          <w:tab w:leader="none" w:pos="220" w:val="left"/>
        </w:tabs>
        <w:numPr>
          <w:ilvl w:val="0"/>
          <w:numId w:val="42"/>
        </w:numPr>
        <w:rPr>
          <w:rFonts w:ascii="Arial" w:cs="Arial" w:eastAsia="Arial" w:hAnsi="Arial"/>
          <w:sz w:val="17"/>
          <w:szCs w:val="17"/>
          <w:color w:val="auto"/>
        </w:rPr>
      </w:pPr>
      <w:r>
        <w:rPr>
          <w:rFonts w:ascii="Arial" w:cs="Arial" w:eastAsia="Arial" w:hAnsi="Arial"/>
          <w:sz w:val="17"/>
          <w:szCs w:val="17"/>
          <w:color w:val="auto"/>
        </w:rPr>
        <w:t>no participant in any calendar year will receive a cash incentive award, an award of performance units or another award payable in cash under the plan that is intended to qualify as “qualified performance-based compensation” under Section 162(m) of the Code, having an aggregate maximum value in excess of $6,000,000; and</w:t>
      </w:r>
    </w:p>
    <w:p>
      <w:pPr>
        <w:spacing w:after="0" w:line="201" w:lineRule="exact"/>
        <w:rPr>
          <w:rFonts w:ascii="Arial" w:cs="Arial" w:eastAsia="Arial" w:hAnsi="Arial"/>
          <w:sz w:val="17"/>
          <w:szCs w:val="17"/>
          <w:color w:val="auto"/>
        </w:rPr>
      </w:pPr>
    </w:p>
    <w:p>
      <w:pPr>
        <w:ind w:left="220" w:right="20" w:hanging="212"/>
        <w:spacing w:after="0" w:line="243" w:lineRule="auto"/>
        <w:tabs>
          <w:tab w:leader="none" w:pos="220" w:val="left"/>
        </w:tabs>
        <w:numPr>
          <w:ilvl w:val="0"/>
          <w:numId w:val="42"/>
        </w:numPr>
        <w:rPr>
          <w:rFonts w:ascii="Arial" w:cs="Arial" w:eastAsia="Arial" w:hAnsi="Arial"/>
          <w:sz w:val="17"/>
          <w:szCs w:val="17"/>
          <w:color w:val="auto"/>
        </w:rPr>
      </w:pPr>
      <w:r>
        <w:rPr>
          <w:rFonts w:ascii="Arial" w:cs="Arial" w:eastAsia="Arial" w:hAnsi="Arial"/>
          <w:sz w:val="17"/>
          <w:szCs w:val="17"/>
          <w:color w:val="auto"/>
        </w:rPr>
        <w:t>no non-employee director of the Company will be granted in any period of one calendar year awards under the plan having an aggregate maximum value in excess of $500,000.</w:t>
      </w:r>
    </w:p>
    <w:p>
      <w:pPr>
        <w:spacing w:after="0" w:line="151" w:lineRule="exact"/>
        <w:rPr>
          <w:sz w:val="20"/>
          <w:szCs w:val="20"/>
          <w:color w:val="auto"/>
        </w:rPr>
      </w:pPr>
    </w:p>
    <w:p>
      <w:pPr>
        <w:ind w:right="20"/>
        <w:spacing w:after="0" w:line="238" w:lineRule="auto"/>
        <w:rPr>
          <w:sz w:val="20"/>
          <w:szCs w:val="20"/>
          <w:color w:val="auto"/>
        </w:rPr>
      </w:pPr>
      <w:r>
        <w:rPr>
          <w:rFonts w:ascii="Arial" w:cs="Arial" w:eastAsia="Arial" w:hAnsi="Arial"/>
          <w:sz w:val="17"/>
          <w:szCs w:val="17"/>
          <w:b w:val="1"/>
          <w:bCs w:val="1"/>
          <w:color w:val="auto"/>
        </w:rPr>
        <w:t xml:space="preserve">Share Counting: </w:t>
      </w:r>
      <w:r>
        <w:rPr>
          <w:rFonts w:ascii="Arial" w:cs="Arial" w:eastAsia="Arial" w:hAnsi="Arial"/>
          <w:sz w:val="17"/>
          <w:szCs w:val="17"/>
          <w:color w:val="auto"/>
        </w:rPr>
        <w:t>The Amended &amp; Restated 2014 Equity Plan contains fungible share counting mechanics, which generally means that each common</w:t>
      </w:r>
      <w:r>
        <w:rPr>
          <w:rFonts w:ascii="Arial" w:cs="Arial" w:eastAsia="Arial" w:hAnsi="Arial"/>
          <w:sz w:val="17"/>
          <w:szCs w:val="17"/>
          <w:b w:val="1"/>
          <w:bCs w:val="1"/>
          <w:color w:val="auto"/>
        </w:rPr>
        <w:t xml:space="preserve"> </w:t>
      </w:r>
      <w:r>
        <w:rPr>
          <w:rFonts w:ascii="Arial" w:cs="Arial" w:eastAsia="Arial" w:hAnsi="Arial"/>
          <w:sz w:val="17"/>
          <w:szCs w:val="17"/>
          <w:color w:val="auto"/>
        </w:rPr>
        <w:t>share issued or transferred pursuant to awards (other than option rights and appreciation rights) will reduce the Available Shares by (i) with respect to awards granted prior to the Effective Date of the Amended &amp; Restated 2014 Equity Plan, 2.46 common shares and (ii) with respect to awards granted on or after the Effective Date of the Amended &amp; Restated 2014 Equity Plan, 2.50 common shares, in each case for each such issued or transferred common share. This means, for example, that assuming no awards had previously been granted under the Amended &amp; Restated 2014 Equity Plan, only 4,420,000 common shares could be issued in settlement of restricted stock unit awards from the 11,050,000 common shares authorized for issuance.</w:t>
      </w:r>
    </w:p>
    <w:p>
      <w:pPr>
        <w:spacing w:after="0" w:line="146" w:lineRule="exact"/>
        <w:rPr>
          <w:sz w:val="20"/>
          <w:szCs w:val="20"/>
          <w:color w:val="auto"/>
        </w:rPr>
      </w:pPr>
    </w:p>
    <w:p>
      <w:pPr>
        <w:ind w:left="11180"/>
        <w:spacing w:after="0"/>
        <w:rPr>
          <w:sz w:val="20"/>
          <w:szCs w:val="20"/>
          <w:color w:val="auto"/>
        </w:rPr>
      </w:pPr>
      <w:r>
        <w:rPr>
          <w:rFonts w:ascii="Arial" w:cs="Arial" w:eastAsia="Arial" w:hAnsi="Arial"/>
          <w:sz w:val="14"/>
          <w:szCs w:val="14"/>
          <w:color w:val="auto"/>
        </w:rPr>
        <w:t>65</w:t>
      </w:r>
    </w:p>
    <w:p>
      <w:pPr>
        <w:sectPr>
          <w:pgSz w:w="11900" w:h="16838" w:orient="portrait"/>
          <w:cols w:equalWidth="0" w:num="1">
            <w:col w:w="11360"/>
          </w:cols>
          <w:pgMar w:left="240" w:top="459" w:right="299" w:bottom="1440" w:gutter="0" w:footer="0" w:header="0"/>
        </w:sectPr>
      </w:pPr>
    </w:p>
    <w:bookmarkStart w:id="71" w:name="page72"/>
    <w:bookmarkEnd w:id="7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199">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3109595</wp:posOffset>
            </wp:positionH>
            <wp:positionV relativeFrom="paragraph">
              <wp:posOffset>205740</wp:posOffset>
            </wp:positionV>
            <wp:extent cx="1046480" cy="205740"/>
            <wp:wrapNone/>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200">
                      <a:extLst>
                        <a:ext uri="{28A0092B-C50C-407E-A947-70E740481C1C}"/>
                      </a:extLst>
                    </a:blip>
                    <a:srcRect/>
                    <a:stretch>
                      <a:fillRect/>
                    </a:stretch>
                  </pic:blipFill>
                  <pic:spPr bwMode="auto">
                    <a:xfrm>
                      <a:off x="0" y="0"/>
                      <a:ext cx="1046480" cy="20574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70" w:lineRule="exact"/>
        <w:rPr>
          <w:sz w:val="20"/>
          <w:szCs w:val="20"/>
          <w:color w:val="auto"/>
        </w:rPr>
      </w:pPr>
    </w:p>
    <w:p>
      <w:pPr>
        <w:ind w:right="20"/>
        <w:spacing w:after="0" w:line="233" w:lineRule="auto"/>
        <w:rPr>
          <w:sz w:val="20"/>
          <w:szCs w:val="20"/>
          <w:color w:val="auto"/>
        </w:rPr>
      </w:pPr>
      <w:r>
        <w:rPr>
          <w:rFonts w:ascii="Arial" w:cs="Arial" w:eastAsia="Arial" w:hAnsi="Arial"/>
          <w:sz w:val="17"/>
          <w:szCs w:val="17"/>
          <w:color w:val="auto"/>
        </w:rPr>
        <w:t>Common shares covered by an award granted under the Amended &amp; Restated 2014 Equity Plan will not reduce the Available Shares unless and until they are actually issued and delivered to a participant and, therefore, the total number of common shares available under the Amended &amp; Restated 2014 Equity Plan as of a given date will not be reduced by any common shares relating to prior awards that have expired or have been forfeited or cancelled. Upon payment in cash of the benefit provided by any award granted under the Amended &amp; Restated 2014 Equity Plan, any common shares that were covered by that award will again be available for issuance under the Amended &amp; Restated 2014 Equity Plan. Notwithstanding the foregoing, the Amended &amp; Restated 2014 Equity Plan further provides that: (i) if common shares are tendered or otherwise used in payment of the exercise price of an option right, the total number of common shares covered by the option right being exercised will count against the Available Shares; (ii) common shares withheld by the Company or otherwise tendered to satisfy tax withholding obligations will count against the Available Shares; (iii) common shares that are repurchased by the Company with option right proceeds will not be added to the Available Shares; and (iv) the gross number of common shares covered by an appreciation right, to the extent that it is exercised and settled in common shares, whether or not common shares are actually issued to the participant upon exercise of the appreciation right, will be considered issued or transferred pursuant to the plan. If, under the Amended &amp; Restated 2014 Equity Plan, a participant has elected to give up the right to receive compensation in exchange for common shares based on fair market value, such common shares will not count against the common shares available to be issued or transferred under the Amended &amp; Restated 2014 Equity Plan.</w:t>
      </w:r>
    </w:p>
    <w:p>
      <w:pPr>
        <w:spacing w:after="0" w:line="179" w:lineRule="exact"/>
        <w:rPr>
          <w:sz w:val="20"/>
          <w:szCs w:val="20"/>
          <w:color w:val="auto"/>
        </w:rPr>
      </w:pPr>
    </w:p>
    <w:p>
      <w:pPr>
        <w:spacing w:after="0" w:line="235" w:lineRule="auto"/>
        <w:rPr>
          <w:sz w:val="20"/>
          <w:szCs w:val="20"/>
          <w:color w:val="auto"/>
        </w:rPr>
      </w:pPr>
      <w:r>
        <w:rPr>
          <w:rFonts w:ascii="Arial" w:cs="Arial" w:eastAsia="Arial" w:hAnsi="Arial"/>
          <w:sz w:val="17"/>
          <w:szCs w:val="17"/>
          <w:color w:val="auto"/>
        </w:rPr>
        <w:t>Common shares issued or transferred pursuant to awards granted under the Amended &amp; Restated 2014 Equity Plan in substitution for or in conversion of, or in connection with the assumption of, awards held by awardees of an entity engaging in a corporate acquisition or merger with the Company or any of its subsidiaries will not count against the share limits under the Amended &amp; Restated 2014 Equity Plan. Additionally, shares available under certain plans that we or our subsidiaries may assume in connection with corporate transactions from another entity may be available for certain awards under the Amended &amp; Restated 2014 Equity Plan, but will not count against the share limits under the Amended &amp; Restated 2014 Equity Plan.</w:t>
      </w:r>
    </w:p>
    <w:p>
      <w:pPr>
        <w:spacing w:after="0" w:line="144" w:lineRule="exact"/>
        <w:rPr>
          <w:sz w:val="20"/>
          <w:szCs w:val="20"/>
          <w:color w:val="auto"/>
        </w:rPr>
      </w:pPr>
    </w:p>
    <w:p>
      <w:pPr>
        <w:ind w:right="180"/>
        <w:spacing w:after="0" w:line="244" w:lineRule="auto"/>
        <w:rPr>
          <w:sz w:val="20"/>
          <w:szCs w:val="20"/>
          <w:color w:val="auto"/>
        </w:rPr>
      </w:pPr>
      <w:r>
        <w:rPr>
          <w:rFonts w:ascii="Arial" w:cs="Arial" w:eastAsia="Arial" w:hAnsi="Arial"/>
          <w:sz w:val="17"/>
          <w:szCs w:val="17"/>
          <w:b w:val="1"/>
          <w:bCs w:val="1"/>
          <w:color w:val="auto"/>
        </w:rPr>
        <w:t xml:space="preserve">Types of Awards Under the Amended &amp; Restated 2014 Equity Plan: </w:t>
      </w:r>
      <w:r>
        <w:rPr>
          <w:rFonts w:ascii="Arial" w:cs="Arial" w:eastAsia="Arial" w:hAnsi="Arial"/>
          <w:sz w:val="17"/>
          <w:szCs w:val="17"/>
          <w:color w:val="auto"/>
        </w:rPr>
        <w:t>Pursuant to the Amended &amp; Restated 2014 Equity Plan, the Company may</w:t>
      </w:r>
      <w:r>
        <w:rPr>
          <w:rFonts w:ascii="Arial" w:cs="Arial" w:eastAsia="Arial" w:hAnsi="Arial"/>
          <w:sz w:val="17"/>
          <w:szCs w:val="17"/>
          <w:b w:val="1"/>
          <w:bCs w:val="1"/>
          <w:color w:val="auto"/>
        </w:rPr>
        <w:t xml:space="preserve"> </w:t>
      </w:r>
      <w:r>
        <w:rPr>
          <w:rFonts w:ascii="Arial" w:cs="Arial" w:eastAsia="Arial" w:hAnsi="Arial"/>
          <w:sz w:val="17"/>
          <w:szCs w:val="17"/>
          <w:color w:val="auto"/>
        </w:rPr>
        <w:t>grant option rights (including “incentive stock options” as defined in Section 422 of the Code), appreciation rights, restricted shares, restricted stock units, deferred shares, performance shares, performance units, cash incentive awards, and certain other awards based on or related to our common shares.</w:t>
      </w:r>
    </w:p>
    <w:p>
      <w:pPr>
        <w:spacing w:after="0" w:line="157" w:lineRule="exact"/>
        <w:rPr>
          <w:sz w:val="20"/>
          <w:szCs w:val="20"/>
          <w:color w:val="auto"/>
        </w:rPr>
      </w:pPr>
    </w:p>
    <w:p>
      <w:pPr>
        <w:ind w:right="60"/>
        <w:spacing w:after="0" w:line="238" w:lineRule="auto"/>
        <w:rPr>
          <w:sz w:val="20"/>
          <w:szCs w:val="20"/>
          <w:color w:val="auto"/>
        </w:rPr>
      </w:pPr>
      <w:r>
        <w:rPr>
          <w:rFonts w:ascii="Arial" w:cs="Arial" w:eastAsia="Arial" w:hAnsi="Arial"/>
          <w:sz w:val="17"/>
          <w:szCs w:val="17"/>
          <w:color w:val="auto"/>
        </w:rPr>
        <w:t>Each grant of an award under the Amended &amp; Restated 2014 Equity Plan will be evidenced by an award agreement or agreements (an “Evidence of Award”) which will contain such terms and provisions as the Compensation Committee may determine, consistent with the Amended &amp; Restated 2014 Equity Plan. Brief descriptions of the types of awards that may be granted under the Amended &amp; Restated 2014 Equity Plan are set forth below.</w:t>
      </w:r>
    </w:p>
    <w:p>
      <w:pPr>
        <w:spacing w:after="0" w:line="157" w:lineRule="exact"/>
        <w:rPr>
          <w:sz w:val="20"/>
          <w:szCs w:val="20"/>
          <w:color w:val="auto"/>
        </w:rPr>
      </w:pPr>
    </w:p>
    <w:p>
      <w:pPr>
        <w:spacing w:after="0" w:line="238" w:lineRule="auto"/>
        <w:rPr>
          <w:sz w:val="20"/>
          <w:szCs w:val="20"/>
          <w:color w:val="auto"/>
        </w:rPr>
      </w:pPr>
      <w:r>
        <w:rPr>
          <w:rFonts w:ascii="Arial" w:cs="Arial" w:eastAsia="Arial" w:hAnsi="Arial"/>
          <w:sz w:val="17"/>
          <w:szCs w:val="17"/>
          <w:i w:val="1"/>
          <w:iCs w:val="1"/>
          <w:color w:val="auto"/>
        </w:rPr>
        <w:t xml:space="preserve">Option Rights. </w:t>
      </w:r>
      <w:r>
        <w:rPr>
          <w:rFonts w:ascii="Arial" w:cs="Arial" w:eastAsia="Arial" w:hAnsi="Arial"/>
          <w:sz w:val="17"/>
          <w:szCs w:val="17"/>
          <w:color w:val="auto"/>
        </w:rPr>
        <w:t>An option right is a right to purchase common shares upon exercise of a stock option. Stock options granted to an employee under the</w:t>
      </w:r>
      <w:r>
        <w:rPr>
          <w:rFonts w:ascii="Arial" w:cs="Arial" w:eastAsia="Arial" w:hAnsi="Arial"/>
          <w:sz w:val="17"/>
          <w:szCs w:val="17"/>
          <w:i w:val="1"/>
          <w:iCs w:val="1"/>
          <w:color w:val="auto"/>
        </w:rPr>
        <w:t xml:space="preserve"> </w:t>
      </w:r>
      <w:r>
        <w:rPr>
          <w:rFonts w:ascii="Arial" w:cs="Arial" w:eastAsia="Arial" w:hAnsi="Arial"/>
          <w:sz w:val="17"/>
          <w:szCs w:val="17"/>
          <w:color w:val="auto"/>
        </w:rPr>
        <w:t>Amended &amp; Restated 2014 Equity Plan may consist of either an incentive stock option intended to satisfy the requirements of Section 422 of the Code, a nonqualified stock option that does not comply with those requirements, or a combination of both. Incentive stock options may be granted only to employees of the Company. Except with respect to awards issued in substitution for, in conversion of, or in connection with an assumption of stock options held by awardees of an entity engaging in a corporate acquisition or merger with us or any of our subsidiaries, incentive stock options and nonqualified stock options must have an exercise price per share that is not less than the fair market value of a common share on the date of grant. The term of an option may not extend more than ten years after the date of grant.</w:t>
      </w:r>
    </w:p>
    <w:p>
      <w:pPr>
        <w:spacing w:after="0" w:line="144" w:lineRule="exact"/>
        <w:rPr>
          <w:sz w:val="20"/>
          <w:szCs w:val="20"/>
          <w:color w:val="auto"/>
        </w:rPr>
      </w:pPr>
    </w:p>
    <w:p>
      <w:pPr>
        <w:spacing w:after="0"/>
        <w:rPr>
          <w:sz w:val="20"/>
          <w:szCs w:val="20"/>
          <w:color w:val="auto"/>
        </w:rPr>
      </w:pPr>
      <w:r>
        <w:rPr>
          <w:rFonts w:ascii="Arial" w:cs="Arial" w:eastAsia="Arial" w:hAnsi="Arial"/>
          <w:sz w:val="14"/>
          <w:szCs w:val="14"/>
          <w:color w:val="auto"/>
        </w:rPr>
        <w:t>66</w:t>
      </w:r>
    </w:p>
    <w:p>
      <w:pPr>
        <w:sectPr>
          <w:pgSz w:w="11900" w:h="16838" w:orient="portrait"/>
          <w:cols w:equalWidth="0" w:num="1">
            <w:col w:w="11380"/>
          </w:cols>
          <w:pgMar w:left="240" w:top="459" w:right="279" w:bottom="1440" w:gutter="0" w:footer="0" w:header="0"/>
        </w:sectPr>
      </w:pPr>
    </w:p>
    <w:bookmarkStart w:id="72" w:name="page73"/>
    <w:bookmarkEnd w:id="7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201">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2715260</wp:posOffset>
            </wp:positionH>
            <wp:positionV relativeFrom="paragraph">
              <wp:posOffset>205740</wp:posOffset>
            </wp:positionV>
            <wp:extent cx="1826895" cy="205740"/>
            <wp:wrapNone/>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202">
                      <a:extLst>
                        <a:ext uri="{28A0092B-C50C-407E-A947-70E740481C1C}"/>
                      </a:extLst>
                    </a:blip>
                    <a:srcRect/>
                    <a:stretch>
                      <a:fillRect/>
                    </a:stretch>
                  </pic:blipFill>
                  <pic:spPr bwMode="auto">
                    <a:xfrm>
                      <a:off x="0" y="0"/>
                      <a:ext cx="1826895" cy="20574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70" w:lineRule="exact"/>
        <w:rPr>
          <w:sz w:val="20"/>
          <w:szCs w:val="20"/>
          <w:color w:val="auto"/>
        </w:rPr>
      </w:pPr>
    </w:p>
    <w:p>
      <w:pPr>
        <w:spacing w:after="0" w:line="234" w:lineRule="auto"/>
        <w:rPr>
          <w:sz w:val="20"/>
          <w:szCs w:val="20"/>
          <w:color w:val="auto"/>
        </w:rPr>
      </w:pPr>
      <w:r>
        <w:rPr>
          <w:rFonts w:ascii="Arial" w:cs="Arial" w:eastAsia="Arial" w:hAnsi="Arial"/>
          <w:sz w:val="17"/>
          <w:szCs w:val="17"/>
          <w:color w:val="auto"/>
        </w:rPr>
        <w:t>Each grant of an option right will specify the applicable terms of the option right, including the number of common shares subject to the option right and the applicable vesting or performance period (which, in each case will be no shorter than one year) and forfeiture provisions. A grant of option rights may provide for earlier exercisability, including in the event of the retirement, death or disability of the participant (or in the event of a change in control only on a double trigger basis, as described above). In addition, each grant will specify the form of consideration to be paid in satisfaction of the exercise price, which may include: (i) cash, check or other cash equivalent acceptable to the Company; (ii) nonforfeitable, unrestricted common shares already owned by the participant with a value at the time of exercise that is equal to the total exercise price; (iii) subject to any conditions or limitations established by the Compensation Committee, by a net exercise arrangement pursuant to which the Company will withhold common shares otherwise issuable upon exercise of an option right; (iv) any other legal consideration that the Compensation Committee may deem appropriate, including, to the extent permitted by law, pursuant to a broker-assisted cashless exercise procedure; and (v) any combination of the foregoing methods.</w:t>
      </w:r>
    </w:p>
    <w:p>
      <w:pPr>
        <w:spacing w:after="0" w:line="157" w:lineRule="exact"/>
        <w:rPr>
          <w:sz w:val="20"/>
          <w:szCs w:val="20"/>
          <w:color w:val="auto"/>
        </w:rPr>
      </w:pPr>
    </w:p>
    <w:p>
      <w:pPr>
        <w:spacing w:after="0" w:line="236" w:lineRule="auto"/>
        <w:rPr>
          <w:sz w:val="20"/>
          <w:szCs w:val="20"/>
          <w:color w:val="auto"/>
        </w:rPr>
      </w:pPr>
      <w:r>
        <w:rPr>
          <w:rFonts w:ascii="Arial" w:cs="Arial" w:eastAsia="Arial" w:hAnsi="Arial"/>
          <w:sz w:val="17"/>
          <w:szCs w:val="17"/>
          <w:i w:val="1"/>
          <w:iCs w:val="1"/>
          <w:color w:val="auto"/>
        </w:rPr>
        <w:t xml:space="preserve">Appreciation Rights. </w:t>
      </w:r>
      <w:r>
        <w:rPr>
          <w:rFonts w:ascii="Arial" w:cs="Arial" w:eastAsia="Arial" w:hAnsi="Arial"/>
          <w:sz w:val="17"/>
          <w:szCs w:val="17"/>
          <w:color w:val="auto"/>
        </w:rPr>
        <w:t>The Amended &amp; Restated 2014 Equity Plan provides for the grant of appreciation rights, which may be granted as either tandem</w:t>
      </w:r>
      <w:r>
        <w:rPr>
          <w:rFonts w:ascii="Arial" w:cs="Arial" w:eastAsia="Arial" w:hAnsi="Arial"/>
          <w:sz w:val="17"/>
          <w:szCs w:val="17"/>
          <w:i w:val="1"/>
          <w:iCs w:val="1"/>
          <w:color w:val="auto"/>
        </w:rPr>
        <w:t xml:space="preserve"> </w:t>
      </w:r>
      <w:r>
        <w:rPr>
          <w:rFonts w:ascii="Arial" w:cs="Arial" w:eastAsia="Arial" w:hAnsi="Arial"/>
          <w:sz w:val="17"/>
          <w:szCs w:val="17"/>
          <w:color w:val="auto"/>
        </w:rPr>
        <w:t>appreciation rights or free-standing appreciation rights. A tandem appreciation right is an appreciation right that is granted in tandem with an option right or similar right. A free-standing appreciation right is an appreciation right that is not granted in tandem with an option right or similar right. Each grant of an appreciation right will be evidenced by an Evidence of Award which specifies the applicable terms and conditions of such award, including any vesting period (which will be no shorter than one year) and forfeiture provisions. An appreciation right may be paid in cash, common shares or a combination thereof. A grant of appreciation rights may provide for the earlier exercise of such appreciation rights, including in the event of the retirement, death or disability of the participant (or in the event of a change in control only on a double trigger basis, as described above). Except with respect to awards issued in substitution for, in conversion of, or in connection with an assumption of stock options held by awardees of an entity engaging in a corporate acquisition or merger with us or any of our subsidiaries, the exercise price of an appreciation right may not be less than the fair market value of a common share on the date of grant and its term may not extend more than ten years from the date of grant.</w:t>
      </w:r>
    </w:p>
    <w:p>
      <w:pPr>
        <w:spacing w:after="0" w:line="144" w:lineRule="exact"/>
        <w:rPr>
          <w:sz w:val="20"/>
          <w:szCs w:val="20"/>
          <w:color w:val="auto"/>
        </w:rPr>
      </w:pPr>
    </w:p>
    <w:p>
      <w:pPr>
        <w:ind w:right="40"/>
        <w:spacing w:after="0" w:line="235" w:lineRule="auto"/>
        <w:rPr>
          <w:sz w:val="20"/>
          <w:szCs w:val="20"/>
          <w:color w:val="auto"/>
        </w:rPr>
      </w:pPr>
      <w:r>
        <w:rPr>
          <w:rFonts w:ascii="Arial" w:cs="Arial" w:eastAsia="Arial" w:hAnsi="Arial"/>
          <w:sz w:val="17"/>
          <w:szCs w:val="17"/>
          <w:i w:val="1"/>
          <w:iCs w:val="1"/>
          <w:color w:val="auto"/>
        </w:rPr>
        <w:t xml:space="preserve">Restricted Shares. </w:t>
      </w:r>
      <w:r>
        <w:rPr>
          <w:rFonts w:ascii="Arial" w:cs="Arial" w:eastAsia="Arial" w:hAnsi="Arial"/>
          <w:sz w:val="17"/>
          <w:szCs w:val="17"/>
          <w:color w:val="auto"/>
        </w:rPr>
        <w:t>Restricted shares awarded under the Amended &amp; Restated 2014 Equity Plan will consist of an award of common shares in</w:t>
      </w:r>
      <w:r>
        <w:rPr>
          <w:rFonts w:ascii="Arial" w:cs="Arial" w:eastAsia="Arial" w:hAnsi="Arial"/>
          <w:sz w:val="17"/>
          <w:szCs w:val="17"/>
          <w:i w:val="1"/>
          <w:iCs w:val="1"/>
          <w:color w:val="auto"/>
        </w:rPr>
        <w:t xml:space="preserve"> </w:t>
      </w:r>
      <w:r>
        <w:rPr>
          <w:rFonts w:ascii="Arial" w:cs="Arial" w:eastAsia="Arial" w:hAnsi="Arial"/>
          <w:sz w:val="17"/>
          <w:szCs w:val="17"/>
          <w:color w:val="auto"/>
        </w:rPr>
        <w:t>consideration for the performance of services, which shares are subject to a substantial risk of forfeiture for a period of time determined by the Compensation Committee or until certain management objectives specified by the Compensation Committee are achieved. Such awards constitute an immediate transfer of the ownership of common shares to the participant, entitling such participant to dividend, voting and other ownership rights, subject to the substantial risk of forfeiture and restrictions on transfer determined by the Compensation Committee. Any grant of restricted shares may require that any or all dividends or distributions paid on restricted shares that remain subject to a substantial risk of forfeiture be automatically sequestered; provided that dividends or other distributions on restricted shares with restrictions that lapse as a result of the achievement of management objectives will be deferred until and paid contingent upon the achievement of the applicable management objectives. Sequestered dividends or other distributions may be reinvested on an immediate or deferred basis in additional common shares, which may be subject to the same restrictions as the underlying award or such other restrictions as the Compensation Committee may determine. Each grant of restricted shares will be evidenced by an Evidence of Award which specifies the applicable terms and conditions of such award, including any vesting and forfeiture provisions. With respect to awards which vest based only on the passage of time, the vesting period will be no shorter than one year and, with respect to awards which vest only upon the achievement of specified management objectives, the performance period will be no shorter than one year. A grant of restricted shares may provide for the earlier termination of restrictions on the restricted shares, including in the event of the</w:t>
      </w:r>
    </w:p>
    <w:p>
      <w:pPr>
        <w:spacing w:after="0" w:line="145" w:lineRule="exact"/>
        <w:rPr>
          <w:sz w:val="20"/>
          <w:szCs w:val="20"/>
          <w:color w:val="auto"/>
        </w:rPr>
      </w:pPr>
    </w:p>
    <w:p>
      <w:pPr>
        <w:ind w:left="11180"/>
        <w:spacing w:after="0"/>
        <w:rPr>
          <w:sz w:val="20"/>
          <w:szCs w:val="20"/>
          <w:color w:val="auto"/>
        </w:rPr>
      </w:pPr>
      <w:r>
        <w:rPr>
          <w:rFonts w:ascii="Arial" w:cs="Arial" w:eastAsia="Arial" w:hAnsi="Arial"/>
          <w:sz w:val="14"/>
          <w:szCs w:val="14"/>
          <w:color w:val="auto"/>
        </w:rPr>
        <w:t>67</w:t>
      </w:r>
    </w:p>
    <w:p>
      <w:pPr>
        <w:sectPr>
          <w:pgSz w:w="11900" w:h="16838" w:orient="portrait"/>
          <w:cols w:equalWidth="0" w:num="1">
            <w:col w:w="11400"/>
          </w:cols>
          <w:pgMar w:left="240" w:top="459" w:right="259" w:bottom="1440" w:gutter="0" w:footer="0" w:header="0"/>
        </w:sectPr>
      </w:pPr>
    </w:p>
    <w:bookmarkStart w:id="73" w:name="page74"/>
    <w:bookmarkEnd w:id="7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203">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3109595</wp:posOffset>
            </wp:positionH>
            <wp:positionV relativeFrom="paragraph">
              <wp:posOffset>205740</wp:posOffset>
            </wp:positionV>
            <wp:extent cx="1046480" cy="205740"/>
            <wp:wrapNone/>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204">
                      <a:extLst>
                        <a:ext uri="{28A0092B-C50C-407E-A947-70E740481C1C}"/>
                      </a:extLst>
                    </a:blip>
                    <a:srcRect/>
                    <a:stretch>
                      <a:fillRect/>
                    </a:stretch>
                  </pic:blipFill>
                  <pic:spPr bwMode="auto">
                    <a:xfrm>
                      <a:off x="0" y="0"/>
                      <a:ext cx="1046480" cy="20574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70" w:lineRule="exact"/>
        <w:rPr>
          <w:sz w:val="20"/>
          <w:szCs w:val="20"/>
          <w:color w:val="auto"/>
        </w:rPr>
      </w:pPr>
    </w:p>
    <w:p>
      <w:pPr>
        <w:spacing w:after="0"/>
        <w:rPr>
          <w:sz w:val="20"/>
          <w:szCs w:val="20"/>
          <w:color w:val="auto"/>
        </w:rPr>
      </w:pPr>
      <w:r>
        <w:rPr>
          <w:rFonts w:ascii="Arial" w:cs="Arial" w:eastAsia="Arial" w:hAnsi="Arial"/>
          <w:sz w:val="17"/>
          <w:szCs w:val="17"/>
          <w:color w:val="auto"/>
        </w:rPr>
        <w:t>retirement, death or disability of the participant (or in the event of a change in control only on a double trigger basis, as described above).</w:t>
      </w:r>
    </w:p>
    <w:p>
      <w:pPr>
        <w:spacing w:after="0" w:line="165" w:lineRule="exact"/>
        <w:rPr>
          <w:sz w:val="20"/>
          <w:szCs w:val="20"/>
          <w:color w:val="auto"/>
        </w:rPr>
      </w:pPr>
    </w:p>
    <w:p>
      <w:pPr>
        <w:spacing w:after="0" w:line="235" w:lineRule="auto"/>
        <w:rPr>
          <w:sz w:val="20"/>
          <w:szCs w:val="20"/>
          <w:color w:val="auto"/>
        </w:rPr>
      </w:pPr>
      <w:r>
        <w:rPr>
          <w:rFonts w:ascii="Arial" w:cs="Arial" w:eastAsia="Arial" w:hAnsi="Arial"/>
          <w:sz w:val="17"/>
          <w:szCs w:val="17"/>
          <w:i w:val="1"/>
          <w:iCs w:val="1"/>
          <w:color w:val="auto"/>
        </w:rPr>
        <w:t xml:space="preserve">Restricted Stock Units. </w:t>
      </w:r>
      <w:r>
        <w:rPr>
          <w:rFonts w:ascii="Arial" w:cs="Arial" w:eastAsia="Arial" w:hAnsi="Arial"/>
          <w:sz w:val="17"/>
          <w:szCs w:val="17"/>
          <w:color w:val="auto"/>
        </w:rPr>
        <w:t>Restricted stock units awarded under the Amended &amp; Restated 2014 Equity Plan constitute an agreement by the Company to</w:t>
      </w:r>
      <w:r>
        <w:rPr>
          <w:rFonts w:ascii="Arial" w:cs="Arial" w:eastAsia="Arial" w:hAnsi="Arial"/>
          <w:sz w:val="17"/>
          <w:szCs w:val="17"/>
          <w:i w:val="1"/>
          <w:iCs w:val="1"/>
          <w:color w:val="auto"/>
        </w:rPr>
        <w:t xml:space="preserve"> </w:t>
      </w:r>
      <w:r>
        <w:rPr>
          <w:rFonts w:ascii="Arial" w:cs="Arial" w:eastAsia="Arial" w:hAnsi="Arial"/>
          <w:sz w:val="17"/>
          <w:szCs w:val="17"/>
          <w:color w:val="auto"/>
        </w:rPr>
        <w:t>deliver common shares, cash, or a combination thereof, to the participant in the future in consideration of the performance of services, but subject to the fulfillment of such conditions (which may include the achievement of management objectives) during the restriction period as the Compensation Committee may specify. Rights to dividend equivalents may be extended to and made part of any restricted stock unit award at the discretion of and on the terms determined by the Compensation Committee. However, dividend equivalents or other distributions on common shares underlying restricted stock units with restrictions that lapse as a result of the achievement of management objectives will be deferred until and paid contingent upon the achievement of the applicable management objectives. Each grant of a restricted stock unit award will be evidenced by an Evidence of Award which specifies the applicable terms and conditions of such award, including any vesting and forfeiture provisions. With respect to awards which vest based only on the passage of time, the vesting period will be no shorter than one year and, with respect to awards which vest upon the achievement of specified management objectives, the performance period will be no shorter than one year. A grant of restricted stock units may provide for the earlier lapse or modification of the restriction period, including in the event of the retirement, death or disability of the participant (or in the event of a change in control only on a double trigger basis, as described above). However, no award that is intended to be “qualified performance-based compensation” for purposes of Section 162(m) of the Code will provide for such earlier lapse or modification (other than in connection with the death or disability of the participant or a change in control) to the extent such provisions would cause such award to fail to be qualified performance-based compensation.</w:t>
      </w:r>
    </w:p>
    <w:p>
      <w:pPr>
        <w:spacing w:after="0" w:line="143" w:lineRule="exact"/>
        <w:rPr>
          <w:sz w:val="20"/>
          <w:szCs w:val="20"/>
          <w:color w:val="auto"/>
        </w:rPr>
      </w:pPr>
    </w:p>
    <w:p>
      <w:pPr>
        <w:spacing w:after="0" w:line="239" w:lineRule="auto"/>
        <w:rPr>
          <w:sz w:val="20"/>
          <w:szCs w:val="20"/>
          <w:color w:val="auto"/>
        </w:rPr>
      </w:pPr>
      <w:r>
        <w:rPr>
          <w:rFonts w:ascii="Arial" w:cs="Arial" w:eastAsia="Arial" w:hAnsi="Arial"/>
          <w:sz w:val="17"/>
          <w:szCs w:val="17"/>
          <w:i w:val="1"/>
          <w:iCs w:val="1"/>
          <w:color w:val="auto"/>
        </w:rPr>
        <w:t xml:space="preserve">Deferred Shares. </w:t>
      </w:r>
      <w:r>
        <w:rPr>
          <w:rFonts w:ascii="Arial" w:cs="Arial" w:eastAsia="Arial" w:hAnsi="Arial"/>
          <w:sz w:val="17"/>
          <w:szCs w:val="17"/>
          <w:color w:val="auto"/>
        </w:rPr>
        <w:t>Deferred shares awarded to participants under the Amended &amp; Restated 2014 Equity Plan constitute the agreement by the Company</w:t>
      </w:r>
      <w:r>
        <w:rPr>
          <w:rFonts w:ascii="Arial" w:cs="Arial" w:eastAsia="Arial" w:hAnsi="Arial"/>
          <w:sz w:val="17"/>
          <w:szCs w:val="17"/>
          <w:i w:val="1"/>
          <w:iCs w:val="1"/>
          <w:color w:val="auto"/>
        </w:rPr>
        <w:t xml:space="preserve"> </w:t>
      </w:r>
      <w:r>
        <w:rPr>
          <w:rFonts w:ascii="Arial" w:cs="Arial" w:eastAsia="Arial" w:hAnsi="Arial"/>
          <w:sz w:val="17"/>
          <w:szCs w:val="17"/>
          <w:color w:val="auto"/>
        </w:rPr>
        <w:t>to issue or transfer common shares to the participant in the future in consideration of the performance of services, subject to the fulfillment during the applicable deferral period of such conditions as the Compensation Committee may specify. Rights to dividend equivalents may be extended to and made part of any deferred share award at the discretion of and on the terms determined by the Compensation Committee. However, dividend equivalents or other distributions on common shares underlying deferred shares with restrictions that lapse as a result of the achievement of management objectives will be deferred until and paid contingent upon the achievement of the applicable management objectives.</w:t>
      </w:r>
    </w:p>
    <w:p>
      <w:pPr>
        <w:spacing w:after="0" w:line="160" w:lineRule="exact"/>
        <w:rPr>
          <w:sz w:val="20"/>
          <w:szCs w:val="20"/>
          <w:color w:val="auto"/>
        </w:rPr>
      </w:pPr>
    </w:p>
    <w:p>
      <w:pPr>
        <w:ind w:right="40"/>
        <w:spacing w:after="0" w:line="234" w:lineRule="auto"/>
        <w:rPr>
          <w:sz w:val="20"/>
          <w:szCs w:val="20"/>
          <w:color w:val="auto"/>
        </w:rPr>
      </w:pPr>
      <w:r>
        <w:rPr>
          <w:rFonts w:ascii="Arial" w:cs="Arial" w:eastAsia="Arial" w:hAnsi="Arial"/>
          <w:sz w:val="17"/>
          <w:szCs w:val="17"/>
          <w:color w:val="auto"/>
        </w:rPr>
        <w:t>Each grant of deferred shares will be evidenced by an Evidence of Award which specifies the applicable terms and conditions of such award, including any vesting and forfeiture provisions. With respect to awards which vest based only on the passage of time, the vesting period will be no shorter than one year and, with respect to awards which vest only upon the achievement of specified Management Objectives, the performance period will be no shorter than one year. A grant of deferred shares may provide for the earlier lapse or modification of the restriction period, including in the event of the retirement, death or disability of the participant (but in the event of a change in control only on a double trigger basis, as described above). However, no award that is intended to be “qualified performance-based compensation” for purposes of Section 162(m) of the Code will provide for such earlier lapse or modification (other than in connection with the death or disability of the participant or a change in control) to the extent such provisions would cause such award to fail to be qualified performance-based compensation.</w:t>
      </w:r>
    </w:p>
    <w:p>
      <w:pPr>
        <w:spacing w:after="0" w:line="159" w:lineRule="exact"/>
        <w:rPr>
          <w:sz w:val="20"/>
          <w:szCs w:val="20"/>
          <w:color w:val="auto"/>
        </w:rPr>
      </w:pPr>
    </w:p>
    <w:p>
      <w:pPr>
        <w:ind w:right="60"/>
        <w:spacing w:after="0" w:line="243" w:lineRule="auto"/>
        <w:rPr>
          <w:sz w:val="20"/>
          <w:szCs w:val="20"/>
          <w:color w:val="auto"/>
        </w:rPr>
      </w:pPr>
      <w:r>
        <w:rPr>
          <w:rFonts w:ascii="Arial" w:cs="Arial" w:eastAsia="Arial" w:hAnsi="Arial"/>
          <w:sz w:val="17"/>
          <w:szCs w:val="17"/>
          <w:i w:val="1"/>
          <w:iCs w:val="1"/>
          <w:color w:val="auto"/>
        </w:rPr>
        <w:t xml:space="preserve">Performance Shares, Performance Units and Cash Incentive Awards. </w:t>
      </w:r>
      <w:r>
        <w:rPr>
          <w:rFonts w:ascii="Arial" w:cs="Arial" w:eastAsia="Arial" w:hAnsi="Arial"/>
          <w:sz w:val="17"/>
          <w:szCs w:val="17"/>
          <w:color w:val="auto"/>
        </w:rPr>
        <w:t>Performance shares, performance units and cash incentive awards may also be</w:t>
      </w:r>
      <w:r>
        <w:rPr>
          <w:rFonts w:ascii="Arial" w:cs="Arial" w:eastAsia="Arial" w:hAnsi="Arial"/>
          <w:sz w:val="17"/>
          <w:szCs w:val="17"/>
          <w:i w:val="1"/>
          <w:iCs w:val="1"/>
          <w:color w:val="auto"/>
        </w:rPr>
        <w:t xml:space="preserve"> </w:t>
      </w:r>
      <w:r>
        <w:rPr>
          <w:rFonts w:ascii="Arial" w:cs="Arial" w:eastAsia="Arial" w:hAnsi="Arial"/>
          <w:sz w:val="17"/>
          <w:szCs w:val="17"/>
          <w:color w:val="auto"/>
        </w:rPr>
        <w:t>granted to participants under the Amended &amp; Restated 2014 Equity Plan. These awards, when granted under the Amended &amp; Restated 2014 Equity Plan, become payable to participants upon of the achievement of specified management objectives and upon such terms and conditions as the Compensation</w:t>
      </w:r>
    </w:p>
    <w:p>
      <w:pPr>
        <w:spacing w:after="0" w:line="142" w:lineRule="exact"/>
        <w:rPr>
          <w:sz w:val="20"/>
          <w:szCs w:val="20"/>
          <w:color w:val="auto"/>
        </w:rPr>
      </w:pPr>
    </w:p>
    <w:p>
      <w:pPr>
        <w:spacing w:after="0"/>
        <w:rPr>
          <w:sz w:val="20"/>
          <w:szCs w:val="20"/>
          <w:color w:val="auto"/>
        </w:rPr>
      </w:pPr>
      <w:r>
        <w:rPr>
          <w:rFonts w:ascii="Arial" w:cs="Arial" w:eastAsia="Arial" w:hAnsi="Arial"/>
          <w:sz w:val="14"/>
          <w:szCs w:val="14"/>
          <w:color w:val="auto"/>
        </w:rPr>
        <w:t>68</w:t>
      </w:r>
    </w:p>
    <w:p>
      <w:pPr>
        <w:sectPr>
          <w:pgSz w:w="11900" w:h="16838" w:orient="portrait"/>
          <w:cols w:equalWidth="0" w:num="1">
            <w:col w:w="11400"/>
          </w:cols>
          <w:pgMar w:left="240" w:top="459" w:right="259" w:bottom="1440" w:gutter="0" w:footer="0" w:header="0"/>
        </w:sectPr>
      </w:pPr>
    </w:p>
    <w:bookmarkStart w:id="74" w:name="page75"/>
    <w:bookmarkEnd w:id="7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205">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2715260</wp:posOffset>
            </wp:positionH>
            <wp:positionV relativeFrom="paragraph">
              <wp:posOffset>205740</wp:posOffset>
            </wp:positionV>
            <wp:extent cx="1826895" cy="205740"/>
            <wp:wrapNone/>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206">
                      <a:extLst>
                        <a:ext uri="{28A0092B-C50C-407E-A947-70E740481C1C}"/>
                      </a:extLst>
                    </a:blip>
                    <a:srcRect/>
                    <a:stretch>
                      <a:fillRect/>
                    </a:stretch>
                  </pic:blipFill>
                  <pic:spPr bwMode="auto">
                    <a:xfrm>
                      <a:off x="0" y="0"/>
                      <a:ext cx="1826895" cy="20574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70" w:lineRule="exact"/>
        <w:rPr>
          <w:sz w:val="20"/>
          <w:szCs w:val="20"/>
          <w:color w:val="auto"/>
        </w:rPr>
      </w:pPr>
    </w:p>
    <w:p>
      <w:pPr>
        <w:ind w:right="180"/>
        <w:spacing w:after="0" w:line="234" w:lineRule="auto"/>
        <w:rPr>
          <w:sz w:val="20"/>
          <w:szCs w:val="20"/>
          <w:color w:val="auto"/>
        </w:rPr>
      </w:pPr>
      <w:r>
        <w:rPr>
          <w:rFonts w:ascii="Arial" w:cs="Arial" w:eastAsia="Arial" w:hAnsi="Arial"/>
          <w:sz w:val="17"/>
          <w:szCs w:val="17"/>
          <w:color w:val="auto"/>
        </w:rPr>
        <w:t>Committee determines at the time of grant. Each grant will specify the time and manner of payment of cash incentive awards, performance shares or performance units that have been earned, and any grant of performance shares or performance units may further specify that any such amount may be paid or settled by the Company in cash, common shares, restricted shares, restricted stock units, or any combination thereof. The number or amount of performance shares, performance units or cash incentive awards subject to an award may be subject to adjustment to reflect changes in compensation or other factors. However, no such adjustment will be made in the case of an award that is intended be “qualified performance-based compensation” for purposes of Section 162(m) of the Code (other than in connection with the death or disability of the participant or a change in control) where such action would result in the loss of the otherwise available exemption of the award under Section 162(m) of the Code.</w:t>
      </w:r>
    </w:p>
    <w:p>
      <w:pPr>
        <w:spacing w:after="0" w:line="178" w:lineRule="exact"/>
        <w:rPr>
          <w:sz w:val="20"/>
          <w:szCs w:val="20"/>
          <w:color w:val="auto"/>
        </w:rPr>
      </w:pPr>
    </w:p>
    <w:p>
      <w:pPr>
        <w:ind w:right="20"/>
        <w:spacing w:after="0" w:line="235" w:lineRule="auto"/>
        <w:rPr>
          <w:sz w:val="20"/>
          <w:szCs w:val="20"/>
          <w:color w:val="auto"/>
        </w:rPr>
      </w:pPr>
      <w:r>
        <w:rPr>
          <w:rFonts w:ascii="Arial" w:cs="Arial" w:eastAsia="Arial" w:hAnsi="Arial"/>
          <w:sz w:val="17"/>
          <w:szCs w:val="17"/>
          <w:color w:val="auto"/>
        </w:rPr>
        <w:t>Any grant of performance shares may provide for the payment of dividend equivalents in cash or in additional common shares, subject to deferral and payment on a contingent basis, based on the participant’s earning of the performance shares with respect to which such dividend equivalents are paid. The grant of performance shares or performance units will specify that, before the performance shares or performance units will be earned and paid, the Board of Directors must certify in writing that the management objectives have been satisfied. Each grant of performance shares, performance units and cash incentive awards will be evidenced by an Evidence of Award which specifies the applicable terms and conditions of such award, including any vesting (which will be based on a performance period of at least one year) and forfeiture provisions.</w:t>
      </w:r>
    </w:p>
    <w:p>
      <w:pPr>
        <w:spacing w:after="0" w:line="144" w:lineRule="exact"/>
        <w:rPr>
          <w:sz w:val="20"/>
          <w:szCs w:val="20"/>
          <w:color w:val="auto"/>
        </w:rPr>
      </w:pPr>
    </w:p>
    <w:p>
      <w:pPr>
        <w:spacing w:after="0" w:line="234" w:lineRule="auto"/>
        <w:rPr>
          <w:sz w:val="20"/>
          <w:szCs w:val="20"/>
          <w:color w:val="auto"/>
        </w:rPr>
      </w:pPr>
      <w:r>
        <w:rPr>
          <w:rFonts w:ascii="Arial" w:cs="Arial" w:eastAsia="Arial" w:hAnsi="Arial"/>
          <w:sz w:val="17"/>
          <w:szCs w:val="17"/>
          <w:i w:val="1"/>
          <w:iCs w:val="1"/>
          <w:color w:val="auto"/>
        </w:rPr>
        <w:t xml:space="preserve">Other Awards. </w:t>
      </w:r>
      <w:r>
        <w:rPr>
          <w:rFonts w:ascii="Arial" w:cs="Arial" w:eastAsia="Arial" w:hAnsi="Arial"/>
          <w:sz w:val="17"/>
          <w:szCs w:val="17"/>
          <w:color w:val="auto"/>
        </w:rPr>
        <w:t>The Compensation Committee may grant such other awards (“Other Awards”) that may be denominated or payable in, valued in whole</w:t>
      </w:r>
      <w:r>
        <w:rPr>
          <w:rFonts w:ascii="Arial" w:cs="Arial" w:eastAsia="Arial" w:hAnsi="Arial"/>
          <w:sz w:val="17"/>
          <w:szCs w:val="17"/>
          <w:i w:val="1"/>
          <w:iCs w:val="1"/>
          <w:color w:val="auto"/>
        </w:rPr>
        <w:t xml:space="preserve"> </w:t>
      </w:r>
      <w:r>
        <w:rPr>
          <w:rFonts w:ascii="Arial" w:cs="Arial" w:eastAsia="Arial" w:hAnsi="Arial"/>
          <w:sz w:val="17"/>
          <w:szCs w:val="17"/>
          <w:color w:val="auto"/>
        </w:rPr>
        <w:t>or in part by reference to, or otherwise based on, or related to, common shares or factors that may influence the value of such common shares, including, without limitation, convertible or exchangeable debt securities, other rights convertible or exchangeable into common shares, purchase rights for common shares, awards with value and payment contingent upon performance of the Company, its subsidiaries, affiliates or other business units or any other factors designated by the Compensation Committee, and awards valued by reference to the book value of the common shares or the value of securities of, or the performance of the subsidiaries, affiliates or other business units of the Company. The terms and conditions of any such awards will be determined by the Compensation Committee. In addition, the Compensation Committee may grant cash awards, as an element of or supplement to any other awards granted under the Amended &amp; Restated 2014 Equity Plan. Grants of Other Awards will specify the applicable terms and conditions of such award, including any vesting and forfeiture provisions. With respect to awards which vest based only on the passage of time, the vesting period will be no shorter than one year and, with respect to awards which vest only upon the achievement of specified management objectives, the performance period will be no shorter than one year). An other award may provide for the earning or vesting of, or earlier elimination of restrictions applicable to, such award, including in the event of the retirement, death or disability of the participant (or in the event of a change in control only on a double trigger basis). However, no such adjustment will be made in the case of an award that is intended to be “qualified performance-based compensation” for purposes of Section 162(m) of the Code (other than in connection with the death or disability of the participant or a change in control) where such action would result in the loss of the otherwise available exemption of the award under Section 162(m) of the Code.</w:t>
      </w:r>
    </w:p>
    <w:p>
      <w:pPr>
        <w:spacing w:after="0" w:line="153" w:lineRule="exact"/>
        <w:rPr>
          <w:sz w:val="20"/>
          <w:szCs w:val="20"/>
          <w:color w:val="auto"/>
        </w:rPr>
      </w:pPr>
    </w:p>
    <w:p>
      <w:pPr>
        <w:jc w:val="both"/>
        <w:ind w:right="300"/>
        <w:spacing w:after="0" w:line="248" w:lineRule="auto"/>
        <w:rPr>
          <w:sz w:val="20"/>
          <w:szCs w:val="20"/>
          <w:color w:val="auto"/>
        </w:rPr>
      </w:pPr>
      <w:r>
        <w:rPr>
          <w:rFonts w:ascii="Arial" w:cs="Arial" w:eastAsia="Arial" w:hAnsi="Arial"/>
          <w:sz w:val="17"/>
          <w:szCs w:val="17"/>
          <w:i w:val="1"/>
          <w:iCs w:val="1"/>
          <w:color w:val="auto"/>
        </w:rPr>
        <w:t xml:space="preserve">Common Shares. </w:t>
      </w:r>
      <w:r>
        <w:rPr>
          <w:rFonts w:ascii="Arial" w:cs="Arial" w:eastAsia="Arial" w:hAnsi="Arial"/>
          <w:sz w:val="17"/>
          <w:szCs w:val="17"/>
          <w:color w:val="auto"/>
        </w:rPr>
        <w:t>The Board of Directors may, from time to time and upon such terms and conditions as it may determine, authorize the granting of</w:t>
      </w:r>
      <w:r>
        <w:rPr>
          <w:rFonts w:ascii="Arial" w:cs="Arial" w:eastAsia="Arial" w:hAnsi="Arial"/>
          <w:sz w:val="17"/>
          <w:szCs w:val="17"/>
          <w:i w:val="1"/>
          <w:iCs w:val="1"/>
          <w:color w:val="auto"/>
        </w:rPr>
        <w:t xml:space="preserve"> </w:t>
      </w:r>
      <w:r>
        <w:rPr>
          <w:rFonts w:ascii="Arial" w:cs="Arial" w:eastAsia="Arial" w:hAnsi="Arial"/>
          <w:sz w:val="17"/>
          <w:szCs w:val="17"/>
          <w:color w:val="auto"/>
        </w:rPr>
        <w:t>common shares to non-employee members of the Company’s Board of Directors. Grants of Common Shares will be subject only to a restriction on transfer for a period of one year immediately following the date of grant and will bear a legend to that effect.</w:t>
      </w:r>
    </w:p>
    <w:p>
      <w:pPr>
        <w:spacing w:after="0" w:line="148" w:lineRule="exact"/>
        <w:rPr>
          <w:sz w:val="20"/>
          <w:szCs w:val="20"/>
          <w:color w:val="auto"/>
        </w:rPr>
      </w:pPr>
    </w:p>
    <w:p>
      <w:pPr>
        <w:ind w:right="200"/>
        <w:spacing w:after="0" w:line="268" w:lineRule="auto"/>
        <w:rPr>
          <w:sz w:val="20"/>
          <w:szCs w:val="20"/>
          <w:color w:val="auto"/>
        </w:rPr>
      </w:pPr>
      <w:r>
        <w:rPr>
          <w:rFonts w:ascii="Arial" w:cs="Arial" w:eastAsia="Arial" w:hAnsi="Arial"/>
          <w:sz w:val="17"/>
          <w:szCs w:val="17"/>
          <w:b w:val="1"/>
          <w:bCs w:val="1"/>
          <w:color w:val="auto"/>
        </w:rPr>
        <w:t xml:space="preserve">Management Objectives; Qualified Performance Based Awards: </w:t>
      </w:r>
      <w:r>
        <w:rPr>
          <w:rFonts w:ascii="Arial" w:cs="Arial" w:eastAsia="Arial" w:hAnsi="Arial"/>
          <w:sz w:val="17"/>
          <w:szCs w:val="17"/>
          <w:color w:val="auto"/>
        </w:rPr>
        <w:t>The Amended &amp; Restated 2014 Equity Plan permits the Company to grant both</w:t>
      </w:r>
      <w:r>
        <w:rPr>
          <w:rFonts w:ascii="Arial" w:cs="Arial" w:eastAsia="Arial" w:hAnsi="Arial"/>
          <w:sz w:val="17"/>
          <w:szCs w:val="17"/>
          <w:b w:val="1"/>
          <w:bCs w:val="1"/>
          <w:color w:val="auto"/>
        </w:rPr>
        <w:t xml:space="preserve"> </w:t>
      </w:r>
      <w:r>
        <w:rPr>
          <w:rFonts w:ascii="Arial" w:cs="Arial" w:eastAsia="Arial" w:hAnsi="Arial"/>
          <w:sz w:val="17"/>
          <w:szCs w:val="17"/>
          <w:color w:val="auto"/>
        </w:rPr>
        <w:t>awards that are intended to qualify as “qualified performance-based</w:t>
      </w:r>
    </w:p>
    <w:p>
      <w:pPr>
        <w:spacing w:after="0" w:line="121" w:lineRule="exact"/>
        <w:rPr>
          <w:sz w:val="20"/>
          <w:szCs w:val="20"/>
          <w:color w:val="auto"/>
        </w:rPr>
      </w:pPr>
    </w:p>
    <w:p>
      <w:pPr>
        <w:ind w:left="11180"/>
        <w:spacing w:after="0"/>
        <w:rPr>
          <w:sz w:val="20"/>
          <w:szCs w:val="20"/>
          <w:color w:val="auto"/>
        </w:rPr>
      </w:pPr>
      <w:r>
        <w:rPr>
          <w:rFonts w:ascii="Arial" w:cs="Arial" w:eastAsia="Arial" w:hAnsi="Arial"/>
          <w:sz w:val="14"/>
          <w:szCs w:val="14"/>
          <w:color w:val="auto"/>
        </w:rPr>
        <w:t>69</w:t>
      </w:r>
    </w:p>
    <w:p>
      <w:pPr>
        <w:sectPr>
          <w:pgSz w:w="11900" w:h="16838" w:orient="portrait"/>
          <w:cols w:equalWidth="0" w:num="1">
            <w:col w:w="11400"/>
          </w:cols>
          <w:pgMar w:left="240" w:top="459" w:right="259" w:bottom="1440" w:gutter="0" w:footer="0" w:header="0"/>
        </w:sectPr>
      </w:pPr>
    </w:p>
    <w:bookmarkStart w:id="75" w:name="page76"/>
    <w:bookmarkEnd w:id="7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207">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3109595</wp:posOffset>
            </wp:positionH>
            <wp:positionV relativeFrom="paragraph">
              <wp:posOffset>205740</wp:posOffset>
            </wp:positionV>
            <wp:extent cx="1046480" cy="205740"/>
            <wp:wrapNone/>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208">
                      <a:extLst>
                        <a:ext uri="{28A0092B-C50C-407E-A947-70E740481C1C}"/>
                      </a:extLst>
                    </a:blip>
                    <a:srcRect/>
                    <a:stretch>
                      <a:fillRect/>
                    </a:stretch>
                  </pic:blipFill>
                  <pic:spPr bwMode="auto">
                    <a:xfrm>
                      <a:off x="0" y="0"/>
                      <a:ext cx="1046480" cy="20574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70" w:lineRule="exact"/>
        <w:rPr>
          <w:sz w:val="20"/>
          <w:szCs w:val="20"/>
          <w:color w:val="auto"/>
        </w:rPr>
      </w:pPr>
    </w:p>
    <w:p>
      <w:pPr>
        <w:ind w:right="120"/>
        <w:spacing w:after="0" w:line="235" w:lineRule="auto"/>
        <w:rPr>
          <w:sz w:val="20"/>
          <w:szCs w:val="20"/>
          <w:color w:val="auto"/>
        </w:rPr>
      </w:pPr>
      <w:r>
        <w:rPr>
          <w:rFonts w:ascii="Arial" w:cs="Arial" w:eastAsia="Arial" w:hAnsi="Arial"/>
          <w:sz w:val="17"/>
          <w:szCs w:val="17"/>
          <w:color w:val="auto"/>
        </w:rPr>
        <w:t>compensation” under Section 162(m) of the Internal Revenue Code and awards that are not intended to so qualify, and provides that any award may be granted subject to the achievement of specified management objectives. Section 162(m) of the Internal Revenue Code disallows deductions for certain compensation paid to our covered employees in a taxable year to the extent that compensation to a covered employee exceeds $1 million for such year. This deduction limit does not apply to compensation paid under a shareholder-approved plan that meets certain requirements for “qualified performance-based compensation” under Section 162(m) of the Code.</w:t>
      </w:r>
    </w:p>
    <w:p>
      <w:pPr>
        <w:spacing w:after="0" w:line="177" w:lineRule="exact"/>
        <w:rPr>
          <w:sz w:val="20"/>
          <w:szCs w:val="20"/>
          <w:color w:val="auto"/>
        </w:rPr>
      </w:pPr>
    </w:p>
    <w:p>
      <w:pPr>
        <w:spacing w:after="0" w:line="234" w:lineRule="auto"/>
        <w:rPr>
          <w:sz w:val="20"/>
          <w:szCs w:val="20"/>
          <w:color w:val="auto"/>
        </w:rPr>
      </w:pPr>
      <w:r>
        <w:rPr>
          <w:rFonts w:ascii="Arial" w:cs="Arial" w:eastAsia="Arial" w:hAnsi="Arial"/>
          <w:sz w:val="17"/>
          <w:szCs w:val="17"/>
          <w:color w:val="auto"/>
        </w:rPr>
        <w:t>Management objectives are defined as the measurable performance objective or objectives established pursuant to the Amended &amp; Restated 2014 Equity Plan for participants who have received grants of performance shares, performance units or cash incentive awards or, when so determined by the Compensation Committee, option rights, appreciation rights, restricted shares, restricted stock units, deferred shares, dividend equivalents or other awards. Management objectives may be described in terms of Company-wide objectives or objectives that are related to the performance of the individual participant or of one or more of the subsidiaries, divisions, departments, regions, functions or other organizational units within the Company. The management objectives may be made relative to the performance of other companies or subsidiaries, divisions, departments, regions, functions or other organizational units within such other companies, and may be made relative to an index or one or more of the performance objectives themselves.</w:t>
      </w:r>
    </w:p>
    <w:p>
      <w:pPr>
        <w:spacing w:after="0" w:line="163" w:lineRule="exact"/>
        <w:rPr>
          <w:sz w:val="20"/>
          <w:szCs w:val="20"/>
          <w:color w:val="auto"/>
        </w:rPr>
      </w:pPr>
    </w:p>
    <w:p>
      <w:pPr>
        <w:ind w:right="20"/>
        <w:spacing w:after="0" w:line="235" w:lineRule="auto"/>
        <w:rPr>
          <w:sz w:val="20"/>
          <w:szCs w:val="20"/>
          <w:color w:val="auto"/>
        </w:rPr>
      </w:pPr>
      <w:r>
        <w:rPr>
          <w:rFonts w:ascii="Arial" w:cs="Arial" w:eastAsia="Arial" w:hAnsi="Arial"/>
          <w:sz w:val="17"/>
          <w:szCs w:val="17"/>
          <w:color w:val="auto"/>
        </w:rPr>
        <w:t>The Compensation Committee may grant awards subject to management objectives that are either qualified performance-based awards or are not qualified performance-based awards. A qualified performance-based award is any cash incentive award or award of performance shares, performance units, restricted shares, restricted stock units, or Other Awards, granted to certain “covered employees” (as defined in Section 162(m) of the Code) that is intended to satisfy the requirements for “qualified performance-based compensation” under Section 162(m) of the Code. Under the Amended &amp; Restated 2014 Equity Plan, the management objectives applicable to any qualified performance-based award to a covered employee must be based on one or more, or a combination, of the following metrics:</w:t>
      </w:r>
    </w:p>
    <w:p>
      <w:pPr>
        <w:spacing w:after="0" w:line="202" w:lineRule="exact"/>
        <w:rPr>
          <w:sz w:val="20"/>
          <w:szCs w:val="20"/>
          <w:color w:val="auto"/>
        </w:rPr>
      </w:pPr>
    </w:p>
    <w:p>
      <w:pPr>
        <w:ind w:left="220" w:hanging="212"/>
        <w:spacing w:after="0"/>
        <w:tabs>
          <w:tab w:leader="none" w:pos="220" w:val="left"/>
        </w:tabs>
        <w:numPr>
          <w:ilvl w:val="0"/>
          <w:numId w:val="43"/>
        </w:numPr>
        <w:rPr>
          <w:rFonts w:ascii="Arial" w:cs="Arial" w:eastAsia="Arial" w:hAnsi="Arial"/>
          <w:sz w:val="17"/>
          <w:szCs w:val="17"/>
          <w:color w:val="auto"/>
        </w:rPr>
      </w:pPr>
      <w:r>
        <w:rPr>
          <w:rFonts w:ascii="Arial" w:cs="Arial" w:eastAsia="Arial" w:hAnsi="Arial"/>
          <w:sz w:val="17"/>
          <w:szCs w:val="17"/>
          <w:color w:val="auto"/>
        </w:rPr>
        <w:t>cash flow;</w:t>
      </w:r>
    </w:p>
    <w:p>
      <w:pPr>
        <w:spacing w:after="0" w:line="209" w:lineRule="exact"/>
        <w:rPr>
          <w:rFonts w:ascii="Arial" w:cs="Arial" w:eastAsia="Arial" w:hAnsi="Arial"/>
          <w:sz w:val="17"/>
          <w:szCs w:val="17"/>
          <w:color w:val="auto"/>
        </w:rPr>
      </w:pPr>
    </w:p>
    <w:p>
      <w:pPr>
        <w:ind w:left="220" w:hanging="212"/>
        <w:spacing w:after="0"/>
        <w:tabs>
          <w:tab w:leader="none" w:pos="220" w:val="left"/>
        </w:tabs>
        <w:numPr>
          <w:ilvl w:val="0"/>
          <w:numId w:val="43"/>
        </w:numPr>
        <w:rPr>
          <w:rFonts w:ascii="Arial" w:cs="Arial" w:eastAsia="Arial" w:hAnsi="Arial"/>
          <w:sz w:val="17"/>
          <w:szCs w:val="17"/>
          <w:color w:val="auto"/>
        </w:rPr>
      </w:pPr>
      <w:r>
        <w:rPr>
          <w:rFonts w:ascii="Arial" w:cs="Arial" w:eastAsia="Arial" w:hAnsi="Arial"/>
          <w:sz w:val="17"/>
          <w:szCs w:val="17"/>
          <w:color w:val="auto"/>
        </w:rPr>
        <w:t>comparisons with various stock market indices;</w:t>
      </w:r>
    </w:p>
    <w:p>
      <w:pPr>
        <w:spacing w:after="0" w:line="209" w:lineRule="exact"/>
        <w:rPr>
          <w:rFonts w:ascii="Arial" w:cs="Arial" w:eastAsia="Arial" w:hAnsi="Arial"/>
          <w:sz w:val="17"/>
          <w:szCs w:val="17"/>
          <w:color w:val="auto"/>
        </w:rPr>
      </w:pPr>
    </w:p>
    <w:p>
      <w:pPr>
        <w:ind w:left="220" w:hanging="212"/>
        <w:spacing w:after="0"/>
        <w:tabs>
          <w:tab w:leader="none" w:pos="220" w:val="left"/>
        </w:tabs>
        <w:numPr>
          <w:ilvl w:val="0"/>
          <w:numId w:val="43"/>
        </w:numPr>
        <w:rPr>
          <w:rFonts w:ascii="Arial" w:cs="Arial" w:eastAsia="Arial" w:hAnsi="Arial"/>
          <w:sz w:val="17"/>
          <w:szCs w:val="17"/>
          <w:color w:val="auto"/>
        </w:rPr>
      </w:pPr>
      <w:r>
        <w:rPr>
          <w:rFonts w:ascii="Arial" w:cs="Arial" w:eastAsia="Arial" w:hAnsi="Arial"/>
          <w:sz w:val="17"/>
          <w:szCs w:val="17"/>
          <w:color w:val="auto"/>
        </w:rPr>
        <w:t>cost of capital;</w:t>
      </w:r>
    </w:p>
    <w:p>
      <w:pPr>
        <w:spacing w:after="0" w:line="209" w:lineRule="exact"/>
        <w:rPr>
          <w:rFonts w:ascii="Arial" w:cs="Arial" w:eastAsia="Arial" w:hAnsi="Arial"/>
          <w:sz w:val="17"/>
          <w:szCs w:val="17"/>
          <w:color w:val="auto"/>
        </w:rPr>
      </w:pPr>
    </w:p>
    <w:p>
      <w:pPr>
        <w:ind w:left="220" w:hanging="212"/>
        <w:spacing w:after="0"/>
        <w:tabs>
          <w:tab w:leader="none" w:pos="220" w:val="left"/>
        </w:tabs>
        <w:numPr>
          <w:ilvl w:val="0"/>
          <w:numId w:val="43"/>
        </w:numPr>
        <w:rPr>
          <w:rFonts w:ascii="Arial" w:cs="Arial" w:eastAsia="Arial" w:hAnsi="Arial"/>
          <w:sz w:val="17"/>
          <w:szCs w:val="17"/>
          <w:color w:val="auto"/>
        </w:rPr>
      </w:pPr>
      <w:r>
        <w:rPr>
          <w:rFonts w:ascii="Arial" w:cs="Arial" w:eastAsia="Arial" w:hAnsi="Arial"/>
          <w:sz w:val="17"/>
          <w:szCs w:val="17"/>
          <w:color w:val="auto"/>
        </w:rPr>
        <w:t>customer service;</w:t>
      </w:r>
    </w:p>
    <w:p>
      <w:pPr>
        <w:spacing w:after="0" w:line="209" w:lineRule="exact"/>
        <w:rPr>
          <w:rFonts w:ascii="Arial" w:cs="Arial" w:eastAsia="Arial" w:hAnsi="Arial"/>
          <w:sz w:val="17"/>
          <w:szCs w:val="17"/>
          <w:color w:val="auto"/>
        </w:rPr>
      </w:pPr>
    </w:p>
    <w:p>
      <w:pPr>
        <w:ind w:left="220" w:hanging="212"/>
        <w:spacing w:after="0"/>
        <w:tabs>
          <w:tab w:leader="none" w:pos="220" w:val="left"/>
        </w:tabs>
        <w:numPr>
          <w:ilvl w:val="0"/>
          <w:numId w:val="43"/>
        </w:numPr>
        <w:rPr>
          <w:rFonts w:ascii="Arial" w:cs="Arial" w:eastAsia="Arial" w:hAnsi="Arial"/>
          <w:sz w:val="17"/>
          <w:szCs w:val="17"/>
          <w:color w:val="auto"/>
        </w:rPr>
      </w:pPr>
      <w:r>
        <w:rPr>
          <w:rFonts w:ascii="Arial" w:cs="Arial" w:eastAsia="Arial" w:hAnsi="Arial"/>
          <w:sz w:val="17"/>
          <w:szCs w:val="17"/>
          <w:color w:val="auto"/>
        </w:rPr>
        <w:t>debt reduction;</w:t>
      </w:r>
    </w:p>
    <w:p>
      <w:pPr>
        <w:spacing w:after="0" w:line="209" w:lineRule="exact"/>
        <w:rPr>
          <w:rFonts w:ascii="Arial" w:cs="Arial" w:eastAsia="Arial" w:hAnsi="Arial"/>
          <w:sz w:val="17"/>
          <w:szCs w:val="17"/>
          <w:color w:val="auto"/>
        </w:rPr>
      </w:pPr>
    </w:p>
    <w:p>
      <w:pPr>
        <w:ind w:left="220" w:hanging="212"/>
        <w:spacing w:after="0"/>
        <w:tabs>
          <w:tab w:leader="none" w:pos="220" w:val="left"/>
        </w:tabs>
        <w:numPr>
          <w:ilvl w:val="0"/>
          <w:numId w:val="43"/>
        </w:numPr>
        <w:rPr>
          <w:rFonts w:ascii="Arial" w:cs="Arial" w:eastAsia="Arial" w:hAnsi="Arial"/>
          <w:sz w:val="17"/>
          <w:szCs w:val="17"/>
          <w:color w:val="auto"/>
        </w:rPr>
      </w:pPr>
      <w:r>
        <w:rPr>
          <w:rFonts w:ascii="Arial" w:cs="Arial" w:eastAsia="Arial" w:hAnsi="Arial"/>
          <w:sz w:val="17"/>
          <w:szCs w:val="17"/>
          <w:color w:val="auto"/>
        </w:rPr>
        <w:t>earnings;</w:t>
      </w:r>
    </w:p>
    <w:p>
      <w:pPr>
        <w:spacing w:after="0" w:line="209" w:lineRule="exact"/>
        <w:rPr>
          <w:rFonts w:ascii="Arial" w:cs="Arial" w:eastAsia="Arial" w:hAnsi="Arial"/>
          <w:sz w:val="17"/>
          <w:szCs w:val="17"/>
          <w:color w:val="auto"/>
        </w:rPr>
      </w:pPr>
    </w:p>
    <w:p>
      <w:pPr>
        <w:ind w:left="220" w:hanging="212"/>
        <w:spacing w:after="0"/>
        <w:tabs>
          <w:tab w:leader="none" w:pos="220" w:val="left"/>
        </w:tabs>
        <w:numPr>
          <w:ilvl w:val="0"/>
          <w:numId w:val="43"/>
        </w:numPr>
        <w:rPr>
          <w:rFonts w:ascii="Arial" w:cs="Arial" w:eastAsia="Arial" w:hAnsi="Arial"/>
          <w:sz w:val="17"/>
          <w:szCs w:val="17"/>
          <w:color w:val="auto"/>
        </w:rPr>
      </w:pPr>
      <w:r>
        <w:rPr>
          <w:rFonts w:ascii="Arial" w:cs="Arial" w:eastAsia="Arial" w:hAnsi="Arial"/>
          <w:sz w:val="17"/>
          <w:szCs w:val="17"/>
          <w:color w:val="auto"/>
        </w:rPr>
        <w:t>earnings before interest and taxes;</w:t>
      </w:r>
    </w:p>
    <w:p>
      <w:pPr>
        <w:spacing w:after="0" w:line="209" w:lineRule="exact"/>
        <w:rPr>
          <w:rFonts w:ascii="Arial" w:cs="Arial" w:eastAsia="Arial" w:hAnsi="Arial"/>
          <w:sz w:val="17"/>
          <w:szCs w:val="17"/>
          <w:color w:val="auto"/>
        </w:rPr>
      </w:pPr>
    </w:p>
    <w:p>
      <w:pPr>
        <w:ind w:left="220" w:hanging="212"/>
        <w:spacing w:after="0"/>
        <w:tabs>
          <w:tab w:leader="none" w:pos="220" w:val="left"/>
        </w:tabs>
        <w:numPr>
          <w:ilvl w:val="0"/>
          <w:numId w:val="43"/>
        </w:numPr>
        <w:rPr>
          <w:rFonts w:ascii="Arial" w:cs="Arial" w:eastAsia="Arial" w:hAnsi="Arial"/>
          <w:sz w:val="17"/>
          <w:szCs w:val="17"/>
          <w:color w:val="auto"/>
        </w:rPr>
      </w:pPr>
      <w:r>
        <w:rPr>
          <w:rFonts w:ascii="Arial" w:cs="Arial" w:eastAsia="Arial" w:hAnsi="Arial"/>
          <w:sz w:val="17"/>
          <w:szCs w:val="17"/>
          <w:color w:val="auto"/>
        </w:rPr>
        <w:t>earnings before interest, taxes, depreciation and amortization;</w:t>
      </w:r>
    </w:p>
    <w:p>
      <w:pPr>
        <w:spacing w:after="0" w:line="209" w:lineRule="exact"/>
        <w:rPr>
          <w:rFonts w:ascii="Arial" w:cs="Arial" w:eastAsia="Arial" w:hAnsi="Arial"/>
          <w:sz w:val="17"/>
          <w:szCs w:val="17"/>
          <w:color w:val="auto"/>
        </w:rPr>
      </w:pPr>
    </w:p>
    <w:p>
      <w:pPr>
        <w:ind w:left="220" w:hanging="212"/>
        <w:spacing w:after="0"/>
        <w:tabs>
          <w:tab w:leader="none" w:pos="220" w:val="left"/>
        </w:tabs>
        <w:numPr>
          <w:ilvl w:val="0"/>
          <w:numId w:val="43"/>
        </w:numPr>
        <w:rPr>
          <w:rFonts w:ascii="Arial" w:cs="Arial" w:eastAsia="Arial" w:hAnsi="Arial"/>
          <w:sz w:val="17"/>
          <w:szCs w:val="17"/>
          <w:color w:val="auto"/>
        </w:rPr>
      </w:pPr>
      <w:r>
        <w:rPr>
          <w:rFonts w:ascii="Arial" w:cs="Arial" w:eastAsia="Arial" w:hAnsi="Arial"/>
          <w:sz w:val="17"/>
          <w:szCs w:val="17"/>
          <w:color w:val="auto"/>
        </w:rPr>
        <w:t>earnings per share;</w:t>
      </w:r>
    </w:p>
    <w:p>
      <w:pPr>
        <w:spacing w:after="0" w:line="209" w:lineRule="exact"/>
        <w:rPr>
          <w:rFonts w:ascii="Arial" w:cs="Arial" w:eastAsia="Arial" w:hAnsi="Arial"/>
          <w:sz w:val="17"/>
          <w:szCs w:val="17"/>
          <w:color w:val="auto"/>
        </w:rPr>
      </w:pPr>
    </w:p>
    <w:p>
      <w:pPr>
        <w:ind w:left="220" w:hanging="212"/>
        <w:spacing w:after="0"/>
        <w:tabs>
          <w:tab w:leader="none" w:pos="220" w:val="left"/>
        </w:tabs>
        <w:numPr>
          <w:ilvl w:val="0"/>
          <w:numId w:val="43"/>
        </w:numPr>
        <w:rPr>
          <w:rFonts w:ascii="Arial" w:cs="Arial" w:eastAsia="Arial" w:hAnsi="Arial"/>
          <w:sz w:val="17"/>
          <w:szCs w:val="17"/>
          <w:color w:val="auto"/>
        </w:rPr>
      </w:pPr>
      <w:r>
        <w:rPr>
          <w:rFonts w:ascii="Arial" w:cs="Arial" w:eastAsia="Arial" w:hAnsi="Arial"/>
          <w:sz w:val="17"/>
          <w:szCs w:val="17"/>
          <w:color w:val="auto"/>
        </w:rPr>
        <w:t>economic profit;</w:t>
      </w:r>
    </w:p>
    <w:p>
      <w:pPr>
        <w:spacing w:after="0" w:line="209" w:lineRule="exact"/>
        <w:rPr>
          <w:rFonts w:ascii="Arial" w:cs="Arial" w:eastAsia="Arial" w:hAnsi="Arial"/>
          <w:sz w:val="17"/>
          <w:szCs w:val="17"/>
          <w:color w:val="auto"/>
        </w:rPr>
      </w:pPr>
    </w:p>
    <w:p>
      <w:pPr>
        <w:ind w:left="220" w:hanging="212"/>
        <w:spacing w:after="0"/>
        <w:tabs>
          <w:tab w:leader="none" w:pos="220" w:val="left"/>
        </w:tabs>
        <w:numPr>
          <w:ilvl w:val="0"/>
          <w:numId w:val="43"/>
        </w:numPr>
        <w:rPr>
          <w:rFonts w:ascii="Arial" w:cs="Arial" w:eastAsia="Arial" w:hAnsi="Arial"/>
          <w:sz w:val="17"/>
          <w:szCs w:val="17"/>
          <w:color w:val="auto"/>
        </w:rPr>
      </w:pPr>
      <w:r>
        <w:rPr>
          <w:rFonts w:ascii="Arial" w:cs="Arial" w:eastAsia="Arial" w:hAnsi="Arial"/>
          <w:sz w:val="17"/>
          <w:szCs w:val="17"/>
          <w:color w:val="auto"/>
        </w:rPr>
        <w:t>free cash flow;</w:t>
      </w:r>
    </w:p>
    <w:p>
      <w:pPr>
        <w:spacing w:after="0" w:line="209" w:lineRule="exact"/>
        <w:rPr>
          <w:rFonts w:ascii="Arial" w:cs="Arial" w:eastAsia="Arial" w:hAnsi="Arial"/>
          <w:sz w:val="17"/>
          <w:szCs w:val="17"/>
          <w:color w:val="auto"/>
        </w:rPr>
      </w:pPr>
    </w:p>
    <w:p>
      <w:pPr>
        <w:ind w:left="220" w:hanging="212"/>
        <w:spacing w:after="0"/>
        <w:tabs>
          <w:tab w:leader="none" w:pos="220" w:val="left"/>
        </w:tabs>
        <w:numPr>
          <w:ilvl w:val="0"/>
          <w:numId w:val="43"/>
        </w:numPr>
        <w:rPr>
          <w:rFonts w:ascii="Arial" w:cs="Arial" w:eastAsia="Arial" w:hAnsi="Arial"/>
          <w:sz w:val="17"/>
          <w:szCs w:val="17"/>
          <w:color w:val="auto"/>
        </w:rPr>
      </w:pPr>
      <w:r>
        <w:rPr>
          <w:rFonts w:ascii="Arial" w:cs="Arial" w:eastAsia="Arial" w:hAnsi="Arial"/>
          <w:sz w:val="17"/>
          <w:szCs w:val="17"/>
          <w:color w:val="auto"/>
        </w:rPr>
        <w:t>gross profits;</w:t>
      </w:r>
    </w:p>
    <w:p>
      <w:pPr>
        <w:spacing w:after="0" w:line="153" w:lineRule="exact"/>
        <w:rPr>
          <w:sz w:val="20"/>
          <w:szCs w:val="20"/>
          <w:color w:val="auto"/>
        </w:rPr>
      </w:pPr>
    </w:p>
    <w:p>
      <w:pPr>
        <w:spacing w:after="0"/>
        <w:rPr>
          <w:sz w:val="20"/>
          <w:szCs w:val="20"/>
          <w:color w:val="auto"/>
        </w:rPr>
      </w:pPr>
      <w:r>
        <w:rPr>
          <w:rFonts w:ascii="Arial" w:cs="Arial" w:eastAsia="Arial" w:hAnsi="Arial"/>
          <w:sz w:val="14"/>
          <w:szCs w:val="14"/>
          <w:color w:val="auto"/>
        </w:rPr>
        <w:t>70</w:t>
      </w:r>
    </w:p>
    <w:p>
      <w:pPr>
        <w:sectPr>
          <w:pgSz w:w="11900" w:h="16838" w:orient="portrait"/>
          <w:cols w:equalWidth="0" w:num="1">
            <w:col w:w="11400"/>
          </w:cols>
          <w:pgMar w:left="240" w:top="459" w:right="259" w:bottom="1440" w:gutter="0" w:footer="0" w:header="0"/>
        </w:sectPr>
      </w:pPr>
    </w:p>
    <w:bookmarkStart w:id="76" w:name="page77"/>
    <w:bookmarkEnd w:id="7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209">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2715260</wp:posOffset>
            </wp:positionH>
            <wp:positionV relativeFrom="paragraph">
              <wp:posOffset>205740</wp:posOffset>
            </wp:positionV>
            <wp:extent cx="1826895" cy="205740"/>
            <wp:wrapNone/>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210">
                      <a:extLst>
                        <a:ext uri="{28A0092B-C50C-407E-A947-70E740481C1C}"/>
                      </a:extLst>
                    </a:blip>
                    <a:srcRect/>
                    <a:stretch>
                      <a:fillRect/>
                    </a:stretch>
                  </pic:blipFill>
                  <pic:spPr bwMode="auto">
                    <a:xfrm>
                      <a:off x="0" y="0"/>
                      <a:ext cx="1826895" cy="20574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7" w:lineRule="exact"/>
        <w:rPr>
          <w:sz w:val="20"/>
          <w:szCs w:val="20"/>
          <w:color w:val="auto"/>
        </w:rPr>
      </w:pPr>
    </w:p>
    <w:p>
      <w:pPr>
        <w:ind w:left="220" w:hanging="212"/>
        <w:spacing w:after="0"/>
        <w:tabs>
          <w:tab w:leader="none" w:pos="220" w:val="left"/>
        </w:tabs>
        <w:numPr>
          <w:ilvl w:val="0"/>
          <w:numId w:val="44"/>
        </w:numPr>
        <w:rPr>
          <w:rFonts w:ascii="Arial" w:cs="Arial" w:eastAsia="Arial" w:hAnsi="Arial"/>
          <w:sz w:val="17"/>
          <w:szCs w:val="17"/>
          <w:color w:val="auto"/>
        </w:rPr>
      </w:pPr>
      <w:r>
        <w:rPr>
          <w:rFonts w:ascii="Arial" w:cs="Arial" w:eastAsia="Arial" w:hAnsi="Arial"/>
          <w:sz w:val="17"/>
          <w:szCs w:val="17"/>
          <w:color w:val="auto"/>
        </w:rPr>
        <w:t>inventory management;</w:t>
      </w:r>
    </w:p>
    <w:p>
      <w:pPr>
        <w:spacing w:after="0" w:line="209" w:lineRule="exact"/>
        <w:rPr>
          <w:rFonts w:ascii="Arial" w:cs="Arial" w:eastAsia="Arial" w:hAnsi="Arial"/>
          <w:sz w:val="17"/>
          <w:szCs w:val="17"/>
          <w:color w:val="auto"/>
        </w:rPr>
      </w:pPr>
    </w:p>
    <w:p>
      <w:pPr>
        <w:ind w:left="220" w:hanging="212"/>
        <w:spacing w:after="0"/>
        <w:tabs>
          <w:tab w:leader="none" w:pos="220" w:val="left"/>
        </w:tabs>
        <w:numPr>
          <w:ilvl w:val="0"/>
          <w:numId w:val="44"/>
        </w:numPr>
        <w:rPr>
          <w:rFonts w:ascii="Arial" w:cs="Arial" w:eastAsia="Arial" w:hAnsi="Arial"/>
          <w:sz w:val="17"/>
          <w:szCs w:val="17"/>
          <w:color w:val="auto"/>
        </w:rPr>
      </w:pPr>
      <w:r>
        <w:rPr>
          <w:rFonts w:ascii="Arial" w:cs="Arial" w:eastAsia="Arial" w:hAnsi="Arial"/>
          <w:sz w:val="17"/>
          <w:szCs w:val="17"/>
          <w:color w:val="auto"/>
        </w:rPr>
        <w:t>net income;</w:t>
      </w:r>
    </w:p>
    <w:p>
      <w:pPr>
        <w:spacing w:after="0" w:line="209" w:lineRule="exact"/>
        <w:rPr>
          <w:rFonts w:ascii="Arial" w:cs="Arial" w:eastAsia="Arial" w:hAnsi="Arial"/>
          <w:sz w:val="17"/>
          <w:szCs w:val="17"/>
          <w:color w:val="auto"/>
        </w:rPr>
      </w:pPr>
    </w:p>
    <w:p>
      <w:pPr>
        <w:ind w:left="220" w:hanging="212"/>
        <w:spacing w:after="0"/>
        <w:tabs>
          <w:tab w:leader="none" w:pos="220" w:val="left"/>
        </w:tabs>
        <w:numPr>
          <w:ilvl w:val="0"/>
          <w:numId w:val="44"/>
        </w:numPr>
        <w:rPr>
          <w:rFonts w:ascii="Arial" w:cs="Arial" w:eastAsia="Arial" w:hAnsi="Arial"/>
          <w:sz w:val="17"/>
          <w:szCs w:val="17"/>
          <w:color w:val="auto"/>
        </w:rPr>
      </w:pPr>
      <w:r>
        <w:rPr>
          <w:rFonts w:ascii="Arial" w:cs="Arial" w:eastAsia="Arial" w:hAnsi="Arial"/>
          <w:sz w:val="17"/>
          <w:szCs w:val="17"/>
          <w:color w:val="auto"/>
        </w:rPr>
        <w:t>productivity improvement;</w:t>
      </w:r>
    </w:p>
    <w:p>
      <w:pPr>
        <w:spacing w:after="0" w:line="209" w:lineRule="exact"/>
        <w:rPr>
          <w:rFonts w:ascii="Arial" w:cs="Arial" w:eastAsia="Arial" w:hAnsi="Arial"/>
          <w:sz w:val="17"/>
          <w:szCs w:val="17"/>
          <w:color w:val="auto"/>
        </w:rPr>
      </w:pPr>
    </w:p>
    <w:p>
      <w:pPr>
        <w:ind w:left="220" w:hanging="212"/>
        <w:spacing w:after="0"/>
        <w:tabs>
          <w:tab w:leader="none" w:pos="220" w:val="left"/>
        </w:tabs>
        <w:numPr>
          <w:ilvl w:val="0"/>
          <w:numId w:val="44"/>
        </w:numPr>
        <w:rPr>
          <w:rFonts w:ascii="Arial" w:cs="Arial" w:eastAsia="Arial" w:hAnsi="Arial"/>
          <w:sz w:val="17"/>
          <w:szCs w:val="17"/>
          <w:color w:val="auto"/>
        </w:rPr>
      </w:pPr>
      <w:r>
        <w:rPr>
          <w:rFonts w:ascii="Arial" w:cs="Arial" w:eastAsia="Arial" w:hAnsi="Arial"/>
          <w:sz w:val="17"/>
          <w:szCs w:val="17"/>
          <w:color w:val="auto"/>
        </w:rPr>
        <w:t>profit after tax;</w:t>
      </w:r>
    </w:p>
    <w:p>
      <w:pPr>
        <w:spacing w:after="0" w:line="209" w:lineRule="exact"/>
        <w:rPr>
          <w:rFonts w:ascii="Arial" w:cs="Arial" w:eastAsia="Arial" w:hAnsi="Arial"/>
          <w:sz w:val="17"/>
          <w:szCs w:val="17"/>
          <w:color w:val="auto"/>
        </w:rPr>
      </w:pPr>
    </w:p>
    <w:p>
      <w:pPr>
        <w:ind w:left="220" w:hanging="212"/>
        <w:spacing w:after="0"/>
        <w:tabs>
          <w:tab w:leader="none" w:pos="220" w:val="left"/>
        </w:tabs>
        <w:numPr>
          <w:ilvl w:val="0"/>
          <w:numId w:val="44"/>
        </w:numPr>
        <w:rPr>
          <w:rFonts w:ascii="Arial" w:cs="Arial" w:eastAsia="Arial" w:hAnsi="Arial"/>
          <w:sz w:val="17"/>
          <w:szCs w:val="17"/>
          <w:color w:val="auto"/>
        </w:rPr>
      </w:pPr>
      <w:r>
        <w:rPr>
          <w:rFonts w:ascii="Arial" w:cs="Arial" w:eastAsia="Arial" w:hAnsi="Arial"/>
          <w:sz w:val="17"/>
          <w:szCs w:val="17"/>
          <w:color w:val="auto"/>
        </w:rPr>
        <w:t>reduction of fixed costs;</w:t>
      </w:r>
    </w:p>
    <w:p>
      <w:pPr>
        <w:spacing w:after="0" w:line="209" w:lineRule="exact"/>
        <w:rPr>
          <w:rFonts w:ascii="Arial" w:cs="Arial" w:eastAsia="Arial" w:hAnsi="Arial"/>
          <w:sz w:val="17"/>
          <w:szCs w:val="17"/>
          <w:color w:val="auto"/>
        </w:rPr>
      </w:pPr>
    </w:p>
    <w:p>
      <w:pPr>
        <w:ind w:left="220" w:hanging="212"/>
        <w:spacing w:after="0"/>
        <w:tabs>
          <w:tab w:leader="none" w:pos="220" w:val="left"/>
        </w:tabs>
        <w:numPr>
          <w:ilvl w:val="0"/>
          <w:numId w:val="44"/>
        </w:numPr>
        <w:rPr>
          <w:rFonts w:ascii="Arial" w:cs="Arial" w:eastAsia="Arial" w:hAnsi="Arial"/>
          <w:sz w:val="17"/>
          <w:szCs w:val="17"/>
          <w:color w:val="auto"/>
        </w:rPr>
      </w:pPr>
      <w:r>
        <w:rPr>
          <w:rFonts w:ascii="Arial" w:cs="Arial" w:eastAsia="Arial" w:hAnsi="Arial"/>
          <w:sz w:val="17"/>
          <w:szCs w:val="17"/>
          <w:color w:val="auto"/>
        </w:rPr>
        <w:t>return on assets;</w:t>
      </w:r>
    </w:p>
    <w:p>
      <w:pPr>
        <w:spacing w:after="0" w:line="209" w:lineRule="exact"/>
        <w:rPr>
          <w:rFonts w:ascii="Arial" w:cs="Arial" w:eastAsia="Arial" w:hAnsi="Arial"/>
          <w:sz w:val="17"/>
          <w:szCs w:val="17"/>
          <w:color w:val="auto"/>
        </w:rPr>
      </w:pPr>
    </w:p>
    <w:p>
      <w:pPr>
        <w:ind w:left="220" w:hanging="212"/>
        <w:spacing w:after="0"/>
        <w:tabs>
          <w:tab w:leader="none" w:pos="220" w:val="left"/>
        </w:tabs>
        <w:numPr>
          <w:ilvl w:val="0"/>
          <w:numId w:val="44"/>
        </w:numPr>
        <w:rPr>
          <w:rFonts w:ascii="Arial" w:cs="Arial" w:eastAsia="Arial" w:hAnsi="Arial"/>
          <w:sz w:val="17"/>
          <w:szCs w:val="17"/>
          <w:color w:val="auto"/>
        </w:rPr>
      </w:pPr>
      <w:r>
        <w:rPr>
          <w:rFonts w:ascii="Arial" w:cs="Arial" w:eastAsia="Arial" w:hAnsi="Arial"/>
          <w:sz w:val="17"/>
          <w:szCs w:val="17"/>
          <w:color w:val="auto"/>
        </w:rPr>
        <w:t>return on equity;</w:t>
      </w:r>
    </w:p>
    <w:p>
      <w:pPr>
        <w:spacing w:after="0" w:line="209" w:lineRule="exact"/>
        <w:rPr>
          <w:rFonts w:ascii="Arial" w:cs="Arial" w:eastAsia="Arial" w:hAnsi="Arial"/>
          <w:sz w:val="17"/>
          <w:szCs w:val="17"/>
          <w:color w:val="auto"/>
        </w:rPr>
      </w:pPr>
    </w:p>
    <w:p>
      <w:pPr>
        <w:ind w:left="220" w:hanging="212"/>
        <w:spacing w:after="0"/>
        <w:tabs>
          <w:tab w:leader="none" w:pos="220" w:val="left"/>
        </w:tabs>
        <w:numPr>
          <w:ilvl w:val="0"/>
          <w:numId w:val="44"/>
        </w:numPr>
        <w:rPr>
          <w:rFonts w:ascii="Arial" w:cs="Arial" w:eastAsia="Arial" w:hAnsi="Arial"/>
          <w:sz w:val="17"/>
          <w:szCs w:val="17"/>
          <w:color w:val="auto"/>
        </w:rPr>
      </w:pPr>
      <w:r>
        <w:rPr>
          <w:rFonts w:ascii="Arial" w:cs="Arial" w:eastAsia="Arial" w:hAnsi="Arial"/>
          <w:sz w:val="17"/>
          <w:szCs w:val="17"/>
          <w:color w:val="auto"/>
        </w:rPr>
        <w:t>return on invested capital;</w:t>
      </w:r>
    </w:p>
    <w:p>
      <w:pPr>
        <w:spacing w:after="0" w:line="209" w:lineRule="exact"/>
        <w:rPr>
          <w:rFonts w:ascii="Arial" w:cs="Arial" w:eastAsia="Arial" w:hAnsi="Arial"/>
          <w:sz w:val="17"/>
          <w:szCs w:val="17"/>
          <w:color w:val="auto"/>
        </w:rPr>
      </w:pPr>
    </w:p>
    <w:p>
      <w:pPr>
        <w:ind w:left="220" w:hanging="212"/>
        <w:spacing w:after="0"/>
        <w:tabs>
          <w:tab w:leader="none" w:pos="220" w:val="left"/>
        </w:tabs>
        <w:numPr>
          <w:ilvl w:val="0"/>
          <w:numId w:val="44"/>
        </w:numPr>
        <w:rPr>
          <w:rFonts w:ascii="Arial" w:cs="Arial" w:eastAsia="Arial" w:hAnsi="Arial"/>
          <w:sz w:val="17"/>
          <w:szCs w:val="17"/>
          <w:color w:val="auto"/>
        </w:rPr>
      </w:pPr>
      <w:r>
        <w:rPr>
          <w:rFonts w:ascii="Arial" w:cs="Arial" w:eastAsia="Arial" w:hAnsi="Arial"/>
          <w:sz w:val="17"/>
          <w:szCs w:val="17"/>
          <w:color w:val="auto"/>
        </w:rPr>
        <w:t>sales;</w:t>
      </w:r>
    </w:p>
    <w:p>
      <w:pPr>
        <w:spacing w:after="0" w:line="209" w:lineRule="exact"/>
        <w:rPr>
          <w:rFonts w:ascii="Arial" w:cs="Arial" w:eastAsia="Arial" w:hAnsi="Arial"/>
          <w:sz w:val="17"/>
          <w:szCs w:val="17"/>
          <w:color w:val="auto"/>
        </w:rPr>
      </w:pPr>
    </w:p>
    <w:p>
      <w:pPr>
        <w:ind w:left="220" w:hanging="212"/>
        <w:spacing w:after="0"/>
        <w:tabs>
          <w:tab w:leader="none" w:pos="220" w:val="left"/>
        </w:tabs>
        <w:numPr>
          <w:ilvl w:val="0"/>
          <w:numId w:val="44"/>
        </w:numPr>
        <w:rPr>
          <w:rFonts w:ascii="Arial" w:cs="Arial" w:eastAsia="Arial" w:hAnsi="Arial"/>
          <w:sz w:val="17"/>
          <w:szCs w:val="17"/>
          <w:color w:val="auto"/>
        </w:rPr>
      </w:pPr>
      <w:r>
        <w:rPr>
          <w:rFonts w:ascii="Arial" w:cs="Arial" w:eastAsia="Arial" w:hAnsi="Arial"/>
          <w:sz w:val="17"/>
          <w:szCs w:val="17"/>
          <w:color w:val="auto"/>
        </w:rPr>
        <w:t>shareholder return; and/or</w:t>
      </w:r>
    </w:p>
    <w:p>
      <w:pPr>
        <w:spacing w:after="0" w:line="209" w:lineRule="exact"/>
        <w:rPr>
          <w:rFonts w:ascii="Arial" w:cs="Arial" w:eastAsia="Arial" w:hAnsi="Arial"/>
          <w:sz w:val="17"/>
          <w:szCs w:val="17"/>
          <w:color w:val="auto"/>
        </w:rPr>
      </w:pPr>
    </w:p>
    <w:p>
      <w:pPr>
        <w:ind w:left="220" w:hanging="212"/>
        <w:spacing w:after="0"/>
        <w:tabs>
          <w:tab w:leader="none" w:pos="220" w:val="left"/>
        </w:tabs>
        <w:numPr>
          <w:ilvl w:val="0"/>
          <w:numId w:val="44"/>
        </w:numPr>
        <w:rPr>
          <w:rFonts w:ascii="Arial" w:cs="Arial" w:eastAsia="Arial" w:hAnsi="Arial"/>
          <w:sz w:val="17"/>
          <w:szCs w:val="17"/>
          <w:color w:val="auto"/>
        </w:rPr>
      </w:pPr>
      <w:r>
        <w:rPr>
          <w:rFonts w:ascii="Arial" w:cs="Arial" w:eastAsia="Arial" w:hAnsi="Arial"/>
          <w:sz w:val="17"/>
          <w:szCs w:val="17"/>
          <w:color w:val="auto"/>
        </w:rPr>
        <w:t>working capital.</w:t>
      </w:r>
    </w:p>
    <w:p>
      <w:pPr>
        <w:spacing w:after="0" w:line="183" w:lineRule="exact"/>
        <w:rPr>
          <w:sz w:val="20"/>
          <w:szCs w:val="20"/>
          <w:color w:val="auto"/>
        </w:rPr>
      </w:pPr>
    </w:p>
    <w:p>
      <w:pPr>
        <w:spacing w:after="0" w:line="234" w:lineRule="auto"/>
        <w:rPr>
          <w:sz w:val="20"/>
          <w:szCs w:val="20"/>
          <w:color w:val="auto"/>
        </w:rPr>
      </w:pPr>
      <w:r>
        <w:rPr>
          <w:rFonts w:ascii="Arial" w:cs="Arial" w:eastAsia="Arial" w:hAnsi="Arial"/>
          <w:sz w:val="17"/>
          <w:szCs w:val="17"/>
          <w:color w:val="auto"/>
        </w:rPr>
        <w:t>Additionally, for a qualified performance-based award, each such management objective must be objectively determinable to the extent required under Section 162(m) of the Code and, unless otherwise determined by the Compensation Committee and to the extent consistent with Section 162(m) of the Code, must exclude the effects of certain designated items identified at the time of grant. If the Compensation Committee determines that a change in the business, operations, corporate structure or capital structure of the Company, or the manner in which it conducts its business, or other events or circumstances render the management objectives unsuitable, the Compensation Committee may, in its discretion, modify such management objectives or the related minimum acceptable level of achievement, in whole or in part, as the Compensation Committee deems appropriate and equitable, except in the case of a qualified performance-based award (other than in connection with a change in control of the Company) where such action would result in the loss of the otherwise available exemption of the award under Section 162(m) of the Code. In such case, the Compensation Committee will not make any modification of the management objectives or minimum acceptable level of achievement with respect to such covered employee.</w:t>
      </w:r>
    </w:p>
    <w:p>
      <w:pPr>
        <w:spacing w:after="0" w:line="142" w:lineRule="exact"/>
        <w:rPr>
          <w:sz w:val="20"/>
          <w:szCs w:val="20"/>
          <w:color w:val="auto"/>
        </w:rPr>
      </w:pPr>
    </w:p>
    <w:p>
      <w:pPr>
        <w:ind w:right="20"/>
        <w:spacing w:after="0" w:line="238" w:lineRule="auto"/>
        <w:rPr>
          <w:sz w:val="20"/>
          <w:szCs w:val="20"/>
          <w:color w:val="auto"/>
        </w:rPr>
      </w:pPr>
      <w:r>
        <w:rPr>
          <w:rFonts w:ascii="Arial" w:cs="Arial" w:eastAsia="Arial" w:hAnsi="Arial"/>
          <w:sz w:val="17"/>
          <w:szCs w:val="17"/>
          <w:b w:val="1"/>
          <w:bCs w:val="1"/>
          <w:color w:val="auto"/>
        </w:rPr>
        <w:t xml:space="preserve">Transferability of Awards: </w:t>
      </w:r>
      <w:r>
        <w:rPr>
          <w:rFonts w:ascii="Arial" w:cs="Arial" w:eastAsia="Arial" w:hAnsi="Arial"/>
          <w:sz w:val="17"/>
          <w:szCs w:val="17"/>
          <w:color w:val="auto"/>
        </w:rPr>
        <w:t>No option right, appreciation right or other derivative security (as that term is used in Rule 16b-3 under the Exchange Act)</w:t>
      </w:r>
      <w:r>
        <w:rPr>
          <w:rFonts w:ascii="Arial" w:cs="Arial" w:eastAsia="Arial" w:hAnsi="Arial"/>
          <w:sz w:val="17"/>
          <w:szCs w:val="17"/>
          <w:b w:val="1"/>
          <w:bCs w:val="1"/>
          <w:color w:val="auto"/>
        </w:rPr>
        <w:t xml:space="preserve"> </w:t>
      </w:r>
      <w:r>
        <w:rPr>
          <w:rFonts w:ascii="Arial" w:cs="Arial" w:eastAsia="Arial" w:hAnsi="Arial"/>
          <w:sz w:val="17"/>
          <w:szCs w:val="17"/>
          <w:color w:val="auto"/>
        </w:rPr>
        <w:t>awarded under the Amended &amp; Restated 2014 Equity Plan may be transferred by a participant other than by will or the laws of descent and distribution. Option rights and appreciation rights will be exercisable during a participant’s lifetime only by the participant or, in the event of the participant’s legal incapacity, by his guardian or legal representative acting in a fiduciary capacity on behalf of the participant under state law and/or court supervision. Notwithstanding the foregoing, the Compensation Committee, in its sole discretion, may provide for the transferability of option rights or appreciation rights under the Amended &amp; Restated 2014 Equity Plan, provided that no awards granted under the plan may be transferred in exchange for value or consideration.</w:t>
      </w:r>
    </w:p>
    <w:p>
      <w:pPr>
        <w:spacing w:after="0" w:line="142" w:lineRule="exact"/>
        <w:rPr>
          <w:sz w:val="20"/>
          <w:szCs w:val="20"/>
          <w:color w:val="auto"/>
        </w:rPr>
      </w:pPr>
    </w:p>
    <w:p>
      <w:pPr>
        <w:ind w:right="140"/>
        <w:spacing w:after="0" w:line="244" w:lineRule="auto"/>
        <w:rPr>
          <w:sz w:val="20"/>
          <w:szCs w:val="20"/>
          <w:color w:val="auto"/>
        </w:rPr>
      </w:pPr>
      <w:r>
        <w:rPr>
          <w:rFonts w:ascii="Arial" w:cs="Arial" w:eastAsia="Arial" w:hAnsi="Arial"/>
          <w:sz w:val="17"/>
          <w:szCs w:val="17"/>
          <w:b w:val="1"/>
          <w:bCs w:val="1"/>
          <w:color w:val="auto"/>
        </w:rPr>
        <w:t xml:space="preserve">Adjustments; Corporate Transactions: </w:t>
      </w:r>
      <w:r>
        <w:rPr>
          <w:rFonts w:ascii="Arial" w:cs="Arial" w:eastAsia="Arial" w:hAnsi="Arial"/>
          <w:sz w:val="17"/>
          <w:szCs w:val="17"/>
          <w:color w:val="auto"/>
        </w:rPr>
        <w:t>The Compensation Committee will make or provide for such adjustments in the: (i) number of common</w:t>
      </w:r>
      <w:r>
        <w:rPr>
          <w:rFonts w:ascii="Arial" w:cs="Arial" w:eastAsia="Arial" w:hAnsi="Arial"/>
          <w:sz w:val="17"/>
          <w:szCs w:val="17"/>
          <w:b w:val="1"/>
          <w:bCs w:val="1"/>
          <w:color w:val="auto"/>
        </w:rPr>
        <w:t xml:space="preserve"> </w:t>
      </w:r>
      <w:r>
        <w:rPr>
          <w:rFonts w:ascii="Arial" w:cs="Arial" w:eastAsia="Arial" w:hAnsi="Arial"/>
          <w:sz w:val="17"/>
          <w:szCs w:val="17"/>
          <w:color w:val="auto"/>
        </w:rPr>
        <w:t>shares or number of common shares covered by outstanding option rights, appreciation rights, restricted shares, restricted stock units, deferred shares, performance shares and performance units granted under the Amended &amp; Restated 2014 Equity Plan; (ii) prices per share applicable to such option rights and</w:t>
      </w:r>
    </w:p>
    <w:p>
      <w:pPr>
        <w:spacing w:after="0" w:line="141" w:lineRule="exact"/>
        <w:rPr>
          <w:sz w:val="20"/>
          <w:szCs w:val="20"/>
          <w:color w:val="auto"/>
        </w:rPr>
      </w:pPr>
    </w:p>
    <w:p>
      <w:pPr>
        <w:ind w:left="11180"/>
        <w:spacing w:after="0"/>
        <w:rPr>
          <w:sz w:val="20"/>
          <w:szCs w:val="20"/>
          <w:color w:val="auto"/>
        </w:rPr>
      </w:pPr>
      <w:r>
        <w:rPr>
          <w:rFonts w:ascii="Arial" w:cs="Arial" w:eastAsia="Arial" w:hAnsi="Arial"/>
          <w:sz w:val="14"/>
          <w:szCs w:val="14"/>
          <w:color w:val="auto"/>
        </w:rPr>
        <w:t>71</w:t>
      </w:r>
    </w:p>
    <w:p>
      <w:pPr>
        <w:sectPr>
          <w:pgSz w:w="11900" w:h="16838" w:orient="portrait"/>
          <w:cols w:equalWidth="0" w:num="1">
            <w:col w:w="11400"/>
          </w:cols>
          <w:pgMar w:left="240" w:top="459" w:right="259" w:bottom="1440" w:gutter="0" w:footer="0" w:header="0"/>
        </w:sectPr>
      </w:pPr>
    </w:p>
    <w:bookmarkStart w:id="77" w:name="page78"/>
    <w:bookmarkEnd w:id="7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211">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3109595</wp:posOffset>
            </wp:positionH>
            <wp:positionV relativeFrom="paragraph">
              <wp:posOffset>205740</wp:posOffset>
            </wp:positionV>
            <wp:extent cx="1046480" cy="205740"/>
            <wp:wrapNone/>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212">
                      <a:extLst>
                        <a:ext uri="{28A0092B-C50C-407E-A947-70E740481C1C}"/>
                      </a:extLst>
                    </a:blip>
                    <a:srcRect/>
                    <a:stretch>
                      <a:fillRect/>
                    </a:stretch>
                  </pic:blipFill>
                  <pic:spPr bwMode="auto">
                    <a:xfrm>
                      <a:off x="0" y="0"/>
                      <a:ext cx="1046480" cy="20574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70" w:lineRule="exact"/>
        <w:rPr>
          <w:sz w:val="20"/>
          <w:szCs w:val="20"/>
          <w:color w:val="auto"/>
        </w:rPr>
      </w:pPr>
    </w:p>
    <w:p>
      <w:pPr>
        <w:ind w:right="160"/>
        <w:spacing w:after="0" w:line="232" w:lineRule="auto"/>
        <w:rPr>
          <w:sz w:val="20"/>
          <w:szCs w:val="20"/>
          <w:color w:val="auto"/>
        </w:rPr>
      </w:pPr>
      <w:r>
        <w:rPr>
          <w:rFonts w:ascii="Arial" w:cs="Arial" w:eastAsia="Arial" w:hAnsi="Arial"/>
          <w:sz w:val="17"/>
          <w:szCs w:val="17"/>
          <w:color w:val="auto"/>
        </w:rPr>
        <w:t>appreciation rights; (iii) if applicable, number of common shares covered by Other Awards granted pursuant to the Amended &amp; Restated 2014 Equity Plan; (iv) kind of shares (including shares of another issuer) covered thereby; and (v) cash incentive awards, as the Compensation Committee in its sole discretion in good faith determines to be equitably required in order to prevent dilution or enlargement of the rights of participants that otherwise would result from (x) any stock dividend, stock split, combination of shares, recapitalization or other change in the capital structure of the Company,</w:t>
      </w:r>
    </w:p>
    <w:p>
      <w:pPr>
        <w:ind w:right="80" w:firstLine="8"/>
        <w:spacing w:after="0" w:line="243" w:lineRule="auto"/>
        <w:tabs>
          <w:tab w:leader="none" w:pos="247" w:val="left"/>
        </w:tabs>
        <w:numPr>
          <w:ilvl w:val="0"/>
          <w:numId w:val="45"/>
        </w:numPr>
        <w:rPr>
          <w:rFonts w:ascii="Arial" w:cs="Arial" w:eastAsia="Arial" w:hAnsi="Arial"/>
          <w:sz w:val="17"/>
          <w:szCs w:val="17"/>
          <w:color w:val="auto"/>
        </w:rPr>
      </w:pPr>
      <w:r>
        <w:rPr>
          <w:rFonts w:ascii="Arial" w:cs="Arial" w:eastAsia="Arial" w:hAnsi="Arial"/>
          <w:sz w:val="17"/>
          <w:szCs w:val="17"/>
          <w:color w:val="auto"/>
        </w:rPr>
        <w:t>any merger, consolidation, spinoff, spin-out, split-off, split-up, reorganization, partial or complete liquidation or other distribution of assets, issuance of rights or warrants to purchase securities or (z) any other corporate transaction or event having an effect similar to any of the foregoing.</w:t>
      </w:r>
    </w:p>
    <w:p>
      <w:pPr>
        <w:spacing w:after="0" w:line="171" w:lineRule="exact"/>
        <w:rPr>
          <w:sz w:val="20"/>
          <w:szCs w:val="20"/>
          <w:color w:val="auto"/>
        </w:rPr>
      </w:pPr>
    </w:p>
    <w:p>
      <w:pPr>
        <w:spacing w:after="0" w:line="233" w:lineRule="auto"/>
        <w:rPr>
          <w:sz w:val="20"/>
          <w:szCs w:val="20"/>
          <w:color w:val="auto"/>
        </w:rPr>
      </w:pPr>
      <w:r>
        <w:rPr>
          <w:rFonts w:ascii="Arial" w:cs="Arial" w:eastAsia="Arial" w:hAnsi="Arial"/>
          <w:sz w:val="17"/>
          <w:szCs w:val="17"/>
          <w:color w:val="auto"/>
        </w:rPr>
        <w:t>In the event of any such transaction or event, or in the event of a change in control of the Company, the Compensation Committee shall provide, in substitution for any or all outstanding awards under the Amended &amp; Restated 2014 Equity Plan, such alternative consideration (including cash) as it in good faith determines to be equitable under the circumstances and shall require in connection therewith the surrender of all awards so replaced in a manner that complies with Section 409A of the Internal Revenue Code. Moreover, the Compensation Committee may, on or after the date of grant, provide in the Evidence of Award that the holder of the award may elect to receive an equivalent award in respect of securities of the surviving entity of any merger, consolidation or other transaction or event having a similar effect, or the Compensation Committee may provide that the holder automatically will be entitled to receive such an equivalent award. In addition, for each option right or appreciation right with an exercise price greater than the consideration offered in connection with any such transaction or event or change in control, the Compensation Committee may in its sole discretion elect to cancel such option right or appreciation right without any payment to the person holding such option right or appreciation right. The Compensation Committee will make or provide for such adjustments to the numbers and kind of shares available for issuance under the Amended &amp; Restated 2014 Equity Plan, the share counting and recycling provisions, and the share limits applicable to individual participants under the Amended &amp; Restated 2014 Equity Plan as the Compensation Committee in its sole discretion in good faith determines to be appropriate; provided, that any adjustment to the limit on the number of common shares that may be issued upon exercise of incentive stock options will be made only if and to the extent such adjustment would not cause any option intended to qualify as an incentive stock option to fail to so qualify.</w:t>
      </w:r>
    </w:p>
    <w:p>
      <w:pPr>
        <w:spacing w:after="0" w:line="146" w:lineRule="exact"/>
        <w:rPr>
          <w:sz w:val="20"/>
          <w:szCs w:val="20"/>
          <w:color w:val="auto"/>
        </w:rPr>
      </w:pPr>
    </w:p>
    <w:p>
      <w:pPr>
        <w:spacing w:after="0" w:line="239" w:lineRule="auto"/>
        <w:rPr>
          <w:sz w:val="20"/>
          <w:szCs w:val="20"/>
          <w:color w:val="auto"/>
        </w:rPr>
      </w:pPr>
      <w:r>
        <w:rPr>
          <w:rFonts w:ascii="Arial" w:cs="Arial" w:eastAsia="Arial" w:hAnsi="Arial"/>
          <w:sz w:val="17"/>
          <w:szCs w:val="17"/>
          <w:b w:val="1"/>
          <w:bCs w:val="1"/>
          <w:color w:val="auto"/>
        </w:rPr>
        <w:t xml:space="preserve">Prohibition on Repricing: </w:t>
      </w:r>
      <w:r>
        <w:rPr>
          <w:rFonts w:ascii="Arial" w:cs="Arial" w:eastAsia="Arial" w:hAnsi="Arial"/>
          <w:sz w:val="17"/>
          <w:szCs w:val="17"/>
          <w:color w:val="auto"/>
        </w:rPr>
        <w:t>Except in connection with certain corporate transactions or changes in the capital structure of the Company, the terms of</w:t>
      </w:r>
      <w:r>
        <w:rPr>
          <w:rFonts w:ascii="Arial" w:cs="Arial" w:eastAsia="Arial" w:hAnsi="Arial"/>
          <w:sz w:val="17"/>
          <w:szCs w:val="17"/>
          <w:b w:val="1"/>
          <w:bCs w:val="1"/>
          <w:color w:val="auto"/>
        </w:rPr>
        <w:t xml:space="preserve"> </w:t>
      </w:r>
      <w:r>
        <w:rPr>
          <w:rFonts w:ascii="Arial" w:cs="Arial" w:eastAsia="Arial" w:hAnsi="Arial"/>
          <w:sz w:val="17"/>
          <w:szCs w:val="17"/>
          <w:color w:val="auto"/>
        </w:rPr>
        <w:t>outstanding awards may not be amended to (1) reduce the exercise price of outstanding option rights or appreciation rights, or (2) cancel outstanding option rights or appreciation rights in exchange for cash, Other Awards or option rights or appreciation rights with an exercise price that is less than the exercise price of the original option rights or appreciation rights, as applicable, without shareholder approval. The Amended &amp; Restated 2014 Equity Plan specifically provides that this provision is intended to prohibit the repricing of “underwater” option rights and appreciation rights and that such provisions may not be amended without approval by the Company’s shareholders.</w:t>
      </w:r>
    </w:p>
    <w:p>
      <w:pPr>
        <w:spacing w:after="0" w:line="142" w:lineRule="exact"/>
        <w:rPr>
          <w:sz w:val="20"/>
          <w:szCs w:val="20"/>
          <w:color w:val="auto"/>
        </w:rPr>
      </w:pPr>
    </w:p>
    <w:p>
      <w:pPr>
        <w:ind w:right="60"/>
        <w:spacing w:after="0" w:line="239" w:lineRule="auto"/>
        <w:rPr>
          <w:sz w:val="20"/>
          <w:szCs w:val="20"/>
          <w:color w:val="auto"/>
        </w:rPr>
      </w:pPr>
      <w:r>
        <w:rPr>
          <w:rFonts w:ascii="Arial" w:cs="Arial" w:eastAsia="Arial" w:hAnsi="Arial"/>
          <w:sz w:val="17"/>
          <w:szCs w:val="17"/>
          <w:b w:val="1"/>
          <w:bCs w:val="1"/>
          <w:color w:val="auto"/>
        </w:rPr>
        <w:t xml:space="preserve">Detrimental Activity and Recapture: </w:t>
      </w:r>
      <w:r>
        <w:rPr>
          <w:rFonts w:ascii="Arial" w:cs="Arial" w:eastAsia="Arial" w:hAnsi="Arial"/>
          <w:sz w:val="17"/>
          <w:szCs w:val="17"/>
          <w:color w:val="auto"/>
        </w:rPr>
        <w:t>Any Evidence of Award may provide for the cancellation or forfeiture and repayment to the Company of any</w:t>
      </w:r>
      <w:r>
        <w:rPr>
          <w:rFonts w:ascii="Arial" w:cs="Arial" w:eastAsia="Arial" w:hAnsi="Arial"/>
          <w:sz w:val="17"/>
          <w:szCs w:val="17"/>
          <w:b w:val="1"/>
          <w:bCs w:val="1"/>
          <w:color w:val="auto"/>
        </w:rPr>
        <w:t xml:space="preserve"> </w:t>
      </w:r>
      <w:r>
        <w:rPr>
          <w:rFonts w:ascii="Arial" w:cs="Arial" w:eastAsia="Arial" w:hAnsi="Arial"/>
          <w:sz w:val="17"/>
          <w:szCs w:val="17"/>
          <w:color w:val="auto"/>
        </w:rPr>
        <w:t>gain related to an award, or other provisions intended to have a similar effect, upon such terms and conditions as may be determined by the Compensation Committee from time to time, if any participant, either during employment or within a specified period after termination of such employment, engages in certain detrimental activity, or upon such terms and conditions as may be required by the Compensation Committee or under Section 10D of the Exchange Act and any applicable rules or regulations promulgated by the Securities and Exchange Commission or any national securities exchange or national securities association on which the common shares may be traded.</w:t>
      </w:r>
    </w:p>
    <w:p>
      <w:pPr>
        <w:spacing w:after="0" w:line="146" w:lineRule="exact"/>
        <w:rPr>
          <w:sz w:val="20"/>
          <w:szCs w:val="20"/>
          <w:color w:val="auto"/>
        </w:rPr>
      </w:pPr>
    </w:p>
    <w:p>
      <w:pPr>
        <w:spacing w:after="0"/>
        <w:rPr>
          <w:sz w:val="20"/>
          <w:szCs w:val="20"/>
          <w:color w:val="auto"/>
        </w:rPr>
      </w:pPr>
      <w:r>
        <w:rPr>
          <w:rFonts w:ascii="Arial" w:cs="Arial" w:eastAsia="Arial" w:hAnsi="Arial"/>
          <w:sz w:val="14"/>
          <w:szCs w:val="14"/>
          <w:color w:val="auto"/>
        </w:rPr>
        <w:t>72</w:t>
      </w:r>
    </w:p>
    <w:p>
      <w:pPr>
        <w:sectPr>
          <w:pgSz w:w="11900" w:h="16838" w:orient="portrait"/>
          <w:cols w:equalWidth="0" w:num="1">
            <w:col w:w="11380"/>
          </w:cols>
          <w:pgMar w:left="240" w:top="459" w:right="279" w:bottom="1440" w:gutter="0" w:footer="0" w:header="0"/>
        </w:sectPr>
      </w:pPr>
    </w:p>
    <w:bookmarkStart w:id="78" w:name="page79"/>
    <w:bookmarkEnd w:id="7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213">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2715260</wp:posOffset>
            </wp:positionH>
            <wp:positionV relativeFrom="paragraph">
              <wp:posOffset>205740</wp:posOffset>
            </wp:positionV>
            <wp:extent cx="1826895" cy="205740"/>
            <wp:wrapNone/>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214">
                      <a:extLst>
                        <a:ext uri="{28A0092B-C50C-407E-A947-70E740481C1C}"/>
                      </a:extLst>
                    </a:blip>
                    <a:srcRect/>
                    <a:stretch>
                      <a:fillRect/>
                    </a:stretch>
                  </pic:blipFill>
                  <pic:spPr bwMode="auto">
                    <a:xfrm>
                      <a:off x="0" y="0"/>
                      <a:ext cx="1826895" cy="20574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50" w:lineRule="exact"/>
        <w:rPr>
          <w:sz w:val="20"/>
          <w:szCs w:val="20"/>
          <w:color w:val="auto"/>
        </w:rPr>
      </w:pPr>
    </w:p>
    <w:p>
      <w:pPr>
        <w:ind w:right="20"/>
        <w:spacing w:after="0" w:line="237" w:lineRule="auto"/>
        <w:rPr>
          <w:sz w:val="20"/>
          <w:szCs w:val="20"/>
          <w:color w:val="auto"/>
        </w:rPr>
      </w:pPr>
      <w:r>
        <w:rPr>
          <w:rFonts w:ascii="Arial" w:cs="Arial" w:eastAsia="Arial" w:hAnsi="Arial"/>
          <w:sz w:val="17"/>
          <w:szCs w:val="17"/>
          <w:b w:val="1"/>
          <w:bCs w:val="1"/>
          <w:color w:val="auto"/>
        </w:rPr>
        <w:t xml:space="preserve">Grants to Non-U.S. Based Participants: </w:t>
      </w:r>
      <w:r>
        <w:rPr>
          <w:rFonts w:ascii="Arial" w:cs="Arial" w:eastAsia="Arial" w:hAnsi="Arial"/>
          <w:sz w:val="17"/>
          <w:szCs w:val="17"/>
          <w:color w:val="auto"/>
        </w:rPr>
        <w:t>In order to facilitate the making of any grant or combination of grants under the Amended &amp; Restated 2014</w:t>
      </w:r>
      <w:r>
        <w:rPr>
          <w:rFonts w:ascii="Arial" w:cs="Arial" w:eastAsia="Arial" w:hAnsi="Arial"/>
          <w:sz w:val="17"/>
          <w:szCs w:val="17"/>
          <w:b w:val="1"/>
          <w:bCs w:val="1"/>
          <w:color w:val="auto"/>
        </w:rPr>
        <w:t xml:space="preserve"> </w:t>
      </w:r>
      <w:r>
        <w:rPr>
          <w:rFonts w:ascii="Arial" w:cs="Arial" w:eastAsia="Arial" w:hAnsi="Arial"/>
          <w:sz w:val="17"/>
          <w:szCs w:val="17"/>
          <w:color w:val="auto"/>
        </w:rPr>
        <w:t>Equity Plan, the Compensation Committee may provide for such special terms for awards to participants who are foreign nationals, who are employed by the Company or any of its subsidiaries outside of the United States of America or who provide services to the Company under an agreement with a foreign nation or agency, as the Compensation Committee may consider necessary or appropriate to accommodate differences in local law, tax policy or custom. The Compensation Committee may approve such supplements to, or amendments, restatements or alternative versions of, the Amended &amp; Restated 2014 Equity Plan (including, without limitation, sub-plans) as it may consider necessary or appropriate for such purposes, provided that no such special terms, supplements, amendments or restatements may include any provisions that are inconsistent with the terms of the Amended &amp; Restated 2014 Equity Plan as then in effect unless the Amended &amp; Restated 2014 Equity Plan could have been amended to eliminate such inconsistency without further approval by the Company’s shareholders.</w:t>
      </w:r>
    </w:p>
    <w:p>
      <w:pPr>
        <w:spacing w:after="0" w:line="153" w:lineRule="exact"/>
        <w:rPr>
          <w:sz w:val="20"/>
          <w:szCs w:val="20"/>
          <w:color w:val="auto"/>
        </w:rPr>
      </w:pPr>
    </w:p>
    <w:p>
      <w:pPr>
        <w:ind w:right="20"/>
        <w:spacing w:after="0" w:line="237" w:lineRule="auto"/>
        <w:rPr>
          <w:sz w:val="20"/>
          <w:szCs w:val="20"/>
          <w:color w:val="auto"/>
        </w:rPr>
      </w:pPr>
      <w:r>
        <w:rPr>
          <w:rFonts w:ascii="Arial" w:cs="Arial" w:eastAsia="Arial" w:hAnsi="Arial"/>
          <w:sz w:val="17"/>
          <w:szCs w:val="17"/>
          <w:b w:val="1"/>
          <w:bCs w:val="1"/>
          <w:color w:val="auto"/>
        </w:rPr>
        <w:t xml:space="preserve">Withholding: </w:t>
      </w:r>
      <w:r>
        <w:rPr>
          <w:rFonts w:ascii="Arial" w:cs="Arial" w:eastAsia="Arial" w:hAnsi="Arial"/>
          <w:sz w:val="17"/>
          <w:szCs w:val="17"/>
          <w:color w:val="auto"/>
        </w:rPr>
        <w:t>To the extent the Company is required to withhold federal, state, local or foreign taxes in connection with any payment made or benefit</w:t>
      </w:r>
      <w:r>
        <w:rPr>
          <w:rFonts w:ascii="Arial" w:cs="Arial" w:eastAsia="Arial" w:hAnsi="Arial"/>
          <w:sz w:val="17"/>
          <w:szCs w:val="17"/>
          <w:b w:val="1"/>
          <w:bCs w:val="1"/>
          <w:color w:val="auto"/>
        </w:rPr>
        <w:t xml:space="preserve"> </w:t>
      </w:r>
      <w:r>
        <w:rPr>
          <w:rFonts w:ascii="Arial" w:cs="Arial" w:eastAsia="Arial" w:hAnsi="Arial"/>
          <w:sz w:val="17"/>
          <w:szCs w:val="17"/>
          <w:color w:val="auto"/>
        </w:rPr>
        <w:t>realized by a participant or other person under the Amended &amp; Restated 2014 Equity Plan, and the amounts available to the Company for such withholding are insufficient, it will be a condition to the receipt of such payment or the realization of such benefit that the participant or such other person make arrangements satisfactory to the Company for payment of the balance of such taxes required to be withheld. In the discretion of the Compensation Committee, said arrangements may include the tender by the participant or such other person or the withholding by the Company of common shares to provide for such withholding taxes. In no event will the value of the common shares to be tendered or withheld to satisfy applicable withholding taxes in connection with the benefit exceed the minimum amount of taxes required to be withheld (unless such higher withholding amounts would not result in adverse accounting implications for the Company).</w:t>
      </w:r>
    </w:p>
    <w:p>
      <w:pPr>
        <w:spacing w:after="0" w:line="144" w:lineRule="exact"/>
        <w:rPr>
          <w:sz w:val="20"/>
          <w:szCs w:val="20"/>
          <w:color w:val="auto"/>
        </w:rPr>
      </w:pPr>
    </w:p>
    <w:p>
      <w:pPr>
        <w:ind w:right="440"/>
        <w:spacing w:after="0" w:line="268" w:lineRule="auto"/>
        <w:rPr>
          <w:sz w:val="20"/>
          <w:szCs w:val="20"/>
          <w:color w:val="auto"/>
        </w:rPr>
      </w:pPr>
      <w:r>
        <w:rPr>
          <w:rFonts w:ascii="Arial" w:cs="Arial" w:eastAsia="Arial" w:hAnsi="Arial"/>
          <w:sz w:val="17"/>
          <w:szCs w:val="17"/>
          <w:b w:val="1"/>
          <w:bCs w:val="1"/>
          <w:color w:val="auto"/>
        </w:rPr>
        <w:t>No Right to Continued Employment</w:t>
      </w:r>
      <w:r>
        <w:rPr>
          <w:rFonts w:ascii="Arial" w:cs="Arial" w:eastAsia="Arial" w:hAnsi="Arial"/>
          <w:sz w:val="17"/>
          <w:szCs w:val="17"/>
          <w:color w:val="auto"/>
        </w:rPr>
        <w:t>: The Amended &amp; Restated 2014 Equity Plan does not confer upon any participant any right with respect to</w:t>
      </w:r>
      <w:r>
        <w:rPr>
          <w:rFonts w:ascii="Arial" w:cs="Arial" w:eastAsia="Arial" w:hAnsi="Arial"/>
          <w:sz w:val="17"/>
          <w:szCs w:val="17"/>
          <w:b w:val="1"/>
          <w:bCs w:val="1"/>
          <w:color w:val="auto"/>
        </w:rPr>
        <w:t xml:space="preserve"> </w:t>
      </w:r>
      <w:r>
        <w:rPr>
          <w:rFonts w:ascii="Arial" w:cs="Arial" w:eastAsia="Arial" w:hAnsi="Arial"/>
          <w:sz w:val="17"/>
          <w:szCs w:val="17"/>
          <w:color w:val="auto"/>
        </w:rPr>
        <w:t>continuance of employment or service with the Company or any of its subsidiaries.</w:t>
      </w:r>
    </w:p>
    <w:p>
      <w:pPr>
        <w:spacing w:after="0" w:line="117" w:lineRule="exact"/>
        <w:rPr>
          <w:sz w:val="20"/>
          <w:szCs w:val="20"/>
          <w:color w:val="auto"/>
        </w:rPr>
      </w:pPr>
    </w:p>
    <w:p>
      <w:pPr>
        <w:ind w:right="720"/>
        <w:spacing w:after="0" w:line="268" w:lineRule="auto"/>
        <w:rPr>
          <w:sz w:val="20"/>
          <w:szCs w:val="20"/>
          <w:color w:val="auto"/>
        </w:rPr>
      </w:pPr>
      <w:r>
        <w:rPr>
          <w:rFonts w:ascii="Arial" w:cs="Arial" w:eastAsia="Arial" w:hAnsi="Arial"/>
          <w:sz w:val="17"/>
          <w:szCs w:val="17"/>
          <w:b w:val="1"/>
          <w:bCs w:val="1"/>
          <w:color w:val="auto"/>
        </w:rPr>
        <w:t xml:space="preserve">Effective Date of the Amended &amp; Restated 2014 Equity Plan: </w:t>
      </w:r>
      <w:r>
        <w:rPr>
          <w:rFonts w:ascii="Arial" w:cs="Arial" w:eastAsia="Arial" w:hAnsi="Arial"/>
          <w:sz w:val="17"/>
          <w:szCs w:val="17"/>
          <w:color w:val="auto"/>
        </w:rPr>
        <w:t>The Amended &amp; Restated 2014 Equity Plan was adopted by the Board on</w:t>
      </w:r>
      <w:r>
        <w:rPr>
          <w:rFonts w:ascii="Arial" w:cs="Arial" w:eastAsia="Arial" w:hAnsi="Arial"/>
          <w:sz w:val="17"/>
          <w:szCs w:val="17"/>
          <w:b w:val="1"/>
          <w:bCs w:val="1"/>
          <w:color w:val="auto"/>
        </w:rPr>
        <w:t xml:space="preserve"> </w:t>
      </w:r>
      <w:r>
        <w:rPr>
          <w:rFonts w:ascii="Arial" w:cs="Arial" w:eastAsia="Arial" w:hAnsi="Arial"/>
          <w:sz w:val="17"/>
          <w:szCs w:val="17"/>
          <w:color w:val="auto"/>
        </w:rPr>
        <w:t>February 18, 2016, but will become effective only upon approval of the shareholders at this Annual Meeting, and provides for a ten-year term.</w:t>
      </w:r>
    </w:p>
    <w:p>
      <w:pPr>
        <w:spacing w:after="0" w:line="131" w:lineRule="exact"/>
        <w:rPr>
          <w:sz w:val="20"/>
          <w:szCs w:val="20"/>
          <w:color w:val="auto"/>
        </w:rPr>
      </w:pPr>
    </w:p>
    <w:p>
      <w:pPr>
        <w:spacing w:after="0" w:line="238" w:lineRule="auto"/>
        <w:rPr>
          <w:sz w:val="20"/>
          <w:szCs w:val="20"/>
          <w:color w:val="auto"/>
        </w:rPr>
      </w:pPr>
      <w:r>
        <w:rPr>
          <w:rFonts w:ascii="Arial" w:cs="Arial" w:eastAsia="Arial" w:hAnsi="Arial"/>
          <w:sz w:val="17"/>
          <w:szCs w:val="17"/>
          <w:b w:val="1"/>
          <w:bCs w:val="1"/>
          <w:color w:val="auto"/>
        </w:rPr>
        <w:t xml:space="preserve">Amendment and Termination of the Amended &amp; Restated 2014 Equity Plan: </w:t>
      </w:r>
      <w:r>
        <w:rPr>
          <w:rFonts w:ascii="Arial" w:cs="Arial" w:eastAsia="Arial" w:hAnsi="Arial"/>
          <w:sz w:val="17"/>
          <w:szCs w:val="17"/>
          <w:color w:val="auto"/>
        </w:rPr>
        <w:t>The Compensation Committee generally may amend the Amended &amp;</w:t>
      </w:r>
      <w:r>
        <w:rPr>
          <w:rFonts w:ascii="Arial" w:cs="Arial" w:eastAsia="Arial" w:hAnsi="Arial"/>
          <w:sz w:val="17"/>
          <w:szCs w:val="17"/>
          <w:b w:val="1"/>
          <w:bCs w:val="1"/>
          <w:color w:val="auto"/>
        </w:rPr>
        <w:t xml:space="preserve"> </w:t>
      </w:r>
      <w:r>
        <w:rPr>
          <w:rFonts w:ascii="Arial" w:cs="Arial" w:eastAsia="Arial" w:hAnsi="Arial"/>
          <w:sz w:val="17"/>
          <w:szCs w:val="17"/>
          <w:color w:val="auto"/>
        </w:rPr>
        <w:t>Restated 2014 Equity Plan from time to time; provided, however, that if any amendment (i) would materially increase the benefits accruing to participants under the Amended &amp; Restated 2014 Equity Plan, (ii) would materially increase the number of shares that may be issued under the Amended &amp; Restated 2014 Equity Plan, (iii) would materially modify the requirements for participation in the Amended &amp; Restated 2014 Equity Plan, or</w:t>
      </w:r>
    </w:p>
    <w:p>
      <w:pPr>
        <w:spacing w:after="0" w:line="1" w:lineRule="exact"/>
        <w:rPr>
          <w:sz w:val="20"/>
          <w:szCs w:val="20"/>
          <w:color w:val="auto"/>
        </w:rPr>
      </w:pPr>
    </w:p>
    <w:p>
      <w:pPr>
        <w:ind w:right="160" w:firstLine="8"/>
        <w:spacing w:after="0" w:line="243" w:lineRule="auto"/>
        <w:tabs>
          <w:tab w:leader="none" w:pos="285" w:val="left"/>
        </w:tabs>
        <w:numPr>
          <w:ilvl w:val="0"/>
          <w:numId w:val="46"/>
        </w:numPr>
        <w:rPr>
          <w:rFonts w:ascii="Arial" w:cs="Arial" w:eastAsia="Arial" w:hAnsi="Arial"/>
          <w:sz w:val="17"/>
          <w:szCs w:val="17"/>
          <w:color w:val="auto"/>
        </w:rPr>
      </w:pPr>
      <w:r>
        <w:rPr>
          <w:rFonts w:ascii="Arial" w:cs="Arial" w:eastAsia="Arial" w:hAnsi="Arial"/>
          <w:sz w:val="17"/>
          <w:szCs w:val="17"/>
          <w:color w:val="auto"/>
        </w:rPr>
        <w:t>must otherwise be approved by the Company’s shareholders in order to comply with applicable law or the rules of the New York Stock Exchange, then such amendment will be subject to shareholder approval and will not be effective unless and until such approval has been obtained.</w:t>
      </w:r>
    </w:p>
    <w:p>
      <w:pPr>
        <w:spacing w:after="0" w:line="158" w:lineRule="exact"/>
        <w:rPr>
          <w:sz w:val="20"/>
          <w:szCs w:val="20"/>
          <w:color w:val="auto"/>
        </w:rPr>
      </w:pPr>
    </w:p>
    <w:p>
      <w:pPr>
        <w:ind w:right="20"/>
        <w:spacing w:after="0" w:line="235" w:lineRule="auto"/>
        <w:rPr>
          <w:sz w:val="20"/>
          <w:szCs w:val="20"/>
          <w:color w:val="auto"/>
        </w:rPr>
      </w:pPr>
      <w:r>
        <w:rPr>
          <w:rFonts w:ascii="Arial" w:cs="Arial" w:eastAsia="Arial" w:hAnsi="Arial"/>
          <w:sz w:val="17"/>
          <w:szCs w:val="17"/>
          <w:color w:val="auto"/>
        </w:rPr>
        <w:t>Further, subject to the Amended &amp; Restated 2014 Equity Plan’s prohibition on repricing, the Compensation Committee generally may amend the terms of any award prospectively or retroactively, provided that no such amendment may be taken that would impair the rights of any participant without his or her consent. If permitted by Section 409A and Section 162(m) of the Internal Revenue Code, and subject to certain other limitations set forth in the Amended &amp; Restated 2014 Equity Plan, the Compensation Committee may take any action that it deems to be equitable under the circumstances or in the best interests of the Company to, among other things, accelerate the</w:t>
      </w:r>
    </w:p>
    <w:p>
      <w:pPr>
        <w:spacing w:after="0" w:line="148" w:lineRule="exact"/>
        <w:rPr>
          <w:sz w:val="20"/>
          <w:szCs w:val="20"/>
          <w:color w:val="auto"/>
        </w:rPr>
      </w:pPr>
    </w:p>
    <w:p>
      <w:pPr>
        <w:ind w:left="11180"/>
        <w:spacing w:after="0"/>
        <w:rPr>
          <w:sz w:val="20"/>
          <w:szCs w:val="20"/>
          <w:color w:val="auto"/>
        </w:rPr>
      </w:pPr>
      <w:r>
        <w:rPr>
          <w:rFonts w:ascii="Arial" w:cs="Arial" w:eastAsia="Arial" w:hAnsi="Arial"/>
          <w:sz w:val="14"/>
          <w:szCs w:val="14"/>
          <w:color w:val="auto"/>
        </w:rPr>
        <w:t>73</w:t>
      </w:r>
    </w:p>
    <w:p>
      <w:pPr>
        <w:sectPr>
          <w:pgSz w:w="11900" w:h="16838" w:orient="portrait"/>
          <w:cols w:equalWidth="0" w:num="1">
            <w:col w:w="11400"/>
          </w:cols>
          <w:pgMar w:left="240" w:top="459" w:right="259" w:bottom="1440" w:gutter="0" w:footer="0" w:header="0"/>
        </w:sectPr>
      </w:pPr>
    </w:p>
    <w:bookmarkStart w:id="79" w:name="page80"/>
    <w:bookmarkEnd w:id="7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215">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3109595</wp:posOffset>
            </wp:positionH>
            <wp:positionV relativeFrom="paragraph">
              <wp:posOffset>205740</wp:posOffset>
            </wp:positionV>
            <wp:extent cx="1046480" cy="205740"/>
            <wp:wrapNone/>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216">
                      <a:extLst>
                        <a:ext uri="{28A0092B-C50C-407E-A947-70E740481C1C}"/>
                      </a:extLst>
                    </a:blip>
                    <a:srcRect/>
                    <a:stretch>
                      <a:fillRect/>
                    </a:stretch>
                  </pic:blipFill>
                  <pic:spPr bwMode="auto">
                    <a:xfrm>
                      <a:off x="0" y="0"/>
                      <a:ext cx="1046480" cy="20574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70" w:lineRule="exact"/>
        <w:rPr>
          <w:sz w:val="20"/>
          <w:szCs w:val="20"/>
          <w:color w:val="auto"/>
        </w:rPr>
      </w:pPr>
    </w:p>
    <w:p>
      <w:pPr>
        <w:ind w:right="160"/>
        <w:spacing w:after="0" w:line="243" w:lineRule="auto"/>
        <w:rPr>
          <w:sz w:val="20"/>
          <w:szCs w:val="20"/>
          <w:color w:val="auto"/>
        </w:rPr>
      </w:pPr>
      <w:r>
        <w:rPr>
          <w:rFonts w:ascii="Arial" w:cs="Arial" w:eastAsia="Arial" w:hAnsi="Arial"/>
          <w:sz w:val="17"/>
          <w:szCs w:val="17"/>
          <w:color w:val="auto"/>
        </w:rPr>
        <w:t>vesting of certain awards granted under the Amended &amp; Restated 2014 Equity Plan (except that with respect to qualified performance-based awards, no such action may be taken if it would result in the loss of the otherwise available exemption of such award under Section 162(m) of the Code).</w:t>
      </w:r>
    </w:p>
    <w:p>
      <w:pPr>
        <w:spacing w:after="0" w:line="171" w:lineRule="exact"/>
        <w:rPr>
          <w:sz w:val="20"/>
          <w:szCs w:val="20"/>
          <w:color w:val="auto"/>
        </w:rPr>
      </w:pPr>
    </w:p>
    <w:p>
      <w:pPr>
        <w:ind w:right="60"/>
        <w:spacing w:after="0" w:line="235" w:lineRule="auto"/>
        <w:rPr>
          <w:sz w:val="20"/>
          <w:szCs w:val="20"/>
          <w:color w:val="auto"/>
        </w:rPr>
      </w:pPr>
      <w:r>
        <w:rPr>
          <w:rFonts w:ascii="Arial" w:cs="Arial" w:eastAsia="Arial" w:hAnsi="Arial"/>
          <w:sz w:val="17"/>
          <w:szCs w:val="17"/>
          <w:color w:val="auto"/>
        </w:rPr>
        <w:t>The Compensation Committee may, in its discretion, terminate the Amended &amp; Restated 2014 Equity Plan at any time. Termination of the Amended &amp; Restated 2014 Equity Plan will not affect the rights of participants or their successors under any awards outstanding and not exercised in full on the date of termination. No grant shall be made under the Amended &amp; Restated 2014 Equity Plan more than ten years after the effective date of the Amended &amp; Restated 2014 Equity Plan, but all grants made on or prior to such date will continue in effect thereafter subject to the terms thereof and of the Amended &amp; Restated 2014 Equity Plan.</w:t>
      </w:r>
    </w:p>
    <w:p>
      <w:pPr>
        <w:spacing w:after="0" w:line="144" w:lineRule="exact"/>
        <w:rPr>
          <w:sz w:val="20"/>
          <w:szCs w:val="20"/>
          <w:color w:val="auto"/>
        </w:rPr>
      </w:pPr>
    </w:p>
    <w:p>
      <w:pPr>
        <w:spacing w:after="0"/>
        <w:rPr>
          <w:sz w:val="20"/>
          <w:szCs w:val="20"/>
          <w:color w:val="auto"/>
        </w:rPr>
      </w:pPr>
      <w:r>
        <w:rPr>
          <w:rFonts w:ascii="Arial" w:cs="Arial" w:eastAsia="Arial" w:hAnsi="Arial"/>
          <w:sz w:val="17"/>
          <w:szCs w:val="17"/>
          <w:b w:val="1"/>
          <w:bCs w:val="1"/>
          <w:color w:val="666666"/>
        </w:rPr>
        <w:t>NEW PLAN BENEFITS</w:t>
      </w:r>
    </w:p>
    <w:p>
      <w:pPr>
        <w:spacing w:after="0" w:line="14" w:lineRule="exact"/>
        <w:rPr>
          <w:sz w:val="20"/>
          <w:szCs w:val="20"/>
          <w:color w:val="auto"/>
        </w:rPr>
      </w:pPr>
    </w:p>
    <w:p>
      <w:pPr>
        <w:ind w:right="60"/>
        <w:spacing w:after="0" w:line="236" w:lineRule="auto"/>
        <w:rPr>
          <w:sz w:val="20"/>
          <w:szCs w:val="20"/>
          <w:color w:val="auto"/>
        </w:rPr>
      </w:pPr>
      <w:r>
        <w:rPr>
          <w:rFonts w:ascii="Arial" w:cs="Arial" w:eastAsia="Arial" w:hAnsi="Arial"/>
          <w:sz w:val="17"/>
          <w:szCs w:val="17"/>
          <w:color w:val="auto"/>
        </w:rPr>
        <w:t>Because the grant and actual pay-out of awards under the Amended &amp; Restated 2014 Equity Plan are subject to the discretion of the Compensation Committee, it is not possible to determine the specific amounts and types of awards that may be awarded in the future under the plan. For information regarding awards issued to the Company’s named executive officers during 2015, see the 2015 Grants of Plan Based Awards Table on page 47 of this Proxy Statement.</w:t>
      </w:r>
    </w:p>
    <w:p>
      <w:pPr>
        <w:spacing w:after="0" w:line="143" w:lineRule="exact"/>
        <w:rPr>
          <w:sz w:val="20"/>
          <w:szCs w:val="20"/>
          <w:color w:val="auto"/>
        </w:rPr>
      </w:pPr>
    </w:p>
    <w:p>
      <w:pPr>
        <w:spacing w:after="0"/>
        <w:rPr>
          <w:sz w:val="20"/>
          <w:szCs w:val="20"/>
          <w:color w:val="auto"/>
        </w:rPr>
      </w:pPr>
      <w:r>
        <w:rPr>
          <w:rFonts w:ascii="Arial" w:cs="Arial" w:eastAsia="Arial" w:hAnsi="Arial"/>
          <w:sz w:val="17"/>
          <w:szCs w:val="17"/>
          <w:b w:val="1"/>
          <w:bCs w:val="1"/>
          <w:color w:val="666666"/>
        </w:rPr>
        <w:t>FEDERAL INCOME TAX CONSEQUENCES</w:t>
      </w:r>
    </w:p>
    <w:p>
      <w:pPr>
        <w:spacing w:after="0" w:line="14" w:lineRule="exact"/>
        <w:rPr>
          <w:sz w:val="20"/>
          <w:szCs w:val="20"/>
          <w:color w:val="auto"/>
        </w:rPr>
      </w:pPr>
    </w:p>
    <w:p>
      <w:pPr>
        <w:spacing w:after="0" w:line="236" w:lineRule="auto"/>
        <w:rPr>
          <w:sz w:val="20"/>
          <w:szCs w:val="20"/>
          <w:color w:val="auto"/>
        </w:rPr>
      </w:pPr>
      <w:r>
        <w:rPr>
          <w:rFonts w:ascii="Arial" w:cs="Arial" w:eastAsia="Arial" w:hAnsi="Arial"/>
          <w:sz w:val="17"/>
          <w:szCs w:val="17"/>
          <w:color w:val="auto"/>
        </w:rPr>
        <w:t>The following is a brief summary of certain of the federal income tax consequences of certain transactions under the Amended &amp; Restated 2014 Equity Plan based on federal income tax laws in effect. This summary, which is presented for the information of shareholders considering how to vote on this proposal and not for Amended &amp; Restated 2014 Equity Plan participants, is not intended to be complete and does not describe federal taxes other than income taxes (such as Medicare and Social Security taxes), or state, local or foreign tax consequences.</w:t>
      </w:r>
    </w:p>
    <w:p>
      <w:pPr>
        <w:spacing w:after="0" w:line="157"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Tax Consequences to Participants</w:t>
      </w:r>
    </w:p>
    <w:p>
      <w:pPr>
        <w:spacing w:after="0" w:line="14" w:lineRule="exact"/>
        <w:rPr>
          <w:sz w:val="20"/>
          <w:szCs w:val="20"/>
          <w:color w:val="auto"/>
        </w:rPr>
      </w:pPr>
    </w:p>
    <w:p>
      <w:pPr>
        <w:ind w:right="20"/>
        <w:spacing w:after="0" w:line="235" w:lineRule="auto"/>
        <w:rPr>
          <w:sz w:val="20"/>
          <w:szCs w:val="20"/>
          <w:color w:val="auto"/>
        </w:rPr>
      </w:pPr>
      <w:r>
        <w:rPr>
          <w:rFonts w:ascii="Arial" w:cs="Arial" w:eastAsia="Arial" w:hAnsi="Arial"/>
          <w:sz w:val="17"/>
          <w:szCs w:val="17"/>
          <w:i w:val="1"/>
          <w:iCs w:val="1"/>
          <w:color w:val="auto"/>
        </w:rPr>
        <w:t>Nonqualified Option Rights</w:t>
      </w:r>
      <w:r>
        <w:rPr>
          <w:rFonts w:ascii="Arial" w:cs="Arial" w:eastAsia="Arial" w:hAnsi="Arial"/>
          <w:sz w:val="17"/>
          <w:szCs w:val="17"/>
          <w:color w:val="auto"/>
        </w:rPr>
        <w:t>. In general, (1) no income will be recognized by an optionee at the time a nonqualified option right is granted, (2) at the time</w:t>
      </w:r>
      <w:r>
        <w:rPr>
          <w:rFonts w:ascii="Arial" w:cs="Arial" w:eastAsia="Arial" w:hAnsi="Arial"/>
          <w:sz w:val="17"/>
          <w:szCs w:val="17"/>
          <w:i w:val="1"/>
          <w:iCs w:val="1"/>
          <w:color w:val="auto"/>
        </w:rPr>
        <w:t xml:space="preserve"> </w:t>
      </w:r>
      <w:r>
        <w:rPr>
          <w:rFonts w:ascii="Arial" w:cs="Arial" w:eastAsia="Arial" w:hAnsi="Arial"/>
          <w:sz w:val="17"/>
          <w:szCs w:val="17"/>
          <w:color w:val="auto"/>
        </w:rPr>
        <w:t>of exercise of a nonqualified option right, ordinary income will be recognized by the optionee in an amount equal to the difference between the option price paid for the shares and the fair market value of the shares, if unrestricted, on the date of exercise, and (3) at the time of sale of shares acquired pursuant to the exercise of a nonqualified option right, appreciation (or depreciation) in value of the shares after the date of exercise will be treated as either short-term or long-term capital gain (or loss) depending on how long the shares have been held.</w:t>
      </w:r>
    </w:p>
    <w:p>
      <w:pPr>
        <w:spacing w:after="0" w:line="146" w:lineRule="exact"/>
        <w:rPr>
          <w:sz w:val="20"/>
          <w:szCs w:val="20"/>
          <w:color w:val="auto"/>
        </w:rPr>
      </w:pPr>
    </w:p>
    <w:p>
      <w:pPr>
        <w:spacing w:after="0"/>
        <w:rPr>
          <w:sz w:val="20"/>
          <w:szCs w:val="20"/>
          <w:color w:val="auto"/>
        </w:rPr>
      </w:pPr>
      <w:r>
        <w:rPr>
          <w:rFonts w:ascii="Arial" w:cs="Arial" w:eastAsia="Arial" w:hAnsi="Arial"/>
          <w:sz w:val="17"/>
          <w:szCs w:val="17"/>
          <w:i w:val="1"/>
          <w:iCs w:val="1"/>
          <w:color w:val="auto"/>
        </w:rPr>
        <w:t xml:space="preserve">Incentive Option Rights. </w:t>
      </w:r>
      <w:r>
        <w:rPr>
          <w:rFonts w:ascii="Arial" w:cs="Arial" w:eastAsia="Arial" w:hAnsi="Arial"/>
          <w:sz w:val="17"/>
          <w:szCs w:val="17"/>
          <w:color w:val="auto"/>
        </w:rPr>
        <w:t>No income generally will be recognized by an optionee upon the grant or exercise of an incentive stock option. The exercise of</w:t>
      </w:r>
      <w:r>
        <w:rPr>
          <w:rFonts w:ascii="Arial" w:cs="Arial" w:eastAsia="Arial" w:hAnsi="Arial"/>
          <w:sz w:val="17"/>
          <w:szCs w:val="17"/>
          <w:i w:val="1"/>
          <w:iCs w:val="1"/>
          <w:color w:val="auto"/>
        </w:rPr>
        <w:t xml:space="preserve"> </w:t>
      </w:r>
      <w:r>
        <w:rPr>
          <w:rFonts w:ascii="Arial" w:cs="Arial" w:eastAsia="Arial" w:hAnsi="Arial"/>
          <w:sz w:val="17"/>
          <w:szCs w:val="17"/>
          <w:color w:val="auto"/>
        </w:rPr>
        <w:t>an incentive stock option, however, may result in alternative minimum tax liability. If common shares are issued to the optionee pursuant to the exercise of an incentive stock option, and if no disqualifying disposition of such shares is made by such optionee within two years after the date of grant or within one year after the transfer of such shares to the optionee, then upon sale of such shares, any amount realized in excess of the option price will be taxed to the optionee as a long-term capital gain and any loss sustained will be a long-term capital loss.</w:t>
      </w:r>
    </w:p>
    <w:p>
      <w:pPr>
        <w:spacing w:after="0" w:line="162" w:lineRule="exact"/>
        <w:rPr>
          <w:sz w:val="20"/>
          <w:szCs w:val="20"/>
          <w:color w:val="auto"/>
        </w:rPr>
      </w:pPr>
    </w:p>
    <w:p>
      <w:pPr>
        <w:ind w:right="20"/>
        <w:spacing w:after="0" w:line="235" w:lineRule="auto"/>
        <w:rPr>
          <w:sz w:val="20"/>
          <w:szCs w:val="20"/>
          <w:color w:val="auto"/>
        </w:rPr>
      </w:pPr>
      <w:r>
        <w:rPr>
          <w:rFonts w:ascii="Arial" w:cs="Arial" w:eastAsia="Arial" w:hAnsi="Arial"/>
          <w:sz w:val="17"/>
          <w:szCs w:val="17"/>
          <w:color w:val="auto"/>
        </w:rPr>
        <w:t>If common shares acquired upon the exercise of an incentive stock option are disposed of prior to the expiration of either holding period described above, the optionee generally will recognize ordinary income in the year of disposition in an amount equal to the excess (if any) of the fair market value of such shares at the time of exercise (or, if less, the amount realized on the disposition of such shares if a sale or exchange) over the option price paid for such shares. Any further gain (or loss) realized by the recipient generally will be taxed as short-term or long-term capital gain (or loss) depending on the holding period.</w:t>
      </w:r>
    </w:p>
    <w:p>
      <w:pPr>
        <w:spacing w:after="0" w:line="148" w:lineRule="exact"/>
        <w:rPr>
          <w:sz w:val="20"/>
          <w:szCs w:val="20"/>
          <w:color w:val="auto"/>
        </w:rPr>
      </w:pPr>
    </w:p>
    <w:p>
      <w:pPr>
        <w:spacing w:after="0"/>
        <w:rPr>
          <w:sz w:val="20"/>
          <w:szCs w:val="20"/>
          <w:color w:val="auto"/>
        </w:rPr>
      </w:pPr>
      <w:r>
        <w:rPr>
          <w:rFonts w:ascii="Arial" w:cs="Arial" w:eastAsia="Arial" w:hAnsi="Arial"/>
          <w:sz w:val="14"/>
          <w:szCs w:val="14"/>
          <w:color w:val="auto"/>
        </w:rPr>
        <w:t>74</w:t>
      </w:r>
    </w:p>
    <w:p>
      <w:pPr>
        <w:sectPr>
          <w:pgSz w:w="11900" w:h="16838" w:orient="portrait"/>
          <w:cols w:equalWidth="0" w:num="1">
            <w:col w:w="11420"/>
          </w:cols>
          <w:pgMar w:left="240" w:top="459" w:right="239" w:bottom="1440" w:gutter="0" w:footer="0" w:header="0"/>
        </w:sectPr>
      </w:pPr>
    </w:p>
    <w:bookmarkStart w:id="80" w:name="page81"/>
    <w:bookmarkEnd w:id="8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217">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2715260</wp:posOffset>
            </wp:positionH>
            <wp:positionV relativeFrom="paragraph">
              <wp:posOffset>205740</wp:posOffset>
            </wp:positionV>
            <wp:extent cx="1826895" cy="205740"/>
            <wp:wrapNone/>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218">
                      <a:extLst>
                        <a:ext uri="{28A0092B-C50C-407E-A947-70E740481C1C}"/>
                      </a:extLst>
                    </a:blip>
                    <a:srcRect/>
                    <a:stretch>
                      <a:fillRect/>
                    </a:stretch>
                  </pic:blipFill>
                  <pic:spPr bwMode="auto">
                    <a:xfrm>
                      <a:off x="0" y="0"/>
                      <a:ext cx="1826895" cy="20574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52" w:lineRule="exact"/>
        <w:rPr>
          <w:sz w:val="20"/>
          <w:szCs w:val="20"/>
          <w:color w:val="auto"/>
        </w:rPr>
      </w:pPr>
    </w:p>
    <w:p>
      <w:pPr>
        <w:ind w:right="120"/>
        <w:spacing w:after="0" w:line="248" w:lineRule="auto"/>
        <w:rPr>
          <w:sz w:val="20"/>
          <w:szCs w:val="20"/>
          <w:color w:val="auto"/>
        </w:rPr>
      </w:pPr>
      <w:r>
        <w:rPr>
          <w:rFonts w:ascii="Arial" w:cs="Arial" w:eastAsia="Arial" w:hAnsi="Arial"/>
          <w:sz w:val="17"/>
          <w:szCs w:val="17"/>
          <w:i w:val="1"/>
          <w:iCs w:val="1"/>
          <w:color w:val="auto"/>
        </w:rPr>
        <w:t xml:space="preserve">Appreciation Rights. </w:t>
      </w:r>
      <w:r>
        <w:rPr>
          <w:rFonts w:ascii="Arial" w:cs="Arial" w:eastAsia="Arial" w:hAnsi="Arial"/>
          <w:sz w:val="17"/>
          <w:szCs w:val="17"/>
          <w:color w:val="auto"/>
        </w:rPr>
        <w:t>No income will be recognized by a recipient in connection with the grant of a tandem appreciation right or a freestanding</w:t>
      </w:r>
      <w:r>
        <w:rPr>
          <w:rFonts w:ascii="Arial" w:cs="Arial" w:eastAsia="Arial" w:hAnsi="Arial"/>
          <w:sz w:val="17"/>
          <w:szCs w:val="17"/>
          <w:i w:val="1"/>
          <w:iCs w:val="1"/>
          <w:color w:val="auto"/>
        </w:rPr>
        <w:t xml:space="preserve"> </w:t>
      </w:r>
      <w:r>
        <w:rPr>
          <w:rFonts w:ascii="Arial" w:cs="Arial" w:eastAsia="Arial" w:hAnsi="Arial"/>
          <w:sz w:val="17"/>
          <w:szCs w:val="17"/>
          <w:color w:val="auto"/>
        </w:rPr>
        <w:t>appreciation right. When the appreciation right is exercised, the recipient normally will be required to include as taxable ordinary income in the year of exercise an amount equal to the amount of cash received and the fair market value of any unrestricted common shares received on the exercise.</w:t>
      </w:r>
    </w:p>
    <w:p>
      <w:pPr>
        <w:spacing w:after="0" w:line="150" w:lineRule="exact"/>
        <w:rPr>
          <w:sz w:val="20"/>
          <w:szCs w:val="20"/>
          <w:color w:val="auto"/>
        </w:rPr>
      </w:pPr>
    </w:p>
    <w:p>
      <w:pPr>
        <w:spacing w:after="0" w:line="238" w:lineRule="auto"/>
        <w:rPr>
          <w:sz w:val="20"/>
          <w:szCs w:val="20"/>
          <w:color w:val="auto"/>
        </w:rPr>
      </w:pPr>
      <w:r>
        <w:rPr>
          <w:rFonts w:ascii="Arial" w:cs="Arial" w:eastAsia="Arial" w:hAnsi="Arial"/>
          <w:sz w:val="17"/>
          <w:szCs w:val="17"/>
          <w:i w:val="1"/>
          <w:iCs w:val="1"/>
          <w:color w:val="auto"/>
        </w:rPr>
        <w:t>Restricted Shares</w:t>
      </w:r>
      <w:r>
        <w:rPr>
          <w:rFonts w:ascii="Arial" w:cs="Arial" w:eastAsia="Arial" w:hAnsi="Arial"/>
          <w:sz w:val="17"/>
          <w:szCs w:val="17"/>
          <w:color w:val="auto"/>
        </w:rPr>
        <w:t>. The recipient of restricted shares generally will be subject to tax at ordinary income rates on the fair market value of the restricted</w:t>
      </w:r>
      <w:r>
        <w:rPr>
          <w:rFonts w:ascii="Arial" w:cs="Arial" w:eastAsia="Arial" w:hAnsi="Arial"/>
          <w:sz w:val="17"/>
          <w:szCs w:val="17"/>
          <w:i w:val="1"/>
          <w:iCs w:val="1"/>
          <w:color w:val="auto"/>
        </w:rPr>
        <w:t xml:space="preserve"> </w:t>
      </w:r>
      <w:r>
        <w:rPr>
          <w:rFonts w:ascii="Arial" w:cs="Arial" w:eastAsia="Arial" w:hAnsi="Arial"/>
          <w:sz w:val="17"/>
          <w:szCs w:val="17"/>
          <w:color w:val="auto"/>
        </w:rPr>
        <w:t>shares (reduced by any amount paid by the recipient for such restricted shares) at such time as the shares are no longer subject to forfeiture or restrictions on transfer for purposes of Section 83 of the Code (“Restrictions”). However, a recipient who so elects under Section 83(b) of the Code within 30 days of the date of transfer of the shares will have taxable ordinary income on the date of transfer of the shares equal to the excess of the fair market value of such shares (determined without regard to the Restrictions) over the purchase price, if any, of such restricted shares. If a Section 83(b) election has not been made, any dividends received with respect to restricted shares that are subject to the Restrictions generally will be treated as compensation that is taxable as ordinary income to the recipient.</w:t>
      </w:r>
    </w:p>
    <w:p>
      <w:pPr>
        <w:spacing w:after="0" w:line="142" w:lineRule="exact"/>
        <w:rPr>
          <w:sz w:val="20"/>
          <w:szCs w:val="20"/>
          <w:color w:val="auto"/>
        </w:rPr>
      </w:pPr>
    </w:p>
    <w:p>
      <w:pPr>
        <w:ind w:right="180"/>
        <w:spacing w:after="0" w:line="243" w:lineRule="auto"/>
        <w:rPr>
          <w:sz w:val="20"/>
          <w:szCs w:val="20"/>
          <w:color w:val="auto"/>
        </w:rPr>
      </w:pPr>
      <w:r>
        <w:rPr>
          <w:rFonts w:ascii="Arial" w:cs="Arial" w:eastAsia="Arial" w:hAnsi="Arial"/>
          <w:sz w:val="17"/>
          <w:szCs w:val="17"/>
          <w:i w:val="1"/>
          <w:iCs w:val="1"/>
          <w:color w:val="auto"/>
        </w:rPr>
        <w:t xml:space="preserve">Restricted Stock Units. </w:t>
      </w:r>
      <w:r>
        <w:rPr>
          <w:rFonts w:ascii="Arial" w:cs="Arial" w:eastAsia="Arial" w:hAnsi="Arial"/>
          <w:sz w:val="17"/>
          <w:szCs w:val="17"/>
          <w:color w:val="auto"/>
        </w:rPr>
        <w:t>No income generally will be recognized upon the award of restricted stock units. The recipient of a restricted stock unit award</w:t>
      </w:r>
      <w:r>
        <w:rPr>
          <w:rFonts w:ascii="Arial" w:cs="Arial" w:eastAsia="Arial" w:hAnsi="Arial"/>
          <w:sz w:val="17"/>
          <w:szCs w:val="17"/>
          <w:i w:val="1"/>
          <w:iCs w:val="1"/>
          <w:color w:val="auto"/>
        </w:rPr>
        <w:t xml:space="preserve"> </w:t>
      </w:r>
      <w:r>
        <w:rPr>
          <w:rFonts w:ascii="Arial" w:cs="Arial" w:eastAsia="Arial" w:hAnsi="Arial"/>
          <w:sz w:val="17"/>
          <w:szCs w:val="17"/>
          <w:color w:val="auto"/>
        </w:rPr>
        <w:t>generally will be subject to tax at ordinary income rates on the fair market value of unrestricted common shares on the date that such shares are transferred to the recipient under the award (reduced by any amount paid by the participant for such restricted stock units), and the capital gains/loss holding period for such shares will also commence on such date.</w:t>
      </w:r>
    </w:p>
    <w:p>
      <w:pPr>
        <w:spacing w:after="0" w:line="140" w:lineRule="exact"/>
        <w:rPr>
          <w:sz w:val="20"/>
          <w:szCs w:val="20"/>
          <w:color w:val="auto"/>
        </w:rPr>
      </w:pPr>
    </w:p>
    <w:p>
      <w:pPr>
        <w:ind w:right="60"/>
        <w:spacing w:after="0" w:line="243" w:lineRule="auto"/>
        <w:rPr>
          <w:sz w:val="20"/>
          <w:szCs w:val="20"/>
          <w:color w:val="auto"/>
        </w:rPr>
      </w:pPr>
      <w:r>
        <w:rPr>
          <w:rFonts w:ascii="Arial" w:cs="Arial" w:eastAsia="Arial" w:hAnsi="Arial"/>
          <w:sz w:val="17"/>
          <w:szCs w:val="17"/>
          <w:i w:val="1"/>
          <w:iCs w:val="1"/>
          <w:color w:val="auto"/>
        </w:rPr>
        <w:t xml:space="preserve">Deferred Shares. </w:t>
      </w:r>
      <w:r>
        <w:rPr>
          <w:rFonts w:ascii="Arial" w:cs="Arial" w:eastAsia="Arial" w:hAnsi="Arial"/>
          <w:sz w:val="17"/>
          <w:szCs w:val="17"/>
          <w:color w:val="auto"/>
        </w:rPr>
        <w:t>No income generally will be recognized upon the award of deferred shares. The recipient of a deferred share award generally will be</w:t>
      </w:r>
      <w:r>
        <w:rPr>
          <w:rFonts w:ascii="Arial" w:cs="Arial" w:eastAsia="Arial" w:hAnsi="Arial"/>
          <w:sz w:val="17"/>
          <w:szCs w:val="17"/>
          <w:i w:val="1"/>
          <w:iCs w:val="1"/>
          <w:color w:val="auto"/>
        </w:rPr>
        <w:t xml:space="preserve"> </w:t>
      </w:r>
      <w:r>
        <w:rPr>
          <w:rFonts w:ascii="Arial" w:cs="Arial" w:eastAsia="Arial" w:hAnsi="Arial"/>
          <w:sz w:val="17"/>
          <w:szCs w:val="17"/>
          <w:color w:val="auto"/>
        </w:rPr>
        <w:t>subject to tax at ordinary income rates on the fair market value of unrestricted common shares on the date that such shares are transferred to the recipient under the award (reduced by any amount paid by the recipient for such deferred shares), and the capital gains/loss holding period for such shares also will commence on such date.</w:t>
      </w:r>
    </w:p>
    <w:p>
      <w:pPr>
        <w:spacing w:after="0" w:line="154" w:lineRule="exact"/>
        <w:rPr>
          <w:sz w:val="20"/>
          <w:szCs w:val="20"/>
          <w:color w:val="auto"/>
        </w:rPr>
      </w:pPr>
    </w:p>
    <w:p>
      <w:pPr>
        <w:ind w:right="140"/>
        <w:spacing w:after="0" w:line="243" w:lineRule="auto"/>
        <w:rPr>
          <w:sz w:val="20"/>
          <w:szCs w:val="20"/>
          <w:color w:val="auto"/>
        </w:rPr>
      </w:pPr>
      <w:r>
        <w:rPr>
          <w:rFonts w:ascii="Arial" w:cs="Arial" w:eastAsia="Arial" w:hAnsi="Arial"/>
          <w:sz w:val="17"/>
          <w:szCs w:val="17"/>
          <w:i w:val="1"/>
          <w:iCs w:val="1"/>
          <w:color w:val="auto"/>
        </w:rPr>
        <w:t xml:space="preserve">Performance Shares and Performance Units. </w:t>
      </w:r>
      <w:r>
        <w:rPr>
          <w:rFonts w:ascii="Arial" w:cs="Arial" w:eastAsia="Arial" w:hAnsi="Arial"/>
          <w:sz w:val="17"/>
          <w:szCs w:val="17"/>
          <w:color w:val="auto"/>
        </w:rPr>
        <w:t>No income generally will be recognized upon the grant of performance shares or performance units.</w:t>
      </w:r>
      <w:r>
        <w:rPr>
          <w:rFonts w:ascii="Arial" w:cs="Arial" w:eastAsia="Arial" w:hAnsi="Arial"/>
          <w:sz w:val="17"/>
          <w:szCs w:val="17"/>
          <w:i w:val="1"/>
          <w:iCs w:val="1"/>
          <w:color w:val="auto"/>
        </w:rPr>
        <w:t xml:space="preserve"> </w:t>
      </w:r>
      <w:r>
        <w:rPr>
          <w:rFonts w:ascii="Arial" w:cs="Arial" w:eastAsia="Arial" w:hAnsi="Arial"/>
          <w:sz w:val="17"/>
          <w:szCs w:val="17"/>
          <w:color w:val="auto"/>
        </w:rPr>
        <w:t>Upon payment in respect of the earn-out of performance shares or performance units, the recipient generally will be required to include as taxable ordinary income in the year of receipt an amount equal to the amount of cash received and the fair market value of any nonrestricted common shares received.</w:t>
      </w:r>
    </w:p>
    <w:p>
      <w:pPr>
        <w:spacing w:after="0" w:line="138"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Tax Consequences to the Company or Subsidiary</w:t>
      </w:r>
    </w:p>
    <w:p>
      <w:pPr>
        <w:spacing w:after="0" w:line="14" w:lineRule="exact"/>
        <w:rPr>
          <w:sz w:val="20"/>
          <w:szCs w:val="20"/>
          <w:color w:val="auto"/>
        </w:rPr>
      </w:pPr>
    </w:p>
    <w:p>
      <w:pPr>
        <w:ind w:right="120"/>
        <w:spacing w:after="0" w:line="234" w:lineRule="auto"/>
        <w:rPr>
          <w:sz w:val="20"/>
          <w:szCs w:val="20"/>
          <w:color w:val="auto"/>
        </w:rPr>
      </w:pPr>
      <w:r>
        <w:rPr>
          <w:rFonts w:ascii="Arial" w:cs="Arial" w:eastAsia="Arial" w:hAnsi="Arial"/>
          <w:sz w:val="17"/>
          <w:szCs w:val="17"/>
          <w:color w:val="auto"/>
        </w:rPr>
        <w:t>To the extent a recipient recognizes ordinary income in the circumstances described above, the Company or subsidiary for which the recipient performs services will be entitled to a corresponding deduction provided that, among other things, the income meets the test of reasonableness, is an ordinary and necessary business expense, is not an “excess parachute payment” within the meaning of Section 280G of the Code and is not disallowed by the $1 million limitation on certain executive compensation under Section 162(m) of the Code. In this regard, certain types of awards under the Amended &amp; Restated 2014 Equity Plan, such as time-vested restricted shares, deferred shares and time-vested restricted stock units, cannot qualify as performance-based awards under Section 162(m) of the Code, and in other cases awards may fail to qualify if all requirements for qualification are not met in connection with such awards.</w:t>
      </w:r>
    </w:p>
    <w:p>
      <w:pPr>
        <w:spacing w:after="0" w:line="145" w:lineRule="exact"/>
        <w:rPr>
          <w:sz w:val="20"/>
          <w:szCs w:val="20"/>
          <w:color w:val="auto"/>
        </w:rPr>
      </w:pPr>
    </w:p>
    <w:p>
      <w:pPr>
        <w:spacing w:after="0"/>
        <w:rPr>
          <w:sz w:val="20"/>
          <w:szCs w:val="20"/>
          <w:color w:val="auto"/>
        </w:rPr>
      </w:pPr>
      <w:r>
        <w:rPr>
          <w:rFonts w:ascii="Arial" w:cs="Arial" w:eastAsia="Arial" w:hAnsi="Arial"/>
          <w:sz w:val="17"/>
          <w:szCs w:val="17"/>
          <w:b w:val="1"/>
          <w:bCs w:val="1"/>
          <w:color w:val="666666"/>
        </w:rPr>
        <w:t>REGISTRATION WITH THE SEC</w:t>
      </w:r>
    </w:p>
    <w:p>
      <w:pPr>
        <w:spacing w:after="0" w:line="14" w:lineRule="exact"/>
        <w:rPr>
          <w:sz w:val="20"/>
          <w:szCs w:val="20"/>
          <w:color w:val="auto"/>
        </w:rPr>
      </w:pPr>
    </w:p>
    <w:p>
      <w:pPr>
        <w:jc w:val="both"/>
        <w:ind w:right="340"/>
        <w:spacing w:after="0" w:line="238" w:lineRule="auto"/>
        <w:rPr>
          <w:sz w:val="20"/>
          <w:szCs w:val="20"/>
          <w:color w:val="auto"/>
        </w:rPr>
      </w:pPr>
      <w:r>
        <w:rPr>
          <w:rFonts w:ascii="Arial" w:cs="Arial" w:eastAsia="Arial" w:hAnsi="Arial"/>
          <w:sz w:val="17"/>
          <w:szCs w:val="17"/>
          <w:color w:val="auto"/>
        </w:rPr>
        <w:t>We intend to file a Registration Statement on Form S-8 relating to the issuance of additional common shares under the Amended &amp; Restated 2014 Equity Plan with the SEC pursuant to the Securities Act as soon as practicable after approval of the Amended &amp; Restated 2014 Equity Plan by our shareholders.</w:t>
      </w:r>
    </w:p>
    <w:p>
      <w:pPr>
        <w:spacing w:after="0" w:line="145" w:lineRule="exact"/>
        <w:rPr>
          <w:sz w:val="20"/>
          <w:szCs w:val="20"/>
          <w:color w:val="auto"/>
        </w:rPr>
      </w:pPr>
    </w:p>
    <w:p>
      <w:pPr>
        <w:ind w:left="11180"/>
        <w:spacing w:after="0"/>
        <w:rPr>
          <w:sz w:val="20"/>
          <w:szCs w:val="20"/>
          <w:color w:val="auto"/>
        </w:rPr>
      </w:pPr>
      <w:r>
        <w:rPr>
          <w:rFonts w:ascii="Arial" w:cs="Arial" w:eastAsia="Arial" w:hAnsi="Arial"/>
          <w:sz w:val="14"/>
          <w:szCs w:val="14"/>
          <w:color w:val="auto"/>
        </w:rPr>
        <w:t>75</w:t>
      </w:r>
    </w:p>
    <w:p>
      <w:pPr>
        <w:sectPr>
          <w:pgSz w:w="11900" w:h="16838" w:orient="portrait"/>
          <w:cols w:equalWidth="0" w:num="1">
            <w:col w:w="11400"/>
          </w:cols>
          <w:pgMar w:left="240" w:top="459" w:right="259" w:bottom="1440" w:gutter="0" w:footer="0" w:header="0"/>
        </w:sectPr>
      </w:pPr>
    </w:p>
    <w:bookmarkStart w:id="81" w:name="page82"/>
    <w:bookmarkEnd w:id="8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219">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3109595</wp:posOffset>
            </wp:positionH>
            <wp:positionV relativeFrom="paragraph">
              <wp:posOffset>205740</wp:posOffset>
            </wp:positionV>
            <wp:extent cx="1046480" cy="205740"/>
            <wp:wrapNone/>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220">
                      <a:extLst>
                        <a:ext uri="{28A0092B-C50C-407E-A947-70E740481C1C}"/>
                      </a:extLst>
                    </a:blip>
                    <a:srcRect/>
                    <a:stretch>
                      <a:fillRect/>
                    </a:stretch>
                  </pic:blipFill>
                  <pic:spPr bwMode="auto">
                    <a:xfrm>
                      <a:off x="0" y="0"/>
                      <a:ext cx="1046480" cy="20574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50" w:lineRule="exact"/>
        <w:rPr>
          <w:sz w:val="20"/>
          <w:szCs w:val="20"/>
          <w:color w:val="auto"/>
        </w:rPr>
      </w:pPr>
    </w:p>
    <w:p>
      <w:pPr>
        <w:spacing w:after="0"/>
        <w:rPr>
          <w:sz w:val="20"/>
          <w:szCs w:val="20"/>
          <w:color w:val="auto"/>
        </w:rPr>
      </w:pPr>
      <w:r>
        <w:rPr>
          <w:rFonts w:ascii="Arial" w:cs="Arial" w:eastAsia="Arial" w:hAnsi="Arial"/>
          <w:sz w:val="17"/>
          <w:szCs w:val="17"/>
          <w:b w:val="1"/>
          <w:bCs w:val="1"/>
          <w:color w:val="666666"/>
        </w:rPr>
        <w:t>VOTE REQUIRED</w:t>
      </w:r>
    </w:p>
    <w:p>
      <w:pPr>
        <w:spacing w:after="0" w:line="14" w:lineRule="exact"/>
        <w:rPr>
          <w:sz w:val="20"/>
          <w:szCs w:val="20"/>
          <w:color w:val="auto"/>
        </w:rPr>
      </w:pPr>
    </w:p>
    <w:p>
      <w:pPr>
        <w:spacing w:after="0" w:line="238" w:lineRule="auto"/>
        <w:rPr>
          <w:sz w:val="20"/>
          <w:szCs w:val="20"/>
          <w:color w:val="auto"/>
        </w:rPr>
      </w:pPr>
      <w:r>
        <w:rPr>
          <w:rFonts w:ascii="Arial" w:cs="Arial" w:eastAsia="Arial" w:hAnsi="Arial"/>
          <w:sz w:val="17"/>
          <w:szCs w:val="17"/>
          <w:color w:val="auto"/>
        </w:rPr>
        <w:t xml:space="preserve">Approval of the Amended &amp; Restated 2014 Equity Plan requires the affirmative vote of a majority of the votes cast on the proposal. Your Board of Directors recommends that shareholders vote FOR the approval of the Amended &amp; Restated 2014 Equity Plan. </w:t>
      </w:r>
      <w:r>
        <w:rPr>
          <w:rFonts w:ascii="Arial" w:cs="Arial" w:eastAsia="Arial" w:hAnsi="Arial"/>
          <w:sz w:val="17"/>
          <w:szCs w:val="17"/>
          <w:b w:val="1"/>
          <w:bCs w:val="1"/>
          <w:color w:val="auto"/>
        </w:rPr>
        <w:t>Shares represented by proxy will be</w:t>
      </w:r>
      <w:r>
        <w:rPr>
          <w:rFonts w:ascii="Arial" w:cs="Arial" w:eastAsia="Arial" w:hAnsi="Arial"/>
          <w:sz w:val="17"/>
          <w:szCs w:val="17"/>
          <w:color w:val="auto"/>
        </w:rPr>
        <w:t xml:space="preserve"> </w:t>
      </w:r>
      <w:r>
        <w:rPr>
          <w:rFonts w:ascii="Arial" w:cs="Arial" w:eastAsia="Arial" w:hAnsi="Arial"/>
          <w:sz w:val="17"/>
          <w:szCs w:val="17"/>
          <w:b w:val="1"/>
          <w:bCs w:val="1"/>
          <w:color w:val="auto"/>
        </w:rPr>
        <w:t>voted FOR this proposal unless you specify a different choice on the accompanying proxy card.</w:t>
      </w:r>
    </w:p>
    <w:p>
      <w:pPr>
        <w:spacing w:after="0" w:line="155" w:lineRule="exact"/>
        <w:rPr>
          <w:sz w:val="20"/>
          <w:szCs w:val="20"/>
          <w:color w:val="auto"/>
        </w:rPr>
      </w:pPr>
    </w:p>
    <w:p>
      <w:pPr>
        <w:jc w:val="center"/>
        <w:ind w:left="300" w:right="40"/>
        <w:spacing w:after="0" w:line="268" w:lineRule="auto"/>
        <w:rPr>
          <w:sz w:val="20"/>
          <w:szCs w:val="20"/>
          <w:color w:val="auto"/>
        </w:rPr>
      </w:pPr>
      <w:r>
        <w:rPr>
          <w:rFonts w:ascii="Arial" w:cs="Arial" w:eastAsia="Arial" w:hAnsi="Arial"/>
          <w:sz w:val="17"/>
          <w:szCs w:val="17"/>
          <w:b w:val="1"/>
          <w:bCs w:val="1"/>
          <w:color w:val="auto"/>
        </w:rPr>
        <w:t xml:space="preserve">THE BOARD OF DIRECTORS RECOMMENDS A VOTE </w:t>
      </w:r>
      <w:r>
        <w:rPr>
          <w:rFonts w:ascii="Arial" w:cs="Arial" w:eastAsia="Arial" w:hAnsi="Arial"/>
          <w:sz w:val="17"/>
          <w:szCs w:val="17"/>
          <w:b w:val="1"/>
          <w:bCs w:val="1"/>
          <w:u w:val="single" w:color="auto"/>
          <w:color w:val="auto"/>
        </w:rPr>
        <w:t>FOR</w:t>
      </w:r>
      <w:r>
        <w:rPr>
          <w:rFonts w:ascii="Arial" w:cs="Arial" w:eastAsia="Arial" w:hAnsi="Arial"/>
          <w:sz w:val="17"/>
          <w:szCs w:val="17"/>
          <w:b w:val="1"/>
          <w:bCs w:val="1"/>
          <w:color w:val="auto"/>
        </w:rPr>
        <w:t xml:space="preserve"> APPROVAL OF THE TIMKENSTEEL CORPORATION AMENDED AND RESTATED 2014 EQUITY AND INCENTIVE COMPENSATION PLAN.</w:t>
      </w:r>
    </w:p>
    <w:p>
      <w:pPr>
        <w:spacing w:after="0" w:line="121" w:lineRule="exact"/>
        <w:rPr>
          <w:sz w:val="20"/>
          <w:szCs w:val="20"/>
          <w:color w:val="auto"/>
        </w:rPr>
      </w:pPr>
    </w:p>
    <w:p>
      <w:pPr>
        <w:spacing w:after="0"/>
        <w:rPr>
          <w:sz w:val="20"/>
          <w:szCs w:val="20"/>
          <w:color w:val="auto"/>
        </w:rPr>
      </w:pPr>
      <w:r>
        <w:rPr>
          <w:rFonts w:ascii="Arial" w:cs="Arial" w:eastAsia="Arial" w:hAnsi="Arial"/>
          <w:sz w:val="14"/>
          <w:szCs w:val="14"/>
          <w:color w:val="auto"/>
        </w:rPr>
        <w:t>76</w:t>
      </w:r>
    </w:p>
    <w:p>
      <w:pPr>
        <w:sectPr>
          <w:pgSz w:w="11900" w:h="16838" w:orient="portrait"/>
          <w:cols w:equalWidth="0" w:num="1">
            <w:col w:w="11380"/>
          </w:cols>
          <w:pgMar w:left="240" w:top="459" w:right="279" w:bottom="1440" w:gutter="0" w:footer="0" w:header="0"/>
        </w:sectPr>
      </w:pPr>
    </w:p>
    <w:bookmarkStart w:id="82" w:name="page83"/>
    <w:bookmarkEnd w:id="8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221">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2715260</wp:posOffset>
            </wp:positionH>
            <wp:positionV relativeFrom="paragraph">
              <wp:posOffset>205740</wp:posOffset>
            </wp:positionV>
            <wp:extent cx="1826895" cy="205740"/>
            <wp:wrapNone/>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222">
                      <a:extLst>
                        <a:ext uri="{28A0092B-C50C-407E-A947-70E740481C1C}"/>
                      </a:extLst>
                    </a:blip>
                    <a:srcRect/>
                    <a:stretch>
                      <a:fillRect/>
                    </a:stretch>
                  </pic:blipFill>
                  <pic:spPr bwMode="auto">
                    <a:xfrm>
                      <a:off x="0" y="0"/>
                      <a:ext cx="1826895" cy="20574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76" w:lineRule="exact"/>
        <w:rPr>
          <w:sz w:val="20"/>
          <w:szCs w:val="20"/>
          <w:color w:val="auto"/>
        </w:rPr>
      </w:pPr>
    </w:p>
    <w:p>
      <w:pPr>
        <w:spacing w:after="0"/>
        <w:rPr>
          <w:sz w:val="20"/>
          <w:szCs w:val="20"/>
          <w:color w:val="auto"/>
        </w:rPr>
      </w:pPr>
      <w:r>
        <w:rPr>
          <w:rFonts w:ascii="Arial" w:cs="Arial" w:eastAsia="Arial" w:hAnsi="Arial"/>
          <w:sz w:val="18"/>
          <w:szCs w:val="18"/>
          <w:color w:val="auto"/>
        </w:rPr>
        <w:t>EQUITY COMPENSATION PLAN INFORMATION</w:t>
      </w:r>
    </w:p>
    <w:p>
      <w:pPr>
        <w:spacing w:after="0" w:line="179" w:lineRule="exact"/>
        <w:rPr>
          <w:sz w:val="20"/>
          <w:szCs w:val="20"/>
          <w:color w:val="auto"/>
        </w:rPr>
      </w:pPr>
    </w:p>
    <w:p>
      <w:pPr>
        <w:ind w:right="200"/>
        <w:spacing w:after="0" w:line="238" w:lineRule="auto"/>
        <w:rPr>
          <w:sz w:val="20"/>
          <w:szCs w:val="20"/>
          <w:color w:val="auto"/>
        </w:rPr>
      </w:pPr>
      <w:r>
        <w:rPr>
          <w:rFonts w:ascii="Arial" w:cs="Arial" w:eastAsia="Arial" w:hAnsi="Arial"/>
          <w:sz w:val="17"/>
          <w:szCs w:val="17"/>
          <w:color w:val="auto"/>
        </w:rPr>
        <w:t>The following table sets forth certain information as of December 31, 2015, regarding the only equity compensation plan maintained by the Company on that date, the 2014 Equity and Incentive Compensation Plan. This plan was approved by the Company’s shareholders on May 6, 2015, in connection with the Company’s 2015 Annual Meeting of Shareholders.</w:t>
      </w:r>
    </w:p>
    <w:p>
      <w:pPr>
        <w:sectPr>
          <w:pgSz w:w="11900" w:h="16838" w:orient="portrait"/>
          <w:cols w:equalWidth="0" w:num="1">
            <w:col w:w="11420"/>
          </w:cols>
          <w:pgMar w:left="240" w:top="459" w:right="239" w:bottom="1440" w:gutter="0" w:footer="0" w:header="0"/>
        </w:sectPr>
      </w:pPr>
    </w:p>
    <w:p>
      <w:pPr>
        <w:spacing w:after="0" w:line="195" w:lineRule="exact"/>
        <w:rPr>
          <w:sz w:val="20"/>
          <w:szCs w:val="20"/>
          <w:color w:val="auto"/>
        </w:rPr>
      </w:pPr>
    </w:p>
    <w:p>
      <w:pPr>
        <w:jc w:val="right"/>
        <w:spacing w:after="0"/>
        <w:tabs>
          <w:tab w:leader="none" w:pos="2540" w:val="left"/>
          <w:tab w:leader="none" w:pos="2160" w:val="left"/>
        </w:tabs>
        <w:rPr>
          <w:sz w:val="20"/>
          <w:szCs w:val="20"/>
          <w:color w:val="auto"/>
        </w:rPr>
      </w:pPr>
      <w:r>
        <w:rPr>
          <w:rFonts w:ascii="Arial" w:cs="Arial" w:eastAsia="Arial" w:hAnsi="Arial"/>
          <w:sz w:val="17"/>
          <w:szCs w:val="17"/>
          <w:b w:val="1"/>
          <w:bCs w:val="1"/>
          <w:color w:val="auto"/>
        </w:rPr>
        <w:t>Number of securities to</w:t>
      </w:r>
      <w:r>
        <w:rPr>
          <w:sz w:val="20"/>
          <w:szCs w:val="20"/>
          <w:color w:val="auto"/>
        </w:rPr>
        <w:tab/>
      </w:r>
      <w:r>
        <w:rPr>
          <w:rFonts w:ascii="Arial" w:cs="Arial" w:eastAsia="Arial" w:hAnsi="Arial"/>
          <w:sz w:val="15"/>
          <w:szCs w:val="15"/>
          <w:b w:val="1"/>
          <w:bCs w:val="1"/>
          <w:color w:val="auto"/>
        </w:rPr>
        <w:t>(1)</w:t>
      </w:r>
      <w:r>
        <w:rPr>
          <w:sz w:val="20"/>
          <w:szCs w:val="20"/>
          <w:color w:val="auto"/>
        </w:rPr>
        <w:tab/>
      </w:r>
      <w:r>
        <w:rPr>
          <w:rFonts w:ascii="Arial" w:cs="Arial" w:eastAsia="Arial" w:hAnsi="Arial"/>
          <w:sz w:val="16"/>
          <w:szCs w:val="16"/>
          <w:b w:val="1"/>
          <w:bCs w:val="1"/>
          <w:color w:val="auto"/>
        </w:rPr>
        <w:t>Weighted average exercise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-115570</wp:posOffset>
            </wp:positionV>
            <wp:extent cx="7246620" cy="8890"/>
            <wp:wrapNone/>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223">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ind w:left="2680"/>
        <w:spacing w:after="0"/>
        <w:tabs>
          <w:tab w:leader="none" w:pos="5880" w:val="left"/>
        </w:tabs>
        <w:rPr>
          <w:sz w:val="20"/>
          <w:szCs w:val="20"/>
          <w:color w:val="auto"/>
        </w:rPr>
      </w:pPr>
      <w:r>
        <w:rPr>
          <w:rFonts w:ascii="Arial" w:cs="Arial" w:eastAsia="Arial" w:hAnsi="Arial"/>
          <w:sz w:val="17"/>
          <w:szCs w:val="17"/>
          <w:b w:val="1"/>
          <w:bCs w:val="1"/>
          <w:color w:val="auto"/>
        </w:rPr>
        <w:t>be issued upon exercise</w:t>
      </w:r>
      <w:r>
        <w:rPr>
          <w:sz w:val="20"/>
          <w:szCs w:val="20"/>
          <w:color w:val="auto"/>
        </w:rPr>
        <w:tab/>
      </w:r>
      <w:r>
        <w:rPr>
          <w:rFonts w:ascii="Arial" w:cs="Arial" w:eastAsia="Arial" w:hAnsi="Arial"/>
          <w:sz w:val="17"/>
          <w:szCs w:val="17"/>
          <w:b w:val="1"/>
          <w:bCs w:val="1"/>
          <w:color w:val="auto"/>
        </w:rPr>
        <w:t>price of outstanding</w:t>
      </w:r>
    </w:p>
    <w:p>
      <w:pPr>
        <w:ind w:left="2740"/>
        <w:spacing w:after="0" w:line="232" w:lineRule="auto"/>
        <w:tabs>
          <w:tab w:leader="none" w:pos="5820" w:val="left"/>
        </w:tabs>
        <w:rPr>
          <w:sz w:val="20"/>
          <w:szCs w:val="20"/>
          <w:color w:val="auto"/>
        </w:rPr>
      </w:pPr>
      <w:r>
        <w:rPr>
          <w:rFonts w:ascii="Arial" w:cs="Arial" w:eastAsia="Arial" w:hAnsi="Arial"/>
          <w:sz w:val="17"/>
          <w:szCs w:val="17"/>
          <w:b w:val="1"/>
          <w:bCs w:val="1"/>
          <w:color w:val="auto"/>
        </w:rPr>
        <w:t>of outstanding options,</w:t>
      </w:r>
      <w:r>
        <w:rPr>
          <w:sz w:val="20"/>
          <w:szCs w:val="20"/>
          <w:color w:val="auto"/>
        </w:rPr>
        <w:tab/>
      </w:r>
      <w:r>
        <w:rPr>
          <w:rFonts w:ascii="Arial" w:cs="Arial" w:eastAsia="Arial" w:hAnsi="Arial"/>
          <w:sz w:val="17"/>
          <w:szCs w:val="17"/>
          <w:b w:val="1"/>
          <w:bCs w:val="1"/>
          <w:color w:val="auto"/>
        </w:rPr>
        <w:t>options, warrants and</w:t>
      </w:r>
    </w:p>
    <w:p>
      <w:pPr>
        <w:spacing w:after="0"/>
        <w:tabs>
          <w:tab w:leader="none" w:pos="2820" w:val="left"/>
          <w:tab w:leader="none" w:pos="6380" w:val="left"/>
        </w:tabs>
        <w:rPr>
          <w:sz w:val="20"/>
          <w:szCs w:val="20"/>
          <w:color w:val="auto"/>
        </w:rPr>
      </w:pPr>
      <w:r>
        <w:rPr>
          <w:rFonts w:ascii="Arial" w:cs="Arial" w:eastAsia="Arial" w:hAnsi="Arial"/>
          <w:sz w:val="17"/>
          <w:szCs w:val="17"/>
          <w:b w:val="1"/>
          <w:bCs w:val="1"/>
          <w:color w:val="auto"/>
        </w:rPr>
        <w:t>Plan Category</w:t>
      </w:r>
      <w:r>
        <w:rPr>
          <w:sz w:val="20"/>
          <w:szCs w:val="20"/>
          <w:color w:val="auto"/>
        </w:rPr>
        <w:tab/>
      </w:r>
      <w:r>
        <w:rPr>
          <w:rFonts w:ascii="Arial" w:cs="Arial" w:eastAsia="Arial" w:hAnsi="Arial"/>
          <w:sz w:val="17"/>
          <w:szCs w:val="17"/>
          <w:b w:val="1"/>
          <w:bCs w:val="1"/>
          <w:color w:val="auto"/>
        </w:rPr>
        <w:t>warrant and rights</w:t>
      </w:r>
      <w:r>
        <w:rPr>
          <w:rFonts w:ascii="Arial" w:cs="Arial" w:eastAsia="Arial" w:hAnsi="Arial"/>
          <w:sz w:val="14"/>
          <w:szCs w:val="14"/>
          <w:b w:val="1"/>
          <w:bCs w:val="1"/>
          <w:color w:val="auto"/>
        </w:rPr>
        <w:t>(a)</w:t>
      </w:r>
      <w:r>
        <w:rPr>
          <w:sz w:val="20"/>
          <w:szCs w:val="20"/>
          <w:color w:val="auto"/>
        </w:rPr>
        <w:tab/>
      </w:r>
      <w:r>
        <w:rPr>
          <w:rFonts w:ascii="Arial" w:cs="Arial" w:eastAsia="Arial" w:hAnsi="Arial"/>
          <w:sz w:val="17"/>
          <w:szCs w:val="17"/>
          <w:b w:val="1"/>
          <w:bCs w:val="1"/>
          <w:color w:val="auto"/>
        </w:rPr>
        <w:t>rights</w:t>
      </w:r>
      <w:r>
        <w:rPr>
          <w:rFonts w:ascii="Arial" w:cs="Arial" w:eastAsia="Arial" w:hAnsi="Arial"/>
          <w:sz w:val="14"/>
          <w:szCs w:val="14"/>
          <w:b w:val="1"/>
          <w:bCs w:val="1"/>
          <w:color w:val="auto"/>
        </w:rPr>
        <w:t>(b)</w:t>
      </w:r>
    </w:p>
    <w:p>
      <w:pPr>
        <w:spacing w:after="0" w:line="20" w:lineRule="exact"/>
        <w:rPr>
          <w:sz w:val="20"/>
          <w:szCs w:val="20"/>
          <w:color w:val="auto"/>
        </w:rPr>
      </w:pPr>
      <w:r>
        <w:rPr>
          <w:sz w:val="20"/>
          <w:szCs w:val="20"/>
          <w:color w:val="auto"/>
        </w:rPr>
        <w:br w:type="column"/>
      </w:r>
    </w:p>
    <w:p>
      <w:pPr>
        <w:spacing w:after="0" w:line="175"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09"/>
        </w:trPr>
        <w:tc>
          <w:tcPr>
            <w:tcW w:w="2480" w:type="dxa"/>
            <w:vAlign w:val="bottom"/>
          </w:tcPr>
          <w:p>
            <w:pPr>
              <w:spacing w:after="0"/>
              <w:rPr>
                <w:sz w:val="20"/>
                <w:szCs w:val="20"/>
                <w:color w:val="auto"/>
              </w:rPr>
            </w:pPr>
            <w:r>
              <w:rPr>
                <w:rFonts w:ascii="Arial" w:cs="Arial" w:eastAsia="Arial" w:hAnsi="Arial"/>
                <w:sz w:val="15"/>
                <w:szCs w:val="15"/>
                <w:b w:val="1"/>
                <w:bCs w:val="1"/>
                <w:color w:val="auto"/>
              </w:rPr>
              <w:t xml:space="preserve">(2)    </w:t>
            </w:r>
            <w:r>
              <w:rPr>
                <w:rFonts w:ascii="Arial" w:cs="Arial" w:eastAsia="Arial" w:hAnsi="Arial"/>
                <w:sz w:val="17"/>
                <w:szCs w:val="17"/>
                <w:b w:val="1"/>
                <w:bCs w:val="1"/>
                <w:color w:val="auto"/>
              </w:rPr>
              <w:t>Number of securities</w:t>
            </w:r>
          </w:p>
        </w:tc>
        <w:tc>
          <w:tcPr>
            <w:tcW w:w="520" w:type="dxa"/>
            <w:vAlign w:val="bottom"/>
          </w:tcPr>
          <w:p>
            <w:pPr>
              <w:jc w:val="right"/>
              <w:spacing w:after="0"/>
              <w:rPr>
                <w:sz w:val="20"/>
                <w:szCs w:val="20"/>
                <w:color w:val="auto"/>
              </w:rPr>
            </w:pPr>
            <w:r>
              <w:rPr>
                <w:rFonts w:ascii="Arial" w:cs="Arial" w:eastAsia="Arial" w:hAnsi="Arial"/>
                <w:sz w:val="15"/>
                <w:szCs w:val="15"/>
                <w:b w:val="1"/>
                <w:bCs w:val="1"/>
                <w:color w:val="auto"/>
              </w:rPr>
              <w:t>(3)</w:t>
            </w:r>
          </w:p>
        </w:tc>
      </w:tr>
    </w:tbl>
    <w:p>
      <w:pPr>
        <w:jc w:val="both"/>
        <w:ind w:left="380" w:right="780" w:hanging="15"/>
        <w:spacing w:after="0" w:line="234" w:lineRule="auto"/>
        <w:rPr>
          <w:sz w:val="20"/>
          <w:szCs w:val="20"/>
          <w:color w:val="auto"/>
        </w:rPr>
      </w:pPr>
      <w:r>
        <w:rPr>
          <w:rFonts w:ascii="Arial" w:cs="Arial" w:eastAsia="Arial" w:hAnsi="Arial"/>
          <w:sz w:val="17"/>
          <w:szCs w:val="17"/>
          <w:b w:val="1"/>
          <w:bCs w:val="1"/>
          <w:color w:val="auto"/>
        </w:rPr>
        <w:t>remaining available for issuance under equity compensation plans</w:t>
      </w:r>
      <w:r>
        <w:rPr>
          <w:rFonts w:ascii="Arial" w:cs="Arial" w:eastAsia="Arial" w:hAnsi="Arial"/>
          <w:sz w:val="14"/>
          <w:szCs w:val="14"/>
          <w:b w:val="1"/>
          <w:bCs w:val="1"/>
          <w:color w:val="auto"/>
        </w:rPr>
        <w:t>(c)</w:t>
      </w:r>
    </w:p>
    <w:p>
      <w:pPr>
        <w:spacing w:after="0" w:line="2" w:lineRule="exact"/>
        <w:rPr>
          <w:sz w:val="20"/>
          <w:szCs w:val="20"/>
          <w:color w:val="auto"/>
        </w:rPr>
      </w:pPr>
    </w:p>
    <w:p>
      <w:pPr>
        <w:sectPr>
          <w:pgSz w:w="11900" w:h="16838" w:orient="portrait"/>
          <w:cols w:equalWidth="0" w:num="2">
            <w:col w:w="7820" w:space="600"/>
            <w:col w:w="3000"/>
          </w:cols>
          <w:pgMar w:left="240" w:top="459" w:right="239" w:bottom="1440" w:gutter="0" w:footer="0" w:header="0"/>
          <w:type w:val="continuous"/>
        </w:sectPr>
      </w:pPr>
    </w:p>
    <w:tbl>
      <w:tblPr>
        <w:tblLayout w:type="fixed"/>
        <w:tblInd w:w="0" w:type="dxa"/>
        <w:tblCellMar>
          <w:top w:w="0" w:type="dxa"/>
          <w:left w:w="0" w:type="dxa"/>
          <w:bottom w:w="0" w:type="dxa"/>
          <w:right w:w="0" w:type="dxa"/>
        </w:tblCellMar>
      </w:tblPr>
      <w:tr>
        <w:trPr>
          <w:trHeight w:val="176"/>
        </w:trPr>
        <w:tc>
          <w:tcPr>
            <w:tcW w:w="3140" w:type="dxa"/>
            <w:vAlign w:val="bottom"/>
            <w:tcBorders>
              <w:top w:val="single" w:sz="8" w:color="auto"/>
            </w:tcBorders>
            <w:shd w:val="clear" w:color="auto" w:fill="CCEEFF"/>
          </w:tcPr>
          <w:p>
            <w:pPr>
              <w:spacing w:after="0" w:line="176" w:lineRule="exact"/>
              <w:rPr>
                <w:sz w:val="20"/>
                <w:szCs w:val="20"/>
                <w:color w:val="auto"/>
              </w:rPr>
            </w:pPr>
            <w:r>
              <w:rPr>
                <w:rFonts w:ascii="Arial" w:cs="Arial" w:eastAsia="Arial" w:hAnsi="Arial"/>
                <w:sz w:val="17"/>
                <w:szCs w:val="17"/>
                <w:color w:val="auto"/>
              </w:rPr>
              <w:t>Equity compensation</w:t>
            </w:r>
          </w:p>
        </w:tc>
        <w:tc>
          <w:tcPr>
            <w:tcW w:w="2020" w:type="dxa"/>
            <w:vAlign w:val="bottom"/>
            <w:tcBorders>
              <w:top w:val="single" w:sz="8" w:color="auto"/>
            </w:tcBorders>
            <w:shd w:val="clear" w:color="auto" w:fill="CCEEFF"/>
          </w:tcPr>
          <w:p>
            <w:pPr>
              <w:spacing w:after="0"/>
              <w:rPr>
                <w:sz w:val="15"/>
                <w:szCs w:val="15"/>
                <w:color w:val="auto"/>
              </w:rPr>
            </w:pPr>
          </w:p>
        </w:tc>
        <w:tc>
          <w:tcPr>
            <w:tcW w:w="1400" w:type="dxa"/>
            <w:vAlign w:val="bottom"/>
            <w:tcBorders>
              <w:top w:val="single" w:sz="8" w:color="auto"/>
            </w:tcBorders>
            <w:shd w:val="clear" w:color="auto" w:fill="CCEEFF"/>
          </w:tcPr>
          <w:p>
            <w:pPr>
              <w:spacing w:after="0"/>
              <w:rPr>
                <w:sz w:val="15"/>
                <w:szCs w:val="15"/>
                <w:color w:val="auto"/>
              </w:rPr>
            </w:pPr>
          </w:p>
        </w:tc>
        <w:tc>
          <w:tcPr>
            <w:tcW w:w="2300" w:type="dxa"/>
            <w:vAlign w:val="bottom"/>
            <w:tcBorders>
              <w:top w:val="single" w:sz="8" w:color="auto"/>
            </w:tcBorders>
            <w:shd w:val="clear" w:color="auto" w:fill="CCEEFF"/>
          </w:tcPr>
          <w:p>
            <w:pPr>
              <w:spacing w:after="0"/>
              <w:rPr>
                <w:sz w:val="15"/>
                <w:szCs w:val="15"/>
                <w:color w:val="auto"/>
              </w:rPr>
            </w:pPr>
          </w:p>
        </w:tc>
        <w:tc>
          <w:tcPr>
            <w:tcW w:w="2560" w:type="dxa"/>
            <w:vAlign w:val="bottom"/>
            <w:tcBorders>
              <w:top w:val="single" w:sz="8" w:color="auto"/>
            </w:tcBorders>
            <w:shd w:val="clear" w:color="auto" w:fill="CCEEFF"/>
          </w:tcPr>
          <w:p>
            <w:pPr>
              <w:spacing w:after="0"/>
              <w:rPr>
                <w:sz w:val="15"/>
                <w:szCs w:val="15"/>
                <w:color w:val="auto"/>
              </w:rPr>
            </w:pPr>
          </w:p>
        </w:tc>
      </w:tr>
      <w:tr>
        <w:trPr>
          <w:trHeight w:val="189"/>
        </w:trPr>
        <w:tc>
          <w:tcPr>
            <w:tcW w:w="3140" w:type="dxa"/>
            <w:vAlign w:val="bottom"/>
            <w:shd w:val="clear" w:color="auto" w:fill="CCEEFF"/>
          </w:tcPr>
          <w:p>
            <w:pPr>
              <w:spacing w:after="0" w:line="189" w:lineRule="exact"/>
              <w:rPr>
                <w:sz w:val="20"/>
                <w:szCs w:val="20"/>
                <w:color w:val="auto"/>
              </w:rPr>
            </w:pPr>
            <w:r>
              <w:rPr>
                <w:rFonts w:ascii="Arial" w:cs="Arial" w:eastAsia="Arial" w:hAnsi="Arial"/>
                <w:sz w:val="17"/>
                <w:szCs w:val="17"/>
                <w:color w:val="auto"/>
              </w:rPr>
              <w:t>plans approved by security</w:t>
            </w:r>
          </w:p>
        </w:tc>
        <w:tc>
          <w:tcPr>
            <w:tcW w:w="2020" w:type="dxa"/>
            <w:vAlign w:val="bottom"/>
            <w:shd w:val="clear" w:color="auto" w:fill="CCEEFF"/>
          </w:tcPr>
          <w:p>
            <w:pPr>
              <w:spacing w:after="0"/>
              <w:rPr>
                <w:sz w:val="16"/>
                <w:szCs w:val="16"/>
                <w:color w:val="auto"/>
              </w:rPr>
            </w:pPr>
          </w:p>
        </w:tc>
        <w:tc>
          <w:tcPr>
            <w:tcW w:w="1400" w:type="dxa"/>
            <w:vAlign w:val="bottom"/>
            <w:shd w:val="clear" w:color="auto" w:fill="CCEEFF"/>
          </w:tcPr>
          <w:p>
            <w:pPr>
              <w:spacing w:after="0"/>
              <w:rPr>
                <w:sz w:val="16"/>
                <w:szCs w:val="16"/>
                <w:color w:val="auto"/>
              </w:rPr>
            </w:pPr>
          </w:p>
        </w:tc>
        <w:tc>
          <w:tcPr>
            <w:tcW w:w="2300" w:type="dxa"/>
            <w:vAlign w:val="bottom"/>
            <w:shd w:val="clear" w:color="auto" w:fill="CCEEFF"/>
          </w:tcPr>
          <w:p>
            <w:pPr>
              <w:spacing w:after="0"/>
              <w:rPr>
                <w:sz w:val="16"/>
                <w:szCs w:val="16"/>
                <w:color w:val="auto"/>
              </w:rPr>
            </w:pPr>
          </w:p>
        </w:tc>
        <w:tc>
          <w:tcPr>
            <w:tcW w:w="2560" w:type="dxa"/>
            <w:vAlign w:val="bottom"/>
            <w:shd w:val="clear" w:color="auto" w:fill="CCEEFF"/>
          </w:tcPr>
          <w:p>
            <w:pPr>
              <w:spacing w:after="0"/>
              <w:rPr>
                <w:sz w:val="16"/>
                <w:szCs w:val="16"/>
                <w:color w:val="auto"/>
              </w:rPr>
            </w:pPr>
          </w:p>
        </w:tc>
      </w:tr>
      <w:tr>
        <w:trPr>
          <w:trHeight w:val="195"/>
        </w:trPr>
        <w:tc>
          <w:tcPr>
            <w:tcW w:w="3140" w:type="dxa"/>
            <w:vAlign w:val="bottom"/>
            <w:shd w:val="clear" w:color="auto" w:fill="CCEEFF"/>
          </w:tcPr>
          <w:p>
            <w:pPr>
              <w:spacing w:after="0"/>
              <w:rPr>
                <w:sz w:val="20"/>
                <w:szCs w:val="20"/>
                <w:color w:val="auto"/>
              </w:rPr>
            </w:pPr>
            <w:r>
              <w:rPr>
                <w:rFonts w:ascii="Arial" w:cs="Arial" w:eastAsia="Arial" w:hAnsi="Arial"/>
                <w:sz w:val="17"/>
                <w:szCs w:val="17"/>
                <w:color w:val="auto"/>
              </w:rPr>
              <w:t>holders</w:t>
            </w:r>
          </w:p>
        </w:tc>
        <w:tc>
          <w:tcPr>
            <w:tcW w:w="2020" w:type="dxa"/>
            <w:vAlign w:val="bottom"/>
            <w:shd w:val="clear" w:color="auto" w:fill="CCEEFF"/>
          </w:tcPr>
          <w:p>
            <w:pPr>
              <w:jc w:val="right"/>
              <w:ind w:right="395"/>
              <w:spacing w:after="0"/>
              <w:rPr>
                <w:sz w:val="20"/>
                <w:szCs w:val="20"/>
                <w:color w:val="auto"/>
              </w:rPr>
            </w:pPr>
            <w:r>
              <w:rPr>
                <w:rFonts w:ascii="Arial" w:cs="Arial" w:eastAsia="Arial" w:hAnsi="Arial"/>
                <w:sz w:val="17"/>
                <w:szCs w:val="17"/>
                <w:color w:val="auto"/>
              </w:rPr>
              <w:t>1,979,188</w:t>
            </w:r>
          </w:p>
        </w:tc>
        <w:tc>
          <w:tcPr>
            <w:tcW w:w="1400" w:type="dxa"/>
            <w:vAlign w:val="bottom"/>
            <w:shd w:val="clear" w:color="auto" w:fill="CCEEFF"/>
          </w:tcPr>
          <w:p>
            <w:pPr>
              <w:jc w:val="right"/>
              <w:ind w:right="755"/>
              <w:spacing w:after="0"/>
              <w:rPr>
                <w:sz w:val="20"/>
                <w:szCs w:val="20"/>
                <w:color w:val="auto"/>
              </w:rPr>
            </w:pPr>
            <w:r>
              <w:rPr>
                <w:rFonts w:ascii="Arial" w:cs="Arial" w:eastAsia="Arial" w:hAnsi="Arial"/>
                <w:sz w:val="17"/>
                <w:szCs w:val="17"/>
                <w:color w:val="auto"/>
              </w:rPr>
              <w:t>$</w:t>
            </w:r>
          </w:p>
        </w:tc>
        <w:tc>
          <w:tcPr>
            <w:tcW w:w="2300" w:type="dxa"/>
            <w:vAlign w:val="bottom"/>
            <w:shd w:val="clear" w:color="auto" w:fill="CCEEFF"/>
          </w:tcPr>
          <w:p>
            <w:pPr>
              <w:jc w:val="right"/>
              <w:ind w:right="955"/>
              <w:spacing w:after="0"/>
              <w:rPr>
                <w:sz w:val="20"/>
                <w:szCs w:val="20"/>
                <w:color w:val="auto"/>
              </w:rPr>
            </w:pPr>
            <w:r>
              <w:rPr>
                <w:rFonts w:ascii="Arial" w:cs="Arial" w:eastAsia="Arial" w:hAnsi="Arial"/>
                <w:sz w:val="17"/>
                <w:szCs w:val="17"/>
                <w:color w:val="auto"/>
              </w:rPr>
              <w:t>28.68</w:t>
            </w:r>
          </w:p>
        </w:tc>
        <w:tc>
          <w:tcPr>
            <w:tcW w:w="2560" w:type="dxa"/>
            <w:vAlign w:val="bottom"/>
            <w:shd w:val="clear" w:color="auto" w:fill="CCEEFF"/>
          </w:tcPr>
          <w:p>
            <w:pPr>
              <w:jc w:val="right"/>
              <w:ind w:right="675"/>
              <w:spacing w:after="0"/>
              <w:rPr>
                <w:sz w:val="20"/>
                <w:szCs w:val="20"/>
                <w:color w:val="auto"/>
              </w:rPr>
            </w:pPr>
            <w:r>
              <w:rPr>
                <w:rFonts w:ascii="Arial" w:cs="Arial" w:eastAsia="Arial" w:hAnsi="Arial"/>
                <w:sz w:val="17"/>
                <w:szCs w:val="17"/>
                <w:color w:val="auto"/>
              </w:rPr>
              <w:t>3,533,678</w:t>
            </w:r>
          </w:p>
        </w:tc>
      </w:tr>
      <w:tr>
        <w:trPr>
          <w:trHeight w:val="183"/>
        </w:trPr>
        <w:tc>
          <w:tcPr>
            <w:tcW w:w="3140" w:type="dxa"/>
            <w:vAlign w:val="bottom"/>
          </w:tcPr>
          <w:p>
            <w:pPr>
              <w:spacing w:after="0" w:line="183" w:lineRule="exact"/>
              <w:rPr>
                <w:sz w:val="20"/>
                <w:szCs w:val="20"/>
                <w:color w:val="auto"/>
              </w:rPr>
            </w:pPr>
            <w:r>
              <w:rPr>
                <w:rFonts w:ascii="Arial" w:cs="Arial" w:eastAsia="Arial" w:hAnsi="Arial"/>
                <w:sz w:val="17"/>
                <w:szCs w:val="17"/>
                <w:color w:val="auto"/>
              </w:rPr>
              <w:t>Equity compensation plans not</w:t>
            </w:r>
          </w:p>
        </w:tc>
        <w:tc>
          <w:tcPr>
            <w:tcW w:w="2020" w:type="dxa"/>
            <w:vAlign w:val="bottom"/>
          </w:tcPr>
          <w:p>
            <w:pPr>
              <w:spacing w:after="0"/>
              <w:rPr>
                <w:sz w:val="15"/>
                <w:szCs w:val="15"/>
                <w:color w:val="auto"/>
              </w:rPr>
            </w:pPr>
          </w:p>
        </w:tc>
        <w:tc>
          <w:tcPr>
            <w:tcW w:w="1400" w:type="dxa"/>
            <w:vAlign w:val="bottom"/>
          </w:tcPr>
          <w:p>
            <w:pPr>
              <w:spacing w:after="0"/>
              <w:rPr>
                <w:sz w:val="15"/>
                <w:szCs w:val="15"/>
                <w:color w:val="auto"/>
              </w:rPr>
            </w:pPr>
          </w:p>
        </w:tc>
        <w:tc>
          <w:tcPr>
            <w:tcW w:w="2300" w:type="dxa"/>
            <w:vAlign w:val="bottom"/>
          </w:tcPr>
          <w:p>
            <w:pPr>
              <w:spacing w:after="0"/>
              <w:rPr>
                <w:sz w:val="15"/>
                <w:szCs w:val="15"/>
                <w:color w:val="auto"/>
              </w:rPr>
            </w:pPr>
          </w:p>
        </w:tc>
        <w:tc>
          <w:tcPr>
            <w:tcW w:w="2560" w:type="dxa"/>
            <w:vAlign w:val="bottom"/>
          </w:tcPr>
          <w:p>
            <w:pPr>
              <w:spacing w:after="0"/>
              <w:rPr>
                <w:sz w:val="15"/>
                <w:szCs w:val="15"/>
                <w:color w:val="auto"/>
              </w:rPr>
            </w:pPr>
          </w:p>
        </w:tc>
      </w:tr>
      <w:tr>
        <w:trPr>
          <w:trHeight w:val="195"/>
        </w:trPr>
        <w:tc>
          <w:tcPr>
            <w:tcW w:w="3140" w:type="dxa"/>
            <w:vAlign w:val="bottom"/>
            <w:tcBorders>
              <w:bottom w:val="single" w:sz="8" w:color="auto"/>
            </w:tcBorders>
          </w:tcPr>
          <w:p>
            <w:pPr>
              <w:spacing w:after="0"/>
              <w:rPr>
                <w:sz w:val="20"/>
                <w:szCs w:val="20"/>
                <w:color w:val="auto"/>
              </w:rPr>
            </w:pPr>
            <w:r>
              <w:rPr>
                <w:rFonts w:ascii="Arial" w:cs="Arial" w:eastAsia="Arial" w:hAnsi="Arial"/>
                <w:sz w:val="17"/>
                <w:szCs w:val="17"/>
                <w:color w:val="auto"/>
              </w:rPr>
              <w:t>approved by security holders</w:t>
            </w:r>
            <w:r>
              <w:rPr>
                <w:rFonts w:ascii="Arial" w:cs="Arial" w:eastAsia="Arial" w:hAnsi="Arial"/>
                <w:sz w:val="14"/>
                <w:szCs w:val="14"/>
                <w:color w:val="auto"/>
              </w:rPr>
              <w:t>(4)</w:t>
            </w:r>
          </w:p>
        </w:tc>
        <w:tc>
          <w:tcPr>
            <w:tcW w:w="2020" w:type="dxa"/>
            <w:vAlign w:val="bottom"/>
            <w:tcBorders>
              <w:bottom w:val="single" w:sz="8" w:color="auto"/>
            </w:tcBorders>
          </w:tcPr>
          <w:p>
            <w:pPr>
              <w:jc w:val="right"/>
              <w:ind w:right="395"/>
              <w:spacing w:after="0"/>
              <w:rPr>
                <w:sz w:val="20"/>
                <w:szCs w:val="20"/>
                <w:color w:val="auto"/>
              </w:rPr>
            </w:pPr>
            <w:r>
              <w:rPr>
                <w:rFonts w:ascii="Arial" w:cs="Arial" w:eastAsia="Arial" w:hAnsi="Arial"/>
                <w:sz w:val="17"/>
                <w:szCs w:val="17"/>
                <w:color w:val="auto"/>
              </w:rPr>
              <w:t>0</w:t>
            </w:r>
          </w:p>
        </w:tc>
        <w:tc>
          <w:tcPr>
            <w:tcW w:w="1400" w:type="dxa"/>
            <w:vAlign w:val="bottom"/>
            <w:tcBorders>
              <w:bottom w:val="single" w:sz="8" w:color="auto"/>
            </w:tcBorders>
          </w:tcPr>
          <w:p>
            <w:pPr>
              <w:spacing w:after="0"/>
              <w:rPr>
                <w:sz w:val="16"/>
                <w:szCs w:val="16"/>
                <w:color w:val="auto"/>
              </w:rPr>
            </w:pPr>
          </w:p>
        </w:tc>
        <w:tc>
          <w:tcPr>
            <w:tcW w:w="2300" w:type="dxa"/>
            <w:vAlign w:val="bottom"/>
            <w:tcBorders>
              <w:bottom w:val="single" w:sz="8" w:color="auto"/>
            </w:tcBorders>
          </w:tcPr>
          <w:p>
            <w:pPr>
              <w:jc w:val="right"/>
              <w:ind w:right="955"/>
              <w:spacing w:after="0"/>
              <w:rPr>
                <w:sz w:val="20"/>
                <w:szCs w:val="20"/>
                <w:color w:val="auto"/>
              </w:rPr>
            </w:pPr>
            <w:r>
              <w:rPr>
                <w:rFonts w:ascii="Arial" w:cs="Arial" w:eastAsia="Arial" w:hAnsi="Arial"/>
                <w:sz w:val="17"/>
                <w:szCs w:val="17"/>
                <w:color w:val="auto"/>
              </w:rPr>
              <w:t>0</w:t>
            </w:r>
          </w:p>
        </w:tc>
        <w:tc>
          <w:tcPr>
            <w:tcW w:w="2560" w:type="dxa"/>
            <w:vAlign w:val="bottom"/>
            <w:tcBorders>
              <w:bottom w:val="single" w:sz="8" w:color="auto"/>
            </w:tcBorders>
          </w:tcPr>
          <w:p>
            <w:pPr>
              <w:jc w:val="right"/>
              <w:ind w:right="675"/>
              <w:spacing w:after="0"/>
              <w:rPr>
                <w:sz w:val="20"/>
                <w:szCs w:val="20"/>
                <w:color w:val="auto"/>
              </w:rPr>
            </w:pPr>
            <w:r>
              <w:rPr>
                <w:rFonts w:ascii="Arial" w:cs="Arial" w:eastAsia="Arial" w:hAnsi="Arial"/>
                <w:sz w:val="17"/>
                <w:szCs w:val="17"/>
                <w:color w:val="auto"/>
              </w:rPr>
              <w:t>0</w:t>
            </w:r>
          </w:p>
        </w:tc>
      </w:tr>
      <w:tr>
        <w:trPr>
          <w:trHeight w:val="183"/>
        </w:trPr>
        <w:tc>
          <w:tcPr>
            <w:tcW w:w="3140" w:type="dxa"/>
            <w:vAlign w:val="bottom"/>
            <w:tcBorders>
              <w:bottom w:val="single" w:sz="8" w:color="auto"/>
            </w:tcBorders>
            <w:shd w:val="clear" w:color="auto" w:fill="CCEEFF"/>
          </w:tcPr>
          <w:p>
            <w:pPr>
              <w:spacing w:after="0" w:line="183" w:lineRule="exact"/>
              <w:rPr>
                <w:sz w:val="20"/>
                <w:szCs w:val="20"/>
                <w:color w:val="auto"/>
              </w:rPr>
            </w:pPr>
            <w:r>
              <w:rPr>
                <w:rFonts w:ascii="Arial" w:cs="Arial" w:eastAsia="Arial" w:hAnsi="Arial"/>
                <w:sz w:val="17"/>
                <w:szCs w:val="17"/>
                <w:b w:val="1"/>
                <w:bCs w:val="1"/>
                <w:color w:val="auto"/>
              </w:rPr>
              <w:t>Total</w:t>
            </w:r>
          </w:p>
        </w:tc>
        <w:tc>
          <w:tcPr>
            <w:tcW w:w="2020" w:type="dxa"/>
            <w:vAlign w:val="bottom"/>
            <w:tcBorders>
              <w:bottom w:val="single" w:sz="8" w:color="auto"/>
            </w:tcBorders>
            <w:shd w:val="clear" w:color="auto" w:fill="CCEEFF"/>
          </w:tcPr>
          <w:p>
            <w:pPr>
              <w:jc w:val="right"/>
              <w:ind w:right="395"/>
              <w:spacing w:after="0" w:line="183" w:lineRule="exact"/>
              <w:rPr>
                <w:sz w:val="20"/>
                <w:szCs w:val="20"/>
                <w:color w:val="auto"/>
              </w:rPr>
            </w:pPr>
            <w:r>
              <w:rPr>
                <w:rFonts w:ascii="Arial" w:cs="Arial" w:eastAsia="Arial" w:hAnsi="Arial"/>
                <w:sz w:val="17"/>
                <w:szCs w:val="17"/>
                <w:color w:val="auto"/>
              </w:rPr>
              <w:t>1,979,188</w:t>
            </w:r>
          </w:p>
        </w:tc>
        <w:tc>
          <w:tcPr>
            <w:tcW w:w="1400" w:type="dxa"/>
            <w:vAlign w:val="bottom"/>
            <w:tcBorders>
              <w:bottom w:val="single" w:sz="8" w:color="auto"/>
            </w:tcBorders>
            <w:shd w:val="clear" w:color="auto" w:fill="CCEEFF"/>
          </w:tcPr>
          <w:p>
            <w:pPr>
              <w:jc w:val="right"/>
              <w:ind w:right="755"/>
              <w:spacing w:after="0" w:line="183" w:lineRule="exact"/>
              <w:rPr>
                <w:sz w:val="20"/>
                <w:szCs w:val="20"/>
                <w:color w:val="auto"/>
              </w:rPr>
            </w:pPr>
            <w:r>
              <w:rPr>
                <w:rFonts w:ascii="Arial" w:cs="Arial" w:eastAsia="Arial" w:hAnsi="Arial"/>
                <w:sz w:val="17"/>
                <w:szCs w:val="17"/>
                <w:color w:val="auto"/>
              </w:rPr>
              <w:t>$</w:t>
            </w:r>
          </w:p>
        </w:tc>
        <w:tc>
          <w:tcPr>
            <w:tcW w:w="2300" w:type="dxa"/>
            <w:vAlign w:val="bottom"/>
            <w:tcBorders>
              <w:bottom w:val="single" w:sz="8" w:color="auto"/>
            </w:tcBorders>
            <w:shd w:val="clear" w:color="auto" w:fill="CCEEFF"/>
          </w:tcPr>
          <w:p>
            <w:pPr>
              <w:jc w:val="right"/>
              <w:ind w:right="955"/>
              <w:spacing w:after="0" w:line="183" w:lineRule="exact"/>
              <w:rPr>
                <w:sz w:val="20"/>
                <w:szCs w:val="20"/>
                <w:color w:val="auto"/>
              </w:rPr>
            </w:pPr>
            <w:r>
              <w:rPr>
                <w:rFonts w:ascii="Arial" w:cs="Arial" w:eastAsia="Arial" w:hAnsi="Arial"/>
                <w:sz w:val="17"/>
                <w:szCs w:val="17"/>
                <w:color w:val="auto"/>
              </w:rPr>
              <w:t>28.68</w:t>
            </w:r>
          </w:p>
        </w:tc>
        <w:tc>
          <w:tcPr>
            <w:tcW w:w="2560" w:type="dxa"/>
            <w:vAlign w:val="bottom"/>
            <w:tcBorders>
              <w:bottom w:val="single" w:sz="8" w:color="auto"/>
            </w:tcBorders>
            <w:shd w:val="clear" w:color="auto" w:fill="CCEEFF"/>
          </w:tcPr>
          <w:p>
            <w:pPr>
              <w:jc w:val="right"/>
              <w:ind w:right="675"/>
              <w:spacing w:after="0" w:line="183" w:lineRule="exact"/>
              <w:rPr>
                <w:sz w:val="20"/>
                <w:szCs w:val="20"/>
                <w:color w:val="auto"/>
              </w:rPr>
            </w:pPr>
            <w:r>
              <w:rPr>
                <w:rFonts w:ascii="Arial" w:cs="Arial" w:eastAsia="Arial" w:hAnsi="Arial"/>
                <w:sz w:val="17"/>
                <w:szCs w:val="17"/>
                <w:color w:val="auto"/>
              </w:rPr>
              <w:t>3,533,678</w:t>
            </w:r>
          </w:p>
        </w:tc>
      </w:tr>
    </w:tbl>
    <w:p>
      <w:pPr>
        <w:spacing w:after="0" w:line="210" w:lineRule="exact"/>
        <w:rPr>
          <w:sz w:val="20"/>
          <w:szCs w:val="20"/>
          <w:color w:val="auto"/>
        </w:rPr>
      </w:pPr>
    </w:p>
    <w:p>
      <w:pPr>
        <w:ind w:left="460" w:right="220" w:hanging="452"/>
        <w:spacing w:after="0" w:line="243" w:lineRule="auto"/>
        <w:tabs>
          <w:tab w:leader="none" w:pos="460" w:val="left"/>
        </w:tabs>
        <w:numPr>
          <w:ilvl w:val="0"/>
          <w:numId w:val="47"/>
        </w:numPr>
        <w:rPr>
          <w:rFonts w:ascii="Arial" w:cs="Arial" w:eastAsia="Arial" w:hAnsi="Arial"/>
          <w:sz w:val="15"/>
          <w:szCs w:val="15"/>
          <w:color w:val="auto"/>
        </w:rPr>
      </w:pPr>
      <w:r>
        <w:rPr>
          <w:rFonts w:ascii="Arial" w:cs="Arial" w:eastAsia="Arial" w:hAnsi="Arial"/>
          <w:sz w:val="17"/>
          <w:szCs w:val="17"/>
          <w:color w:val="auto"/>
        </w:rPr>
        <w:t>The amount shown in column (a) includes the following: nonqualified stock options – 1,617,503; deferred shares – 46,800; performance-based restricted stock units – 70,425; and time-based restricted stock units – 244,460 (which includes 152,239 cliff-vested restricted stock units).</w:t>
      </w:r>
    </w:p>
    <w:p>
      <w:pPr>
        <w:spacing w:after="0" w:line="198" w:lineRule="exact"/>
        <w:rPr>
          <w:rFonts w:ascii="Arial" w:cs="Arial" w:eastAsia="Arial" w:hAnsi="Arial"/>
          <w:sz w:val="15"/>
          <w:szCs w:val="15"/>
          <w:color w:val="auto"/>
        </w:rPr>
      </w:pPr>
    </w:p>
    <w:p>
      <w:pPr>
        <w:ind w:left="460" w:hanging="452"/>
        <w:spacing w:after="0"/>
        <w:tabs>
          <w:tab w:leader="none" w:pos="460" w:val="left"/>
        </w:tabs>
        <w:numPr>
          <w:ilvl w:val="0"/>
          <w:numId w:val="47"/>
        </w:numPr>
        <w:rPr>
          <w:rFonts w:ascii="Arial" w:cs="Arial" w:eastAsia="Arial" w:hAnsi="Arial"/>
          <w:sz w:val="15"/>
          <w:szCs w:val="15"/>
          <w:color w:val="auto"/>
        </w:rPr>
      </w:pPr>
      <w:r>
        <w:rPr>
          <w:rFonts w:ascii="Arial" w:cs="Arial" w:eastAsia="Arial" w:hAnsi="Arial"/>
          <w:sz w:val="17"/>
          <w:szCs w:val="17"/>
          <w:color w:val="auto"/>
        </w:rPr>
        <w:t>The weighted average exercise price in column (b) includes nonqualified stock options only.</w:t>
      </w:r>
    </w:p>
    <w:p>
      <w:pPr>
        <w:spacing w:after="0" w:line="209" w:lineRule="exact"/>
        <w:rPr>
          <w:rFonts w:ascii="Arial" w:cs="Arial" w:eastAsia="Arial" w:hAnsi="Arial"/>
          <w:sz w:val="15"/>
          <w:szCs w:val="15"/>
          <w:color w:val="auto"/>
        </w:rPr>
      </w:pPr>
    </w:p>
    <w:p>
      <w:pPr>
        <w:ind w:left="460" w:right="20" w:hanging="452"/>
        <w:spacing w:after="0" w:line="234" w:lineRule="auto"/>
        <w:tabs>
          <w:tab w:leader="none" w:pos="460" w:val="left"/>
        </w:tabs>
        <w:numPr>
          <w:ilvl w:val="0"/>
          <w:numId w:val="47"/>
        </w:numPr>
        <w:rPr>
          <w:rFonts w:ascii="Arial" w:cs="Arial" w:eastAsia="Arial" w:hAnsi="Arial"/>
          <w:sz w:val="15"/>
          <w:szCs w:val="15"/>
          <w:color w:val="auto"/>
        </w:rPr>
      </w:pPr>
      <w:r>
        <w:rPr>
          <w:rFonts w:ascii="Arial" w:cs="Arial" w:eastAsia="Arial" w:hAnsi="Arial"/>
          <w:sz w:val="17"/>
          <w:szCs w:val="17"/>
          <w:color w:val="auto"/>
        </w:rPr>
        <w:t>The amount shown in column (c) represents common shares remaining available under the 2014 Equity Plan, under which the Compensation Committee is authorized to make awards of option rights, appreciation rights, restricted shares, performance units and restricted stock units, deferred shares, performance shares and cash incentive awards. Awards may be credited with dividend equivalents payable in the form of common shares. In addition, under the 2014 Equity Plan, non-employee Directors are entitled to awards of restricted shares, common shares and option rights. Under this Plan, for any award that is not an option right or a stock appreciation right, 2.46 common shares are subtracted from the maximum number of common shares available under the plan for every common share issued under the award. For awards of option rights and stock appreciation rights, however, only one common share is subtracted from the maximum number of common shares available under the plan for every common share granted.</w:t>
      </w:r>
    </w:p>
    <w:p>
      <w:pPr>
        <w:spacing w:after="0" w:line="203" w:lineRule="exact"/>
        <w:rPr>
          <w:rFonts w:ascii="Arial" w:cs="Arial" w:eastAsia="Arial" w:hAnsi="Arial"/>
          <w:sz w:val="15"/>
          <w:szCs w:val="15"/>
          <w:color w:val="auto"/>
        </w:rPr>
      </w:pPr>
    </w:p>
    <w:p>
      <w:pPr>
        <w:ind w:left="460" w:right="140" w:hanging="452"/>
        <w:spacing w:after="0" w:line="238" w:lineRule="auto"/>
        <w:tabs>
          <w:tab w:leader="none" w:pos="460" w:val="left"/>
        </w:tabs>
        <w:numPr>
          <w:ilvl w:val="0"/>
          <w:numId w:val="47"/>
        </w:numPr>
        <w:rPr>
          <w:rFonts w:ascii="Arial" w:cs="Arial" w:eastAsia="Arial" w:hAnsi="Arial"/>
          <w:sz w:val="15"/>
          <w:szCs w:val="15"/>
          <w:color w:val="auto"/>
        </w:rPr>
      </w:pPr>
      <w:r>
        <w:rPr>
          <w:rFonts w:ascii="Arial" w:cs="Arial" w:eastAsia="Arial" w:hAnsi="Arial"/>
          <w:sz w:val="17"/>
          <w:szCs w:val="17"/>
          <w:color w:val="auto"/>
        </w:rPr>
        <w:t>The Company also maintains the Director Deferred Compensation Plan pursuant to which Directors may defer receipt of common shares authorized for issuance under the 2014 Equity Plan. The table does not include separate information about this plan because it merely provides for the deferral, rather than the issuance, of common shares.</w:t>
      </w:r>
    </w:p>
    <w:p>
      <w:pPr>
        <w:spacing w:after="0" w:line="145" w:lineRule="exact"/>
        <w:rPr>
          <w:sz w:val="20"/>
          <w:szCs w:val="20"/>
          <w:color w:val="auto"/>
        </w:rPr>
      </w:pPr>
    </w:p>
    <w:p>
      <w:pPr>
        <w:ind w:left="11180"/>
        <w:spacing w:after="0"/>
        <w:rPr>
          <w:sz w:val="20"/>
          <w:szCs w:val="20"/>
          <w:color w:val="auto"/>
        </w:rPr>
      </w:pPr>
      <w:r>
        <w:rPr>
          <w:rFonts w:ascii="Arial" w:cs="Arial" w:eastAsia="Arial" w:hAnsi="Arial"/>
          <w:sz w:val="14"/>
          <w:szCs w:val="14"/>
          <w:color w:val="auto"/>
        </w:rPr>
        <w:t>77</w:t>
      </w:r>
    </w:p>
    <w:p>
      <w:pPr>
        <w:sectPr>
          <w:pgSz w:w="11900" w:h="16838" w:orient="portrait"/>
          <w:cols w:equalWidth="0" w:num="1">
            <w:col w:w="11420"/>
          </w:cols>
          <w:pgMar w:left="240" w:top="459" w:right="239" w:bottom="1440" w:gutter="0" w:footer="0" w:header="0"/>
          <w:type w:val="continuous"/>
        </w:sectPr>
      </w:pPr>
    </w:p>
    <w:bookmarkStart w:id="83" w:name="page84"/>
    <w:bookmarkEnd w:id="8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224">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3109595</wp:posOffset>
            </wp:positionH>
            <wp:positionV relativeFrom="paragraph">
              <wp:posOffset>205740</wp:posOffset>
            </wp:positionV>
            <wp:extent cx="1046480" cy="205740"/>
            <wp:wrapNone/>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225">
                      <a:extLst>
                        <a:ext uri="{28A0092B-C50C-407E-A947-70E740481C1C}"/>
                      </a:extLst>
                    </a:blip>
                    <a:srcRect/>
                    <a:stretch>
                      <a:fillRect/>
                    </a:stretch>
                  </pic:blipFill>
                  <pic:spPr bwMode="auto">
                    <a:xfrm>
                      <a:off x="0" y="0"/>
                      <a:ext cx="1046480" cy="20574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76" w:lineRule="exact"/>
        <w:rPr>
          <w:sz w:val="20"/>
          <w:szCs w:val="20"/>
          <w:color w:val="auto"/>
        </w:rPr>
      </w:pPr>
    </w:p>
    <w:p>
      <w:pPr>
        <w:spacing w:after="0"/>
        <w:rPr>
          <w:sz w:val="20"/>
          <w:szCs w:val="20"/>
          <w:color w:val="auto"/>
        </w:rPr>
      </w:pPr>
      <w:r>
        <w:rPr>
          <w:rFonts w:ascii="Arial" w:cs="Arial" w:eastAsia="Arial" w:hAnsi="Arial"/>
          <w:sz w:val="18"/>
          <w:szCs w:val="18"/>
          <w:color w:val="auto"/>
        </w:rPr>
        <w:t>BENEFICIAL OWNERSHIP OF COMMON STOCK</w:t>
      </w:r>
    </w:p>
    <w:p>
      <w:pPr>
        <w:spacing w:after="0" w:line="179" w:lineRule="exact"/>
        <w:rPr>
          <w:sz w:val="20"/>
          <w:szCs w:val="20"/>
          <w:color w:val="auto"/>
        </w:rPr>
      </w:pPr>
    </w:p>
    <w:p>
      <w:pPr>
        <w:ind w:right="60"/>
        <w:spacing w:after="0" w:line="235" w:lineRule="auto"/>
        <w:rPr>
          <w:sz w:val="20"/>
          <w:szCs w:val="20"/>
          <w:color w:val="auto"/>
        </w:rPr>
      </w:pPr>
      <w:r>
        <w:rPr>
          <w:rFonts w:ascii="Arial" w:cs="Arial" w:eastAsia="Arial" w:hAnsi="Arial"/>
          <w:sz w:val="17"/>
          <w:szCs w:val="17"/>
          <w:color w:val="auto"/>
        </w:rPr>
        <w:t>The following table shows, as of March 1, 2016, the beneficial ownership of our common shares by each Director, nominee for Director and executive officer named in the Summary Compensation Table on page 44 of this Proxy Statement, and by all Directors, nominees for Director and executive officers as a group. Beneficial ownership of our common shares has been determined for this purpose in accordance with Rule 13d-3 under the Securities Exchange Act of 1934 and is based on the sole or shared power to vote or direct the voting or to dispose or direct the disposition of our common shares. Beneficial ownership as determined in this manner does not necessarily bear on the economic incidents of ownership of our common shares.</w:t>
      </w:r>
    </w:p>
    <w:p>
      <w:pPr>
        <w:spacing w:after="0" w:line="188" w:lineRule="exact"/>
        <w:rPr>
          <w:sz w:val="20"/>
          <w:szCs w:val="20"/>
          <w:color w:val="auto"/>
        </w:rPr>
      </w:pPr>
    </w:p>
    <w:tbl>
      <w:tblPr>
        <w:tblLayout w:type="fixed"/>
        <w:tblInd w:w="0" w:type="dxa"/>
        <w:tblCellMar>
          <w:top w:w="0" w:type="dxa"/>
          <w:left w:w="0" w:type="dxa"/>
          <w:bottom w:w="0" w:type="dxa"/>
          <w:right w:w="0" w:type="dxa"/>
        </w:tblCellMar>
      </w:tblPr>
      <w:tr>
        <w:trPr>
          <w:trHeight w:val="176"/>
        </w:trPr>
        <w:tc>
          <w:tcPr>
            <w:tcW w:w="1200" w:type="dxa"/>
            <w:vAlign w:val="bottom"/>
            <w:tcBorders>
              <w:top w:val="single" w:sz="8" w:color="auto"/>
            </w:tcBorders>
            <w:vMerge w:val="restart"/>
          </w:tcPr>
          <w:p>
            <w:pPr>
              <w:spacing w:after="0"/>
              <w:rPr>
                <w:sz w:val="20"/>
                <w:szCs w:val="20"/>
                <w:color w:val="auto"/>
              </w:rPr>
            </w:pPr>
            <w:r>
              <w:rPr>
                <w:rFonts w:ascii="Arial" w:cs="Arial" w:eastAsia="Arial" w:hAnsi="Arial"/>
                <w:sz w:val="17"/>
                <w:szCs w:val="17"/>
                <w:b w:val="1"/>
                <w:bCs w:val="1"/>
                <w:color w:val="auto"/>
              </w:rPr>
              <w:t>Name</w:t>
            </w:r>
          </w:p>
        </w:tc>
        <w:tc>
          <w:tcPr>
            <w:tcW w:w="3500" w:type="dxa"/>
            <w:vAlign w:val="bottom"/>
            <w:tcBorders>
              <w:top w:val="single" w:sz="8" w:color="auto"/>
            </w:tcBorders>
          </w:tcPr>
          <w:p>
            <w:pPr>
              <w:spacing w:after="0"/>
              <w:rPr>
                <w:sz w:val="15"/>
                <w:szCs w:val="15"/>
                <w:color w:val="auto"/>
              </w:rPr>
            </w:pPr>
          </w:p>
        </w:tc>
        <w:tc>
          <w:tcPr>
            <w:tcW w:w="3580" w:type="dxa"/>
            <w:vAlign w:val="bottom"/>
            <w:tcBorders>
              <w:top w:val="single" w:sz="8" w:color="auto"/>
            </w:tcBorders>
          </w:tcPr>
          <w:p>
            <w:pPr>
              <w:jc w:val="right"/>
              <w:ind w:right="684"/>
              <w:spacing w:after="0" w:line="176" w:lineRule="exact"/>
              <w:rPr>
                <w:sz w:val="20"/>
                <w:szCs w:val="20"/>
                <w:color w:val="auto"/>
              </w:rPr>
            </w:pPr>
            <w:r>
              <w:rPr>
                <w:rFonts w:ascii="Arial" w:cs="Arial" w:eastAsia="Arial" w:hAnsi="Arial"/>
                <w:sz w:val="17"/>
                <w:szCs w:val="17"/>
                <w:b w:val="1"/>
                <w:bCs w:val="1"/>
                <w:color w:val="auto"/>
              </w:rPr>
              <w:t>Number of Shares of Common</w:t>
            </w:r>
          </w:p>
        </w:tc>
        <w:tc>
          <w:tcPr>
            <w:tcW w:w="2100" w:type="dxa"/>
            <w:vAlign w:val="bottom"/>
            <w:tcBorders>
              <w:top w:val="single" w:sz="8" w:color="auto"/>
            </w:tcBorders>
            <w:vMerge w:val="restart"/>
          </w:tcPr>
          <w:p>
            <w:pPr>
              <w:ind w:left="760"/>
              <w:spacing w:after="0"/>
              <w:rPr>
                <w:sz w:val="20"/>
                <w:szCs w:val="20"/>
                <w:color w:val="auto"/>
              </w:rPr>
            </w:pPr>
            <w:r>
              <w:rPr>
                <w:rFonts w:ascii="Arial" w:cs="Arial" w:eastAsia="Arial" w:hAnsi="Arial"/>
                <w:sz w:val="17"/>
                <w:szCs w:val="17"/>
                <w:b w:val="1"/>
                <w:bCs w:val="1"/>
                <w:color w:val="auto"/>
                <w:w w:val="99"/>
              </w:rPr>
              <w:t>Percent of Class</w:t>
            </w:r>
          </w:p>
        </w:tc>
        <w:tc>
          <w:tcPr>
            <w:tcW w:w="1040" w:type="dxa"/>
            <w:vAlign w:val="bottom"/>
            <w:tcBorders>
              <w:top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30"/>
        </w:trPr>
        <w:tc>
          <w:tcPr>
            <w:tcW w:w="1200" w:type="dxa"/>
            <w:vAlign w:val="bottom"/>
            <w:vMerge w:val="continue"/>
          </w:tcPr>
          <w:p>
            <w:pPr>
              <w:spacing w:after="0"/>
              <w:rPr>
                <w:sz w:val="2"/>
                <w:szCs w:val="2"/>
                <w:color w:val="auto"/>
              </w:rPr>
            </w:pPr>
          </w:p>
        </w:tc>
        <w:tc>
          <w:tcPr>
            <w:tcW w:w="3500" w:type="dxa"/>
            <w:vAlign w:val="bottom"/>
          </w:tcPr>
          <w:p>
            <w:pPr>
              <w:spacing w:after="0"/>
              <w:rPr>
                <w:sz w:val="2"/>
                <w:szCs w:val="2"/>
                <w:color w:val="auto"/>
              </w:rPr>
            </w:pPr>
          </w:p>
        </w:tc>
        <w:tc>
          <w:tcPr>
            <w:tcW w:w="3580" w:type="dxa"/>
            <w:vAlign w:val="bottom"/>
          </w:tcPr>
          <w:p>
            <w:pPr>
              <w:jc w:val="right"/>
              <w:ind w:right="1064"/>
              <w:spacing w:after="0" w:line="30" w:lineRule="exact"/>
              <w:rPr>
                <w:sz w:val="20"/>
                <w:szCs w:val="20"/>
                <w:color w:val="auto"/>
              </w:rPr>
            </w:pPr>
            <w:r>
              <w:rPr>
                <w:rFonts w:ascii="Arial" w:cs="Arial" w:eastAsia="Arial" w:hAnsi="Arial"/>
                <w:sz w:val="3"/>
                <w:szCs w:val="3"/>
                <w:b w:val="1"/>
                <w:bCs w:val="1"/>
                <w:color w:val="auto"/>
              </w:rPr>
              <w:t>Stock Beneficially Owned</w:t>
            </w:r>
          </w:p>
        </w:tc>
        <w:tc>
          <w:tcPr>
            <w:tcW w:w="2100" w:type="dxa"/>
            <w:vAlign w:val="bottom"/>
            <w:vMerge w:val="continue"/>
          </w:tcPr>
          <w:p>
            <w:pPr>
              <w:spacing w:after="0"/>
              <w:rPr>
                <w:sz w:val="2"/>
                <w:szCs w:val="2"/>
                <w:color w:val="auto"/>
              </w:rPr>
            </w:pPr>
          </w:p>
        </w:tc>
        <w:tc>
          <w:tcPr>
            <w:tcW w:w="1040" w:type="dxa"/>
            <w:vAlign w:val="bottom"/>
            <w:vMerge w:val="restart"/>
          </w:tcPr>
          <w:p>
            <w:pPr>
              <w:jc w:val="right"/>
              <w:ind w:right="775"/>
              <w:spacing w:after="0"/>
              <w:rPr>
                <w:sz w:val="20"/>
                <w:szCs w:val="20"/>
                <w:color w:val="auto"/>
              </w:rPr>
            </w:pPr>
            <w:r>
              <w:rPr>
                <w:rFonts w:ascii="Arial" w:cs="Arial" w:eastAsia="Arial" w:hAnsi="Arial"/>
                <w:sz w:val="15"/>
                <w:szCs w:val="15"/>
                <w:b w:val="1"/>
                <w:bCs w:val="1"/>
                <w:color w:val="auto"/>
                <w:w w:val="87"/>
              </w:rPr>
              <w:t>(3)</w:t>
            </w:r>
          </w:p>
        </w:tc>
        <w:tc>
          <w:tcPr>
            <w:tcW w:w="0" w:type="dxa"/>
            <w:vAlign w:val="bottom"/>
          </w:tcPr>
          <w:p>
            <w:pPr>
              <w:spacing w:after="0" w:line="20" w:lineRule="exact"/>
              <w:rPr>
                <w:sz w:val="1"/>
                <w:szCs w:val="1"/>
                <w:color w:val="auto"/>
              </w:rPr>
            </w:pPr>
          </w:p>
        </w:tc>
      </w:tr>
      <w:tr>
        <w:trPr>
          <w:trHeight w:val="186"/>
        </w:trPr>
        <w:tc>
          <w:tcPr>
            <w:tcW w:w="1200" w:type="dxa"/>
            <w:vAlign w:val="bottom"/>
            <w:tcBorders>
              <w:bottom w:val="single" w:sz="8" w:color="auto"/>
            </w:tcBorders>
          </w:tcPr>
          <w:p>
            <w:pPr>
              <w:spacing w:after="0"/>
              <w:rPr>
                <w:sz w:val="16"/>
                <w:szCs w:val="16"/>
                <w:color w:val="auto"/>
              </w:rPr>
            </w:pPr>
          </w:p>
        </w:tc>
        <w:tc>
          <w:tcPr>
            <w:tcW w:w="3500" w:type="dxa"/>
            <w:vAlign w:val="bottom"/>
            <w:tcBorders>
              <w:bottom w:val="single" w:sz="8" w:color="auto"/>
            </w:tcBorders>
          </w:tcPr>
          <w:p>
            <w:pPr>
              <w:spacing w:after="0"/>
              <w:rPr>
                <w:sz w:val="16"/>
                <w:szCs w:val="16"/>
                <w:color w:val="auto"/>
              </w:rPr>
            </w:pPr>
          </w:p>
        </w:tc>
        <w:tc>
          <w:tcPr>
            <w:tcW w:w="3580" w:type="dxa"/>
            <w:vAlign w:val="bottom"/>
            <w:tcBorders>
              <w:bottom w:val="single" w:sz="8" w:color="auto"/>
            </w:tcBorders>
          </w:tcPr>
          <w:p>
            <w:pPr>
              <w:jc w:val="right"/>
              <w:ind w:right="704"/>
              <w:spacing w:after="0"/>
              <w:rPr>
                <w:sz w:val="20"/>
                <w:szCs w:val="20"/>
                <w:color w:val="auto"/>
              </w:rPr>
            </w:pPr>
            <w:r>
              <w:rPr>
                <w:rFonts w:ascii="Arial" w:cs="Arial" w:eastAsia="Arial" w:hAnsi="Arial"/>
                <w:sz w:val="15"/>
                <w:szCs w:val="15"/>
                <w:b w:val="1"/>
                <w:bCs w:val="1"/>
                <w:color w:val="auto"/>
              </w:rPr>
              <w:t>(1)(2)</w:t>
            </w:r>
          </w:p>
        </w:tc>
        <w:tc>
          <w:tcPr>
            <w:tcW w:w="2100" w:type="dxa"/>
            <w:vAlign w:val="bottom"/>
            <w:tcBorders>
              <w:bottom w:val="single" w:sz="8" w:color="auto"/>
            </w:tcBorders>
          </w:tcPr>
          <w:p>
            <w:pPr>
              <w:spacing w:after="0"/>
              <w:rPr>
                <w:sz w:val="16"/>
                <w:szCs w:val="16"/>
                <w:color w:val="auto"/>
              </w:rPr>
            </w:pPr>
          </w:p>
        </w:tc>
        <w:tc>
          <w:tcPr>
            <w:tcW w:w="1040" w:type="dxa"/>
            <w:vAlign w:val="bottom"/>
            <w:tcBorders>
              <w:bottom w:val="single" w:sz="8" w:color="auto"/>
            </w:tcBorders>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183"/>
        </w:trPr>
        <w:tc>
          <w:tcPr>
            <w:tcW w:w="4700" w:type="dxa"/>
            <w:vAlign w:val="bottom"/>
            <w:gridSpan w:val="2"/>
            <w:shd w:val="clear" w:color="auto" w:fill="CCEEFF"/>
          </w:tcPr>
          <w:p>
            <w:pPr>
              <w:spacing w:after="0" w:line="183" w:lineRule="exact"/>
              <w:rPr>
                <w:sz w:val="20"/>
                <w:szCs w:val="20"/>
                <w:color w:val="auto"/>
              </w:rPr>
            </w:pPr>
            <w:r>
              <w:rPr>
                <w:rFonts w:ascii="Arial" w:cs="Arial" w:eastAsia="Arial" w:hAnsi="Arial"/>
                <w:sz w:val="17"/>
                <w:szCs w:val="17"/>
                <w:color w:val="auto"/>
              </w:rPr>
              <w:t>Joseph A. Carrabba</w:t>
            </w:r>
          </w:p>
        </w:tc>
        <w:tc>
          <w:tcPr>
            <w:tcW w:w="3580" w:type="dxa"/>
            <w:vAlign w:val="bottom"/>
            <w:shd w:val="clear" w:color="auto" w:fill="CCEEFF"/>
          </w:tcPr>
          <w:p>
            <w:pPr>
              <w:jc w:val="right"/>
              <w:ind w:right="684"/>
              <w:spacing w:after="0" w:line="183" w:lineRule="exact"/>
              <w:rPr>
                <w:sz w:val="20"/>
                <w:szCs w:val="20"/>
                <w:color w:val="auto"/>
              </w:rPr>
            </w:pPr>
            <w:r>
              <w:rPr>
                <w:rFonts w:ascii="Arial" w:cs="Arial" w:eastAsia="Arial" w:hAnsi="Arial"/>
                <w:sz w:val="17"/>
                <w:szCs w:val="17"/>
                <w:color w:val="auto"/>
              </w:rPr>
              <w:t>9,601</w:t>
            </w:r>
          </w:p>
        </w:tc>
        <w:tc>
          <w:tcPr>
            <w:tcW w:w="2100" w:type="dxa"/>
            <w:vAlign w:val="bottom"/>
            <w:shd w:val="clear" w:color="auto" w:fill="CCEEFF"/>
          </w:tcPr>
          <w:p>
            <w:pPr>
              <w:spacing w:after="0"/>
              <w:rPr>
                <w:sz w:val="15"/>
                <w:szCs w:val="15"/>
                <w:color w:val="auto"/>
              </w:rPr>
            </w:pPr>
          </w:p>
        </w:tc>
        <w:tc>
          <w:tcPr>
            <w:tcW w:w="1040" w:type="dxa"/>
            <w:vAlign w:val="bottom"/>
            <w:shd w:val="clear" w:color="auto" w:fill="CCEEFF"/>
          </w:tcPr>
          <w:p>
            <w:pPr>
              <w:jc w:val="right"/>
              <w:ind w:right="715"/>
              <w:spacing w:after="0" w:line="183" w:lineRule="exact"/>
              <w:rPr>
                <w:sz w:val="20"/>
                <w:szCs w:val="20"/>
                <w:color w:val="auto"/>
              </w:rPr>
            </w:pPr>
            <w:r>
              <w:rPr>
                <w:rFonts w:ascii="Arial" w:cs="Arial" w:eastAsia="Arial" w:hAnsi="Arial"/>
                <w:sz w:val="17"/>
                <w:szCs w:val="17"/>
                <w:color w:val="auto"/>
              </w:rPr>
              <w:t>*</w:t>
            </w:r>
          </w:p>
        </w:tc>
        <w:tc>
          <w:tcPr>
            <w:tcW w:w="0" w:type="dxa"/>
            <w:vAlign w:val="bottom"/>
          </w:tcPr>
          <w:p>
            <w:pPr>
              <w:spacing w:after="0"/>
              <w:rPr>
                <w:sz w:val="1"/>
                <w:szCs w:val="1"/>
                <w:color w:val="auto"/>
              </w:rPr>
            </w:pPr>
          </w:p>
        </w:tc>
      </w:tr>
      <w:tr>
        <w:trPr>
          <w:trHeight w:val="189"/>
        </w:trPr>
        <w:tc>
          <w:tcPr>
            <w:tcW w:w="1200" w:type="dxa"/>
            <w:vAlign w:val="bottom"/>
          </w:tcPr>
          <w:p>
            <w:pPr>
              <w:spacing w:after="0" w:line="189" w:lineRule="exact"/>
              <w:rPr>
                <w:sz w:val="20"/>
                <w:szCs w:val="20"/>
                <w:color w:val="auto"/>
              </w:rPr>
            </w:pPr>
            <w:r>
              <w:rPr>
                <w:rFonts w:ascii="Arial" w:cs="Arial" w:eastAsia="Arial" w:hAnsi="Arial"/>
                <w:sz w:val="17"/>
                <w:szCs w:val="17"/>
                <w:color w:val="auto"/>
              </w:rPr>
              <w:t>Phillip R. Cox</w:t>
            </w:r>
          </w:p>
        </w:tc>
        <w:tc>
          <w:tcPr>
            <w:tcW w:w="3500" w:type="dxa"/>
            <w:vAlign w:val="bottom"/>
          </w:tcPr>
          <w:p>
            <w:pPr>
              <w:spacing w:after="0"/>
              <w:rPr>
                <w:sz w:val="16"/>
                <w:szCs w:val="16"/>
                <w:color w:val="auto"/>
              </w:rPr>
            </w:pPr>
          </w:p>
        </w:tc>
        <w:tc>
          <w:tcPr>
            <w:tcW w:w="3580" w:type="dxa"/>
            <w:vAlign w:val="bottom"/>
          </w:tcPr>
          <w:p>
            <w:pPr>
              <w:jc w:val="right"/>
              <w:ind w:right="684"/>
              <w:spacing w:after="0" w:line="189" w:lineRule="exact"/>
              <w:rPr>
                <w:sz w:val="20"/>
                <w:szCs w:val="20"/>
                <w:color w:val="auto"/>
              </w:rPr>
            </w:pPr>
            <w:r>
              <w:rPr>
                <w:rFonts w:ascii="Arial" w:cs="Arial" w:eastAsia="Arial" w:hAnsi="Arial"/>
                <w:sz w:val="17"/>
                <w:szCs w:val="17"/>
                <w:color w:val="auto"/>
              </w:rPr>
              <w:t>19,516</w:t>
            </w:r>
          </w:p>
        </w:tc>
        <w:tc>
          <w:tcPr>
            <w:tcW w:w="2100" w:type="dxa"/>
            <w:vAlign w:val="bottom"/>
          </w:tcPr>
          <w:p>
            <w:pPr>
              <w:spacing w:after="0"/>
              <w:rPr>
                <w:sz w:val="16"/>
                <w:szCs w:val="16"/>
                <w:color w:val="auto"/>
              </w:rPr>
            </w:pPr>
          </w:p>
        </w:tc>
        <w:tc>
          <w:tcPr>
            <w:tcW w:w="1040" w:type="dxa"/>
            <w:vAlign w:val="bottom"/>
          </w:tcPr>
          <w:p>
            <w:pPr>
              <w:jc w:val="right"/>
              <w:ind w:right="715"/>
              <w:spacing w:after="0" w:line="189" w:lineRule="exact"/>
              <w:rPr>
                <w:sz w:val="20"/>
                <w:szCs w:val="20"/>
                <w:color w:val="auto"/>
              </w:rPr>
            </w:pPr>
            <w:r>
              <w:rPr>
                <w:rFonts w:ascii="Arial" w:cs="Arial" w:eastAsia="Arial" w:hAnsi="Arial"/>
                <w:sz w:val="17"/>
                <w:szCs w:val="17"/>
                <w:color w:val="auto"/>
              </w:rPr>
              <w:t>*</w:t>
            </w:r>
          </w:p>
        </w:tc>
        <w:tc>
          <w:tcPr>
            <w:tcW w:w="0" w:type="dxa"/>
            <w:vAlign w:val="bottom"/>
          </w:tcPr>
          <w:p>
            <w:pPr>
              <w:spacing w:after="0"/>
              <w:rPr>
                <w:sz w:val="1"/>
                <w:szCs w:val="1"/>
                <w:color w:val="auto"/>
              </w:rPr>
            </w:pPr>
          </w:p>
        </w:tc>
      </w:tr>
      <w:tr>
        <w:trPr>
          <w:trHeight w:val="189"/>
        </w:trPr>
        <w:tc>
          <w:tcPr>
            <w:tcW w:w="1200" w:type="dxa"/>
            <w:vAlign w:val="bottom"/>
            <w:shd w:val="clear" w:color="auto" w:fill="CCEEFF"/>
          </w:tcPr>
          <w:p>
            <w:pPr>
              <w:spacing w:after="0" w:line="189" w:lineRule="exact"/>
              <w:rPr>
                <w:sz w:val="20"/>
                <w:szCs w:val="20"/>
                <w:color w:val="auto"/>
              </w:rPr>
            </w:pPr>
            <w:r>
              <w:rPr>
                <w:rFonts w:ascii="Arial" w:cs="Arial" w:eastAsia="Arial" w:hAnsi="Arial"/>
                <w:sz w:val="17"/>
                <w:szCs w:val="17"/>
                <w:color w:val="auto"/>
              </w:rPr>
              <w:t>Diane C. Creel</w:t>
            </w:r>
          </w:p>
        </w:tc>
        <w:tc>
          <w:tcPr>
            <w:tcW w:w="3500" w:type="dxa"/>
            <w:vAlign w:val="bottom"/>
            <w:shd w:val="clear" w:color="auto" w:fill="CCEEFF"/>
          </w:tcPr>
          <w:p>
            <w:pPr>
              <w:spacing w:after="0"/>
              <w:rPr>
                <w:sz w:val="16"/>
                <w:szCs w:val="16"/>
                <w:color w:val="auto"/>
              </w:rPr>
            </w:pPr>
          </w:p>
        </w:tc>
        <w:tc>
          <w:tcPr>
            <w:tcW w:w="3580" w:type="dxa"/>
            <w:vAlign w:val="bottom"/>
            <w:shd w:val="clear" w:color="auto" w:fill="CCEEFF"/>
          </w:tcPr>
          <w:p>
            <w:pPr>
              <w:jc w:val="right"/>
              <w:ind w:right="684"/>
              <w:spacing w:after="0" w:line="189" w:lineRule="exact"/>
              <w:rPr>
                <w:sz w:val="20"/>
                <w:szCs w:val="20"/>
                <w:color w:val="auto"/>
              </w:rPr>
            </w:pPr>
            <w:r>
              <w:rPr>
                <w:rFonts w:ascii="Arial" w:cs="Arial" w:eastAsia="Arial" w:hAnsi="Arial"/>
                <w:sz w:val="17"/>
                <w:szCs w:val="17"/>
                <w:color w:val="auto"/>
              </w:rPr>
              <w:t>12,291</w:t>
            </w:r>
          </w:p>
        </w:tc>
        <w:tc>
          <w:tcPr>
            <w:tcW w:w="2100" w:type="dxa"/>
            <w:vAlign w:val="bottom"/>
            <w:shd w:val="clear" w:color="auto" w:fill="CCEEFF"/>
          </w:tcPr>
          <w:p>
            <w:pPr>
              <w:spacing w:after="0"/>
              <w:rPr>
                <w:sz w:val="16"/>
                <w:szCs w:val="16"/>
                <w:color w:val="auto"/>
              </w:rPr>
            </w:pPr>
          </w:p>
        </w:tc>
        <w:tc>
          <w:tcPr>
            <w:tcW w:w="1040" w:type="dxa"/>
            <w:vAlign w:val="bottom"/>
            <w:shd w:val="clear" w:color="auto" w:fill="CCEEFF"/>
          </w:tcPr>
          <w:p>
            <w:pPr>
              <w:jc w:val="right"/>
              <w:ind w:right="715"/>
              <w:spacing w:after="0" w:line="189" w:lineRule="exact"/>
              <w:rPr>
                <w:sz w:val="20"/>
                <w:szCs w:val="20"/>
                <w:color w:val="auto"/>
              </w:rPr>
            </w:pPr>
            <w:r>
              <w:rPr>
                <w:rFonts w:ascii="Arial" w:cs="Arial" w:eastAsia="Arial" w:hAnsi="Arial"/>
                <w:sz w:val="17"/>
                <w:szCs w:val="17"/>
                <w:color w:val="auto"/>
              </w:rPr>
              <w:t>*</w:t>
            </w:r>
          </w:p>
        </w:tc>
        <w:tc>
          <w:tcPr>
            <w:tcW w:w="0" w:type="dxa"/>
            <w:vAlign w:val="bottom"/>
          </w:tcPr>
          <w:p>
            <w:pPr>
              <w:spacing w:after="0"/>
              <w:rPr>
                <w:sz w:val="1"/>
                <w:szCs w:val="1"/>
                <w:color w:val="auto"/>
              </w:rPr>
            </w:pPr>
          </w:p>
        </w:tc>
      </w:tr>
      <w:tr>
        <w:trPr>
          <w:trHeight w:val="189"/>
        </w:trPr>
        <w:tc>
          <w:tcPr>
            <w:tcW w:w="1200" w:type="dxa"/>
            <w:vAlign w:val="bottom"/>
          </w:tcPr>
          <w:p>
            <w:pPr>
              <w:spacing w:after="0" w:line="189" w:lineRule="exact"/>
              <w:rPr>
                <w:sz w:val="20"/>
                <w:szCs w:val="20"/>
                <w:color w:val="auto"/>
              </w:rPr>
            </w:pPr>
            <w:r>
              <w:rPr>
                <w:rFonts w:ascii="Arial" w:cs="Arial" w:eastAsia="Arial" w:hAnsi="Arial"/>
                <w:sz w:val="17"/>
                <w:szCs w:val="17"/>
                <w:color w:val="auto"/>
              </w:rPr>
              <w:t>Terry L. Dunlap</w:t>
            </w:r>
          </w:p>
        </w:tc>
        <w:tc>
          <w:tcPr>
            <w:tcW w:w="3500" w:type="dxa"/>
            <w:vAlign w:val="bottom"/>
          </w:tcPr>
          <w:p>
            <w:pPr>
              <w:spacing w:after="0"/>
              <w:rPr>
                <w:sz w:val="16"/>
                <w:szCs w:val="16"/>
                <w:color w:val="auto"/>
              </w:rPr>
            </w:pPr>
          </w:p>
        </w:tc>
        <w:tc>
          <w:tcPr>
            <w:tcW w:w="3580" w:type="dxa"/>
            <w:vAlign w:val="bottom"/>
          </w:tcPr>
          <w:p>
            <w:pPr>
              <w:jc w:val="right"/>
              <w:ind w:right="684"/>
              <w:spacing w:after="0" w:line="189" w:lineRule="exact"/>
              <w:rPr>
                <w:sz w:val="20"/>
                <w:szCs w:val="20"/>
                <w:color w:val="auto"/>
              </w:rPr>
            </w:pPr>
            <w:r>
              <w:rPr>
                <w:rFonts w:ascii="Arial" w:cs="Arial" w:eastAsia="Arial" w:hAnsi="Arial"/>
                <w:sz w:val="17"/>
                <w:szCs w:val="17"/>
                <w:color w:val="auto"/>
              </w:rPr>
              <w:t>6,345</w:t>
            </w:r>
          </w:p>
        </w:tc>
        <w:tc>
          <w:tcPr>
            <w:tcW w:w="2100" w:type="dxa"/>
            <w:vAlign w:val="bottom"/>
          </w:tcPr>
          <w:p>
            <w:pPr>
              <w:spacing w:after="0"/>
              <w:rPr>
                <w:sz w:val="16"/>
                <w:szCs w:val="16"/>
                <w:color w:val="auto"/>
              </w:rPr>
            </w:pPr>
          </w:p>
        </w:tc>
        <w:tc>
          <w:tcPr>
            <w:tcW w:w="1040" w:type="dxa"/>
            <w:vAlign w:val="bottom"/>
          </w:tcPr>
          <w:p>
            <w:pPr>
              <w:jc w:val="right"/>
              <w:ind w:right="715"/>
              <w:spacing w:after="0" w:line="189" w:lineRule="exact"/>
              <w:rPr>
                <w:sz w:val="20"/>
                <w:szCs w:val="20"/>
                <w:color w:val="auto"/>
              </w:rPr>
            </w:pPr>
            <w:r>
              <w:rPr>
                <w:rFonts w:ascii="Arial" w:cs="Arial" w:eastAsia="Arial" w:hAnsi="Arial"/>
                <w:sz w:val="17"/>
                <w:szCs w:val="17"/>
                <w:color w:val="auto"/>
              </w:rPr>
              <w:t>*</w:t>
            </w:r>
          </w:p>
        </w:tc>
        <w:tc>
          <w:tcPr>
            <w:tcW w:w="0" w:type="dxa"/>
            <w:vAlign w:val="bottom"/>
          </w:tcPr>
          <w:p>
            <w:pPr>
              <w:spacing w:after="0"/>
              <w:rPr>
                <w:sz w:val="1"/>
                <w:szCs w:val="1"/>
                <w:color w:val="auto"/>
              </w:rPr>
            </w:pPr>
          </w:p>
        </w:tc>
      </w:tr>
      <w:tr>
        <w:trPr>
          <w:trHeight w:val="189"/>
        </w:trPr>
        <w:tc>
          <w:tcPr>
            <w:tcW w:w="4700" w:type="dxa"/>
            <w:vAlign w:val="bottom"/>
            <w:gridSpan w:val="2"/>
            <w:shd w:val="clear" w:color="auto" w:fill="CCEEFF"/>
          </w:tcPr>
          <w:p>
            <w:pPr>
              <w:spacing w:after="0" w:line="189" w:lineRule="exact"/>
              <w:rPr>
                <w:sz w:val="20"/>
                <w:szCs w:val="20"/>
                <w:color w:val="auto"/>
              </w:rPr>
            </w:pPr>
            <w:r>
              <w:rPr>
                <w:rFonts w:ascii="Arial" w:cs="Arial" w:eastAsia="Arial" w:hAnsi="Arial"/>
                <w:sz w:val="17"/>
                <w:szCs w:val="17"/>
                <w:color w:val="auto"/>
              </w:rPr>
              <w:t>Randall H. Edwards</w:t>
            </w:r>
          </w:p>
        </w:tc>
        <w:tc>
          <w:tcPr>
            <w:tcW w:w="3580" w:type="dxa"/>
            <w:vAlign w:val="bottom"/>
            <w:shd w:val="clear" w:color="auto" w:fill="CCEEFF"/>
          </w:tcPr>
          <w:p>
            <w:pPr>
              <w:jc w:val="right"/>
              <w:ind w:right="684"/>
              <w:spacing w:after="0" w:line="189" w:lineRule="exact"/>
              <w:rPr>
                <w:sz w:val="20"/>
                <w:szCs w:val="20"/>
                <w:color w:val="auto"/>
              </w:rPr>
            </w:pPr>
            <w:r>
              <w:rPr>
                <w:rFonts w:ascii="Arial" w:cs="Arial" w:eastAsia="Arial" w:hAnsi="Arial"/>
                <w:sz w:val="17"/>
                <w:szCs w:val="17"/>
                <w:color w:val="auto"/>
              </w:rPr>
              <w:t>7,530</w:t>
            </w:r>
          </w:p>
        </w:tc>
        <w:tc>
          <w:tcPr>
            <w:tcW w:w="2100" w:type="dxa"/>
            <w:vAlign w:val="bottom"/>
            <w:shd w:val="clear" w:color="auto" w:fill="CCEEFF"/>
          </w:tcPr>
          <w:p>
            <w:pPr>
              <w:spacing w:after="0"/>
              <w:rPr>
                <w:sz w:val="16"/>
                <w:szCs w:val="16"/>
                <w:color w:val="auto"/>
              </w:rPr>
            </w:pPr>
          </w:p>
        </w:tc>
        <w:tc>
          <w:tcPr>
            <w:tcW w:w="1040" w:type="dxa"/>
            <w:vAlign w:val="bottom"/>
            <w:shd w:val="clear" w:color="auto" w:fill="CCEEFF"/>
          </w:tcPr>
          <w:p>
            <w:pPr>
              <w:jc w:val="right"/>
              <w:ind w:right="715"/>
              <w:spacing w:after="0" w:line="189" w:lineRule="exact"/>
              <w:rPr>
                <w:sz w:val="20"/>
                <w:szCs w:val="20"/>
                <w:color w:val="auto"/>
              </w:rPr>
            </w:pPr>
            <w:r>
              <w:rPr>
                <w:rFonts w:ascii="Arial" w:cs="Arial" w:eastAsia="Arial" w:hAnsi="Arial"/>
                <w:sz w:val="17"/>
                <w:szCs w:val="17"/>
                <w:color w:val="auto"/>
              </w:rPr>
              <w:t>*</w:t>
            </w:r>
          </w:p>
        </w:tc>
        <w:tc>
          <w:tcPr>
            <w:tcW w:w="0" w:type="dxa"/>
            <w:vAlign w:val="bottom"/>
          </w:tcPr>
          <w:p>
            <w:pPr>
              <w:spacing w:after="0"/>
              <w:rPr>
                <w:sz w:val="1"/>
                <w:szCs w:val="1"/>
                <w:color w:val="auto"/>
              </w:rPr>
            </w:pPr>
          </w:p>
        </w:tc>
      </w:tr>
      <w:tr>
        <w:trPr>
          <w:trHeight w:val="189"/>
        </w:trPr>
        <w:tc>
          <w:tcPr>
            <w:tcW w:w="4700" w:type="dxa"/>
            <w:vAlign w:val="bottom"/>
            <w:gridSpan w:val="2"/>
          </w:tcPr>
          <w:p>
            <w:pPr>
              <w:spacing w:after="0" w:line="189" w:lineRule="exact"/>
              <w:rPr>
                <w:sz w:val="20"/>
                <w:szCs w:val="20"/>
                <w:color w:val="auto"/>
              </w:rPr>
            </w:pPr>
            <w:r>
              <w:rPr>
                <w:rFonts w:ascii="Arial" w:cs="Arial" w:eastAsia="Arial" w:hAnsi="Arial"/>
                <w:sz w:val="17"/>
                <w:szCs w:val="17"/>
                <w:color w:val="auto"/>
              </w:rPr>
              <w:t>Donald T. Misheff</w:t>
            </w:r>
          </w:p>
        </w:tc>
        <w:tc>
          <w:tcPr>
            <w:tcW w:w="3580" w:type="dxa"/>
            <w:vAlign w:val="bottom"/>
          </w:tcPr>
          <w:p>
            <w:pPr>
              <w:jc w:val="right"/>
              <w:ind w:right="684"/>
              <w:spacing w:after="0" w:line="189" w:lineRule="exact"/>
              <w:rPr>
                <w:sz w:val="20"/>
                <w:szCs w:val="20"/>
                <w:color w:val="auto"/>
              </w:rPr>
            </w:pPr>
            <w:r>
              <w:rPr>
                <w:rFonts w:ascii="Arial" w:cs="Arial" w:eastAsia="Arial" w:hAnsi="Arial"/>
                <w:sz w:val="17"/>
                <w:szCs w:val="17"/>
                <w:color w:val="auto"/>
              </w:rPr>
              <w:t>7,282</w:t>
            </w:r>
          </w:p>
        </w:tc>
        <w:tc>
          <w:tcPr>
            <w:tcW w:w="2100" w:type="dxa"/>
            <w:vAlign w:val="bottom"/>
          </w:tcPr>
          <w:p>
            <w:pPr>
              <w:spacing w:after="0"/>
              <w:rPr>
                <w:sz w:val="16"/>
                <w:szCs w:val="16"/>
                <w:color w:val="auto"/>
              </w:rPr>
            </w:pPr>
          </w:p>
        </w:tc>
        <w:tc>
          <w:tcPr>
            <w:tcW w:w="1040" w:type="dxa"/>
            <w:vAlign w:val="bottom"/>
          </w:tcPr>
          <w:p>
            <w:pPr>
              <w:jc w:val="right"/>
              <w:ind w:right="715"/>
              <w:spacing w:after="0" w:line="189" w:lineRule="exact"/>
              <w:rPr>
                <w:sz w:val="20"/>
                <w:szCs w:val="20"/>
                <w:color w:val="auto"/>
              </w:rPr>
            </w:pPr>
            <w:r>
              <w:rPr>
                <w:rFonts w:ascii="Arial" w:cs="Arial" w:eastAsia="Arial" w:hAnsi="Arial"/>
                <w:sz w:val="17"/>
                <w:szCs w:val="17"/>
                <w:color w:val="auto"/>
              </w:rPr>
              <w:t>*</w:t>
            </w:r>
          </w:p>
        </w:tc>
        <w:tc>
          <w:tcPr>
            <w:tcW w:w="0" w:type="dxa"/>
            <w:vAlign w:val="bottom"/>
          </w:tcPr>
          <w:p>
            <w:pPr>
              <w:spacing w:after="0"/>
              <w:rPr>
                <w:sz w:val="1"/>
                <w:szCs w:val="1"/>
                <w:color w:val="auto"/>
              </w:rPr>
            </w:pPr>
          </w:p>
        </w:tc>
      </w:tr>
      <w:tr>
        <w:trPr>
          <w:trHeight w:val="189"/>
        </w:trPr>
        <w:tc>
          <w:tcPr>
            <w:tcW w:w="1200" w:type="dxa"/>
            <w:vAlign w:val="bottom"/>
            <w:shd w:val="clear" w:color="auto" w:fill="CCEEFF"/>
          </w:tcPr>
          <w:p>
            <w:pPr>
              <w:spacing w:after="0" w:line="189" w:lineRule="exact"/>
              <w:rPr>
                <w:sz w:val="20"/>
                <w:szCs w:val="20"/>
                <w:color w:val="auto"/>
              </w:rPr>
            </w:pPr>
            <w:r>
              <w:rPr>
                <w:rFonts w:ascii="Arial" w:cs="Arial" w:eastAsia="Arial" w:hAnsi="Arial"/>
                <w:sz w:val="17"/>
                <w:szCs w:val="17"/>
                <w:color w:val="auto"/>
              </w:rPr>
              <w:t>John P. Reilly</w:t>
            </w:r>
          </w:p>
        </w:tc>
        <w:tc>
          <w:tcPr>
            <w:tcW w:w="3500" w:type="dxa"/>
            <w:vAlign w:val="bottom"/>
            <w:shd w:val="clear" w:color="auto" w:fill="CCEEFF"/>
          </w:tcPr>
          <w:p>
            <w:pPr>
              <w:spacing w:after="0"/>
              <w:rPr>
                <w:sz w:val="16"/>
                <w:szCs w:val="16"/>
                <w:color w:val="auto"/>
              </w:rPr>
            </w:pPr>
          </w:p>
        </w:tc>
        <w:tc>
          <w:tcPr>
            <w:tcW w:w="3580" w:type="dxa"/>
            <w:vAlign w:val="bottom"/>
            <w:shd w:val="clear" w:color="auto" w:fill="CCEEFF"/>
          </w:tcPr>
          <w:p>
            <w:pPr>
              <w:jc w:val="right"/>
              <w:ind w:right="684"/>
              <w:spacing w:after="0" w:line="189" w:lineRule="exact"/>
              <w:rPr>
                <w:sz w:val="20"/>
                <w:szCs w:val="20"/>
                <w:color w:val="auto"/>
              </w:rPr>
            </w:pPr>
            <w:r>
              <w:rPr>
                <w:rFonts w:ascii="Arial" w:cs="Arial" w:eastAsia="Arial" w:hAnsi="Arial"/>
                <w:sz w:val="17"/>
                <w:szCs w:val="17"/>
                <w:color w:val="auto"/>
              </w:rPr>
              <w:t>24,123</w:t>
            </w:r>
          </w:p>
        </w:tc>
        <w:tc>
          <w:tcPr>
            <w:tcW w:w="2100" w:type="dxa"/>
            <w:vAlign w:val="bottom"/>
            <w:shd w:val="clear" w:color="auto" w:fill="CCEEFF"/>
          </w:tcPr>
          <w:p>
            <w:pPr>
              <w:spacing w:after="0"/>
              <w:rPr>
                <w:sz w:val="16"/>
                <w:szCs w:val="16"/>
                <w:color w:val="auto"/>
              </w:rPr>
            </w:pPr>
          </w:p>
        </w:tc>
        <w:tc>
          <w:tcPr>
            <w:tcW w:w="1040" w:type="dxa"/>
            <w:vAlign w:val="bottom"/>
            <w:shd w:val="clear" w:color="auto" w:fill="CCEEFF"/>
          </w:tcPr>
          <w:p>
            <w:pPr>
              <w:jc w:val="right"/>
              <w:ind w:right="715"/>
              <w:spacing w:after="0" w:line="189" w:lineRule="exact"/>
              <w:rPr>
                <w:sz w:val="20"/>
                <w:szCs w:val="20"/>
                <w:color w:val="auto"/>
              </w:rPr>
            </w:pPr>
            <w:r>
              <w:rPr>
                <w:rFonts w:ascii="Arial" w:cs="Arial" w:eastAsia="Arial" w:hAnsi="Arial"/>
                <w:sz w:val="17"/>
                <w:szCs w:val="17"/>
                <w:color w:val="auto"/>
              </w:rPr>
              <w:t>*</w:t>
            </w:r>
          </w:p>
        </w:tc>
        <w:tc>
          <w:tcPr>
            <w:tcW w:w="0" w:type="dxa"/>
            <w:vAlign w:val="bottom"/>
          </w:tcPr>
          <w:p>
            <w:pPr>
              <w:spacing w:after="0"/>
              <w:rPr>
                <w:sz w:val="1"/>
                <w:szCs w:val="1"/>
                <w:color w:val="auto"/>
              </w:rPr>
            </w:pPr>
          </w:p>
        </w:tc>
      </w:tr>
      <w:tr>
        <w:trPr>
          <w:trHeight w:val="189"/>
        </w:trPr>
        <w:tc>
          <w:tcPr>
            <w:tcW w:w="1200" w:type="dxa"/>
            <w:vAlign w:val="bottom"/>
          </w:tcPr>
          <w:p>
            <w:pPr>
              <w:spacing w:after="0" w:line="189" w:lineRule="exact"/>
              <w:rPr>
                <w:sz w:val="20"/>
                <w:szCs w:val="20"/>
                <w:color w:val="auto"/>
              </w:rPr>
            </w:pPr>
            <w:r>
              <w:rPr>
                <w:rFonts w:ascii="Arial" w:cs="Arial" w:eastAsia="Arial" w:hAnsi="Arial"/>
                <w:sz w:val="17"/>
                <w:szCs w:val="17"/>
                <w:color w:val="auto"/>
              </w:rPr>
              <w:t>Ronald A. Rice</w:t>
            </w:r>
          </w:p>
        </w:tc>
        <w:tc>
          <w:tcPr>
            <w:tcW w:w="3500" w:type="dxa"/>
            <w:vAlign w:val="bottom"/>
          </w:tcPr>
          <w:p>
            <w:pPr>
              <w:spacing w:after="0"/>
              <w:rPr>
                <w:sz w:val="16"/>
                <w:szCs w:val="16"/>
                <w:color w:val="auto"/>
              </w:rPr>
            </w:pPr>
          </w:p>
        </w:tc>
        <w:tc>
          <w:tcPr>
            <w:tcW w:w="3580" w:type="dxa"/>
            <w:vAlign w:val="bottom"/>
          </w:tcPr>
          <w:p>
            <w:pPr>
              <w:jc w:val="right"/>
              <w:ind w:right="684"/>
              <w:spacing w:after="0" w:line="189" w:lineRule="exact"/>
              <w:rPr>
                <w:sz w:val="20"/>
                <w:szCs w:val="20"/>
                <w:color w:val="auto"/>
              </w:rPr>
            </w:pPr>
            <w:r>
              <w:rPr>
                <w:rFonts w:ascii="Arial" w:cs="Arial" w:eastAsia="Arial" w:hAnsi="Arial"/>
                <w:sz w:val="17"/>
                <w:szCs w:val="17"/>
                <w:color w:val="auto"/>
              </w:rPr>
              <w:t>10,143</w:t>
            </w:r>
          </w:p>
        </w:tc>
        <w:tc>
          <w:tcPr>
            <w:tcW w:w="2100" w:type="dxa"/>
            <w:vAlign w:val="bottom"/>
          </w:tcPr>
          <w:p>
            <w:pPr>
              <w:spacing w:after="0"/>
              <w:rPr>
                <w:sz w:val="16"/>
                <w:szCs w:val="16"/>
                <w:color w:val="auto"/>
              </w:rPr>
            </w:pPr>
          </w:p>
        </w:tc>
        <w:tc>
          <w:tcPr>
            <w:tcW w:w="1040" w:type="dxa"/>
            <w:vAlign w:val="bottom"/>
          </w:tcPr>
          <w:p>
            <w:pPr>
              <w:jc w:val="right"/>
              <w:ind w:right="715"/>
              <w:spacing w:after="0" w:line="189" w:lineRule="exact"/>
              <w:rPr>
                <w:sz w:val="20"/>
                <w:szCs w:val="20"/>
                <w:color w:val="auto"/>
              </w:rPr>
            </w:pPr>
            <w:r>
              <w:rPr>
                <w:rFonts w:ascii="Arial" w:cs="Arial" w:eastAsia="Arial" w:hAnsi="Arial"/>
                <w:sz w:val="17"/>
                <w:szCs w:val="17"/>
                <w:color w:val="auto"/>
              </w:rPr>
              <w:t>*</w:t>
            </w:r>
          </w:p>
        </w:tc>
        <w:tc>
          <w:tcPr>
            <w:tcW w:w="0" w:type="dxa"/>
            <w:vAlign w:val="bottom"/>
          </w:tcPr>
          <w:p>
            <w:pPr>
              <w:spacing w:after="0"/>
              <w:rPr>
                <w:sz w:val="1"/>
                <w:szCs w:val="1"/>
                <w:color w:val="auto"/>
              </w:rPr>
            </w:pPr>
          </w:p>
        </w:tc>
      </w:tr>
      <w:tr>
        <w:trPr>
          <w:trHeight w:val="189"/>
        </w:trPr>
        <w:tc>
          <w:tcPr>
            <w:tcW w:w="4700" w:type="dxa"/>
            <w:vAlign w:val="bottom"/>
            <w:gridSpan w:val="2"/>
            <w:shd w:val="clear" w:color="auto" w:fill="CCEEFF"/>
          </w:tcPr>
          <w:p>
            <w:pPr>
              <w:spacing w:after="0" w:line="189" w:lineRule="exact"/>
              <w:rPr>
                <w:sz w:val="20"/>
                <w:szCs w:val="20"/>
                <w:color w:val="auto"/>
              </w:rPr>
            </w:pPr>
            <w:r>
              <w:rPr>
                <w:rFonts w:ascii="Arial" w:cs="Arial" w:eastAsia="Arial" w:hAnsi="Arial"/>
                <w:sz w:val="17"/>
                <w:szCs w:val="17"/>
                <w:color w:val="auto"/>
              </w:rPr>
              <w:t>Randall A. Wotring</w:t>
            </w:r>
          </w:p>
        </w:tc>
        <w:tc>
          <w:tcPr>
            <w:tcW w:w="3580" w:type="dxa"/>
            <w:vAlign w:val="bottom"/>
            <w:shd w:val="clear" w:color="auto" w:fill="CCEEFF"/>
          </w:tcPr>
          <w:p>
            <w:pPr>
              <w:jc w:val="right"/>
              <w:ind w:right="684"/>
              <w:spacing w:after="0" w:line="189" w:lineRule="exact"/>
              <w:rPr>
                <w:sz w:val="20"/>
                <w:szCs w:val="20"/>
                <w:color w:val="auto"/>
              </w:rPr>
            </w:pPr>
            <w:r>
              <w:rPr>
                <w:rFonts w:ascii="Arial" w:cs="Arial" w:eastAsia="Arial" w:hAnsi="Arial"/>
                <w:sz w:val="17"/>
                <w:szCs w:val="17"/>
                <w:color w:val="auto"/>
              </w:rPr>
              <w:t>12,828</w:t>
            </w:r>
          </w:p>
        </w:tc>
        <w:tc>
          <w:tcPr>
            <w:tcW w:w="2100" w:type="dxa"/>
            <w:vAlign w:val="bottom"/>
            <w:shd w:val="clear" w:color="auto" w:fill="CCEEFF"/>
          </w:tcPr>
          <w:p>
            <w:pPr>
              <w:spacing w:after="0"/>
              <w:rPr>
                <w:sz w:val="16"/>
                <w:szCs w:val="16"/>
                <w:color w:val="auto"/>
              </w:rPr>
            </w:pPr>
          </w:p>
        </w:tc>
        <w:tc>
          <w:tcPr>
            <w:tcW w:w="1040" w:type="dxa"/>
            <w:vAlign w:val="bottom"/>
            <w:shd w:val="clear" w:color="auto" w:fill="CCEEFF"/>
          </w:tcPr>
          <w:p>
            <w:pPr>
              <w:jc w:val="right"/>
              <w:ind w:right="715"/>
              <w:spacing w:after="0" w:line="189" w:lineRule="exact"/>
              <w:rPr>
                <w:sz w:val="20"/>
                <w:szCs w:val="20"/>
                <w:color w:val="auto"/>
              </w:rPr>
            </w:pPr>
            <w:r>
              <w:rPr>
                <w:rFonts w:ascii="Arial" w:cs="Arial" w:eastAsia="Arial" w:hAnsi="Arial"/>
                <w:sz w:val="17"/>
                <w:szCs w:val="17"/>
                <w:color w:val="auto"/>
              </w:rPr>
              <w:t>*</w:t>
            </w:r>
          </w:p>
        </w:tc>
        <w:tc>
          <w:tcPr>
            <w:tcW w:w="0" w:type="dxa"/>
            <w:vAlign w:val="bottom"/>
          </w:tcPr>
          <w:p>
            <w:pPr>
              <w:spacing w:after="0"/>
              <w:rPr>
                <w:sz w:val="1"/>
                <w:szCs w:val="1"/>
                <w:color w:val="auto"/>
              </w:rPr>
            </w:pPr>
          </w:p>
        </w:tc>
      </w:tr>
      <w:tr>
        <w:trPr>
          <w:trHeight w:val="4"/>
        </w:trPr>
        <w:tc>
          <w:tcPr>
            <w:tcW w:w="4700" w:type="dxa"/>
            <w:vAlign w:val="bottom"/>
            <w:gridSpan w:val="2"/>
            <w:shd w:val="clear" w:color="auto" w:fill="CCEEFF"/>
          </w:tcPr>
          <w:p>
            <w:pPr>
              <w:spacing w:after="0" w:line="4" w:lineRule="exact"/>
              <w:rPr>
                <w:sz w:val="20"/>
                <w:szCs w:val="20"/>
                <w:color w:val="auto"/>
              </w:rPr>
            </w:pPr>
            <w:r>
              <w:rPr>
                <w:rFonts w:ascii="Arial" w:cs="Arial" w:eastAsia="Arial" w:hAnsi="Arial"/>
                <w:sz w:val="1"/>
                <w:szCs w:val="1"/>
                <w:color w:val="auto"/>
              </w:rPr>
              <w:t>Ward J. Timken, Jr.</w:t>
            </w:r>
          </w:p>
        </w:tc>
        <w:tc>
          <w:tcPr>
            <w:tcW w:w="3580" w:type="dxa"/>
            <w:vAlign w:val="bottom"/>
            <w:shd w:val="clear" w:color="auto" w:fill="CCEEFF"/>
          </w:tcPr>
          <w:p>
            <w:pPr>
              <w:jc w:val="right"/>
              <w:ind w:right="684"/>
              <w:spacing w:after="0" w:line="4" w:lineRule="exact"/>
              <w:rPr>
                <w:sz w:val="20"/>
                <w:szCs w:val="20"/>
                <w:color w:val="auto"/>
              </w:rPr>
            </w:pPr>
            <w:r>
              <w:rPr>
                <w:rFonts w:ascii="Arial" w:cs="Arial" w:eastAsia="Arial" w:hAnsi="Arial"/>
                <w:sz w:val="1"/>
                <w:szCs w:val="1"/>
                <w:color w:val="auto"/>
              </w:rPr>
              <w:t>3,213,988</w:t>
            </w:r>
          </w:p>
        </w:tc>
        <w:tc>
          <w:tcPr>
            <w:tcW w:w="3140" w:type="dxa"/>
            <w:vAlign w:val="bottom"/>
            <w:gridSpan w:val="2"/>
            <w:shd w:val="clear" w:color="auto" w:fill="CCEEFF"/>
          </w:tcPr>
          <w:p>
            <w:pPr>
              <w:jc w:val="right"/>
              <w:ind w:right="635"/>
              <w:spacing w:after="0" w:line="4" w:lineRule="exact"/>
              <w:rPr>
                <w:sz w:val="20"/>
                <w:szCs w:val="20"/>
                <w:color w:val="auto"/>
              </w:rPr>
            </w:pPr>
            <w:r>
              <w:rPr>
                <w:rFonts w:ascii="Arial" w:cs="Arial" w:eastAsia="Arial" w:hAnsi="Arial"/>
                <w:sz w:val="1"/>
                <w:szCs w:val="1"/>
                <w:color w:val="auto"/>
              </w:rPr>
              <w:t>7.3%</w:t>
            </w:r>
          </w:p>
        </w:tc>
        <w:tc>
          <w:tcPr>
            <w:tcW w:w="0" w:type="dxa"/>
            <w:vAlign w:val="bottom"/>
          </w:tcPr>
          <w:p>
            <w:pPr>
              <w:spacing w:after="0" w:line="20" w:lineRule="exact"/>
              <w:rPr>
                <w:sz w:val="1"/>
                <w:szCs w:val="1"/>
                <w:color w:val="auto"/>
              </w:rPr>
            </w:pPr>
          </w:p>
        </w:tc>
      </w:tr>
      <w:tr>
        <w:trPr>
          <w:trHeight w:val="174"/>
        </w:trPr>
        <w:tc>
          <w:tcPr>
            <w:tcW w:w="1200" w:type="dxa"/>
            <w:vAlign w:val="bottom"/>
          </w:tcPr>
          <w:p>
            <w:pPr>
              <w:spacing w:after="0"/>
              <w:rPr>
                <w:sz w:val="15"/>
                <w:szCs w:val="15"/>
                <w:color w:val="auto"/>
              </w:rPr>
            </w:pPr>
          </w:p>
        </w:tc>
        <w:tc>
          <w:tcPr>
            <w:tcW w:w="3500" w:type="dxa"/>
            <w:vAlign w:val="bottom"/>
          </w:tcPr>
          <w:p>
            <w:pPr>
              <w:jc w:val="right"/>
              <w:ind w:right="3021"/>
              <w:spacing w:after="0"/>
              <w:rPr>
                <w:sz w:val="20"/>
                <w:szCs w:val="20"/>
                <w:color w:val="auto"/>
              </w:rPr>
            </w:pPr>
            <w:r>
              <w:rPr>
                <w:rFonts w:ascii="Arial" w:cs="Arial" w:eastAsia="Arial" w:hAnsi="Arial"/>
                <w:sz w:val="15"/>
                <w:szCs w:val="15"/>
                <w:color w:val="auto"/>
              </w:rPr>
              <w:t>(4)</w:t>
            </w:r>
          </w:p>
        </w:tc>
        <w:tc>
          <w:tcPr>
            <w:tcW w:w="3580" w:type="dxa"/>
            <w:vAlign w:val="bottom"/>
          </w:tcPr>
          <w:p>
            <w:pPr>
              <w:spacing w:after="0"/>
              <w:rPr>
                <w:sz w:val="15"/>
                <w:szCs w:val="15"/>
                <w:color w:val="auto"/>
              </w:rPr>
            </w:pPr>
          </w:p>
        </w:tc>
        <w:tc>
          <w:tcPr>
            <w:tcW w:w="2100" w:type="dxa"/>
            <w:vAlign w:val="bottom"/>
          </w:tcPr>
          <w:p>
            <w:pPr>
              <w:spacing w:after="0"/>
              <w:rPr>
                <w:sz w:val="15"/>
                <w:szCs w:val="15"/>
                <w:color w:val="auto"/>
              </w:rPr>
            </w:pPr>
          </w:p>
        </w:tc>
        <w:tc>
          <w:tcPr>
            <w:tcW w:w="10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01"/>
        </w:trPr>
        <w:tc>
          <w:tcPr>
            <w:tcW w:w="4700" w:type="dxa"/>
            <w:vAlign w:val="bottom"/>
            <w:gridSpan w:val="2"/>
            <w:shd w:val="clear" w:color="auto" w:fill="CCEEFF"/>
          </w:tcPr>
          <w:p>
            <w:pPr>
              <w:spacing w:after="0"/>
              <w:rPr>
                <w:sz w:val="20"/>
                <w:szCs w:val="20"/>
                <w:color w:val="auto"/>
              </w:rPr>
            </w:pPr>
            <w:r>
              <w:rPr>
                <w:rFonts w:ascii="Arial" w:cs="Arial" w:eastAsia="Arial" w:hAnsi="Arial"/>
                <w:sz w:val="17"/>
                <w:szCs w:val="17"/>
                <w:color w:val="auto"/>
              </w:rPr>
              <w:t>Frank A. DiPiero</w:t>
            </w:r>
          </w:p>
        </w:tc>
        <w:tc>
          <w:tcPr>
            <w:tcW w:w="3580" w:type="dxa"/>
            <w:vAlign w:val="bottom"/>
            <w:shd w:val="clear" w:color="auto" w:fill="CCEEFF"/>
          </w:tcPr>
          <w:p>
            <w:pPr>
              <w:jc w:val="right"/>
              <w:ind w:right="684"/>
              <w:spacing w:after="0"/>
              <w:rPr>
                <w:sz w:val="20"/>
                <w:szCs w:val="20"/>
                <w:color w:val="auto"/>
              </w:rPr>
            </w:pPr>
            <w:r>
              <w:rPr>
                <w:rFonts w:ascii="Arial" w:cs="Arial" w:eastAsia="Arial" w:hAnsi="Arial"/>
                <w:sz w:val="17"/>
                <w:szCs w:val="17"/>
                <w:color w:val="auto"/>
              </w:rPr>
              <w:t>7,750</w:t>
            </w:r>
          </w:p>
        </w:tc>
        <w:tc>
          <w:tcPr>
            <w:tcW w:w="2100" w:type="dxa"/>
            <w:vAlign w:val="bottom"/>
            <w:shd w:val="clear" w:color="auto" w:fill="CCEEFF"/>
          </w:tcPr>
          <w:p>
            <w:pPr>
              <w:spacing w:after="0"/>
              <w:rPr>
                <w:sz w:val="17"/>
                <w:szCs w:val="17"/>
                <w:color w:val="auto"/>
              </w:rPr>
            </w:pPr>
          </w:p>
        </w:tc>
        <w:tc>
          <w:tcPr>
            <w:tcW w:w="1040" w:type="dxa"/>
            <w:vAlign w:val="bottom"/>
            <w:shd w:val="clear" w:color="auto" w:fill="CCEEFF"/>
          </w:tcPr>
          <w:p>
            <w:pPr>
              <w:jc w:val="right"/>
              <w:ind w:right="715"/>
              <w:spacing w:after="0"/>
              <w:rPr>
                <w:sz w:val="20"/>
                <w:szCs w:val="20"/>
                <w:color w:val="auto"/>
              </w:rPr>
            </w:pPr>
            <w:r>
              <w:rPr>
                <w:rFonts w:ascii="Arial" w:cs="Arial" w:eastAsia="Arial" w:hAnsi="Arial"/>
                <w:sz w:val="17"/>
                <w:szCs w:val="17"/>
                <w:color w:val="auto"/>
              </w:rPr>
              <w:t>*</w:t>
            </w:r>
          </w:p>
        </w:tc>
        <w:tc>
          <w:tcPr>
            <w:tcW w:w="0" w:type="dxa"/>
            <w:vAlign w:val="bottom"/>
          </w:tcPr>
          <w:p>
            <w:pPr>
              <w:spacing w:after="0"/>
              <w:rPr>
                <w:sz w:val="1"/>
                <w:szCs w:val="1"/>
                <w:color w:val="auto"/>
              </w:rPr>
            </w:pPr>
          </w:p>
        </w:tc>
      </w:tr>
      <w:tr>
        <w:trPr>
          <w:trHeight w:val="189"/>
        </w:trPr>
        <w:tc>
          <w:tcPr>
            <w:tcW w:w="4700" w:type="dxa"/>
            <w:vAlign w:val="bottom"/>
            <w:gridSpan w:val="2"/>
          </w:tcPr>
          <w:p>
            <w:pPr>
              <w:spacing w:after="0" w:line="189" w:lineRule="exact"/>
              <w:rPr>
                <w:sz w:val="20"/>
                <w:szCs w:val="20"/>
                <w:color w:val="auto"/>
              </w:rPr>
            </w:pPr>
            <w:r>
              <w:rPr>
                <w:rFonts w:ascii="Arial" w:cs="Arial" w:eastAsia="Arial" w:hAnsi="Arial"/>
                <w:sz w:val="17"/>
                <w:szCs w:val="17"/>
                <w:color w:val="auto"/>
              </w:rPr>
              <w:t>Christopher J. Holding</w:t>
            </w:r>
          </w:p>
        </w:tc>
        <w:tc>
          <w:tcPr>
            <w:tcW w:w="3580" w:type="dxa"/>
            <w:vAlign w:val="bottom"/>
          </w:tcPr>
          <w:p>
            <w:pPr>
              <w:jc w:val="right"/>
              <w:ind w:right="684"/>
              <w:spacing w:after="0" w:line="189" w:lineRule="exact"/>
              <w:rPr>
                <w:sz w:val="20"/>
                <w:szCs w:val="20"/>
                <w:color w:val="auto"/>
              </w:rPr>
            </w:pPr>
            <w:r>
              <w:rPr>
                <w:rFonts w:ascii="Arial" w:cs="Arial" w:eastAsia="Arial" w:hAnsi="Arial"/>
                <w:sz w:val="17"/>
                <w:szCs w:val="17"/>
                <w:color w:val="auto"/>
              </w:rPr>
              <w:t>20,210</w:t>
            </w:r>
          </w:p>
        </w:tc>
        <w:tc>
          <w:tcPr>
            <w:tcW w:w="2100" w:type="dxa"/>
            <w:vAlign w:val="bottom"/>
          </w:tcPr>
          <w:p>
            <w:pPr>
              <w:spacing w:after="0"/>
              <w:rPr>
                <w:sz w:val="16"/>
                <w:szCs w:val="16"/>
                <w:color w:val="auto"/>
              </w:rPr>
            </w:pPr>
          </w:p>
        </w:tc>
        <w:tc>
          <w:tcPr>
            <w:tcW w:w="1040" w:type="dxa"/>
            <w:vAlign w:val="bottom"/>
          </w:tcPr>
          <w:p>
            <w:pPr>
              <w:jc w:val="right"/>
              <w:ind w:right="715"/>
              <w:spacing w:after="0" w:line="189" w:lineRule="exact"/>
              <w:rPr>
                <w:sz w:val="20"/>
                <w:szCs w:val="20"/>
                <w:color w:val="auto"/>
              </w:rPr>
            </w:pPr>
            <w:r>
              <w:rPr>
                <w:rFonts w:ascii="Arial" w:cs="Arial" w:eastAsia="Arial" w:hAnsi="Arial"/>
                <w:sz w:val="17"/>
                <w:szCs w:val="17"/>
                <w:color w:val="auto"/>
              </w:rPr>
              <w:t>*</w:t>
            </w:r>
          </w:p>
        </w:tc>
        <w:tc>
          <w:tcPr>
            <w:tcW w:w="0" w:type="dxa"/>
            <w:vAlign w:val="bottom"/>
          </w:tcPr>
          <w:p>
            <w:pPr>
              <w:spacing w:after="0"/>
              <w:rPr>
                <w:sz w:val="1"/>
                <w:szCs w:val="1"/>
                <w:color w:val="auto"/>
              </w:rPr>
            </w:pPr>
          </w:p>
        </w:tc>
      </w:tr>
      <w:tr>
        <w:trPr>
          <w:trHeight w:val="189"/>
        </w:trPr>
        <w:tc>
          <w:tcPr>
            <w:tcW w:w="4700" w:type="dxa"/>
            <w:vAlign w:val="bottom"/>
            <w:gridSpan w:val="2"/>
            <w:shd w:val="clear" w:color="auto" w:fill="CCEEFF"/>
          </w:tcPr>
          <w:p>
            <w:pPr>
              <w:spacing w:after="0" w:line="189" w:lineRule="exact"/>
              <w:rPr>
                <w:sz w:val="20"/>
                <w:szCs w:val="20"/>
                <w:color w:val="auto"/>
              </w:rPr>
            </w:pPr>
            <w:r>
              <w:rPr>
                <w:rFonts w:ascii="Arial" w:cs="Arial" w:eastAsia="Arial" w:hAnsi="Arial"/>
                <w:sz w:val="17"/>
                <w:szCs w:val="17"/>
                <w:color w:val="auto"/>
              </w:rPr>
              <w:t>Donald L. Walker</w:t>
            </w:r>
          </w:p>
        </w:tc>
        <w:tc>
          <w:tcPr>
            <w:tcW w:w="3580" w:type="dxa"/>
            <w:vAlign w:val="bottom"/>
            <w:shd w:val="clear" w:color="auto" w:fill="CCEEFF"/>
          </w:tcPr>
          <w:p>
            <w:pPr>
              <w:jc w:val="right"/>
              <w:ind w:right="684"/>
              <w:spacing w:after="0" w:line="189" w:lineRule="exact"/>
              <w:rPr>
                <w:sz w:val="20"/>
                <w:szCs w:val="20"/>
                <w:color w:val="auto"/>
              </w:rPr>
            </w:pPr>
            <w:r>
              <w:rPr>
                <w:rFonts w:ascii="Arial" w:cs="Arial" w:eastAsia="Arial" w:hAnsi="Arial"/>
                <w:sz w:val="17"/>
                <w:szCs w:val="17"/>
                <w:color w:val="auto"/>
              </w:rPr>
              <w:t>30,012</w:t>
            </w:r>
          </w:p>
        </w:tc>
        <w:tc>
          <w:tcPr>
            <w:tcW w:w="2100" w:type="dxa"/>
            <w:vAlign w:val="bottom"/>
            <w:shd w:val="clear" w:color="auto" w:fill="CCEEFF"/>
          </w:tcPr>
          <w:p>
            <w:pPr>
              <w:spacing w:after="0"/>
              <w:rPr>
                <w:sz w:val="16"/>
                <w:szCs w:val="16"/>
                <w:color w:val="auto"/>
              </w:rPr>
            </w:pPr>
          </w:p>
        </w:tc>
        <w:tc>
          <w:tcPr>
            <w:tcW w:w="1040" w:type="dxa"/>
            <w:vAlign w:val="bottom"/>
            <w:shd w:val="clear" w:color="auto" w:fill="CCEEFF"/>
          </w:tcPr>
          <w:p>
            <w:pPr>
              <w:jc w:val="right"/>
              <w:ind w:right="715"/>
              <w:spacing w:after="0" w:line="189" w:lineRule="exact"/>
              <w:rPr>
                <w:sz w:val="20"/>
                <w:szCs w:val="20"/>
                <w:color w:val="auto"/>
              </w:rPr>
            </w:pPr>
            <w:r>
              <w:rPr>
                <w:rFonts w:ascii="Arial" w:cs="Arial" w:eastAsia="Arial" w:hAnsi="Arial"/>
                <w:sz w:val="17"/>
                <w:szCs w:val="17"/>
                <w:color w:val="auto"/>
              </w:rPr>
              <w:t>*</w:t>
            </w:r>
          </w:p>
        </w:tc>
        <w:tc>
          <w:tcPr>
            <w:tcW w:w="0" w:type="dxa"/>
            <w:vAlign w:val="bottom"/>
          </w:tcPr>
          <w:p>
            <w:pPr>
              <w:spacing w:after="0"/>
              <w:rPr>
                <w:sz w:val="1"/>
                <w:szCs w:val="1"/>
                <w:color w:val="auto"/>
              </w:rPr>
            </w:pPr>
          </w:p>
        </w:tc>
      </w:tr>
      <w:tr>
        <w:trPr>
          <w:trHeight w:val="183"/>
        </w:trPr>
        <w:tc>
          <w:tcPr>
            <w:tcW w:w="4700" w:type="dxa"/>
            <w:vAlign w:val="bottom"/>
            <w:gridSpan w:val="2"/>
          </w:tcPr>
          <w:p>
            <w:pPr>
              <w:spacing w:after="0" w:line="183" w:lineRule="exact"/>
              <w:rPr>
                <w:sz w:val="20"/>
                <w:szCs w:val="20"/>
                <w:color w:val="auto"/>
              </w:rPr>
            </w:pPr>
            <w:r>
              <w:rPr>
                <w:rFonts w:ascii="Arial" w:cs="Arial" w:eastAsia="Arial" w:hAnsi="Arial"/>
                <w:sz w:val="17"/>
                <w:szCs w:val="17"/>
                <w:color w:val="auto"/>
              </w:rPr>
              <w:t>All Directors, nominees for Director and executive officers</w:t>
            </w:r>
          </w:p>
        </w:tc>
        <w:tc>
          <w:tcPr>
            <w:tcW w:w="3580" w:type="dxa"/>
            <w:vAlign w:val="bottom"/>
            <w:vMerge w:val="restart"/>
          </w:tcPr>
          <w:p>
            <w:pPr>
              <w:jc w:val="right"/>
              <w:ind w:right="684"/>
              <w:spacing w:after="0" w:line="193" w:lineRule="exact"/>
              <w:rPr>
                <w:sz w:val="20"/>
                <w:szCs w:val="20"/>
                <w:color w:val="auto"/>
              </w:rPr>
            </w:pPr>
            <w:r>
              <w:rPr>
                <w:rFonts w:ascii="Arial" w:cs="Arial" w:eastAsia="Arial" w:hAnsi="Arial"/>
                <w:sz w:val="17"/>
                <w:szCs w:val="17"/>
                <w:color w:val="auto"/>
              </w:rPr>
              <w:t>3,381,619</w:t>
            </w:r>
          </w:p>
        </w:tc>
        <w:tc>
          <w:tcPr>
            <w:tcW w:w="3140" w:type="dxa"/>
            <w:vAlign w:val="bottom"/>
            <w:gridSpan w:val="2"/>
            <w:vMerge w:val="restart"/>
          </w:tcPr>
          <w:p>
            <w:pPr>
              <w:jc w:val="right"/>
              <w:ind w:right="635"/>
              <w:spacing w:after="0" w:line="193" w:lineRule="exact"/>
              <w:rPr>
                <w:sz w:val="20"/>
                <w:szCs w:val="20"/>
                <w:color w:val="auto"/>
              </w:rPr>
            </w:pPr>
            <w:r>
              <w:rPr>
                <w:rFonts w:ascii="Arial" w:cs="Arial" w:eastAsia="Arial" w:hAnsi="Arial"/>
                <w:sz w:val="17"/>
                <w:szCs w:val="17"/>
                <w:color w:val="auto"/>
              </w:rPr>
              <w:t>7.7%</w:t>
            </w:r>
          </w:p>
        </w:tc>
        <w:tc>
          <w:tcPr>
            <w:tcW w:w="0" w:type="dxa"/>
            <w:vAlign w:val="bottom"/>
          </w:tcPr>
          <w:p>
            <w:pPr>
              <w:spacing w:after="0"/>
              <w:rPr>
                <w:sz w:val="1"/>
                <w:szCs w:val="1"/>
                <w:color w:val="auto"/>
              </w:rPr>
            </w:pPr>
          </w:p>
        </w:tc>
      </w:tr>
      <w:tr>
        <w:trPr>
          <w:trHeight w:val="10"/>
        </w:trPr>
        <w:tc>
          <w:tcPr>
            <w:tcW w:w="1200" w:type="dxa"/>
            <w:vAlign w:val="bottom"/>
          </w:tcPr>
          <w:p>
            <w:pPr>
              <w:spacing w:after="0" w:line="10" w:lineRule="exact"/>
              <w:rPr>
                <w:sz w:val="20"/>
                <w:szCs w:val="20"/>
                <w:color w:val="auto"/>
              </w:rPr>
            </w:pPr>
            <w:r>
              <w:rPr>
                <w:rFonts w:ascii="Arial" w:cs="Arial" w:eastAsia="Arial" w:hAnsi="Arial"/>
                <w:sz w:val="1"/>
                <w:szCs w:val="1"/>
                <w:color w:val="auto"/>
              </w:rPr>
              <w:t>as a group</w:t>
            </w:r>
          </w:p>
        </w:tc>
        <w:tc>
          <w:tcPr>
            <w:tcW w:w="3500" w:type="dxa"/>
            <w:vAlign w:val="bottom"/>
          </w:tcPr>
          <w:p>
            <w:pPr>
              <w:jc w:val="right"/>
              <w:ind w:right="2281"/>
              <w:spacing w:after="0" w:line="10" w:lineRule="exact"/>
              <w:rPr>
                <w:sz w:val="20"/>
                <w:szCs w:val="20"/>
                <w:color w:val="auto"/>
              </w:rPr>
            </w:pPr>
            <w:r>
              <w:rPr>
                <w:rFonts w:ascii="Arial" w:cs="Arial" w:eastAsia="Arial" w:hAnsi="Arial"/>
                <w:sz w:val="1"/>
                <w:szCs w:val="1"/>
                <w:color w:val="auto"/>
              </w:rPr>
              <w:t>(13 Individuals)</w:t>
            </w:r>
          </w:p>
        </w:tc>
        <w:tc>
          <w:tcPr>
            <w:tcW w:w="3580" w:type="dxa"/>
            <w:vAlign w:val="bottom"/>
            <w:vMerge w:val="continue"/>
          </w:tcPr>
          <w:p>
            <w:pPr>
              <w:spacing w:after="0" w:line="20" w:lineRule="exact"/>
              <w:rPr>
                <w:sz w:val="1"/>
                <w:szCs w:val="1"/>
                <w:color w:val="auto"/>
              </w:rPr>
            </w:pPr>
          </w:p>
        </w:tc>
        <w:tc>
          <w:tcPr>
            <w:tcW w:w="3140" w:type="dxa"/>
            <w:vAlign w:val="bottom"/>
            <w:gridSpan w:val="2"/>
            <w:vMerge w:val="continu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80"/>
        </w:trPr>
        <w:tc>
          <w:tcPr>
            <w:tcW w:w="1200" w:type="dxa"/>
            <w:vAlign w:val="bottom"/>
            <w:tcBorders>
              <w:bottom w:val="single" w:sz="8" w:color="auto"/>
            </w:tcBorders>
          </w:tcPr>
          <w:p>
            <w:pPr>
              <w:ind w:left="820"/>
              <w:spacing w:after="0"/>
              <w:rPr>
                <w:sz w:val="20"/>
                <w:szCs w:val="20"/>
                <w:color w:val="auto"/>
              </w:rPr>
            </w:pPr>
            <w:r>
              <w:rPr>
                <w:rFonts w:ascii="Arial" w:cs="Arial" w:eastAsia="Arial" w:hAnsi="Arial"/>
                <w:sz w:val="15"/>
                <w:szCs w:val="15"/>
                <w:color w:val="auto"/>
                <w:w w:val="98"/>
              </w:rPr>
              <w:t>(2)(4)</w:t>
            </w:r>
          </w:p>
        </w:tc>
        <w:tc>
          <w:tcPr>
            <w:tcW w:w="3500" w:type="dxa"/>
            <w:vAlign w:val="bottom"/>
            <w:tcBorders>
              <w:bottom w:val="single" w:sz="8" w:color="auto"/>
            </w:tcBorders>
          </w:tcPr>
          <w:p>
            <w:pPr>
              <w:spacing w:after="0"/>
              <w:rPr>
                <w:sz w:val="15"/>
                <w:szCs w:val="15"/>
                <w:color w:val="auto"/>
              </w:rPr>
            </w:pPr>
          </w:p>
        </w:tc>
        <w:tc>
          <w:tcPr>
            <w:tcW w:w="3580" w:type="dxa"/>
            <w:vAlign w:val="bottom"/>
            <w:tcBorders>
              <w:bottom w:val="single" w:sz="8" w:color="auto"/>
            </w:tcBorders>
          </w:tcPr>
          <w:p>
            <w:pPr>
              <w:spacing w:after="0"/>
              <w:rPr>
                <w:sz w:val="15"/>
                <w:szCs w:val="15"/>
                <w:color w:val="auto"/>
              </w:rPr>
            </w:pPr>
          </w:p>
        </w:tc>
        <w:tc>
          <w:tcPr>
            <w:tcW w:w="2100" w:type="dxa"/>
            <w:vAlign w:val="bottom"/>
            <w:tcBorders>
              <w:bottom w:val="single" w:sz="8" w:color="auto"/>
            </w:tcBorders>
          </w:tcPr>
          <w:p>
            <w:pPr>
              <w:spacing w:after="0"/>
              <w:rPr>
                <w:sz w:val="15"/>
                <w:szCs w:val="15"/>
                <w:color w:val="auto"/>
              </w:rPr>
            </w:pPr>
          </w:p>
        </w:tc>
        <w:tc>
          <w:tcPr>
            <w:tcW w:w="1040" w:type="dxa"/>
            <w:vAlign w:val="bottom"/>
            <w:tcBorders>
              <w:bottom w:val="single" w:sz="8" w:color="auto"/>
            </w:tcBorders>
          </w:tcPr>
          <w:p>
            <w:pPr>
              <w:spacing w:after="0"/>
              <w:rPr>
                <w:sz w:val="15"/>
                <w:szCs w:val="15"/>
                <w:color w:val="auto"/>
              </w:rPr>
            </w:pPr>
          </w:p>
        </w:tc>
        <w:tc>
          <w:tcPr>
            <w:tcW w:w="0" w:type="dxa"/>
            <w:vAlign w:val="bottom"/>
          </w:tcPr>
          <w:p>
            <w:pPr>
              <w:spacing w:after="0"/>
              <w:rPr>
                <w:sz w:val="1"/>
                <w:szCs w:val="1"/>
                <w:color w:val="auto"/>
              </w:rPr>
            </w:pPr>
          </w:p>
        </w:tc>
      </w:tr>
    </w:tbl>
    <w:p>
      <w:pPr>
        <w:spacing w:after="0" w:line="210" w:lineRule="exact"/>
        <w:rPr>
          <w:sz w:val="20"/>
          <w:szCs w:val="20"/>
          <w:color w:val="auto"/>
        </w:rPr>
      </w:pPr>
    </w:p>
    <w:p>
      <w:pPr>
        <w:ind w:left="460" w:hanging="452"/>
        <w:spacing w:after="0"/>
        <w:tabs>
          <w:tab w:leader="none" w:pos="460" w:val="left"/>
        </w:tabs>
        <w:numPr>
          <w:ilvl w:val="0"/>
          <w:numId w:val="48"/>
        </w:numPr>
        <w:rPr>
          <w:rFonts w:ascii="Arial" w:cs="Arial" w:eastAsia="Arial" w:hAnsi="Arial"/>
          <w:sz w:val="17"/>
          <w:szCs w:val="17"/>
          <w:color w:val="auto"/>
        </w:rPr>
      </w:pPr>
      <w:r>
        <w:rPr>
          <w:rFonts w:ascii="Arial" w:cs="Arial" w:eastAsia="Arial" w:hAnsi="Arial"/>
          <w:sz w:val="17"/>
          <w:szCs w:val="17"/>
          <w:color w:val="auto"/>
        </w:rPr>
        <w:t>Percent of class is less than 1%.</w:t>
      </w:r>
    </w:p>
    <w:p>
      <w:pPr>
        <w:spacing w:after="0" w:line="210" w:lineRule="exact"/>
        <w:rPr>
          <w:sz w:val="20"/>
          <w:szCs w:val="20"/>
          <w:color w:val="auto"/>
        </w:rPr>
      </w:pPr>
    </w:p>
    <w:p>
      <w:pPr>
        <w:ind w:left="460" w:right="260" w:hanging="452"/>
        <w:spacing w:after="0" w:line="243" w:lineRule="auto"/>
        <w:tabs>
          <w:tab w:leader="none" w:pos="460" w:val="left"/>
        </w:tabs>
        <w:numPr>
          <w:ilvl w:val="0"/>
          <w:numId w:val="49"/>
        </w:numPr>
        <w:rPr>
          <w:rFonts w:ascii="Arial" w:cs="Arial" w:eastAsia="Arial" w:hAnsi="Arial"/>
          <w:sz w:val="15"/>
          <w:szCs w:val="15"/>
          <w:color w:val="auto"/>
        </w:rPr>
      </w:pPr>
      <w:r>
        <w:rPr>
          <w:rFonts w:ascii="Arial" w:cs="Arial" w:eastAsia="Arial" w:hAnsi="Arial"/>
          <w:sz w:val="17"/>
          <w:szCs w:val="17"/>
          <w:color w:val="auto"/>
        </w:rPr>
        <w:t>Except as otherwise indicated below, beneficial ownership means the sole power to vote and dispose of shares. None of the shares owned by Directors, nominees or the named executive officers has been pledged as security.</w:t>
      </w:r>
    </w:p>
    <w:p>
      <w:pPr>
        <w:spacing w:after="0" w:line="142" w:lineRule="exact"/>
        <w:rPr>
          <w:sz w:val="20"/>
          <w:szCs w:val="20"/>
          <w:color w:val="auto"/>
        </w:rPr>
      </w:pPr>
    </w:p>
    <w:p>
      <w:pPr>
        <w:spacing w:after="0"/>
        <w:rPr>
          <w:sz w:val="20"/>
          <w:szCs w:val="20"/>
          <w:color w:val="auto"/>
        </w:rPr>
      </w:pPr>
      <w:r>
        <w:rPr>
          <w:rFonts w:ascii="Arial" w:cs="Arial" w:eastAsia="Arial" w:hAnsi="Arial"/>
          <w:sz w:val="14"/>
          <w:szCs w:val="14"/>
          <w:color w:val="auto"/>
        </w:rPr>
        <w:t>78</w:t>
      </w:r>
    </w:p>
    <w:p>
      <w:pPr>
        <w:sectPr>
          <w:pgSz w:w="11900" w:h="16838" w:orient="portrait"/>
          <w:cols w:equalWidth="0" w:num="1">
            <w:col w:w="11420"/>
          </w:cols>
          <w:pgMar w:left="240" w:top="459" w:right="239" w:bottom="1440" w:gutter="0" w:footer="0" w:header="0"/>
        </w:sectPr>
      </w:pPr>
    </w:p>
    <w:bookmarkStart w:id="84" w:name="page85"/>
    <w:bookmarkEnd w:id="8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226">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2715260</wp:posOffset>
            </wp:positionH>
            <wp:positionV relativeFrom="paragraph">
              <wp:posOffset>205740</wp:posOffset>
            </wp:positionV>
            <wp:extent cx="1826895" cy="205740"/>
            <wp:wrapNone/>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227">
                      <a:extLst>
                        <a:ext uri="{28A0092B-C50C-407E-A947-70E740481C1C}"/>
                      </a:extLst>
                    </a:blip>
                    <a:srcRect/>
                    <a:stretch>
                      <a:fillRect/>
                    </a:stretch>
                  </pic:blipFill>
                  <pic:spPr bwMode="auto">
                    <a:xfrm>
                      <a:off x="0" y="0"/>
                      <a:ext cx="1826895" cy="20574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7" w:lineRule="exact"/>
        <w:rPr>
          <w:sz w:val="20"/>
          <w:szCs w:val="20"/>
          <w:color w:val="auto"/>
        </w:rPr>
      </w:pPr>
    </w:p>
    <w:p>
      <w:pPr>
        <w:ind w:left="460" w:hanging="452"/>
        <w:spacing w:after="0"/>
        <w:tabs>
          <w:tab w:leader="none" w:pos="460" w:val="left"/>
        </w:tabs>
        <w:numPr>
          <w:ilvl w:val="0"/>
          <w:numId w:val="50"/>
        </w:numPr>
        <w:rPr>
          <w:rFonts w:ascii="Arial" w:cs="Arial" w:eastAsia="Arial" w:hAnsi="Arial"/>
          <w:sz w:val="15"/>
          <w:szCs w:val="15"/>
          <w:color w:val="auto"/>
        </w:rPr>
      </w:pPr>
      <w:r>
        <w:rPr>
          <w:rFonts w:ascii="Arial" w:cs="Arial" w:eastAsia="Arial" w:hAnsi="Arial"/>
          <w:sz w:val="17"/>
          <w:szCs w:val="17"/>
          <w:color w:val="auto"/>
        </w:rPr>
        <w:t>The following table provides additional details regarding beneficial ownership of our common shares:</w:t>
      </w:r>
    </w:p>
    <w:p>
      <w:pPr>
        <w:spacing w:after="0" w:line="223" w:lineRule="exact"/>
        <w:rPr>
          <w:sz w:val="20"/>
          <w:szCs w:val="20"/>
          <w:color w:val="auto"/>
        </w:rPr>
      </w:pPr>
    </w:p>
    <w:tbl>
      <w:tblPr>
        <w:tblLayout w:type="fixed"/>
        <w:tblInd w:w="460" w:type="dxa"/>
        <w:tblCellMar>
          <w:top w:w="0" w:type="dxa"/>
          <w:left w:w="0" w:type="dxa"/>
          <w:bottom w:w="0" w:type="dxa"/>
          <w:right w:w="0" w:type="dxa"/>
        </w:tblCellMar>
      </w:tblPr>
      <w:tr>
        <w:trPr>
          <w:trHeight w:val="17"/>
        </w:trPr>
        <w:tc>
          <w:tcPr>
            <w:tcW w:w="2880" w:type="dxa"/>
            <w:vAlign w:val="bottom"/>
            <w:tcBorders>
              <w:top w:val="single" w:sz="8" w:color="auto"/>
            </w:tcBorders>
          </w:tcPr>
          <w:p>
            <w:pPr>
              <w:spacing w:after="0"/>
              <w:rPr>
                <w:sz w:val="20"/>
                <w:szCs w:val="20"/>
                <w:color w:val="auto"/>
              </w:rPr>
            </w:pPr>
            <w:r>
              <w:rPr>
                <w:rFonts w:ascii="Arial" w:cs="Arial" w:eastAsia="Arial" w:hAnsi="Arial"/>
                <w:sz w:val="1"/>
                <w:szCs w:val="1"/>
                <w:b w:val="1"/>
                <w:bCs w:val="1"/>
                <w:color w:val="auto"/>
              </w:rPr>
              <w:t>Name</w:t>
            </w:r>
          </w:p>
        </w:tc>
        <w:tc>
          <w:tcPr>
            <w:tcW w:w="2860" w:type="dxa"/>
            <w:vAlign w:val="bottom"/>
            <w:tcBorders>
              <w:top w:val="single" w:sz="8" w:color="auto"/>
            </w:tcBorders>
          </w:tcPr>
          <w:p>
            <w:pPr>
              <w:ind w:left="1160"/>
              <w:spacing w:after="0"/>
              <w:rPr>
                <w:sz w:val="20"/>
                <w:szCs w:val="20"/>
                <w:color w:val="auto"/>
              </w:rPr>
            </w:pPr>
            <w:r>
              <w:rPr>
                <w:rFonts w:ascii="Arial" w:cs="Arial" w:eastAsia="Arial" w:hAnsi="Arial"/>
                <w:sz w:val="1"/>
                <w:szCs w:val="1"/>
                <w:b w:val="1"/>
                <w:bCs w:val="1"/>
                <w:color w:val="auto"/>
              </w:rPr>
              <w:t>Outstanding Options</w:t>
            </w:r>
          </w:p>
        </w:tc>
        <w:tc>
          <w:tcPr>
            <w:tcW w:w="940" w:type="dxa"/>
            <w:vAlign w:val="bottom"/>
            <w:tcBorders>
              <w:top w:val="single" w:sz="8" w:color="auto"/>
            </w:tcBorders>
            <w:vMerge w:val="restart"/>
          </w:tcPr>
          <w:p>
            <w:pPr>
              <w:jc w:val="right"/>
              <w:ind w:right="676"/>
              <w:spacing w:after="0"/>
              <w:rPr>
                <w:sz w:val="20"/>
                <w:szCs w:val="20"/>
                <w:color w:val="auto"/>
              </w:rPr>
            </w:pPr>
            <w:r>
              <w:rPr>
                <w:rFonts w:ascii="Arial" w:cs="Arial" w:eastAsia="Arial" w:hAnsi="Arial"/>
                <w:sz w:val="15"/>
                <w:szCs w:val="15"/>
                <w:b w:val="1"/>
                <w:bCs w:val="1"/>
                <w:color w:val="auto"/>
                <w:w w:val="87"/>
              </w:rPr>
              <w:t>(a)</w:t>
            </w:r>
          </w:p>
        </w:tc>
        <w:tc>
          <w:tcPr>
            <w:tcW w:w="3820" w:type="dxa"/>
            <w:vAlign w:val="bottom"/>
            <w:tcBorders>
              <w:top w:val="single" w:sz="8" w:color="auto"/>
            </w:tcBorders>
          </w:tcPr>
          <w:p>
            <w:pPr>
              <w:jc w:val="right"/>
              <w:ind w:right="881"/>
              <w:spacing w:after="0"/>
              <w:rPr>
                <w:sz w:val="20"/>
                <w:szCs w:val="20"/>
                <w:color w:val="auto"/>
              </w:rPr>
            </w:pPr>
            <w:r>
              <w:rPr>
                <w:rFonts w:ascii="Arial" w:cs="Arial" w:eastAsia="Arial" w:hAnsi="Arial"/>
                <w:sz w:val="1"/>
                <w:szCs w:val="1"/>
                <w:b w:val="1"/>
                <w:bCs w:val="1"/>
                <w:color w:val="auto"/>
              </w:rPr>
              <w:t>Deferred Common Shares</w:t>
            </w:r>
          </w:p>
        </w:tc>
        <w:tc>
          <w:tcPr>
            <w:tcW w:w="0" w:type="dxa"/>
            <w:vAlign w:val="bottom"/>
          </w:tcPr>
          <w:p>
            <w:pPr>
              <w:spacing w:after="0" w:line="20" w:lineRule="exact"/>
              <w:rPr>
                <w:sz w:val="1"/>
                <w:szCs w:val="1"/>
                <w:color w:val="auto"/>
              </w:rPr>
            </w:pPr>
          </w:p>
        </w:tc>
      </w:tr>
      <w:tr>
        <w:trPr>
          <w:trHeight w:val="186"/>
        </w:trPr>
        <w:tc>
          <w:tcPr>
            <w:tcW w:w="2880" w:type="dxa"/>
            <w:vAlign w:val="bottom"/>
            <w:tcBorders>
              <w:bottom w:val="single" w:sz="8" w:color="auto"/>
            </w:tcBorders>
          </w:tcPr>
          <w:p>
            <w:pPr>
              <w:spacing w:after="0"/>
              <w:rPr>
                <w:sz w:val="16"/>
                <w:szCs w:val="16"/>
                <w:color w:val="auto"/>
              </w:rPr>
            </w:pPr>
          </w:p>
        </w:tc>
        <w:tc>
          <w:tcPr>
            <w:tcW w:w="2860" w:type="dxa"/>
            <w:vAlign w:val="bottom"/>
            <w:tcBorders>
              <w:bottom w:val="single" w:sz="8" w:color="auto"/>
            </w:tcBorders>
          </w:tcPr>
          <w:p>
            <w:pPr>
              <w:spacing w:after="0"/>
              <w:rPr>
                <w:sz w:val="16"/>
                <w:szCs w:val="16"/>
                <w:color w:val="auto"/>
              </w:rPr>
            </w:pPr>
          </w:p>
        </w:tc>
        <w:tc>
          <w:tcPr>
            <w:tcW w:w="940" w:type="dxa"/>
            <w:vAlign w:val="bottom"/>
            <w:tcBorders>
              <w:bottom w:val="single" w:sz="8" w:color="auto"/>
            </w:tcBorders>
            <w:vMerge w:val="continue"/>
          </w:tcPr>
          <w:p>
            <w:pPr>
              <w:spacing w:after="0"/>
              <w:rPr>
                <w:sz w:val="16"/>
                <w:szCs w:val="16"/>
                <w:color w:val="auto"/>
              </w:rPr>
            </w:pPr>
          </w:p>
        </w:tc>
        <w:tc>
          <w:tcPr>
            <w:tcW w:w="3820" w:type="dxa"/>
            <w:vAlign w:val="bottom"/>
            <w:tcBorders>
              <w:bottom w:val="single" w:sz="8" w:color="auto"/>
            </w:tcBorders>
          </w:tcPr>
          <w:p>
            <w:pPr>
              <w:jc w:val="right"/>
              <w:ind w:right="701"/>
              <w:spacing w:after="0"/>
              <w:rPr>
                <w:sz w:val="20"/>
                <w:szCs w:val="20"/>
                <w:color w:val="auto"/>
              </w:rPr>
            </w:pPr>
            <w:r>
              <w:rPr>
                <w:rFonts w:ascii="Arial" w:cs="Arial" w:eastAsia="Arial" w:hAnsi="Arial"/>
                <w:sz w:val="15"/>
                <w:szCs w:val="15"/>
                <w:b w:val="1"/>
                <w:bCs w:val="1"/>
                <w:color w:val="auto"/>
              </w:rPr>
              <w:t>(b)</w:t>
            </w:r>
          </w:p>
        </w:tc>
        <w:tc>
          <w:tcPr>
            <w:tcW w:w="0" w:type="dxa"/>
            <w:vAlign w:val="bottom"/>
          </w:tcPr>
          <w:p>
            <w:pPr>
              <w:spacing w:after="0"/>
              <w:rPr>
                <w:sz w:val="1"/>
                <w:szCs w:val="1"/>
                <w:color w:val="auto"/>
              </w:rPr>
            </w:pPr>
          </w:p>
        </w:tc>
      </w:tr>
      <w:tr>
        <w:trPr>
          <w:trHeight w:val="183"/>
        </w:trPr>
        <w:tc>
          <w:tcPr>
            <w:tcW w:w="2880" w:type="dxa"/>
            <w:vAlign w:val="bottom"/>
            <w:shd w:val="clear" w:color="auto" w:fill="CCEEFF"/>
          </w:tcPr>
          <w:p>
            <w:pPr>
              <w:spacing w:after="0" w:line="183" w:lineRule="exact"/>
              <w:rPr>
                <w:sz w:val="20"/>
                <w:szCs w:val="20"/>
                <w:color w:val="auto"/>
              </w:rPr>
            </w:pPr>
            <w:r>
              <w:rPr>
                <w:rFonts w:ascii="Arial" w:cs="Arial" w:eastAsia="Arial" w:hAnsi="Arial"/>
                <w:sz w:val="17"/>
                <w:szCs w:val="17"/>
                <w:color w:val="auto"/>
              </w:rPr>
              <w:t>Joseph A. Carrabba</w:t>
            </w:r>
          </w:p>
        </w:tc>
        <w:tc>
          <w:tcPr>
            <w:tcW w:w="2860" w:type="dxa"/>
            <w:vAlign w:val="bottom"/>
            <w:shd w:val="clear" w:color="auto" w:fill="CCEEFF"/>
          </w:tcPr>
          <w:p>
            <w:pPr>
              <w:spacing w:after="0"/>
              <w:rPr>
                <w:sz w:val="15"/>
                <w:szCs w:val="15"/>
                <w:color w:val="auto"/>
              </w:rPr>
            </w:pPr>
          </w:p>
        </w:tc>
        <w:tc>
          <w:tcPr>
            <w:tcW w:w="940" w:type="dxa"/>
            <w:vAlign w:val="bottom"/>
            <w:shd w:val="clear" w:color="auto" w:fill="CCEEFF"/>
          </w:tcPr>
          <w:p>
            <w:pPr>
              <w:jc w:val="right"/>
              <w:ind w:right="676"/>
              <w:spacing w:after="0" w:line="183" w:lineRule="exact"/>
              <w:rPr>
                <w:sz w:val="20"/>
                <w:szCs w:val="20"/>
                <w:color w:val="auto"/>
              </w:rPr>
            </w:pPr>
            <w:r>
              <w:rPr>
                <w:rFonts w:ascii="Arial" w:cs="Arial" w:eastAsia="Arial" w:hAnsi="Arial"/>
                <w:sz w:val="17"/>
                <w:szCs w:val="17"/>
                <w:color w:val="auto"/>
              </w:rPr>
              <w:t>0</w:t>
            </w:r>
          </w:p>
        </w:tc>
        <w:tc>
          <w:tcPr>
            <w:tcW w:w="3820" w:type="dxa"/>
            <w:vAlign w:val="bottom"/>
            <w:shd w:val="clear" w:color="auto" w:fill="CCEEFF"/>
          </w:tcPr>
          <w:p>
            <w:pPr>
              <w:jc w:val="right"/>
              <w:ind w:right="701"/>
              <w:spacing w:after="0" w:line="183" w:lineRule="exact"/>
              <w:rPr>
                <w:sz w:val="20"/>
                <w:szCs w:val="20"/>
                <w:color w:val="auto"/>
              </w:rPr>
            </w:pPr>
            <w:r>
              <w:rPr>
                <w:rFonts w:ascii="Arial" w:cs="Arial" w:eastAsia="Arial" w:hAnsi="Arial"/>
                <w:sz w:val="17"/>
                <w:szCs w:val="17"/>
                <w:color w:val="auto"/>
              </w:rPr>
              <w:t>9,601</w:t>
            </w:r>
          </w:p>
        </w:tc>
        <w:tc>
          <w:tcPr>
            <w:tcW w:w="0" w:type="dxa"/>
            <w:vAlign w:val="bottom"/>
          </w:tcPr>
          <w:p>
            <w:pPr>
              <w:spacing w:after="0"/>
              <w:rPr>
                <w:sz w:val="1"/>
                <w:szCs w:val="1"/>
                <w:color w:val="auto"/>
              </w:rPr>
            </w:pPr>
          </w:p>
        </w:tc>
      </w:tr>
      <w:tr>
        <w:trPr>
          <w:trHeight w:val="189"/>
        </w:trPr>
        <w:tc>
          <w:tcPr>
            <w:tcW w:w="2880" w:type="dxa"/>
            <w:vAlign w:val="bottom"/>
          </w:tcPr>
          <w:p>
            <w:pPr>
              <w:spacing w:after="0" w:line="189" w:lineRule="exact"/>
              <w:rPr>
                <w:sz w:val="20"/>
                <w:szCs w:val="20"/>
                <w:color w:val="auto"/>
              </w:rPr>
            </w:pPr>
            <w:r>
              <w:rPr>
                <w:rFonts w:ascii="Arial" w:cs="Arial" w:eastAsia="Arial" w:hAnsi="Arial"/>
                <w:sz w:val="17"/>
                <w:szCs w:val="17"/>
                <w:color w:val="auto"/>
              </w:rPr>
              <w:t>Phillip R. Cox</w:t>
            </w:r>
          </w:p>
        </w:tc>
        <w:tc>
          <w:tcPr>
            <w:tcW w:w="2860" w:type="dxa"/>
            <w:vAlign w:val="bottom"/>
          </w:tcPr>
          <w:p>
            <w:pPr>
              <w:spacing w:after="0"/>
              <w:rPr>
                <w:sz w:val="16"/>
                <w:szCs w:val="16"/>
                <w:color w:val="auto"/>
              </w:rPr>
            </w:pPr>
          </w:p>
        </w:tc>
        <w:tc>
          <w:tcPr>
            <w:tcW w:w="940" w:type="dxa"/>
            <w:vAlign w:val="bottom"/>
          </w:tcPr>
          <w:p>
            <w:pPr>
              <w:jc w:val="right"/>
              <w:ind w:right="676"/>
              <w:spacing w:after="0" w:line="189" w:lineRule="exact"/>
              <w:rPr>
                <w:sz w:val="20"/>
                <w:szCs w:val="20"/>
                <w:color w:val="auto"/>
              </w:rPr>
            </w:pPr>
            <w:r>
              <w:rPr>
                <w:rFonts w:ascii="Arial" w:cs="Arial" w:eastAsia="Arial" w:hAnsi="Arial"/>
                <w:sz w:val="17"/>
                <w:szCs w:val="17"/>
                <w:color w:val="auto"/>
              </w:rPr>
              <w:t>0</w:t>
            </w:r>
          </w:p>
        </w:tc>
        <w:tc>
          <w:tcPr>
            <w:tcW w:w="3820" w:type="dxa"/>
            <w:vAlign w:val="bottom"/>
          </w:tcPr>
          <w:p>
            <w:pPr>
              <w:jc w:val="right"/>
              <w:ind w:right="701"/>
              <w:spacing w:after="0" w:line="189" w:lineRule="exact"/>
              <w:rPr>
                <w:sz w:val="20"/>
                <w:szCs w:val="20"/>
                <w:color w:val="auto"/>
              </w:rPr>
            </w:pPr>
            <w:r>
              <w:rPr>
                <w:rFonts w:ascii="Arial" w:cs="Arial" w:eastAsia="Arial" w:hAnsi="Arial"/>
                <w:sz w:val="17"/>
                <w:szCs w:val="17"/>
                <w:color w:val="auto"/>
              </w:rPr>
              <w:t>3,466</w:t>
            </w:r>
          </w:p>
        </w:tc>
        <w:tc>
          <w:tcPr>
            <w:tcW w:w="0" w:type="dxa"/>
            <w:vAlign w:val="bottom"/>
          </w:tcPr>
          <w:p>
            <w:pPr>
              <w:spacing w:after="0"/>
              <w:rPr>
                <w:sz w:val="1"/>
                <w:szCs w:val="1"/>
                <w:color w:val="auto"/>
              </w:rPr>
            </w:pPr>
          </w:p>
        </w:tc>
      </w:tr>
      <w:tr>
        <w:trPr>
          <w:trHeight w:val="189"/>
        </w:trPr>
        <w:tc>
          <w:tcPr>
            <w:tcW w:w="2880" w:type="dxa"/>
            <w:vAlign w:val="bottom"/>
            <w:shd w:val="clear" w:color="auto" w:fill="CCEEFF"/>
          </w:tcPr>
          <w:p>
            <w:pPr>
              <w:spacing w:after="0" w:line="189" w:lineRule="exact"/>
              <w:rPr>
                <w:sz w:val="20"/>
                <w:szCs w:val="20"/>
                <w:color w:val="auto"/>
              </w:rPr>
            </w:pPr>
            <w:r>
              <w:rPr>
                <w:rFonts w:ascii="Arial" w:cs="Arial" w:eastAsia="Arial" w:hAnsi="Arial"/>
                <w:sz w:val="17"/>
                <w:szCs w:val="17"/>
                <w:color w:val="auto"/>
              </w:rPr>
              <w:t>Diane C. Creel</w:t>
            </w:r>
          </w:p>
        </w:tc>
        <w:tc>
          <w:tcPr>
            <w:tcW w:w="2860" w:type="dxa"/>
            <w:vAlign w:val="bottom"/>
            <w:shd w:val="clear" w:color="auto" w:fill="CCEEFF"/>
          </w:tcPr>
          <w:p>
            <w:pPr>
              <w:spacing w:after="0"/>
              <w:rPr>
                <w:sz w:val="16"/>
                <w:szCs w:val="16"/>
                <w:color w:val="auto"/>
              </w:rPr>
            </w:pPr>
          </w:p>
        </w:tc>
        <w:tc>
          <w:tcPr>
            <w:tcW w:w="940" w:type="dxa"/>
            <w:vAlign w:val="bottom"/>
            <w:shd w:val="clear" w:color="auto" w:fill="CCEEFF"/>
          </w:tcPr>
          <w:p>
            <w:pPr>
              <w:jc w:val="right"/>
              <w:ind w:right="676"/>
              <w:spacing w:after="0" w:line="189" w:lineRule="exact"/>
              <w:rPr>
                <w:sz w:val="20"/>
                <w:szCs w:val="20"/>
                <w:color w:val="auto"/>
              </w:rPr>
            </w:pPr>
            <w:r>
              <w:rPr>
                <w:rFonts w:ascii="Arial" w:cs="Arial" w:eastAsia="Arial" w:hAnsi="Arial"/>
                <w:sz w:val="17"/>
                <w:szCs w:val="17"/>
                <w:color w:val="auto"/>
              </w:rPr>
              <w:t>0</w:t>
            </w:r>
          </w:p>
        </w:tc>
        <w:tc>
          <w:tcPr>
            <w:tcW w:w="3820" w:type="dxa"/>
            <w:vAlign w:val="bottom"/>
            <w:shd w:val="clear" w:color="auto" w:fill="CCEEFF"/>
          </w:tcPr>
          <w:p>
            <w:pPr>
              <w:jc w:val="right"/>
              <w:ind w:right="701"/>
              <w:spacing w:after="0" w:line="189" w:lineRule="exact"/>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89"/>
        </w:trPr>
        <w:tc>
          <w:tcPr>
            <w:tcW w:w="2880" w:type="dxa"/>
            <w:vAlign w:val="bottom"/>
          </w:tcPr>
          <w:p>
            <w:pPr>
              <w:spacing w:after="0" w:line="189" w:lineRule="exact"/>
              <w:rPr>
                <w:sz w:val="20"/>
                <w:szCs w:val="20"/>
                <w:color w:val="auto"/>
              </w:rPr>
            </w:pPr>
            <w:r>
              <w:rPr>
                <w:rFonts w:ascii="Arial" w:cs="Arial" w:eastAsia="Arial" w:hAnsi="Arial"/>
                <w:sz w:val="17"/>
                <w:szCs w:val="17"/>
                <w:color w:val="auto"/>
              </w:rPr>
              <w:t>Terry L. Dunlap</w:t>
            </w:r>
          </w:p>
        </w:tc>
        <w:tc>
          <w:tcPr>
            <w:tcW w:w="2860" w:type="dxa"/>
            <w:vAlign w:val="bottom"/>
          </w:tcPr>
          <w:p>
            <w:pPr>
              <w:spacing w:after="0"/>
              <w:rPr>
                <w:sz w:val="16"/>
                <w:szCs w:val="16"/>
                <w:color w:val="auto"/>
              </w:rPr>
            </w:pPr>
          </w:p>
        </w:tc>
        <w:tc>
          <w:tcPr>
            <w:tcW w:w="940" w:type="dxa"/>
            <w:vAlign w:val="bottom"/>
          </w:tcPr>
          <w:p>
            <w:pPr>
              <w:jc w:val="right"/>
              <w:ind w:right="676"/>
              <w:spacing w:after="0" w:line="189" w:lineRule="exact"/>
              <w:rPr>
                <w:sz w:val="20"/>
                <w:szCs w:val="20"/>
                <w:color w:val="auto"/>
              </w:rPr>
            </w:pPr>
            <w:r>
              <w:rPr>
                <w:rFonts w:ascii="Arial" w:cs="Arial" w:eastAsia="Arial" w:hAnsi="Arial"/>
                <w:sz w:val="17"/>
                <w:szCs w:val="17"/>
                <w:color w:val="auto"/>
              </w:rPr>
              <w:t>0</w:t>
            </w:r>
          </w:p>
        </w:tc>
        <w:tc>
          <w:tcPr>
            <w:tcW w:w="3820" w:type="dxa"/>
            <w:vAlign w:val="bottom"/>
          </w:tcPr>
          <w:p>
            <w:pPr>
              <w:jc w:val="right"/>
              <w:ind w:right="701"/>
              <w:spacing w:after="0" w:line="189" w:lineRule="exact"/>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89"/>
        </w:trPr>
        <w:tc>
          <w:tcPr>
            <w:tcW w:w="2880" w:type="dxa"/>
            <w:vAlign w:val="bottom"/>
            <w:shd w:val="clear" w:color="auto" w:fill="CCEEFF"/>
          </w:tcPr>
          <w:p>
            <w:pPr>
              <w:spacing w:after="0" w:line="189" w:lineRule="exact"/>
              <w:rPr>
                <w:sz w:val="20"/>
                <w:szCs w:val="20"/>
                <w:color w:val="auto"/>
              </w:rPr>
            </w:pPr>
            <w:r>
              <w:rPr>
                <w:rFonts w:ascii="Arial" w:cs="Arial" w:eastAsia="Arial" w:hAnsi="Arial"/>
                <w:sz w:val="17"/>
                <w:szCs w:val="17"/>
                <w:color w:val="auto"/>
              </w:rPr>
              <w:t>Randall H. Edwards</w:t>
            </w:r>
          </w:p>
        </w:tc>
        <w:tc>
          <w:tcPr>
            <w:tcW w:w="2860" w:type="dxa"/>
            <w:vAlign w:val="bottom"/>
            <w:shd w:val="clear" w:color="auto" w:fill="CCEEFF"/>
          </w:tcPr>
          <w:p>
            <w:pPr>
              <w:spacing w:after="0"/>
              <w:rPr>
                <w:sz w:val="16"/>
                <w:szCs w:val="16"/>
                <w:color w:val="auto"/>
              </w:rPr>
            </w:pPr>
          </w:p>
        </w:tc>
        <w:tc>
          <w:tcPr>
            <w:tcW w:w="940" w:type="dxa"/>
            <w:vAlign w:val="bottom"/>
            <w:shd w:val="clear" w:color="auto" w:fill="CCEEFF"/>
          </w:tcPr>
          <w:p>
            <w:pPr>
              <w:jc w:val="right"/>
              <w:ind w:right="676"/>
              <w:spacing w:after="0" w:line="189" w:lineRule="exact"/>
              <w:rPr>
                <w:sz w:val="20"/>
                <w:szCs w:val="20"/>
                <w:color w:val="auto"/>
              </w:rPr>
            </w:pPr>
            <w:r>
              <w:rPr>
                <w:rFonts w:ascii="Arial" w:cs="Arial" w:eastAsia="Arial" w:hAnsi="Arial"/>
                <w:sz w:val="17"/>
                <w:szCs w:val="17"/>
                <w:color w:val="auto"/>
              </w:rPr>
              <w:t>0</w:t>
            </w:r>
          </w:p>
        </w:tc>
        <w:tc>
          <w:tcPr>
            <w:tcW w:w="3820" w:type="dxa"/>
            <w:vAlign w:val="bottom"/>
            <w:shd w:val="clear" w:color="auto" w:fill="CCEEFF"/>
          </w:tcPr>
          <w:p>
            <w:pPr>
              <w:jc w:val="right"/>
              <w:ind w:right="701"/>
              <w:spacing w:after="0" w:line="189" w:lineRule="exact"/>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89"/>
        </w:trPr>
        <w:tc>
          <w:tcPr>
            <w:tcW w:w="2880" w:type="dxa"/>
            <w:vAlign w:val="bottom"/>
          </w:tcPr>
          <w:p>
            <w:pPr>
              <w:spacing w:after="0" w:line="189" w:lineRule="exact"/>
              <w:rPr>
                <w:sz w:val="20"/>
                <w:szCs w:val="20"/>
                <w:color w:val="auto"/>
              </w:rPr>
            </w:pPr>
            <w:r>
              <w:rPr>
                <w:rFonts w:ascii="Arial" w:cs="Arial" w:eastAsia="Arial" w:hAnsi="Arial"/>
                <w:sz w:val="17"/>
                <w:szCs w:val="17"/>
                <w:color w:val="auto"/>
              </w:rPr>
              <w:t>Donald T. Misheff</w:t>
            </w:r>
          </w:p>
        </w:tc>
        <w:tc>
          <w:tcPr>
            <w:tcW w:w="2860" w:type="dxa"/>
            <w:vAlign w:val="bottom"/>
          </w:tcPr>
          <w:p>
            <w:pPr>
              <w:spacing w:after="0"/>
              <w:rPr>
                <w:sz w:val="16"/>
                <w:szCs w:val="16"/>
                <w:color w:val="auto"/>
              </w:rPr>
            </w:pPr>
          </w:p>
        </w:tc>
        <w:tc>
          <w:tcPr>
            <w:tcW w:w="940" w:type="dxa"/>
            <w:vAlign w:val="bottom"/>
          </w:tcPr>
          <w:p>
            <w:pPr>
              <w:jc w:val="right"/>
              <w:ind w:right="676"/>
              <w:spacing w:after="0" w:line="189" w:lineRule="exact"/>
              <w:rPr>
                <w:sz w:val="20"/>
                <w:szCs w:val="20"/>
                <w:color w:val="auto"/>
              </w:rPr>
            </w:pPr>
            <w:r>
              <w:rPr>
                <w:rFonts w:ascii="Arial" w:cs="Arial" w:eastAsia="Arial" w:hAnsi="Arial"/>
                <w:sz w:val="17"/>
                <w:szCs w:val="17"/>
                <w:color w:val="auto"/>
              </w:rPr>
              <w:t>0</w:t>
            </w:r>
          </w:p>
        </w:tc>
        <w:tc>
          <w:tcPr>
            <w:tcW w:w="3820" w:type="dxa"/>
            <w:vAlign w:val="bottom"/>
          </w:tcPr>
          <w:p>
            <w:pPr>
              <w:jc w:val="right"/>
              <w:ind w:right="701"/>
              <w:spacing w:after="0" w:line="189" w:lineRule="exact"/>
              <w:rPr>
                <w:sz w:val="20"/>
                <w:szCs w:val="20"/>
                <w:color w:val="auto"/>
              </w:rPr>
            </w:pPr>
            <w:r>
              <w:rPr>
                <w:rFonts w:ascii="Arial" w:cs="Arial" w:eastAsia="Arial" w:hAnsi="Arial"/>
                <w:sz w:val="17"/>
                <w:szCs w:val="17"/>
                <w:color w:val="auto"/>
              </w:rPr>
              <w:t>6,682</w:t>
            </w:r>
          </w:p>
        </w:tc>
        <w:tc>
          <w:tcPr>
            <w:tcW w:w="0" w:type="dxa"/>
            <w:vAlign w:val="bottom"/>
          </w:tcPr>
          <w:p>
            <w:pPr>
              <w:spacing w:after="0"/>
              <w:rPr>
                <w:sz w:val="1"/>
                <w:szCs w:val="1"/>
                <w:color w:val="auto"/>
              </w:rPr>
            </w:pPr>
          </w:p>
        </w:tc>
      </w:tr>
      <w:tr>
        <w:trPr>
          <w:trHeight w:val="189"/>
        </w:trPr>
        <w:tc>
          <w:tcPr>
            <w:tcW w:w="2880" w:type="dxa"/>
            <w:vAlign w:val="bottom"/>
            <w:shd w:val="clear" w:color="auto" w:fill="CCEEFF"/>
          </w:tcPr>
          <w:p>
            <w:pPr>
              <w:spacing w:after="0" w:line="189" w:lineRule="exact"/>
              <w:rPr>
                <w:sz w:val="20"/>
                <w:szCs w:val="20"/>
                <w:color w:val="auto"/>
              </w:rPr>
            </w:pPr>
            <w:r>
              <w:rPr>
                <w:rFonts w:ascii="Arial" w:cs="Arial" w:eastAsia="Arial" w:hAnsi="Arial"/>
                <w:sz w:val="17"/>
                <w:szCs w:val="17"/>
                <w:color w:val="auto"/>
              </w:rPr>
              <w:t>John P. Reilly</w:t>
            </w:r>
          </w:p>
        </w:tc>
        <w:tc>
          <w:tcPr>
            <w:tcW w:w="2860" w:type="dxa"/>
            <w:vAlign w:val="bottom"/>
            <w:shd w:val="clear" w:color="auto" w:fill="CCEEFF"/>
          </w:tcPr>
          <w:p>
            <w:pPr>
              <w:spacing w:after="0"/>
              <w:rPr>
                <w:sz w:val="16"/>
                <w:szCs w:val="16"/>
                <w:color w:val="auto"/>
              </w:rPr>
            </w:pPr>
          </w:p>
        </w:tc>
        <w:tc>
          <w:tcPr>
            <w:tcW w:w="940" w:type="dxa"/>
            <w:vAlign w:val="bottom"/>
            <w:shd w:val="clear" w:color="auto" w:fill="CCEEFF"/>
          </w:tcPr>
          <w:p>
            <w:pPr>
              <w:jc w:val="right"/>
              <w:ind w:right="676"/>
              <w:spacing w:after="0" w:line="189" w:lineRule="exact"/>
              <w:rPr>
                <w:sz w:val="20"/>
                <w:szCs w:val="20"/>
                <w:color w:val="auto"/>
              </w:rPr>
            </w:pPr>
            <w:r>
              <w:rPr>
                <w:rFonts w:ascii="Arial" w:cs="Arial" w:eastAsia="Arial" w:hAnsi="Arial"/>
                <w:sz w:val="17"/>
                <w:szCs w:val="17"/>
                <w:color w:val="auto"/>
              </w:rPr>
              <w:t>0</w:t>
            </w:r>
          </w:p>
        </w:tc>
        <w:tc>
          <w:tcPr>
            <w:tcW w:w="3820" w:type="dxa"/>
            <w:vAlign w:val="bottom"/>
            <w:shd w:val="clear" w:color="auto" w:fill="CCEEFF"/>
          </w:tcPr>
          <w:p>
            <w:pPr>
              <w:jc w:val="right"/>
              <w:ind w:right="701"/>
              <w:spacing w:after="0" w:line="189" w:lineRule="exact"/>
              <w:rPr>
                <w:sz w:val="20"/>
                <w:szCs w:val="20"/>
                <w:color w:val="auto"/>
              </w:rPr>
            </w:pPr>
            <w:r>
              <w:rPr>
                <w:rFonts w:ascii="Arial" w:cs="Arial" w:eastAsia="Arial" w:hAnsi="Arial"/>
                <w:sz w:val="17"/>
                <w:szCs w:val="17"/>
                <w:color w:val="auto"/>
              </w:rPr>
              <w:t>3,401</w:t>
            </w:r>
          </w:p>
        </w:tc>
        <w:tc>
          <w:tcPr>
            <w:tcW w:w="0" w:type="dxa"/>
            <w:vAlign w:val="bottom"/>
          </w:tcPr>
          <w:p>
            <w:pPr>
              <w:spacing w:after="0"/>
              <w:rPr>
                <w:sz w:val="1"/>
                <w:szCs w:val="1"/>
                <w:color w:val="auto"/>
              </w:rPr>
            </w:pPr>
          </w:p>
        </w:tc>
      </w:tr>
      <w:tr>
        <w:trPr>
          <w:trHeight w:val="189"/>
        </w:trPr>
        <w:tc>
          <w:tcPr>
            <w:tcW w:w="2880" w:type="dxa"/>
            <w:vAlign w:val="bottom"/>
          </w:tcPr>
          <w:p>
            <w:pPr>
              <w:spacing w:after="0" w:line="189" w:lineRule="exact"/>
              <w:rPr>
                <w:sz w:val="20"/>
                <w:szCs w:val="20"/>
                <w:color w:val="auto"/>
              </w:rPr>
            </w:pPr>
            <w:r>
              <w:rPr>
                <w:rFonts w:ascii="Arial" w:cs="Arial" w:eastAsia="Arial" w:hAnsi="Arial"/>
                <w:sz w:val="17"/>
                <w:szCs w:val="17"/>
                <w:color w:val="auto"/>
              </w:rPr>
              <w:t>Ronald A. Rice</w:t>
            </w:r>
          </w:p>
        </w:tc>
        <w:tc>
          <w:tcPr>
            <w:tcW w:w="2860" w:type="dxa"/>
            <w:vAlign w:val="bottom"/>
          </w:tcPr>
          <w:p>
            <w:pPr>
              <w:spacing w:after="0"/>
              <w:rPr>
                <w:sz w:val="16"/>
                <w:szCs w:val="16"/>
                <w:color w:val="auto"/>
              </w:rPr>
            </w:pPr>
          </w:p>
        </w:tc>
        <w:tc>
          <w:tcPr>
            <w:tcW w:w="940" w:type="dxa"/>
            <w:vAlign w:val="bottom"/>
          </w:tcPr>
          <w:p>
            <w:pPr>
              <w:jc w:val="right"/>
              <w:ind w:right="676"/>
              <w:spacing w:after="0" w:line="189" w:lineRule="exact"/>
              <w:rPr>
                <w:sz w:val="20"/>
                <w:szCs w:val="20"/>
                <w:color w:val="auto"/>
              </w:rPr>
            </w:pPr>
            <w:r>
              <w:rPr>
                <w:rFonts w:ascii="Arial" w:cs="Arial" w:eastAsia="Arial" w:hAnsi="Arial"/>
                <w:sz w:val="17"/>
                <w:szCs w:val="17"/>
                <w:color w:val="auto"/>
              </w:rPr>
              <w:t>0</w:t>
            </w:r>
          </w:p>
        </w:tc>
        <w:tc>
          <w:tcPr>
            <w:tcW w:w="3820" w:type="dxa"/>
            <w:vAlign w:val="bottom"/>
          </w:tcPr>
          <w:p>
            <w:pPr>
              <w:jc w:val="right"/>
              <w:ind w:right="701"/>
              <w:spacing w:after="0" w:line="189" w:lineRule="exact"/>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89"/>
        </w:trPr>
        <w:tc>
          <w:tcPr>
            <w:tcW w:w="2880" w:type="dxa"/>
            <w:vAlign w:val="bottom"/>
            <w:shd w:val="clear" w:color="auto" w:fill="CCEEFF"/>
          </w:tcPr>
          <w:p>
            <w:pPr>
              <w:spacing w:after="0" w:line="189" w:lineRule="exact"/>
              <w:rPr>
                <w:sz w:val="20"/>
                <w:szCs w:val="20"/>
                <w:color w:val="auto"/>
              </w:rPr>
            </w:pPr>
            <w:r>
              <w:rPr>
                <w:rFonts w:ascii="Arial" w:cs="Arial" w:eastAsia="Arial" w:hAnsi="Arial"/>
                <w:sz w:val="17"/>
                <w:szCs w:val="17"/>
                <w:color w:val="auto"/>
              </w:rPr>
              <w:t>Randall A. Wotring</w:t>
            </w:r>
          </w:p>
        </w:tc>
        <w:tc>
          <w:tcPr>
            <w:tcW w:w="2860" w:type="dxa"/>
            <w:vAlign w:val="bottom"/>
            <w:shd w:val="clear" w:color="auto" w:fill="CCEEFF"/>
          </w:tcPr>
          <w:p>
            <w:pPr>
              <w:spacing w:after="0"/>
              <w:rPr>
                <w:sz w:val="16"/>
                <w:szCs w:val="16"/>
                <w:color w:val="auto"/>
              </w:rPr>
            </w:pPr>
          </w:p>
        </w:tc>
        <w:tc>
          <w:tcPr>
            <w:tcW w:w="940" w:type="dxa"/>
            <w:vAlign w:val="bottom"/>
            <w:shd w:val="clear" w:color="auto" w:fill="CCEEFF"/>
          </w:tcPr>
          <w:p>
            <w:pPr>
              <w:jc w:val="right"/>
              <w:ind w:right="676"/>
              <w:spacing w:after="0" w:line="189" w:lineRule="exact"/>
              <w:rPr>
                <w:sz w:val="20"/>
                <w:szCs w:val="20"/>
                <w:color w:val="auto"/>
              </w:rPr>
            </w:pPr>
            <w:r>
              <w:rPr>
                <w:rFonts w:ascii="Arial" w:cs="Arial" w:eastAsia="Arial" w:hAnsi="Arial"/>
                <w:sz w:val="17"/>
                <w:szCs w:val="17"/>
                <w:color w:val="auto"/>
              </w:rPr>
              <w:t>0</w:t>
            </w:r>
          </w:p>
        </w:tc>
        <w:tc>
          <w:tcPr>
            <w:tcW w:w="3820" w:type="dxa"/>
            <w:vAlign w:val="bottom"/>
            <w:shd w:val="clear" w:color="auto" w:fill="CCEEFF"/>
          </w:tcPr>
          <w:p>
            <w:pPr>
              <w:jc w:val="right"/>
              <w:ind w:right="701"/>
              <w:spacing w:after="0" w:line="189" w:lineRule="exact"/>
              <w:rPr>
                <w:sz w:val="20"/>
                <w:szCs w:val="20"/>
                <w:color w:val="auto"/>
              </w:rPr>
            </w:pPr>
            <w:r>
              <w:rPr>
                <w:rFonts w:ascii="Arial" w:cs="Arial" w:eastAsia="Arial" w:hAnsi="Arial"/>
                <w:sz w:val="17"/>
                <w:szCs w:val="17"/>
                <w:color w:val="auto"/>
              </w:rPr>
              <w:t>1,268</w:t>
            </w:r>
          </w:p>
        </w:tc>
        <w:tc>
          <w:tcPr>
            <w:tcW w:w="0" w:type="dxa"/>
            <w:vAlign w:val="bottom"/>
          </w:tcPr>
          <w:p>
            <w:pPr>
              <w:spacing w:after="0"/>
              <w:rPr>
                <w:sz w:val="1"/>
                <w:szCs w:val="1"/>
                <w:color w:val="auto"/>
              </w:rPr>
            </w:pPr>
          </w:p>
        </w:tc>
      </w:tr>
      <w:tr>
        <w:trPr>
          <w:trHeight w:val="189"/>
        </w:trPr>
        <w:tc>
          <w:tcPr>
            <w:tcW w:w="2880" w:type="dxa"/>
            <w:vAlign w:val="bottom"/>
          </w:tcPr>
          <w:p>
            <w:pPr>
              <w:spacing w:after="0" w:line="189" w:lineRule="exact"/>
              <w:rPr>
                <w:sz w:val="20"/>
                <w:szCs w:val="20"/>
                <w:color w:val="auto"/>
              </w:rPr>
            </w:pPr>
            <w:r>
              <w:rPr>
                <w:rFonts w:ascii="Arial" w:cs="Arial" w:eastAsia="Arial" w:hAnsi="Arial"/>
                <w:sz w:val="17"/>
                <w:szCs w:val="17"/>
                <w:color w:val="auto"/>
              </w:rPr>
              <w:t>Ward J. Timken, Jr.</w:t>
            </w:r>
          </w:p>
        </w:tc>
        <w:tc>
          <w:tcPr>
            <w:tcW w:w="3800" w:type="dxa"/>
            <w:vAlign w:val="bottom"/>
            <w:gridSpan w:val="2"/>
          </w:tcPr>
          <w:p>
            <w:pPr>
              <w:jc w:val="right"/>
              <w:ind w:right="676"/>
              <w:spacing w:after="0" w:line="189" w:lineRule="exact"/>
              <w:rPr>
                <w:sz w:val="20"/>
                <w:szCs w:val="20"/>
                <w:color w:val="auto"/>
              </w:rPr>
            </w:pPr>
            <w:r>
              <w:rPr>
                <w:rFonts w:ascii="Arial" w:cs="Arial" w:eastAsia="Arial" w:hAnsi="Arial"/>
                <w:sz w:val="17"/>
                <w:szCs w:val="17"/>
                <w:color w:val="auto"/>
              </w:rPr>
              <w:t>352,486</w:t>
            </w:r>
          </w:p>
        </w:tc>
        <w:tc>
          <w:tcPr>
            <w:tcW w:w="3820" w:type="dxa"/>
            <w:vAlign w:val="bottom"/>
          </w:tcPr>
          <w:p>
            <w:pPr>
              <w:jc w:val="right"/>
              <w:ind w:right="701"/>
              <w:spacing w:after="0" w:line="189" w:lineRule="exact"/>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89"/>
        </w:trPr>
        <w:tc>
          <w:tcPr>
            <w:tcW w:w="2880" w:type="dxa"/>
            <w:vAlign w:val="bottom"/>
            <w:shd w:val="clear" w:color="auto" w:fill="CCEEFF"/>
          </w:tcPr>
          <w:p>
            <w:pPr>
              <w:spacing w:after="0" w:line="189" w:lineRule="exact"/>
              <w:rPr>
                <w:sz w:val="20"/>
                <w:szCs w:val="20"/>
                <w:color w:val="auto"/>
              </w:rPr>
            </w:pPr>
            <w:r>
              <w:rPr>
                <w:rFonts w:ascii="Arial" w:cs="Arial" w:eastAsia="Arial" w:hAnsi="Arial"/>
                <w:sz w:val="17"/>
                <w:szCs w:val="17"/>
                <w:color w:val="auto"/>
              </w:rPr>
              <w:t>Frank A. DiPiero</w:t>
            </w:r>
          </w:p>
        </w:tc>
        <w:tc>
          <w:tcPr>
            <w:tcW w:w="3800" w:type="dxa"/>
            <w:vAlign w:val="bottom"/>
            <w:gridSpan w:val="2"/>
            <w:shd w:val="clear" w:color="auto" w:fill="CCEEFF"/>
          </w:tcPr>
          <w:p>
            <w:pPr>
              <w:jc w:val="right"/>
              <w:ind w:right="676"/>
              <w:spacing w:after="0" w:line="189" w:lineRule="exact"/>
              <w:rPr>
                <w:sz w:val="20"/>
                <w:szCs w:val="20"/>
                <w:color w:val="auto"/>
              </w:rPr>
            </w:pPr>
            <w:r>
              <w:rPr>
                <w:rFonts w:ascii="Arial" w:cs="Arial" w:eastAsia="Arial" w:hAnsi="Arial"/>
                <w:sz w:val="17"/>
                <w:szCs w:val="17"/>
                <w:color w:val="auto"/>
              </w:rPr>
              <w:t>6,600</w:t>
            </w:r>
          </w:p>
        </w:tc>
        <w:tc>
          <w:tcPr>
            <w:tcW w:w="3820" w:type="dxa"/>
            <w:vAlign w:val="bottom"/>
            <w:shd w:val="clear" w:color="auto" w:fill="CCEEFF"/>
          </w:tcPr>
          <w:p>
            <w:pPr>
              <w:jc w:val="right"/>
              <w:ind w:right="701"/>
              <w:spacing w:after="0" w:line="189" w:lineRule="exact"/>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89"/>
        </w:trPr>
        <w:tc>
          <w:tcPr>
            <w:tcW w:w="2880" w:type="dxa"/>
            <w:vAlign w:val="bottom"/>
          </w:tcPr>
          <w:p>
            <w:pPr>
              <w:spacing w:after="0" w:line="189" w:lineRule="exact"/>
              <w:rPr>
                <w:sz w:val="20"/>
                <w:szCs w:val="20"/>
                <w:color w:val="auto"/>
              </w:rPr>
            </w:pPr>
            <w:r>
              <w:rPr>
                <w:rFonts w:ascii="Arial" w:cs="Arial" w:eastAsia="Arial" w:hAnsi="Arial"/>
                <w:sz w:val="17"/>
                <w:szCs w:val="17"/>
                <w:color w:val="auto"/>
              </w:rPr>
              <w:t>Christopher J. Holding</w:t>
            </w:r>
          </w:p>
        </w:tc>
        <w:tc>
          <w:tcPr>
            <w:tcW w:w="3800" w:type="dxa"/>
            <w:vAlign w:val="bottom"/>
            <w:gridSpan w:val="2"/>
          </w:tcPr>
          <w:p>
            <w:pPr>
              <w:jc w:val="right"/>
              <w:ind w:right="676"/>
              <w:spacing w:after="0" w:line="189" w:lineRule="exact"/>
              <w:rPr>
                <w:sz w:val="20"/>
                <w:szCs w:val="20"/>
                <w:color w:val="auto"/>
              </w:rPr>
            </w:pPr>
            <w:r>
              <w:rPr>
                <w:rFonts w:ascii="Arial" w:cs="Arial" w:eastAsia="Arial" w:hAnsi="Arial"/>
                <w:sz w:val="17"/>
                <w:szCs w:val="17"/>
                <w:color w:val="auto"/>
              </w:rPr>
              <w:t>14,850</w:t>
            </w:r>
          </w:p>
        </w:tc>
        <w:tc>
          <w:tcPr>
            <w:tcW w:w="3820" w:type="dxa"/>
            <w:vAlign w:val="bottom"/>
          </w:tcPr>
          <w:p>
            <w:pPr>
              <w:jc w:val="right"/>
              <w:ind w:right="701"/>
              <w:spacing w:after="0" w:line="189" w:lineRule="exact"/>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r>
        <w:trPr>
          <w:trHeight w:val="189"/>
        </w:trPr>
        <w:tc>
          <w:tcPr>
            <w:tcW w:w="2880" w:type="dxa"/>
            <w:vAlign w:val="bottom"/>
            <w:tcBorders>
              <w:bottom w:val="single" w:sz="8" w:color="auto"/>
            </w:tcBorders>
            <w:shd w:val="clear" w:color="auto" w:fill="CCEEFF"/>
          </w:tcPr>
          <w:p>
            <w:pPr>
              <w:spacing w:after="0" w:line="189" w:lineRule="exact"/>
              <w:rPr>
                <w:sz w:val="20"/>
                <w:szCs w:val="20"/>
                <w:color w:val="auto"/>
              </w:rPr>
            </w:pPr>
            <w:r>
              <w:rPr>
                <w:rFonts w:ascii="Arial" w:cs="Arial" w:eastAsia="Arial" w:hAnsi="Arial"/>
                <w:sz w:val="17"/>
                <w:szCs w:val="17"/>
                <w:color w:val="auto"/>
              </w:rPr>
              <w:t>Donald L. Walker</w:t>
            </w:r>
          </w:p>
        </w:tc>
        <w:tc>
          <w:tcPr>
            <w:tcW w:w="3800" w:type="dxa"/>
            <w:vAlign w:val="bottom"/>
            <w:tcBorders>
              <w:bottom w:val="single" w:sz="8" w:color="auto"/>
            </w:tcBorders>
            <w:gridSpan w:val="2"/>
            <w:shd w:val="clear" w:color="auto" w:fill="CCEEFF"/>
          </w:tcPr>
          <w:p>
            <w:pPr>
              <w:jc w:val="right"/>
              <w:ind w:right="676"/>
              <w:spacing w:after="0" w:line="189" w:lineRule="exact"/>
              <w:rPr>
                <w:sz w:val="20"/>
                <w:szCs w:val="20"/>
                <w:color w:val="auto"/>
              </w:rPr>
            </w:pPr>
            <w:r>
              <w:rPr>
                <w:rFonts w:ascii="Arial" w:cs="Arial" w:eastAsia="Arial" w:hAnsi="Arial"/>
                <w:sz w:val="17"/>
                <w:szCs w:val="17"/>
                <w:color w:val="auto"/>
              </w:rPr>
              <w:t>13,075</w:t>
            </w:r>
          </w:p>
        </w:tc>
        <w:tc>
          <w:tcPr>
            <w:tcW w:w="3820" w:type="dxa"/>
            <w:vAlign w:val="bottom"/>
            <w:tcBorders>
              <w:bottom w:val="single" w:sz="8" w:color="auto"/>
            </w:tcBorders>
            <w:shd w:val="clear" w:color="auto" w:fill="CCEEFF"/>
          </w:tcPr>
          <w:p>
            <w:pPr>
              <w:jc w:val="right"/>
              <w:ind w:right="701"/>
              <w:spacing w:after="0" w:line="189" w:lineRule="exact"/>
              <w:rPr>
                <w:sz w:val="20"/>
                <w:szCs w:val="20"/>
                <w:color w:val="auto"/>
              </w:rPr>
            </w:pPr>
            <w:r>
              <w:rPr>
                <w:rFonts w:ascii="Arial" w:cs="Arial" w:eastAsia="Arial" w:hAnsi="Arial"/>
                <w:sz w:val="17"/>
                <w:szCs w:val="17"/>
                <w:color w:val="auto"/>
              </w:rPr>
              <w:t>0</w:t>
            </w:r>
          </w:p>
        </w:tc>
        <w:tc>
          <w:tcPr>
            <w:tcW w:w="0" w:type="dxa"/>
            <w:vAlign w:val="bottom"/>
          </w:tcPr>
          <w:p>
            <w:pPr>
              <w:spacing w:after="0"/>
              <w:rPr>
                <w:sz w:val="1"/>
                <w:szCs w:val="1"/>
                <w:color w:val="auto"/>
              </w:rPr>
            </w:pPr>
          </w:p>
        </w:tc>
      </w:tr>
    </w:tbl>
    <w:p>
      <w:pPr>
        <w:spacing w:after="0" w:line="210" w:lineRule="exact"/>
        <w:rPr>
          <w:sz w:val="20"/>
          <w:szCs w:val="20"/>
          <w:color w:val="auto"/>
        </w:rPr>
      </w:pPr>
    </w:p>
    <w:p>
      <w:pPr>
        <w:ind w:left="900" w:hanging="446"/>
        <w:spacing w:after="0" w:line="235" w:lineRule="auto"/>
        <w:tabs>
          <w:tab w:leader="none" w:pos="900" w:val="left"/>
        </w:tabs>
        <w:numPr>
          <w:ilvl w:val="1"/>
          <w:numId w:val="51"/>
        </w:numPr>
        <w:rPr>
          <w:rFonts w:ascii="Arial" w:cs="Arial" w:eastAsia="Arial" w:hAnsi="Arial"/>
          <w:sz w:val="15"/>
          <w:szCs w:val="15"/>
          <w:color w:val="auto"/>
        </w:rPr>
      </w:pPr>
      <w:r>
        <w:rPr>
          <w:rFonts w:ascii="Arial" w:cs="Arial" w:eastAsia="Arial" w:hAnsi="Arial"/>
          <w:sz w:val="17"/>
          <w:szCs w:val="17"/>
          <w:color w:val="auto"/>
        </w:rPr>
        <w:t>Includes shares that the individual named in the table has the right to acquire on or before May 1, 2016, through the exercise of stock options pursuant to the TimkenSteel Corporation 2014 Equity and Incentive Compensation Plan. Including those listed, all Directors, nominees for Director, and executive officers as a group have the right to acquire 387,011 shares on or before May 1, 2016, through the exercise of stock options pursuant to the TimkenSteel Corporation 2014 Equity and Incentive Compensation Plan. These shares have been treated as outstanding for the purpose of calculating the percentage of the class beneficially owned by such individual or group, but not for the purpose of calculating the percentage of the class owned by any other person.</w:t>
      </w:r>
    </w:p>
    <w:p>
      <w:pPr>
        <w:spacing w:after="0" w:line="202" w:lineRule="exact"/>
        <w:rPr>
          <w:rFonts w:ascii="Arial" w:cs="Arial" w:eastAsia="Arial" w:hAnsi="Arial"/>
          <w:sz w:val="15"/>
          <w:szCs w:val="15"/>
          <w:color w:val="auto"/>
        </w:rPr>
      </w:pPr>
    </w:p>
    <w:p>
      <w:pPr>
        <w:ind w:left="900" w:right="40" w:hanging="446"/>
        <w:spacing w:after="0" w:line="243" w:lineRule="auto"/>
        <w:tabs>
          <w:tab w:leader="none" w:pos="900" w:val="left"/>
        </w:tabs>
        <w:numPr>
          <w:ilvl w:val="1"/>
          <w:numId w:val="51"/>
        </w:numPr>
        <w:rPr>
          <w:rFonts w:ascii="Arial" w:cs="Arial" w:eastAsia="Arial" w:hAnsi="Arial"/>
          <w:sz w:val="15"/>
          <w:szCs w:val="15"/>
          <w:color w:val="auto"/>
        </w:rPr>
      </w:pPr>
      <w:r>
        <w:rPr>
          <w:rFonts w:ascii="Arial" w:cs="Arial" w:eastAsia="Arial" w:hAnsi="Arial"/>
          <w:sz w:val="17"/>
          <w:szCs w:val="17"/>
          <w:color w:val="auto"/>
        </w:rPr>
        <w:t>Awarded as annual grants under the TimkenSteel Corporation 2014 Equity and Incentive Compensation Plan, which will not be issued until a later date under the TimkenSteel Corporation Director Deferred Compensation Plan.</w:t>
      </w:r>
    </w:p>
    <w:p>
      <w:pPr>
        <w:spacing w:after="0" w:line="198" w:lineRule="exact"/>
        <w:rPr>
          <w:rFonts w:ascii="Arial" w:cs="Arial" w:eastAsia="Arial" w:hAnsi="Arial"/>
          <w:sz w:val="15"/>
          <w:szCs w:val="15"/>
          <w:color w:val="auto"/>
        </w:rPr>
      </w:pPr>
    </w:p>
    <w:p>
      <w:pPr>
        <w:ind w:left="460" w:hanging="452"/>
        <w:spacing w:after="0"/>
        <w:tabs>
          <w:tab w:leader="none" w:pos="460" w:val="left"/>
        </w:tabs>
        <w:numPr>
          <w:ilvl w:val="0"/>
          <w:numId w:val="52"/>
        </w:numPr>
        <w:rPr>
          <w:rFonts w:ascii="Arial" w:cs="Arial" w:eastAsia="Arial" w:hAnsi="Arial"/>
          <w:sz w:val="15"/>
          <w:szCs w:val="15"/>
          <w:color w:val="auto"/>
        </w:rPr>
      </w:pPr>
      <w:r>
        <w:rPr>
          <w:rFonts w:ascii="Arial" w:cs="Arial" w:eastAsia="Arial" w:hAnsi="Arial"/>
          <w:sz w:val="17"/>
          <w:szCs w:val="17"/>
          <w:color w:val="auto"/>
        </w:rPr>
        <w:t>Calculated using 44,219,713 shares as the number of common shares outstanding.</w:t>
      </w:r>
    </w:p>
    <w:p>
      <w:pPr>
        <w:spacing w:after="0" w:line="203" w:lineRule="exact"/>
        <w:rPr>
          <w:rFonts w:ascii="Arial" w:cs="Arial" w:eastAsia="Arial" w:hAnsi="Arial"/>
          <w:sz w:val="15"/>
          <w:szCs w:val="15"/>
          <w:color w:val="auto"/>
        </w:rPr>
      </w:pPr>
    </w:p>
    <w:p>
      <w:pPr>
        <w:ind w:left="460" w:hanging="452"/>
        <w:spacing w:after="0"/>
        <w:tabs>
          <w:tab w:leader="none" w:pos="460" w:val="left"/>
        </w:tabs>
        <w:numPr>
          <w:ilvl w:val="0"/>
          <w:numId w:val="52"/>
        </w:numPr>
        <w:rPr>
          <w:rFonts w:ascii="Arial" w:cs="Arial" w:eastAsia="Arial" w:hAnsi="Arial"/>
          <w:sz w:val="15"/>
          <w:szCs w:val="15"/>
          <w:color w:val="auto"/>
        </w:rPr>
      </w:pPr>
      <w:r>
        <w:rPr>
          <w:rFonts w:ascii="Arial" w:cs="Arial" w:eastAsia="Arial" w:hAnsi="Arial"/>
          <w:sz w:val="17"/>
          <w:szCs w:val="17"/>
          <w:color w:val="auto"/>
        </w:rPr>
        <w:t>Includes 265,021 shares over which Mr. Timken exercises sole voting and investment authority, 2,596,481 shares with respect to which</w:t>
      </w:r>
    </w:p>
    <w:p>
      <w:pPr>
        <w:jc w:val="both"/>
        <w:ind w:left="460" w:right="220"/>
        <w:spacing w:after="0" w:line="238" w:lineRule="auto"/>
        <w:rPr>
          <w:rFonts w:ascii="Arial" w:cs="Arial" w:eastAsia="Arial" w:hAnsi="Arial"/>
          <w:sz w:val="15"/>
          <w:szCs w:val="15"/>
          <w:color w:val="auto"/>
        </w:rPr>
      </w:pPr>
      <w:r>
        <w:rPr>
          <w:rFonts w:ascii="Arial" w:cs="Arial" w:eastAsia="Arial" w:hAnsi="Arial"/>
          <w:sz w:val="17"/>
          <w:szCs w:val="17"/>
          <w:color w:val="auto"/>
        </w:rPr>
        <w:t>Mr. Timken shares voting and investment discretion, and 352,486 shares which Mr. Timken has the right to acquire as discussed above. Of the shares reported, Mr. Timken disclaims beneficial ownership of 2,553,377 shares, including 1,405 shares held by his spouse, 3,000 shares held by the Ward J. Timken Trust FBO Grandchildren, and 2,548,972 shares held by The Timken Foundation of Canton.</w:t>
      </w:r>
    </w:p>
    <w:p>
      <w:pPr>
        <w:spacing w:after="0" w:line="145" w:lineRule="exact"/>
        <w:rPr>
          <w:sz w:val="20"/>
          <w:szCs w:val="20"/>
          <w:color w:val="auto"/>
        </w:rPr>
      </w:pPr>
    </w:p>
    <w:p>
      <w:pPr>
        <w:ind w:left="11180"/>
        <w:spacing w:after="0"/>
        <w:rPr>
          <w:sz w:val="20"/>
          <w:szCs w:val="20"/>
          <w:color w:val="auto"/>
        </w:rPr>
      </w:pPr>
      <w:r>
        <w:rPr>
          <w:rFonts w:ascii="Arial" w:cs="Arial" w:eastAsia="Arial" w:hAnsi="Arial"/>
          <w:sz w:val="14"/>
          <w:szCs w:val="14"/>
          <w:color w:val="auto"/>
        </w:rPr>
        <w:t>79</w:t>
      </w:r>
    </w:p>
    <w:p>
      <w:pPr>
        <w:sectPr>
          <w:pgSz w:w="11900" w:h="16838" w:orient="portrait"/>
          <w:cols w:equalWidth="0" w:num="1">
            <w:col w:w="11420"/>
          </w:cols>
          <w:pgMar w:left="240" w:top="459" w:right="239" w:bottom="1440" w:gutter="0" w:footer="0" w:header="0"/>
        </w:sectPr>
      </w:pPr>
    </w:p>
    <w:bookmarkStart w:id="85" w:name="page86"/>
    <w:bookmarkEnd w:id="8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228">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3109595</wp:posOffset>
            </wp:positionH>
            <wp:positionV relativeFrom="paragraph">
              <wp:posOffset>205740</wp:posOffset>
            </wp:positionV>
            <wp:extent cx="1046480" cy="205740"/>
            <wp:wrapNone/>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229">
                      <a:extLst>
                        <a:ext uri="{28A0092B-C50C-407E-A947-70E740481C1C}"/>
                      </a:extLst>
                    </a:blip>
                    <a:srcRect/>
                    <a:stretch>
                      <a:fillRect/>
                    </a:stretch>
                  </pic:blipFill>
                  <pic:spPr bwMode="auto">
                    <a:xfrm>
                      <a:off x="0" y="0"/>
                      <a:ext cx="1046480" cy="20574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70" w:lineRule="exact"/>
        <w:rPr>
          <w:sz w:val="20"/>
          <w:szCs w:val="20"/>
          <w:color w:val="auto"/>
        </w:rPr>
      </w:pPr>
    </w:p>
    <w:p>
      <w:pPr>
        <w:ind w:right="300"/>
        <w:spacing w:after="0" w:line="243" w:lineRule="auto"/>
        <w:rPr>
          <w:sz w:val="20"/>
          <w:szCs w:val="20"/>
          <w:color w:val="auto"/>
        </w:rPr>
      </w:pPr>
      <w:r>
        <w:rPr>
          <w:rFonts w:ascii="Arial" w:cs="Arial" w:eastAsia="Arial" w:hAnsi="Arial"/>
          <w:sz w:val="17"/>
          <w:szCs w:val="17"/>
          <w:color w:val="auto"/>
        </w:rPr>
        <w:t>The following table gives information known to us about each beneficial owner of more than 5% of our common shares as of March 1, 2016, unless otherwise indicated below.</w:t>
      </w:r>
    </w:p>
    <w:p>
      <w:pPr>
        <w:spacing w:after="0" w:line="219" w:lineRule="exact"/>
        <w:rPr>
          <w:sz w:val="20"/>
          <w:szCs w:val="20"/>
          <w:color w:val="auto"/>
        </w:rPr>
      </w:pPr>
    </w:p>
    <w:p>
      <w:pPr>
        <w:spacing w:after="0"/>
        <w:tabs>
          <w:tab w:leader="none" w:pos="7820" w:val="left"/>
          <w:tab w:leader="none" w:pos="9520" w:val="left"/>
        </w:tabs>
        <w:rPr>
          <w:sz w:val="20"/>
          <w:szCs w:val="20"/>
          <w:color w:val="auto"/>
        </w:rPr>
      </w:pPr>
      <w:r>
        <w:rPr>
          <w:rFonts w:ascii="Arial" w:cs="Arial" w:eastAsia="Arial" w:hAnsi="Arial"/>
          <w:sz w:val="17"/>
          <w:szCs w:val="17"/>
          <w:b w:val="1"/>
          <w:bCs w:val="1"/>
          <w:color w:val="auto"/>
        </w:rPr>
        <w:t>Beneficial Owner</w:t>
      </w:r>
      <w:r>
        <w:rPr>
          <w:sz w:val="20"/>
          <w:szCs w:val="20"/>
          <w:color w:val="auto"/>
        </w:rPr>
        <w:tab/>
      </w:r>
      <w:r>
        <w:rPr>
          <w:rFonts w:ascii="Arial" w:cs="Arial" w:eastAsia="Arial" w:hAnsi="Arial"/>
          <w:sz w:val="17"/>
          <w:szCs w:val="17"/>
          <w:b w:val="1"/>
          <w:bCs w:val="1"/>
          <w:color w:val="auto"/>
        </w:rPr>
        <w:t>Amount</w:t>
      </w:r>
      <w:r>
        <w:rPr>
          <w:sz w:val="20"/>
          <w:szCs w:val="20"/>
          <w:color w:val="auto"/>
        </w:rPr>
        <w:tab/>
      </w:r>
      <w:r>
        <w:rPr>
          <w:rFonts w:ascii="Arial" w:cs="Arial" w:eastAsia="Arial" w:hAnsi="Arial"/>
          <w:sz w:val="17"/>
          <w:szCs w:val="17"/>
          <w:b w:val="1"/>
          <w:bCs w:val="1"/>
          <w:color w:val="auto"/>
        </w:rPr>
        <w:t>Percent of Class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12700</wp:posOffset>
            </wp:positionV>
            <wp:extent cx="7246620" cy="128905"/>
            <wp:wrapNone/>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230">
                      <a:extLst>
                        <a:ext uri="{28A0092B-C50C-407E-A947-70E740481C1C}"/>
                      </a:extLst>
                    </a:blip>
                    <a:srcRect/>
                    <a:stretch>
                      <a:fillRect/>
                    </a:stretch>
                  </pic:blipFill>
                  <pic:spPr bwMode="auto">
                    <a:xfrm>
                      <a:off x="0" y="0"/>
                      <a:ext cx="7246620" cy="12890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-115570</wp:posOffset>
            </wp:positionV>
            <wp:extent cx="7246620" cy="8890"/>
            <wp:wrapNone/>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231">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00"/>
          </w:cols>
          <w:pgMar w:left="240" w:top="459" w:right="259" w:bottom="1440" w:gutter="0" w:footer="0" w:header="0"/>
        </w:sectPr>
      </w:pPr>
    </w:p>
    <w:p>
      <w:pPr>
        <w:spacing w:after="0" w:line="21" w:lineRule="exact"/>
        <w:rPr>
          <w:sz w:val="20"/>
          <w:szCs w:val="20"/>
          <w:color w:val="auto"/>
        </w:rPr>
      </w:pPr>
    </w:p>
    <w:p>
      <w:pPr>
        <w:spacing w:after="0"/>
        <w:rPr>
          <w:sz w:val="20"/>
          <w:szCs w:val="20"/>
          <w:color w:val="auto"/>
        </w:rPr>
      </w:pPr>
      <w:r>
        <w:rPr>
          <w:rFonts w:ascii="Arial" w:cs="Arial" w:eastAsia="Arial" w:hAnsi="Arial"/>
          <w:sz w:val="17"/>
          <w:szCs w:val="17"/>
          <w:color w:val="auto"/>
        </w:rPr>
        <w:t>Timken family</w:t>
      </w:r>
      <w:r>
        <w:rPr>
          <w:rFonts w:ascii="Arial" w:cs="Arial" w:eastAsia="Arial" w:hAnsi="Arial"/>
          <w:sz w:val="14"/>
          <w:szCs w:val="14"/>
          <w:color w:val="auto"/>
        </w:rPr>
        <w:t>(1)</w:t>
      </w:r>
    </w:p>
    <w:p>
      <w:pPr>
        <w:spacing w:after="0" w:line="232" w:lineRule="auto"/>
        <w:rPr>
          <w:sz w:val="20"/>
          <w:szCs w:val="20"/>
          <w:color w:val="auto"/>
        </w:rPr>
      </w:pPr>
      <w:r>
        <w:rPr>
          <w:rFonts w:ascii="Arial" w:cs="Arial" w:eastAsia="Arial" w:hAnsi="Arial"/>
          <w:sz w:val="17"/>
          <w:szCs w:val="17"/>
          <w:color w:val="auto"/>
        </w:rPr>
        <w:t>Ellwood Group, Inc.</w:t>
      </w:r>
      <w:r>
        <w:rPr>
          <w:rFonts w:ascii="Arial" w:cs="Arial" w:eastAsia="Arial" w:hAnsi="Arial"/>
          <w:sz w:val="14"/>
          <w:szCs w:val="14"/>
          <w:color w:val="auto"/>
        </w:rPr>
        <w:t>(2)</w:t>
      </w:r>
    </w:p>
    <w:p>
      <w:pPr>
        <w:spacing w:after="0" w:line="232" w:lineRule="auto"/>
        <w:rPr>
          <w:sz w:val="20"/>
          <w:szCs w:val="20"/>
          <w:color w:val="auto"/>
        </w:rPr>
      </w:pPr>
      <w:r>
        <w:rPr>
          <w:rFonts w:ascii="Arial" w:cs="Arial" w:eastAsia="Arial" w:hAnsi="Arial"/>
          <w:sz w:val="17"/>
          <w:szCs w:val="17"/>
          <w:color w:val="auto"/>
        </w:rPr>
        <w:t>1105 N. Market Street</w:t>
      </w:r>
    </w:p>
    <w:p>
      <w:pPr>
        <w:spacing w:after="0" w:line="232" w:lineRule="auto"/>
        <w:rPr>
          <w:sz w:val="20"/>
          <w:szCs w:val="20"/>
          <w:color w:val="auto"/>
        </w:rPr>
      </w:pPr>
      <w:r>
        <w:rPr>
          <w:rFonts w:ascii="Arial" w:cs="Arial" w:eastAsia="Arial" w:hAnsi="Arial"/>
          <w:sz w:val="17"/>
          <w:szCs w:val="17"/>
          <w:color w:val="auto"/>
        </w:rPr>
        <w:t>P.O. Box 8985, Suite 1300</w:t>
      </w:r>
    </w:p>
    <w:p>
      <w:pPr>
        <w:spacing w:after="0"/>
        <w:rPr>
          <w:sz w:val="20"/>
          <w:szCs w:val="20"/>
          <w:color w:val="auto"/>
        </w:rPr>
      </w:pPr>
      <w:r>
        <w:rPr>
          <w:rFonts w:ascii="Arial" w:cs="Arial" w:eastAsia="Arial" w:hAnsi="Arial"/>
          <w:sz w:val="17"/>
          <w:szCs w:val="17"/>
          <w:color w:val="auto"/>
        </w:rPr>
        <w:t>Wilmington, DE 19810</w:t>
      </w:r>
    </w:p>
    <w:p>
      <w:pPr>
        <w:spacing w:after="0" w:line="1" w:lineRule="exact"/>
        <w:rPr>
          <w:sz w:val="20"/>
          <w:szCs w:val="20"/>
          <w:color w:val="auto"/>
        </w:rPr>
      </w:pPr>
    </w:p>
    <w:p>
      <w:pPr>
        <w:spacing w:after="0"/>
        <w:rPr>
          <w:sz w:val="20"/>
          <w:szCs w:val="20"/>
          <w:color w:val="auto"/>
        </w:rPr>
      </w:pPr>
      <w:r>
        <w:rPr>
          <w:rFonts w:ascii="Arial" w:cs="Arial" w:eastAsia="Arial" w:hAnsi="Arial"/>
          <w:sz w:val="17"/>
          <w:szCs w:val="17"/>
          <w:color w:val="auto"/>
        </w:rPr>
        <w:t>BlackRock Inc.</w:t>
      </w:r>
      <w:r>
        <w:rPr>
          <w:rFonts w:ascii="Arial" w:cs="Arial" w:eastAsia="Arial" w:hAnsi="Arial"/>
          <w:sz w:val="14"/>
          <w:szCs w:val="14"/>
          <w:color w:val="auto"/>
        </w:rPr>
        <w:t>(3)</w:t>
      </w:r>
    </w:p>
    <w:p>
      <w:pPr>
        <w:spacing w:after="0" w:line="232" w:lineRule="auto"/>
        <w:rPr>
          <w:sz w:val="20"/>
          <w:szCs w:val="20"/>
          <w:color w:val="auto"/>
        </w:rPr>
      </w:pPr>
      <w:r>
        <w:rPr>
          <w:rFonts w:ascii="Arial" w:cs="Arial" w:eastAsia="Arial" w:hAnsi="Arial"/>
          <w:sz w:val="17"/>
          <w:szCs w:val="17"/>
          <w:color w:val="auto"/>
        </w:rPr>
        <w:t>55 East 52nd Street</w:t>
      </w:r>
    </w:p>
    <w:p>
      <w:pPr>
        <w:spacing w:after="0"/>
        <w:rPr>
          <w:sz w:val="20"/>
          <w:szCs w:val="20"/>
          <w:color w:val="auto"/>
        </w:rPr>
      </w:pPr>
      <w:r>
        <w:rPr>
          <w:rFonts w:ascii="Arial" w:cs="Arial" w:eastAsia="Arial" w:hAnsi="Arial"/>
          <w:sz w:val="17"/>
          <w:szCs w:val="17"/>
          <w:color w:val="auto"/>
        </w:rPr>
        <w:t>New York, NY 10022</w:t>
      </w:r>
    </w:p>
    <w:p>
      <w:pPr>
        <w:spacing w:after="0" w:line="1" w:lineRule="exact"/>
        <w:rPr>
          <w:sz w:val="20"/>
          <w:szCs w:val="20"/>
          <w:color w:val="auto"/>
        </w:rPr>
      </w:pPr>
    </w:p>
    <w:p>
      <w:pPr>
        <w:spacing w:after="0"/>
        <w:rPr>
          <w:sz w:val="20"/>
          <w:szCs w:val="20"/>
          <w:color w:val="auto"/>
        </w:rPr>
      </w:pPr>
      <w:r>
        <w:rPr>
          <w:rFonts w:ascii="Arial" w:cs="Arial" w:eastAsia="Arial" w:hAnsi="Arial"/>
          <w:sz w:val="17"/>
          <w:szCs w:val="17"/>
          <w:color w:val="auto"/>
        </w:rPr>
        <w:t>Shapiro Capital Management LLC</w:t>
      </w:r>
      <w:r>
        <w:rPr>
          <w:rFonts w:ascii="Arial" w:cs="Arial" w:eastAsia="Arial" w:hAnsi="Arial"/>
          <w:sz w:val="14"/>
          <w:szCs w:val="14"/>
          <w:color w:val="auto"/>
        </w:rPr>
        <w:t>(4)</w:t>
      </w:r>
    </w:p>
    <w:p>
      <w:pPr>
        <w:spacing w:after="0" w:line="232" w:lineRule="auto"/>
        <w:rPr>
          <w:sz w:val="20"/>
          <w:szCs w:val="20"/>
          <w:color w:val="auto"/>
        </w:rPr>
      </w:pPr>
      <w:r>
        <w:rPr>
          <w:rFonts w:ascii="Arial" w:cs="Arial" w:eastAsia="Arial" w:hAnsi="Arial"/>
          <w:sz w:val="17"/>
          <w:szCs w:val="17"/>
          <w:color w:val="auto"/>
        </w:rPr>
        <w:t>3060 Peachtree Road</w:t>
      </w:r>
    </w:p>
    <w:p>
      <w:pPr>
        <w:spacing w:after="0" w:line="232" w:lineRule="auto"/>
        <w:rPr>
          <w:sz w:val="20"/>
          <w:szCs w:val="20"/>
          <w:color w:val="auto"/>
        </w:rPr>
      </w:pPr>
      <w:r>
        <w:rPr>
          <w:rFonts w:ascii="Arial" w:cs="Arial" w:eastAsia="Arial" w:hAnsi="Arial"/>
          <w:sz w:val="17"/>
          <w:szCs w:val="17"/>
          <w:color w:val="auto"/>
        </w:rPr>
        <w:t>Suite 1555 N.W.</w:t>
      </w:r>
    </w:p>
    <w:p>
      <w:pPr>
        <w:spacing w:after="0"/>
        <w:rPr>
          <w:sz w:val="20"/>
          <w:szCs w:val="20"/>
          <w:color w:val="auto"/>
        </w:rPr>
      </w:pPr>
      <w:r>
        <w:rPr>
          <w:rFonts w:ascii="Arial" w:cs="Arial" w:eastAsia="Arial" w:hAnsi="Arial"/>
          <w:sz w:val="17"/>
          <w:szCs w:val="17"/>
          <w:color w:val="auto"/>
        </w:rPr>
        <w:t>Atlanta, GA 30305</w:t>
      </w:r>
    </w:p>
    <w:p>
      <w:pPr>
        <w:spacing w:after="0" w:line="1" w:lineRule="exact"/>
        <w:rPr>
          <w:sz w:val="20"/>
          <w:szCs w:val="20"/>
          <w:color w:val="auto"/>
        </w:rPr>
      </w:pPr>
    </w:p>
    <w:p>
      <w:pPr>
        <w:spacing w:after="0"/>
        <w:rPr>
          <w:sz w:val="20"/>
          <w:szCs w:val="20"/>
          <w:color w:val="auto"/>
        </w:rPr>
      </w:pPr>
      <w:r>
        <w:rPr>
          <w:rFonts w:ascii="Arial" w:cs="Arial" w:eastAsia="Arial" w:hAnsi="Arial"/>
          <w:sz w:val="17"/>
          <w:szCs w:val="17"/>
          <w:color w:val="auto"/>
        </w:rPr>
        <w:t>The Vanguard Group Inc.</w:t>
      </w:r>
      <w:r>
        <w:rPr>
          <w:rFonts w:ascii="Arial" w:cs="Arial" w:eastAsia="Arial" w:hAnsi="Arial"/>
          <w:sz w:val="14"/>
          <w:szCs w:val="14"/>
          <w:color w:val="auto"/>
        </w:rPr>
        <w:t>(5)</w:t>
      </w:r>
    </w:p>
    <w:p>
      <w:pPr>
        <w:spacing w:after="0" w:line="232" w:lineRule="auto"/>
        <w:rPr>
          <w:sz w:val="20"/>
          <w:szCs w:val="20"/>
          <w:color w:val="auto"/>
        </w:rPr>
      </w:pPr>
      <w:r>
        <w:rPr>
          <w:rFonts w:ascii="Arial" w:cs="Arial" w:eastAsia="Arial" w:hAnsi="Arial"/>
          <w:sz w:val="17"/>
          <w:szCs w:val="17"/>
          <w:color w:val="auto"/>
        </w:rPr>
        <w:t>100 Vanguard Blvd.</w:t>
      </w:r>
    </w:p>
    <w:p>
      <w:pPr>
        <w:spacing w:after="0"/>
        <w:rPr>
          <w:sz w:val="20"/>
          <w:szCs w:val="20"/>
          <w:color w:val="auto"/>
        </w:rPr>
      </w:pPr>
      <w:r>
        <w:rPr>
          <w:rFonts w:ascii="Arial" w:cs="Arial" w:eastAsia="Arial" w:hAnsi="Arial"/>
          <w:sz w:val="17"/>
          <w:szCs w:val="17"/>
          <w:color w:val="auto"/>
        </w:rPr>
        <w:t>Malvern, PA 19355</w:t>
      </w:r>
    </w:p>
    <w:p>
      <w:pPr>
        <w:spacing w:after="0" w:line="20" w:lineRule="exact"/>
        <w:rPr>
          <w:sz w:val="20"/>
          <w:szCs w:val="20"/>
          <w:color w:val="auto"/>
        </w:rPr>
      </w:pPr>
      <w:r>
        <w:rPr>
          <w:sz w:val="20"/>
          <w:szCs w:val="20"/>
          <w:color w:val="auto"/>
        </w:rPr>
        <w:br w:type="column"/>
      </w:r>
    </w:p>
    <w:p>
      <w:pPr>
        <w:spacing w:after="0" w:line="7" w:lineRule="exact"/>
        <w:rPr>
          <w:sz w:val="20"/>
          <w:szCs w:val="20"/>
          <w:color w:val="auto"/>
        </w:rPr>
      </w:pPr>
    </w:p>
    <w:p>
      <w:pPr>
        <w:spacing w:after="0"/>
        <w:tabs>
          <w:tab w:leader="none" w:pos="2700" w:val="left"/>
        </w:tabs>
        <w:rPr>
          <w:sz w:val="20"/>
          <w:szCs w:val="20"/>
          <w:color w:val="auto"/>
        </w:rPr>
      </w:pPr>
      <w:r>
        <w:rPr>
          <w:rFonts w:ascii="Arial" w:cs="Arial" w:eastAsia="Arial" w:hAnsi="Arial"/>
          <w:sz w:val="17"/>
          <w:szCs w:val="17"/>
          <w:color w:val="auto"/>
        </w:rPr>
        <w:t>5,150,879</w:t>
      </w:r>
      <w:r>
        <w:rPr>
          <w:sz w:val="20"/>
          <w:szCs w:val="20"/>
          <w:color w:val="auto"/>
        </w:rPr>
        <w:tab/>
      </w:r>
      <w:r>
        <w:rPr>
          <w:rFonts w:ascii="Arial" w:cs="Arial" w:eastAsia="Arial" w:hAnsi="Arial"/>
          <w:sz w:val="17"/>
          <w:szCs w:val="17"/>
          <w:color w:val="auto"/>
        </w:rPr>
        <w:t>11.7%</w:t>
      </w:r>
    </w:p>
    <w:p>
      <w:pPr>
        <w:spacing w:after="0" w:line="200" w:lineRule="exact"/>
        <w:rPr>
          <w:sz w:val="20"/>
          <w:szCs w:val="20"/>
          <w:color w:val="auto"/>
        </w:rPr>
      </w:pPr>
    </w:p>
    <w:p>
      <w:pPr>
        <w:spacing w:after="0" w:line="374" w:lineRule="exact"/>
        <w:rPr>
          <w:sz w:val="20"/>
          <w:szCs w:val="20"/>
          <w:color w:val="auto"/>
        </w:rPr>
      </w:pPr>
    </w:p>
    <w:p>
      <w:pPr>
        <w:spacing w:after="0"/>
        <w:tabs>
          <w:tab w:leader="none" w:pos="2800" w:val="left"/>
        </w:tabs>
        <w:rPr>
          <w:sz w:val="20"/>
          <w:szCs w:val="20"/>
          <w:color w:val="auto"/>
        </w:rPr>
      </w:pPr>
      <w:r>
        <w:rPr>
          <w:rFonts w:ascii="Arial" w:cs="Arial" w:eastAsia="Arial" w:hAnsi="Arial"/>
          <w:sz w:val="17"/>
          <w:szCs w:val="17"/>
          <w:color w:val="auto"/>
        </w:rPr>
        <w:t>4,285,026</w:t>
      </w:r>
      <w:r>
        <w:rPr>
          <w:sz w:val="20"/>
          <w:szCs w:val="20"/>
          <w:color w:val="auto"/>
        </w:rPr>
        <w:tab/>
      </w:r>
      <w:r>
        <w:rPr>
          <w:rFonts w:ascii="Arial" w:cs="Arial" w:eastAsia="Arial" w:hAnsi="Arial"/>
          <w:sz w:val="17"/>
          <w:szCs w:val="17"/>
          <w:color w:val="auto"/>
        </w:rPr>
        <w:t>9.7%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-4959985</wp:posOffset>
            </wp:positionH>
            <wp:positionV relativeFrom="paragraph">
              <wp:posOffset>0</wp:posOffset>
            </wp:positionV>
            <wp:extent cx="7246620" cy="368935"/>
            <wp:wrapNone/>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232">
                      <a:extLst>
                        <a:ext uri="{28A0092B-C50C-407E-A947-70E740481C1C}"/>
                      </a:extLst>
                    </a:blip>
                    <a:srcRect/>
                    <a:stretch>
                      <a:fillRect/>
                    </a:stretch>
                  </pic:blipFill>
                  <pic:spPr bwMode="auto">
                    <a:xfrm>
                      <a:off x="0" y="0"/>
                      <a:ext cx="7246620" cy="368935"/>
                    </a:xfrm>
                    <a:prstGeom prst="rect">
                      <a:avLst/>
                    </a:prstGeom>
                    <a:noFill/>
                  </pic:spPr>
                </pic:pic>
              </a:graphicData>
            </a:graphic>
          </wp:anchor>
        </w:drawing>
      </w:r>
    </w:p>
    <w:p>
      <w:pPr>
        <w:spacing w:after="0" w:line="365" w:lineRule="exact"/>
        <w:rPr>
          <w:sz w:val="20"/>
          <w:szCs w:val="20"/>
          <w:color w:val="auto"/>
        </w:rPr>
      </w:pPr>
    </w:p>
    <w:p>
      <w:pPr>
        <w:spacing w:after="0"/>
        <w:tabs>
          <w:tab w:leader="none" w:pos="2800" w:val="left"/>
        </w:tabs>
        <w:rPr>
          <w:sz w:val="20"/>
          <w:szCs w:val="20"/>
          <w:color w:val="auto"/>
        </w:rPr>
      </w:pPr>
      <w:r>
        <w:rPr>
          <w:rFonts w:ascii="Arial" w:cs="Arial" w:eastAsia="Arial" w:hAnsi="Arial"/>
          <w:sz w:val="17"/>
          <w:szCs w:val="17"/>
          <w:color w:val="auto"/>
        </w:rPr>
        <w:t>3,776,447</w:t>
      </w:r>
      <w:r>
        <w:rPr>
          <w:sz w:val="20"/>
          <w:szCs w:val="20"/>
          <w:color w:val="auto"/>
        </w:rPr>
        <w:tab/>
      </w:r>
      <w:r>
        <w:rPr>
          <w:rFonts w:ascii="Arial" w:cs="Arial" w:eastAsia="Arial" w:hAnsi="Arial"/>
          <w:sz w:val="17"/>
          <w:szCs w:val="17"/>
          <w:color w:val="auto"/>
        </w:rPr>
        <w:t>8.5%</w:t>
      </w:r>
    </w:p>
    <w:p>
      <w:pPr>
        <w:spacing w:after="0" w:line="200" w:lineRule="exact"/>
        <w:rPr>
          <w:sz w:val="20"/>
          <w:szCs w:val="20"/>
          <w:color w:val="auto"/>
        </w:rPr>
      </w:pPr>
    </w:p>
    <w:p>
      <w:pPr>
        <w:spacing w:after="0" w:line="374" w:lineRule="exact"/>
        <w:rPr>
          <w:sz w:val="20"/>
          <w:szCs w:val="20"/>
          <w:color w:val="auto"/>
        </w:rPr>
      </w:pPr>
    </w:p>
    <w:p>
      <w:pPr>
        <w:spacing w:after="0"/>
        <w:tabs>
          <w:tab w:leader="none" w:pos="2800" w:val="left"/>
        </w:tabs>
        <w:rPr>
          <w:sz w:val="20"/>
          <w:szCs w:val="20"/>
          <w:color w:val="auto"/>
        </w:rPr>
      </w:pPr>
      <w:r>
        <w:rPr>
          <w:rFonts w:ascii="Arial" w:cs="Arial" w:eastAsia="Arial" w:hAnsi="Arial"/>
          <w:sz w:val="17"/>
          <w:szCs w:val="17"/>
          <w:color w:val="auto"/>
        </w:rPr>
        <w:t>3,223,913</w:t>
      </w:r>
      <w:r>
        <w:rPr>
          <w:sz w:val="20"/>
          <w:szCs w:val="20"/>
          <w:color w:val="auto"/>
        </w:rPr>
        <w:tab/>
      </w:r>
      <w:r>
        <w:rPr>
          <w:rFonts w:ascii="Arial" w:cs="Arial" w:eastAsia="Arial" w:hAnsi="Arial"/>
          <w:sz w:val="17"/>
          <w:szCs w:val="17"/>
          <w:color w:val="auto"/>
        </w:rPr>
        <w:t>7.3%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-4959985</wp:posOffset>
            </wp:positionH>
            <wp:positionV relativeFrom="paragraph">
              <wp:posOffset>0</wp:posOffset>
            </wp:positionV>
            <wp:extent cx="7246620" cy="368935"/>
            <wp:wrapNone/>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233">
                      <a:extLst>
                        <a:ext uri="{28A0092B-C50C-407E-A947-70E740481C1C}"/>
                      </a:extLst>
                    </a:blip>
                    <a:srcRect/>
                    <a:stretch>
                      <a:fillRect/>
                    </a:stretch>
                  </pic:blipFill>
                  <pic:spPr bwMode="auto">
                    <a:xfrm>
                      <a:off x="0" y="0"/>
                      <a:ext cx="7246620" cy="368935"/>
                    </a:xfrm>
                    <a:prstGeom prst="rect">
                      <a:avLst/>
                    </a:prstGeom>
                    <a:noFill/>
                  </pic:spPr>
                </pic:pic>
              </a:graphicData>
            </a:graphic>
          </wp:anchor>
        </w:drawing>
      </w:r>
    </w:p>
    <w:p>
      <w:pPr>
        <w:spacing w:after="0" w:line="365" w:lineRule="exact"/>
        <w:rPr>
          <w:sz w:val="20"/>
          <w:szCs w:val="20"/>
          <w:color w:val="auto"/>
        </w:rPr>
      </w:pPr>
    </w:p>
    <w:p>
      <w:pPr>
        <w:spacing w:after="0"/>
        <w:tabs>
          <w:tab w:leader="none" w:pos="2800" w:val="left"/>
        </w:tabs>
        <w:rPr>
          <w:sz w:val="20"/>
          <w:szCs w:val="20"/>
          <w:color w:val="auto"/>
        </w:rPr>
      </w:pPr>
      <w:r>
        <w:rPr>
          <w:rFonts w:ascii="Arial" w:cs="Arial" w:eastAsia="Arial" w:hAnsi="Arial"/>
          <w:sz w:val="17"/>
          <w:szCs w:val="17"/>
          <w:color w:val="auto"/>
        </w:rPr>
        <w:t>2,451,040</w:t>
      </w:r>
      <w:r>
        <w:rPr>
          <w:sz w:val="20"/>
          <w:szCs w:val="20"/>
          <w:color w:val="auto"/>
        </w:rPr>
        <w:tab/>
      </w:r>
      <w:r>
        <w:rPr>
          <w:rFonts w:ascii="Arial" w:cs="Arial" w:eastAsia="Arial" w:hAnsi="Arial"/>
          <w:sz w:val="17"/>
          <w:szCs w:val="17"/>
          <w:color w:val="auto"/>
        </w:rPr>
        <w:t>5.5%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-4959985</wp:posOffset>
            </wp:positionH>
            <wp:positionV relativeFrom="paragraph">
              <wp:posOffset>0</wp:posOffset>
            </wp:positionV>
            <wp:extent cx="7246620" cy="8890"/>
            <wp:wrapNone/>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234">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200" w:lineRule="exact"/>
        <w:rPr>
          <w:sz w:val="20"/>
          <w:szCs w:val="20"/>
          <w:color w:val="auto"/>
        </w:rPr>
      </w:pPr>
    </w:p>
    <w:p>
      <w:pPr>
        <w:sectPr>
          <w:pgSz w:w="11900" w:h="16838" w:orient="portrait"/>
          <w:cols w:equalWidth="0" w:num="2">
            <w:col w:w="7100" w:space="720"/>
            <w:col w:w="3580"/>
          </w:cols>
          <w:pgMar w:left="240" w:top="459" w:right="259" w:bottom="1440" w:gutter="0" w:footer="0" w:header="0"/>
          <w:type w:val="continuous"/>
        </w:sectPr>
      </w:pPr>
    </w:p>
    <w:p>
      <w:pPr>
        <w:spacing w:after="0" w:line="23" w:lineRule="exact"/>
        <w:rPr>
          <w:sz w:val="20"/>
          <w:szCs w:val="20"/>
          <w:color w:val="auto"/>
        </w:rPr>
      </w:pPr>
    </w:p>
    <w:p>
      <w:pPr>
        <w:ind w:left="460" w:right="20" w:hanging="452"/>
        <w:spacing w:after="0" w:line="235" w:lineRule="auto"/>
        <w:tabs>
          <w:tab w:leader="none" w:pos="460" w:val="left"/>
        </w:tabs>
        <w:numPr>
          <w:ilvl w:val="0"/>
          <w:numId w:val="53"/>
        </w:numPr>
        <w:rPr>
          <w:rFonts w:ascii="Arial" w:cs="Arial" w:eastAsia="Arial" w:hAnsi="Arial"/>
          <w:sz w:val="15"/>
          <w:szCs w:val="15"/>
          <w:color w:val="auto"/>
        </w:rPr>
      </w:pPr>
      <w:r>
        <w:rPr>
          <w:rFonts w:ascii="Arial" w:cs="Arial" w:eastAsia="Arial" w:hAnsi="Arial"/>
          <w:sz w:val="17"/>
          <w:szCs w:val="17"/>
          <w:color w:val="auto"/>
        </w:rPr>
        <w:t>Members of the Timken family, including Ward J. Timken, Jr., have in the aggregate sole or shared voting and dispositive power with respect to 5,150,879 of our common shares, which includes 352,486 shares that Ward J. Timken, Jr. has the right to acquire on or before May 1, 2016. The Timken Foundation of Canton (the “Foundation”), 200 Market Avenue North, Suite 210, Canton, Ohio 44702, holds 2,548,972 of these shares, representing 5.8% of our outstanding common shares. Ward J. Timken, Joy A. Timken, Ward J. Timken, Jr., William R. Timken, Jr. and James M. Gresh are trustees of the Foundation and share the voting and investment power with respect to such shares.</w:t>
      </w:r>
    </w:p>
    <w:p>
      <w:pPr>
        <w:spacing w:after="0" w:line="204" w:lineRule="exact"/>
        <w:rPr>
          <w:rFonts w:ascii="Arial" w:cs="Arial" w:eastAsia="Arial" w:hAnsi="Arial"/>
          <w:sz w:val="15"/>
          <w:szCs w:val="15"/>
          <w:color w:val="auto"/>
        </w:rPr>
      </w:pPr>
    </w:p>
    <w:p>
      <w:pPr>
        <w:ind w:left="460" w:right="40"/>
        <w:spacing w:after="0" w:line="236" w:lineRule="auto"/>
        <w:rPr>
          <w:rFonts w:ascii="Arial" w:cs="Arial" w:eastAsia="Arial" w:hAnsi="Arial"/>
          <w:sz w:val="15"/>
          <w:szCs w:val="15"/>
          <w:color w:val="auto"/>
        </w:rPr>
      </w:pPr>
      <w:r>
        <w:rPr>
          <w:rFonts w:ascii="Arial" w:cs="Arial" w:eastAsia="Arial" w:hAnsi="Arial"/>
          <w:sz w:val="17"/>
          <w:szCs w:val="17"/>
          <w:color w:val="auto"/>
        </w:rPr>
        <w:t>There are no voting agreements or other arrangements among the members of the Timken family or the Foundation and its Trustees, regarding the 5,150,879 common shares and, accordingly, the members of the Timken family are not a “group” for purposes of Rule 13d-3 under the Exchange Act with respect to such shares. Accordingly, each member of the Timken family disclaims beneficial ownership of any of our common shares as to which such member does not have sole or shared voting or investment power.</w:t>
      </w:r>
    </w:p>
    <w:p>
      <w:pPr>
        <w:spacing w:after="0" w:line="203" w:lineRule="exact"/>
        <w:rPr>
          <w:rFonts w:ascii="Arial" w:cs="Arial" w:eastAsia="Arial" w:hAnsi="Arial"/>
          <w:sz w:val="15"/>
          <w:szCs w:val="15"/>
          <w:color w:val="auto"/>
        </w:rPr>
      </w:pPr>
    </w:p>
    <w:p>
      <w:pPr>
        <w:ind w:left="460" w:right="60" w:hanging="452"/>
        <w:spacing w:after="0" w:line="238" w:lineRule="auto"/>
        <w:tabs>
          <w:tab w:leader="none" w:pos="460" w:val="left"/>
        </w:tabs>
        <w:numPr>
          <w:ilvl w:val="0"/>
          <w:numId w:val="53"/>
        </w:numPr>
        <w:rPr>
          <w:rFonts w:ascii="Arial" w:cs="Arial" w:eastAsia="Arial" w:hAnsi="Arial"/>
          <w:sz w:val="15"/>
          <w:szCs w:val="15"/>
          <w:color w:val="auto"/>
        </w:rPr>
      </w:pPr>
      <w:r>
        <w:rPr>
          <w:rFonts w:ascii="Arial" w:cs="Arial" w:eastAsia="Arial" w:hAnsi="Arial"/>
          <w:sz w:val="17"/>
          <w:szCs w:val="17"/>
          <w:color w:val="auto"/>
        </w:rPr>
        <w:t>Pursuant to a Schedule 13D/A filed with the SEC on January 5, 2016, the Ellwood Group, Inc. and its wholly-owned subsidiary, Ellwood Group Investment Corp., reported that it is the beneficial owner of, and has sole voting and dispositive power with respect to, 4,285,026 of our common shares.</w:t>
      </w:r>
    </w:p>
    <w:p>
      <w:pPr>
        <w:spacing w:after="0" w:line="201" w:lineRule="exact"/>
        <w:rPr>
          <w:rFonts w:ascii="Arial" w:cs="Arial" w:eastAsia="Arial" w:hAnsi="Arial"/>
          <w:sz w:val="15"/>
          <w:szCs w:val="15"/>
          <w:color w:val="auto"/>
        </w:rPr>
      </w:pPr>
    </w:p>
    <w:p>
      <w:pPr>
        <w:ind w:left="460" w:hanging="452"/>
        <w:spacing w:after="0" w:line="238" w:lineRule="auto"/>
        <w:tabs>
          <w:tab w:leader="none" w:pos="460" w:val="left"/>
        </w:tabs>
        <w:numPr>
          <w:ilvl w:val="0"/>
          <w:numId w:val="53"/>
        </w:numPr>
        <w:rPr>
          <w:rFonts w:ascii="Arial" w:cs="Arial" w:eastAsia="Arial" w:hAnsi="Arial"/>
          <w:sz w:val="15"/>
          <w:szCs w:val="15"/>
          <w:color w:val="auto"/>
        </w:rPr>
      </w:pPr>
      <w:r>
        <w:rPr>
          <w:rFonts w:ascii="Arial" w:cs="Arial" w:eastAsia="Arial" w:hAnsi="Arial"/>
          <w:sz w:val="17"/>
          <w:szCs w:val="17"/>
          <w:color w:val="auto"/>
        </w:rPr>
        <w:t>Pursuant to a Schedule 13G filed with the SEC on January 27, 2016, BlackRock Inc. reported that it is the beneficial owner of, and has sole dispositive power over, 3,776,447 of our common shares, with respect to which it has sole voting power over 3,690,395 shares and shared voting power over no shares.</w:t>
      </w:r>
    </w:p>
    <w:p>
      <w:pPr>
        <w:spacing w:after="0" w:line="201" w:lineRule="exact"/>
        <w:rPr>
          <w:rFonts w:ascii="Arial" w:cs="Arial" w:eastAsia="Arial" w:hAnsi="Arial"/>
          <w:sz w:val="15"/>
          <w:szCs w:val="15"/>
          <w:color w:val="auto"/>
        </w:rPr>
      </w:pPr>
    </w:p>
    <w:p>
      <w:pPr>
        <w:jc w:val="both"/>
        <w:ind w:left="460" w:hanging="452"/>
        <w:spacing w:after="0" w:line="236" w:lineRule="auto"/>
        <w:tabs>
          <w:tab w:leader="none" w:pos="460" w:val="left"/>
        </w:tabs>
        <w:numPr>
          <w:ilvl w:val="0"/>
          <w:numId w:val="53"/>
        </w:numPr>
        <w:rPr>
          <w:rFonts w:ascii="Arial" w:cs="Arial" w:eastAsia="Arial" w:hAnsi="Arial"/>
          <w:sz w:val="15"/>
          <w:szCs w:val="15"/>
          <w:color w:val="auto"/>
        </w:rPr>
      </w:pPr>
      <w:r>
        <w:rPr>
          <w:rFonts w:ascii="Arial" w:cs="Arial" w:eastAsia="Arial" w:hAnsi="Arial"/>
          <w:sz w:val="17"/>
          <w:szCs w:val="17"/>
          <w:color w:val="auto"/>
        </w:rPr>
        <w:t>Pursuant to a Schedule 13G filed with the SEC on February 12, 2016, Shapiro Capital Management LLC reported, on behalf of itself and Samuel R. Shapiro, the chairman, a director and majority shareholder of Shapiro Capital Management LLC, that it is the beneficial owner of, and has sole dispositive power over, 3,223,913 of our common shares, with respect to which it has sole voting power over 2,816,063 shares and shared voting power over 407,850 shares.</w:t>
      </w:r>
    </w:p>
    <w:p>
      <w:pPr>
        <w:spacing w:after="0" w:line="147" w:lineRule="exact"/>
        <w:rPr>
          <w:sz w:val="20"/>
          <w:szCs w:val="20"/>
          <w:color w:val="auto"/>
        </w:rPr>
      </w:pPr>
    </w:p>
    <w:p>
      <w:pPr>
        <w:spacing w:after="0"/>
        <w:rPr>
          <w:sz w:val="20"/>
          <w:szCs w:val="20"/>
          <w:color w:val="auto"/>
        </w:rPr>
      </w:pPr>
      <w:r>
        <w:rPr>
          <w:rFonts w:ascii="Arial" w:cs="Arial" w:eastAsia="Arial" w:hAnsi="Arial"/>
          <w:sz w:val="14"/>
          <w:szCs w:val="14"/>
          <w:color w:val="auto"/>
        </w:rPr>
        <w:t>80</w:t>
      </w:r>
    </w:p>
    <w:p>
      <w:pPr>
        <w:sectPr>
          <w:pgSz w:w="11900" w:h="16838" w:orient="portrait"/>
          <w:cols w:equalWidth="0" w:num="1">
            <w:col w:w="11400"/>
          </w:cols>
          <w:pgMar w:left="240" w:top="459" w:right="259" w:bottom="1440" w:gutter="0" w:footer="0" w:header="0"/>
          <w:type w:val="continuous"/>
        </w:sectPr>
      </w:pPr>
    </w:p>
    <w:bookmarkStart w:id="86" w:name="page87"/>
    <w:bookmarkEnd w:id="8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235">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2715260</wp:posOffset>
            </wp:positionH>
            <wp:positionV relativeFrom="paragraph">
              <wp:posOffset>205740</wp:posOffset>
            </wp:positionV>
            <wp:extent cx="1826895" cy="205740"/>
            <wp:wrapNone/>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236">
                      <a:extLst>
                        <a:ext uri="{28A0092B-C50C-407E-A947-70E740481C1C}"/>
                      </a:extLst>
                    </a:blip>
                    <a:srcRect/>
                    <a:stretch>
                      <a:fillRect/>
                    </a:stretch>
                  </pic:blipFill>
                  <pic:spPr bwMode="auto">
                    <a:xfrm>
                      <a:off x="0" y="0"/>
                      <a:ext cx="1826895" cy="20574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7" w:lineRule="exact"/>
        <w:rPr>
          <w:sz w:val="20"/>
          <w:szCs w:val="20"/>
          <w:color w:val="auto"/>
        </w:rPr>
      </w:pPr>
    </w:p>
    <w:p>
      <w:pPr>
        <w:ind w:left="460" w:right="260" w:hanging="452"/>
        <w:spacing w:after="0" w:line="238" w:lineRule="auto"/>
        <w:tabs>
          <w:tab w:leader="none" w:pos="460" w:val="left"/>
        </w:tabs>
        <w:numPr>
          <w:ilvl w:val="0"/>
          <w:numId w:val="54"/>
        </w:numPr>
        <w:rPr>
          <w:rFonts w:ascii="Arial" w:cs="Arial" w:eastAsia="Arial" w:hAnsi="Arial"/>
          <w:sz w:val="15"/>
          <w:szCs w:val="15"/>
          <w:color w:val="auto"/>
        </w:rPr>
      </w:pPr>
      <w:r>
        <w:rPr>
          <w:rFonts w:ascii="Arial" w:cs="Arial" w:eastAsia="Arial" w:hAnsi="Arial"/>
          <w:sz w:val="17"/>
          <w:szCs w:val="17"/>
          <w:color w:val="auto"/>
        </w:rPr>
        <w:t>Pursuant to a Schedule 13G filed with the SEC on February 10, 2016, The Vanguard Group Inc. reported that it is the beneficial owner of 2,451,040 of our common shares, with respect to which it has sole voting power over 49,374 shares, shared voting power over 1,600 shares, sole dispositive power over 2,402,816 shares and shared dispositive power over 48,224 shares.</w:t>
      </w:r>
    </w:p>
    <w:p>
      <w:pPr>
        <w:spacing w:after="0" w:line="145" w:lineRule="exact"/>
        <w:rPr>
          <w:sz w:val="20"/>
          <w:szCs w:val="20"/>
          <w:color w:val="auto"/>
        </w:rPr>
      </w:pPr>
    </w:p>
    <w:p>
      <w:pPr>
        <w:jc w:val="right"/>
        <w:spacing w:after="0"/>
        <w:rPr>
          <w:sz w:val="20"/>
          <w:szCs w:val="20"/>
          <w:color w:val="auto"/>
        </w:rPr>
      </w:pPr>
      <w:r>
        <w:rPr>
          <w:rFonts w:ascii="Arial" w:cs="Arial" w:eastAsia="Arial" w:hAnsi="Arial"/>
          <w:sz w:val="14"/>
          <w:szCs w:val="14"/>
          <w:color w:val="auto"/>
        </w:rPr>
        <w:t>81</w:t>
      </w:r>
    </w:p>
    <w:p>
      <w:pPr>
        <w:sectPr>
          <w:pgSz w:w="11900" w:h="16838" w:orient="portrait"/>
          <w:cols w:equalWidth="0" w:num="1">
            <w:col w:w="11340"/>
          </w:cols>
          <w:pgMar w:left="240" w:top="459" w:right="319" w:bottom="1440" w:gutter="0" w:footer="0" w:header="0"/>
        </w:sectPr>
      </w:pPr>
    </w:p>
    <w:bookmarkStart w:id="87" w:name="page88"/>
    <w:bookmarkEnd w:id="8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237">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3109595</wp:posOffset>
            </wp:positionH>
            <wp:positionV relativeFrom="paragraph">
              <wp:posOffset>205740</wp:posOffset>
            </wp:positionV>
            <wp:extent cx="1046480" cy="205740"/>
            <wp:wrapNone/>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238">
                      <a:extLst>
                        <a:ext uri="{28A0092B-C50C-407E-A947-70E740481C1C}"/>
                      </a:extLst>
                    </a:blip>
                    <a:srcRect/>
                    <a:stretch>
                      <a:fillRect/>
                    </a:stretch>
                  </pic:blipFill>
                  <pic:spPr bwMode="auto">
                    <a:xfrm>
                      <a:off x="0" y="0"/>
                      <a:ext cx="1046480" cy="20574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76" w:lineRule="exact"/>
        <w:rPr>
          <w:sz w:val="20"/>
          <w:szCs w:val="20"/>
          <w:color w:val="auto"/>
        </w:rPr>
      </w:pPr>
    </w:p>
    <w:p>
      <w:pPr>
        <w:spacing w:after="0"/>
        <w:rPr>
          <w:sz w:val="20"/>
          <w:szCs w:val="20"/>
          <w:color w:val="auto"/>
        </w:rPr>
      </w:pPr>
      <w:r>
        <w:rPr>
          <w:rFonts w:ascii="Arial" w:cs="Arial" w:eastAsia="Arial" w:hAnsi="Arial"/>
          <w:sz w:val="18"/>
          <w:szCs w:val="18"/>
          <w:color w:val="auto"/>
        </w:rPr>
        <w:t>SECTION 16(a) BENEFICIAL OWNERSHIP REPORTING COMPLIANCE</w:t>
      </w:r>
    </w:p>
    <w:p>
      <w:pPr>
        <w:spacing w:after="0" w:line="179" w:lineRule="exact"/>
        <w:rPr>
          <w:sz w:val="20"/>
          <w:szCs w:val="20"/>
          <w:color w:val="auto"/>
        </w:rPr>
      </w:pPr>
    </w:p>
    <w:p>
      <w:pPr>
        <w:spacing w:after="0" w:line="238" w:lineRule="auto"/>
        <w:rPr>
          <w:sz w:val="20"/>
          <w:szCs w:val="20"/>
          <w:color w:val="auto"/>
        </w:rPr>
      </w:pPr>
      <w:r>
        <w:rPr>
          <w:rFonts w:ascii="Arial" w:cs="Arial" w:eastAsia="Arial" w:hAnsi="Arial"/>
          <w:sz w:val="17"/>
          <w:szCs w:val="17"/>
          <w:color w:val="auto"/>
        </w:rPr>
        <w:t>Section 16(a) of the Exchange Act requires our executive officers and Directors, and persons who own more than 10% of our common shares, to file reports of ownership and changes in ownership with the SEC and the New York Stock Exchange, and to provide us with copies of such reports. We are required to disclose any failure by any of the above-mentioned persons to file timely Section 16 reports.</w:t>
      </w:r>
    </w:p>
    <w:p>
      <w:pPr>
        <w:spacing w:after="0" w:line="161" w:lineRule="exact"/>
        <w:rPr>
          <w:sz w:val="20"/>
          <w:szCs w:val="20"/>
          <w:color w:val="auto"/>
        </w:rPr>
      </w:pPr>
    </w:p>
    <w:p>
      <w:pPr>
        <w:ind w:right="20"/>
        <w:spacing w:after="0" w:line="235" w:lineRule="auto"/>
        <w:rPr>
          <w:sz w:val="20"/>
          <w:szCs w:val="20"/>
          <w:color w:val="auto"/>
        </w:rPr>
      </w:pPr>
      <w:r>
        <w:rPr>
          <w:rFonts w:ascii="Arial" w:cs="Arial" w:eastAsia="Arial" w:hAnsi="Arial"/>
          <w:sz w:val="17"/>
          <w:szCs w:val="17"/>
          <w:color w:val="auto"/>
        </w:rPr>
        <w:t>During the 2015 fiscal year, one transaction was not reported on a timely basis for Mr. Misheff, resulting in one late Form 4 filing; and two transactions were not reported on a timely basis for Mr. Carrabba, resulting in two late Form 4 filings. Additionally, during the 2015 fiscal year we discovered that during the 2014 fiscal year two transactions were not reported on a timely basis for each of Mr. Carrabba and Mr. Wotring, resulting in two late Form 4 filings for each of the foregoing directors. With the exception of the foregoing transactions and filings, based solely upon our review of reports furnished to us, or written representations that no forms were required to be filed, we are not aware of any instances of noncompliance, or late compliance, with Section 16 filings during the year ended December 31, 2015, or prior years, by our executive officers, Directors or 10% shareholders.</w:t>
      </w:r>
    </w:p>
    <w:p>
      <w:pPr>
        <w:spacing w:after="0" w:line="167" w:lineRule="exact"/>
        <w:rPr>
          <w:sz w:val="20"/>
          <w:szCs w:val="20"/>
          <w:color w:val="auto"/>
        </w:rPr>
      </w:pPr>
    </w:p>
    <w:p>
      <w:pPr>
        <w:spacing w:after="0"/>
        <w:rPr>
          <w:sz w:val="20"/>
          <w:szCs w:val="20"/>
          <w:color w:val="auto"/>
        </w:rPr>
      </w:pPr>
      <w:r>
        <w:rPr>
          <w:rFonts w:ascii="Arial" w:cs="Arial" w:eastAsia="Arial" w:hAnsi="Arial"/>
          <w:sz w:val="18"/>
          <w:szCs w:val="18"/>
          <w:color w:val="auto"/>
        </w:rPr>
        <w:t>GENERAL</w:t>
      </w:r>
    </w:p>
    <w:p>
      <w:pPr>
        <w:spacing w:after="0" w:line="179" w:lineRule="exact"/>
        <w:rPr>
          <w:sz w:val="20"/>
          <w:szCs w:val="20"/>
          <w:color w:val="auto"/>
        </w:rPr>
      </w:pPr>
    </w:p>
    <w:p>
      <w:pPr>
        <w:ind w:right="160"/>
        <w:spacing w:after="0" w:line="234" w:lineRule="auto"/>
        <w:rPr>
          <w:sz w:val="20"/>
          <w:szCs w:val="20"/>
          <w:color w:val="auto"/>
        </w:rPr>
      </w:pPr>
      <w:r>
        <w:rPr>
          <w:rFonts w:ascii="Arial" w:cs="Arial" w:eastAsia="Arial" w:hAnsi="Arial"/>
          <w:sz w:val="17"/>
          <w:szCs w:val="17"/>
          <w:color w:val="auto"/>
        </w:rPr>
        <w:t>The SEC permits companies to send a single set of annual disclosure documents to any household at which two or more shareholders reside, unless contrary instructions have been received, but only if we provide advance notice and follow certain procedures. In such cases, such shareholders continue to receive a separate notice of the meeting and proxy card. This “householding” process reduces the volume of duplicate information and reduces printing and mailing expenses. We have not instituted householding for shareholders of record; however, a number of brokerage firms may have instituted householding for beneficial owners of our common shares held through such brokerage firms. If your family has multiple accounts holding common shares, you already may have received a householding notification from your broker. Please contact your broker directly if you have any questions or require additional copies of the annual disclosure documents. The broker will arrange for delivery of a separate copy of this Proxy Statement or our Annual Report on Form 10-K for the year ended December 31, 2015, promptly upon your written or oral request. You may decide at any time to revoke your decision to household and thereby receive multiple copies.</w:t>
      </w:r>
    </w:p>
    <w:p>
      <w:pPr>
        <w:spacing w:after="0" w:line="142" w:lineRule="exact"/>
        <w:rPr>
          <w:sz w:val="20"/>
          <w:szCs w:val="20"/>
          <w:color w:val="auto"/>
        </w:rPr>
      </w:pPr>
    </w:p>
    <w:p>
      <w:pPr>
        <w:jc w:val="center"/>
        <w:spacing w:after="0" w:line="250" w:lineRule="auto"/>
        <w:rPr>
          <w:sz w:val="20"/>
          <w:szCs w:val="20"/>
          <w:color w:val="auto"/>
        </w:rPr>
      </w:pPr>
      <w:r>
        <w:rPr>
          <w:rFonts w:ascii="Arial" w:cs="Arial" w:eastAsia="Arial" w:hAnsi="Arial"/>
          <w:sz w:val="17"/>
          <w:szCs w:val="17"/>
          <w:b w:val="1"/>
          <w:bCs w:val="1"/>
          <w:color w:val="auto"/>
        </w:rPr>
        <w:t>UNLESS YOU SPECIFY OTHERWISE IN YOUR VOTING INSTRUCTIONS, THE PROXY HOLDERS WILL VOTE FOR EACH OF THE NOMINEES NAMED IN PROPOSAL 1, AND FOR PROPOSALS 2, 3 AND 4.</w:t>
      </w:r>
    </w:p>
    <w:p>
      <w:pPr>
        <w:spacing w:after="0" w:line="136" w:lineRule="exact"/>
        <w:rPr>
          <w:sz w:val="20"/>
          <w:szCs w:val="20"/>
          <w:color w:val="auto"/>
        </w:rPr>
      </w:pPr>
    </w:p>
    <w:p>
      <w:pPr>
        <w:spacing w:after="0"/>
        <w:rPr>
          <w:sz w:val="20"/>
          <w:szCs w:val="20"/>
          <w:color w:val="auto"/>
        </w:rPr>
      </w:pPr>
      <w:r>
        <w:rPr>
          <w:rFonts w:ascii="Arial" w:cs="Arial" w:eastAsia="Arial" w:hAnsi="Arial"/>
          <w:sz w:val="14"/>
          <w:szCs w:val="14"/>
          <w:color w:val="auto"/>
        </w:rPr>
        <w:t>82</w:t>
      </w:r>
    </w:p>
    <w:p>
      <w:pPr>
        <w:sectPr>
          <w:pgSz w:w="11900" w:h="16838" w:orient="portrait"/>
          <w:cols w:equalWidth="0" w:num="1">
            <w:col w:w="11420"/>
          </w:cols>
          <w:pgMar w:left="240" w:top="459" w:right="239" w:bottom="1440" w:gutter="0" w:footer="0" w:header="0"/>
        </w:sectPr>
      </w:pPr>
    </w:p>
    <w:bookmarkStart w:id="88" w:name="page89"/>
    <w:bookmarkEnd w:id="8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239">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2715260</wp:posOffset>
            </wp:positionH>
            <wp:positionV relativeFrom="paragraph">
              <wp:posOffset>205740</wp:posOffset>
            </wp:positionV>
            <wp:extent cx="1826895" cy="205740"/>
            <wp:wrapNone/>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240">
                      <a:extLst>
                        <a:ext uri="{28A0092B-C50C-407E-A947-70E740481C1C}"/>
                      </a:extLst>
                    </a:blip>
                    <a:srcRect/>
                    <a:stretch>
                      <a:fillRect/>
                    </a:stretch>
                  </pic:blipFill>
                  <pic:spPr bwMode="auto">
                    <a:xfrm>
                      <a:off x="0" y="0"/>
                      <a:ext cx="1826895" cy="20574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71" w:lineRule="exact"/>
        <w:rPr>
          <w:sz w:val="20"/>
          <w:szCs w:val="20"/>
          <w:color w:val="auto"/>
        </w:rPr>
      </w:pPr>
    </w:p>
    <w:p>
      <w:pPr>
        <w:spacing w:after="0"/>
        <w:rPr>
          <w:sz w:val="20"/>
          <w:szCs w:val="20"/>
          <w:color w:val="auto"/>
        </w:rPr>
      </w:pPr>
      <w:r>
        <w:rPr>
          <w:rFonts w:ascii="Arial" w:cs="Arial" w:eastAsia="Arial" w:hAnsi="Arial"/>
          <w:sz w:val="18"/>
          <w:szCs w:val="18"/>
          <w:color w:val="auto"/>
        </w:rPr>
        <w:t>APPENDIX A</w:t>
      </w:r>
    </w:p>
    <w:p>
      <w:pPr>
        <w:spacing w:after="0"/>
        <w:rPr>
          <w:sz w:val="20"/>
          <w:szCs w:val="20"/>
          <w:color w:val="auto"/>
        </w:rPr>
      </w:pPr>
      <w:r>
        <w:rPr>
          <w:rFonts w:ascii="Arial" w:cs="Arial" w:eastAsia="Arial" w:hAnsi="Arial"/>
          <w:sz w:val="18"/>
          <w:szCs w:val="18"/>
          <w:color w:val="auto"/>
        </w:rPr>
        <w:t>TIMKENSTEEL CORPORATION AMENDED AND RESTATED 2014 EQUITY AND INCENTIVE COMPENSATION PLAN</w:t>
      </w:r>
    </w:p>
    <w:p>
      <w:pPr>
        <w:spacing w:after="0" w:line="159" w:lineRule="exact"/>
        <w:rPr>
          <w:sz w:val="20"/>
          <w:szCs w:val="20"/>
          <w:color w:val="auto"/>
        </w:rPr>
      </w:pPr>
    </w:p>
    <w:p>
      <w:pPr>
        <w:ind w:right="80" w:firstLine="8"/>
        <w:spacing w:after="0" w:line="241" w:lineRule="auto"/>
        <w:tabs>
          <w:tab w:leader="none" w:pos="332" w:val="left"/>
        </w:tabs>
        <w:numPr>
          <w:ilvl w:val="0"/>
          <w:numId w:val="55"/>
        </w:numPr>
        <w:rPr>
          <w:rFonts w:ascii="Arial" w:cs="Arial" w:eastAsia="Arial" w:hAnsi="Arial"/>
          <w:sz w:val="17"/>
          <w:szCs w:val="17"/>
          <w:color w:val="auto"/>
        </w:rPr>
      </w:pPr>
      <w:r>
        <w:rPr>
          <w:rFonts w:ascii="Arial" w:cs="Arial" w:eastAsia="Arial" w:hAnsi="Arial"/>
          <w:sz w:val="17"/>
          <w:szCs w:val="17"/>
          <w:b w:val="1"/>
          <w:bCs w:val="1"/>
          <w:color w:val="auto"/>
        </w:rPr>
        <w:t>Purpose</w:t>
      </w:r>
      <w:r>
        <w:rPr>
          <w:rFonts w:ascii="Arial" w:cs="Arial" w:eastAsia="Arial" w:hAnsi="Arial"/>
          <w:sz w:val="17"/>
          <w:szCs w:val="17"/>
          <w:color w:val="auto"/>
        </w:rPr>
        <w:t>. The purpose of this TimkenSteel Corporation Amended and Restated 2014 Equity and Incentive Compensation Plan (the “</w:t>
      </w:r>
      <w:r>
        <w:rPr>
          <w:rFonts w:ascii="Arial" w:cs="Arial" w:eastAsia="Arial" w:hAnsi="Arial"/>
          <w:sz w:val="17"/>
          <w:szCs w:val="17"/>
          <w:b w:val="1"/>
          <w:bCs w:val="1"/>
          <w:i w:val="1"/>
          <w:iCs w:val="1"/>
          <w:color w:val="auto"/>
        </w:rPr>
        <w:t>Plan</w:t>
      </w:r>
      <w:r>
        <w:rPr>
          <w:rFonts w:ascii="Arial" w:cs="Arial" w:eastAsia="Arial" w:hAnsi="Arial"/>
          <w:sz w:val="17"/>
          <w:szCs w:val="17"/>
          <w:color w:val="auto"/>
        </w:rPr>
        <w:t>”) is to</w:t>
      </w:r>
      <w:r>
        <w:rPr>
          <w:rFonts w:ascii="Arial" w:cs="Arial" w:eastAsia="Arial" w:hAnsi="Arial"/>
          <w:sz w:val="17"/>
          <w:szCs w:val="17"/>
          <w:b w:val="1"/>
          <w:bCs w:val="1"/>
          <w:color w:val="auto"/>
        </w:rPr>
        <w:t xml:space="preserve"> </w:t>
      </w:r>
      <w:r>
        <w:rPr>
          <w:rFonts w:ascii="Arial" w:cs="Arial" w:eastAsia="Arial" w:hAnsi="Arial"/>
          <w:sz w:val="17"/>
          <w:szCs w:val="17"/>
          <w:color w:val="auto"/>
        </w:rPr>
        <w:t>enable TimkenSteel Corporation, an Ohio corporation (the “</w:t>
      </w:r>
      <w:r>
        <w:rPr>
          <w:rFonts w:ascii="Arial" w:cs="Arial" w:eastAsia="Arial" w:hAnsi="Arial"/>
          <w:sz w:val="17"/>
          <w:szCs w:val="17"/>
          <w:b w:val="1"/>
          <w:bCs w:val="1"/>
          <w:i w:val="1"/>
          <w:iCs w:val="1"/>
          <w:color w:val="auto"/>
        </w:rPr>
        <w:t>Corporation</w:t>
      </w:r>
      <w:r>
        <w:rPr>
          <w:rFonts w:ascii="Arial" w:cs="Arial" w:eastAsia="Arial" w:hAnsi="Arial"/>
          <w:sz w:val="17"/>
          <w:szCs w:val="17"/>
          <w:color w:val="auto"/>
        </w:rPr>
        <w:t>”), and its Subsidiaries, to attract, retain and motivate directors, officers, and other key employees by providing such persons incentives and rewards for performance and to promote equity participation by key employees and directors of the Corporation, thereby reinforcing a mutuality of interest with other shareholders, and permitting key employees and directors to share in the Corporation’s growth.</w:t>
      </w:r>
    </w:p>
    <w:p>
      <w:pPr>
        <w:spacing w:after="0" w:line="180" w:lineRule="exact"/>
        <w:rPr>
          <w:rFonts w:ascii="Arial" w:cs="Arial" w:eastAsia="Arial" w:hAnsi="Arial"/>
          <w:sz w:val="17"/>
          <w:szCs w:val="17"/>
          <w:color w:val="auto"/>
        </w:rPr>
      </w:pPr>
    </w:p>
    <w:p>
      <w:pPr>
        <w:ind w:left="460" w:hanging="452"/>
        <w:spacing w:after="0"/>
        <w:tabs>
          <w:tab w:leader="none" w:pos="460" w:val="left"/>
        </w:tabs>
        <w:numPr>
          <w:ilvl w:val="0"/>
          <w:numId w:val="55"/>
        </w:numPr>
        <w:rPr>
          <w:rFonts w:ascii="Arial" w:cs="Arial" w:eastAsia="Arial" w:hAnsi="Arial"/>
          <w:sz w:val="17"/>
          <w:szCs w:val="17"/>
          <w:color w:val="auto"/>
        </w:rPr>
      </w:pPr>
      <w:r>
        <w:rPr>
          <w:rFonts w:ascii="Arial" w:cs="Arial" w:eastAsia="Arial" w:hAnsi="Arial"/>
          <w:sz w:val="17"/>
          <w:szCs w:val="17"/>
          <w:b w:val="1"/>
          <w:bCs w:val="1"/>
          <w:color w:val="auto"/>
        </w:rPr>
        <w:t>Definitions</w:t>
      </w:r>
      <w:r>
        <w:rPr>
          <w:rFonts w:ascii="Arial" w:cs="Arial" w:eastAsia="Arial" w:hAnsi="Arial"/>
          <w:sz w:val="17"/>
          <w:szCs w:val="17"/>
          <w:color w:val="auto"/>
        </w:rPr>
        <w:t>. As used in this Plan,</w:t>
      </w:r>
    </w:p>
    <w:p>
      <w:pPr>
        <w:spacing w:after="0" w:line="169" w:lineRule="exact"/>
        <w:rPr>
          <w:rFonts w:ascii="Arial" w:cs="Arial" w:eastAsia="Arial" w:hAnsi="Arial"/>
          <w:sz w:val="17"/>
          <w:szCs w:val="17"/>
          <w:color w:val="auto"/>
        </w:rPr>
      </w:pPr>
    </w:p>
    <w:p>
      <w:pPr>
        <w:ind w:left="460"/>
        <w:spacing w:after="0" w:line="268" w:lineRule="auto"/>
        <w:rPr>
          <w:rFonts w:ascii="Arial" w:cs="Arial" w:eastAsia="Arial" w:hAnsi="Arial"/>
          <w:sz w:val="17"/>
          <w:szCs w:val="17"/>
          <w:color w:val="auto"/>
        </w:rPr>
      </w:pPr>
      <w:r>
        <w:rPr>
          <w:rFonts w:ascii="Arial" w:cs="Arial" w:eastAsia="Arial" w:hAnsi="Arial"/>
          <w:sz w:val="17"/>
          <w:szCs w:val="17"/>
          <w:color w:val="auto"/>
        </w:rPr>
        <w:t>“</w:t>
      </w:r>
      <w:r>
        <w:rPr>
          <w:rFonts w:ascii="Arial" w:cs="Arial" w:eastAsia="Arial" w:hAnsi="Arial"/>
          <w:sz w:val="17"/>
          <w:szCs w:val="17"/>
          <w:b w:val="1"/>
          <w:bCs w:val="1"/>
          <w:color w:val="auto"/>
        </w:rPr>
        <w:t>Appreciation Right</w:t>
      </w:r>
      <w:r>
        <w:rPr>
          <w:rFonts w:ascii="Arial" w:cs="Arial" w:eastAsia="Arial" w:hAnsi="Arial"/>
          <w:sz w:val="17"/>
          <w:szCs w:val="17"/>
          <w:color w:val="auto"/>
        </w:rPr>
        <w:t xml:space="preserve">” means a right granted pursuant to </w:t>
      </w:r>
      <w:r>
        <w:rPr>
          <w:rFonts w:ascii="Arial" w:cs="Arial" w:eastAsia="Arial" w:hAnsi="Arial"/>
          <w:sz w:val="17"/>
          <w:szCs w:val="17"/>
          <w:b w:val="1"/>
          <w:bCs w:val="1"/>
          <w:u w:val="single" w:color="auto"/>
          <w:color w:val="auto"/>
        </w:rPr>
        <w:t>Section 5</w:t>
      </w:r>
      <w:r>
        <w:rPr>
          <w:rFonts w:ascii="Arial" w:cs="Arial" w:eastAsia="Arial" w:hAnsi="Arial"/>
          <w:sz w:val="17"/>
          <w:szCs w:val="17"/>
          <w:color w:val="auto"/>
        </w:rPr>
        <w:t xml:space="preserve"> of this Plan, including both a Free-Standing Appreciation Right and a Tandem Appreciation Right.</w:t>
      </w:r>
    </w:p>
    <w:p>
      <w:pPr>
        <w:spacing w:after="0" w:line="117" w:lineRule="exact"/>
        <w:rPr>
          <w:rFonts w:ascii="Arial" w:cs="Arial" w:eastAsia="Arial" w:hAnsi="Arial"/>
          <w:sz w:val="17"/>
          <w:szCs w:val="17"/>
          <w:color w:val="auto"/>
        </w:rPr>
      </w:pPr>
    </w:p>
    <w:p>
      <w:pPr>
        <w:ind w:left="460" w:right="480"/>
        <w:spacing w:after="0" w:line="455" w:lineRule="auto"/>
        <w:rPr>
          <w:rFonts w:ascii="Arial" w:cs="Arial" w:eastAsia="Arial" w:hAnsi="Arial"/>
          <w:sz w:val="17"/>
          <w:szCs w:val="17"/>
          <w:color w:val="auto"/>
        </w:rPr>
      </w:pPr>
      <w:r>
        <w:rPr>
          <w:rFonts w:ascii="Arial" w:cs="Arial" w:eastAsia="Arial" w:hAnsi="Arial"/>
          <w:sz w:val="17"/>
          <w:szCs w:val="17"/>
          <w:color w:val="auto"/>
        </w:rPr>
        <w:t>“</w:t>
      </w:r>
      <w:r>
        <w:rPr>
          <w:rFonts w:ascii="Arial" w:cs="Arial" w:eastAsia="Arial" w:hAnsi="Arial"/>
          <w:sz w:val="17"/>
          <w:szCs w:val="17"/>
          <w:b w:val="1"/>
          <w:bCs w:val="1"/>
          <w:color w:val="auto"/>
        </w:rPr>
        <w:t>Base Price</w:t>
      </w:r>
      <w:r>
        <w:rPr>
          <w:rFonts w:ascii="Arial" w:cs="Arial" w:eastAsia="Arial" w:hAnsi="Arial"/>
          <w:sz w:val="17"/>
          <w:szCs w:val="17"/>
          <w:color w:val="auto"/>
        </w:rPr>
        <w:t>” means the price to be used as the basis for determining the Spread upon the exercise of a Free-Standing Appreciation Right. “</w:t>
      </w:r>
      <w:r>
        <w:rPr>
          <w:rFonts w:ascii="Arial" w:cs="Arial" w:eastAsia="Arial" w:hAnsi="Arial"/>
          <w:sz w:val="17"/>
          <w:szCs w:val="17"/>
          <w:b w:val="1"/>
          <w:bCs w:val="1"/>
          <w:color w:val="auto"/>
        </w:rPr>
        <w:t>Board</w:t>
      </w:r>
      <w:r>
        <w:rPr>
          <w:rFonts w:ascii="Arial" w:cs="Arial" w:eastAsia="Arial" w:hAnsi="Arial"/>
          <w:sz w:val="17"/>
          <w:szCs w:val="17"/>
          <w:color w:val="auto"/>
        </w:rPr>
        <w:t>” means the Board of Directors of the Corporation.</w:t>
      </w:r>
    </w:p>
    <w:p>
      <w:pPr>
        <w:spacing w:after="0" w:line="1" w:lineRule="exact"/>
        <w:rPr>
          <w:rFonts w:ascii="Arial" w:cs="Arial" w:eastAsia="Arial" w:hAnsi="Arial"/>
          <w:sz w:val="17"/>
          <w:szCs w:val="17"/>
          <w:color w:val="auto"/>
        </w:rPr>
      </w:pPr>
    </w:p>
    <w:p>
      <w:pPr>
        <w:ind w:left="460"/>
        <w:spacing w:after="0"/>
        <w:rPr>
          <w:rFonts w:ascii="Arial" w:cs="Arial" w:eastAsia="Arial" w:hAnsi="Arial"/>
          <w:sz w:val="17"/>
          <w:szCs w:val="17"/>
          <w:color w:val="auto"/>
        </w:rPr>
      </w:pPr>
      <w:r>
        <w:rPr>
          <w:rFonts w:ascii="Arial" w:cs="Arial" w:eastAsia="Arial" w:hAnsi="Arial"/>
          <w:sz w:val="17"/>
          <w:szCs w:val="17"/>
          <w:color w:val="auto"/>
        </w:rPr>
        <w:t>“</w:t>
      </w:r>
      <w:r>
        <w:rPr>
          <w:rFonts w:ascii="Arial" w:cs="Arial" w:eastAsia="Arial" w:hAnsi="Arial"/>
          <w:sz w:val="17"/>
          <w:szCs w:val="17"/>
          <w:b w:val="1"/>
          <w:bCs w:val="1"/>
          <w:color w:val="auto"/>
        </w:rPr>
        <w:t>Cash Incentive Award</w:t>
      </w:r>
      <w:r>
        <w:rPr>
          <w:rFonts w:ascii="Arial" w:cs="Arial" w:eastAsia="Arial" w:hAnsi="Arial"/>
          <w:sz w:val="17"/>
          <w:szCs w:val="17"/>
          <w:color w:val="auto"/>
        </w:rPr>
        <w:t xml:space="preserve">” means a cash award granted pursuant to </w:t>
      </w:r>
      <w:r>
        <w:rPr>
          <w:rFonts w:ascii="Arial" w:cs="Arial" w:eastAsia="Arial" w:hAnsi="Arial"/>
          <w:sz w:val="17"/>
          <w:szCs w:val="17"/>
          <w:b w:val="1"/>
          <w:bCs w:val="1"/>
          <w:u w:val="single" w:color="auto"/>
          <w:color w:val="auto"/>
        </w:rPr>
        <w:t>Section 9</w:t>
      </w:r>
      <w:r>
        <w:rPr>
          <w:rFonts w:ascii="Arial" w:cs="Arial" w:eastAsia="Arial" w:hAnsi="Arial"/>
          <w:sz w:val="17"/>
          <w:szCs w:val="17"/>
          <w:color w:val="auto"/>
        </w:rPr>
        <w:t xml:space="preserve"> of this Plan.</w:t>
      </w:r>
    </w:p>
    <w:p>
      <w:pPr>
        <w:spacing w:after="0" w:line="169" w:lineRule="exact"/>
        <w:rPr>
          <w:rFonts w:ascii="Arial" w:cs="Arial" w:eastAsia="Arial" w:hAnsi="Arial"/>
          <w:sz w:val="17"/>
          <w:szCs w:val="17"/>
          <w:color w:val="auto"/>
        </w:rPr>
      </w:pPr>
    </w:p>
    <w:p>
      <w:pPr>
        <w:ind w:left="460"/>
        <w:spacing w:after="0"/>
        <w:rPr>
          <w:rFonts w:ascii="Arial" w:cs="Arial" w:eastAsia="Arial" w:hAnsi="Arial"/>
          <w:sz w:val="17"/>
          <w:szCs w:val="17"/>
          <w:color w:val="auto"/>
        </w:rPr>
      </w:pPr>
      <w:r>
        <w:rPr>
          <w:rFonts w:ascii="Arial" w:cs="Arial" w:eastAsia="Arial" w:hAnsi="Arial"/>
          <w:sz w:val="17"/>
          <w:szCs w:val="17"/>
          <w:color w:val="auto"/>
        </w:rPr>
        <w:t>“</w:t>
      </w:r>
      <w:r>
        <w:rPr>
          <w:rFonts w:ascii="Arial" w:cs="Arial" w:eastAsia="Arial" w:hAnsi="Arial"/>
          <w:sz w:val="17"/>
          <w:szCs w:val="17"/>
          <w:b w:val="1"/>
          <w:bCs w:val="1"/>
          <w:color w:val="auto"/>
        </w:rPr>
        <w:t>Change in Control</w:t>
      </w:r>
      <w:r>
        <w:rPr>
          <w:rFonts w:ascii="Arial" w:cs="Arial" w:eastAsia="Arial" w:hAnsi="Arial"/>
          <w:sz w:val="17"/>
          <w:szCs w:val="17"/>
          <w:color w:val="auto"/>
        </w:rPr>
        <w:t>” means, except as may be otherwise prescribed in an Evidence of Award, the occurrence of any of the following events:</w:t>
      </w:r>
    </w:p>
    <w:p>
      <w:pPr>
        <w:spacing w:after="0" w:line="209" w:lineRule="exact"/>
        <w:rPr>
          <w:rFonts w:ascii="Arial" w:cs="Arial" w:eastAsia="Arial" w:hAnsi="Arial"/>
          <w:sz w:val="17"/>
          <w:szCs w:val="17"/>
          <w:color w:val="auto"/>
        </w:rPr>
      </w:pPr>
    </w:p>
    <w:p>
      <w:pPr>
        <w:ind w:left="900" w:right="60" w:hanging="446"/>
        <w:spacing w:after="0" w:line="237" w:lineRule="auto"/>
        <w:tabs>
          <w:tab w:leader="none" w:pos="900" w:val="left"/>
        </w:tabs>
        <w:numPr>
          <w:ilvl w:val="1"/>
          <w:numId w:val="55"/>
        </w:numPr>
        <w:rPr>
          <w:rFonts w:ascii="Arial" w:cs="Arial" w:eastAsia="Arial" w:hAnsi="Arial"/>
          <w:sz w:val="17"/>
          <w:szCs w:val="17"/>
          <w:color w:val="auto"/>
        </w:rPr>
      </w:pPr>
      <w:r>
        <w:rPr>
          <w:rFonts w:ascii="Arial" w:cs="Arial" w:eastAsia="Arial" w:hAnsi="Arial"/>
          <w:sz w:val="17"/>
          <w:szCs w:val="17"/>
          <w:color w:val="auto"/>
        </w:rPr>
        <w:t>The acquisition by any individual, entity or group (within the meaning of Section 13(d)(3) or 14(d)(2) of the Exchange Act) (a “</w:t>
      </w:r>
      <w:r>
        <w:rPr>
          <w:rFonts w:ascii="Arial" w:cs="Arial" w:eastAsia="Arial" w:hAnsi="Arial"/>
          <w:sz w:val="17"/>
          <w:szCs w:val="17"/>
          <w:b w:val="1"/>
          <w:bCs w:val="1"/>
          <w:i w:val="1"/>
          <w:iCs w:val="1"/>
          <w:color w:val="auto"/>
        </w:rPr>
        <w:t>Person</w:t>
      </w:r>
      <w:r>
        <w:rPr>
          <w:rFonts w:ascii="Arial" w:cs="Arial" w:eastAsia="Arial" w:hAnsi="Arial"/>
          <w:sz w:val="17"/>
          <w:szCs w:val="17"/>
          <w:color w:val="auto"/>
        </w:rPr>
        <w:t>”) of beneficial ownership (within the meaning of Rule 13d-3 promulgated under the Exchange Act) of 30% or more of either: (A) the then-outstanding Common Shares; or (B) the combined voting power of the then-outstanding voting securities of the Corporation entitled to vote generally in the election of directors (“</w:t>
      </w:r>
      <w:r>
        <w:rPr>
          <w:rFonts w:ascii="Arial" w:cs="Arial" w:eastAsia="Arial" w:hAnsi="Arial"/>
          <w:sz w:val="17"/>
          <w:szCs w:val="17"/>
          <w:b w:val="1"/>
          <w:bCs w:val="1"/>
          <w:i w:val="1"/>
          <w:iCs w:val="1"/>
          <w:color w:val="auto"/>
        </w:rPr>
        <w:t>Voting Shares</w:t>
      </w:r>
      <w:r>
        <w:rPr>
          <w:rFonts w:ascii="Arial" w:cs="Arial" w:eastAsia="Arial" w:hAnsi="Arial"/>
          <w:sz w:val="17"/>
          <w:szCs w:val="17"/>
          <w:color w:val="auto"/>
        </w:rPr>
        <w:t xml:space="preserve">”);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w:t>
      </w:r>
      <w:r>
        <w:rPr>
          <w:rFonts w:ascii="Arial" w:cs="Arial" w:eastAsia="Arial" w:hAnsi="Arial"/>
          <w:sz w:val="17"/>
          <w:szCs w:val="17"/>
          <w:u w:val="single" w:color="auto"/>
          <w:color w:val="auto"/>
        </w:rPr>
        <w:t>however</w:t>
      </w:r>
      <w:r>
        <w:rPr>
          <w:rFonts w:ascii="Arial" w:cs="Arial" w:eastAsia="Arial" w:hAnsi="Arial"/>
          <w:sz w:val="17"/>
          <w:szCs w:val="17"/>
          <w:color w:val="auto"/>
        </w:rPr>
        <w:t>, that for purposes of this subsection (i), the following acquisitions shall not constitute a Change in Control: (1) any acquisition directly from the Corporation; (2) any acquisition by the Corporation; (3) any acquisition by any employee benefit plan (or related trust) sponsored or maintained by the Corporation or any of its Subsidiaries; or (4) any acquisition by any Person pursuant to a transaction which complies with clauses (A), (B) and (C) of subsection (iii); or</w:t>
      </w:r>
    </w:p>
    <w:p>
      <w:pPr>
        <w:spacing w:after="0" w:line="184" w:lineRule="exact"/>
        <w:rPr>
          <w:rFonts w:ascii="Arial" w:cs="Arial" w:eastAsia="Arial" w:hAnsi="Arial"/>
          <w:sz w:val="17"/>
          <w:szCs w:val="17"/>
          <w:color w:val="auto"/>
        </w:rPr>
      </w:pPr>
    </w:p>
    <w:p>
      <w:pPr>
        <w:ind w:left="900" w:right="80" w:hanging="446"/>
        <w:spacing w:after="0" w:line="237" w:lineRule="auto"/>
        <w:tabs>
          <w:tab w:leader="none" w:pos="900" w:val="left"/>
        </w:tabs>
        <w:numPr>
          <w:ilvl w:val="1"/>
          <w:numId w:val="55"/>
        </w:numPr>
        <w:rPr>
          <w:rFonts w:ascii="Arial" w:cs="Arial" w:eastAsia="Arial" w:hAnsi="Arial"/>
          <w:sz w:val="17"/>
          <w:szCs w:val="17"/>
          <w:color w:val="auto"/>
        </w:rPr>
      </w:pPr>
      <w:r>
        <w:rPr>
          <w:rFonts w:ascii="Arial" w:cs="Arial" w:eastAsia="Arial" w:hAnsi="Arial"/>
          <w:sz w:val="17"/>
          <w:szCs w:val="17"/>
          <w:color w:val="auto"/>
        </w:rPr>
        <w:t>Individuals who, as of the Effective Date, constitute the Board (the “</w:t>
      </w:r>
      <w:r>
        <w:rPr>
          <w:rFonts w:ascii="Arial" w:cs="Arial" w:eastAsia="Arial" w:hAnsi="Arial"/>
          <w:sz w:val="17"/>
          <w:szCs w:val="17"/>
          <w:b w:val="1"/>
          <w:bCs w:val="1"/>
          <w:i w:val="1"/>
          <w:iCs w:val="1"/>
          <w:color w:val="auto"/>
        </w:rPr>
        <w:t>Incumbent Board</w:t>
      </w:r>
      <w:r>
        <w:rPr>
          <w:rFonts w:ascii="Arial" w:cs="Arial" w:eastAsia="Arial" w:hAnsi="Arial"/>
          <w:sz w:val="17"/>
          <w:szCs w:val="17"/>
          <w:color w:val="auto"/>
        </w:rPr>
        <w:t xml:space="preserve">”) cease for any reason (other than death or disability) to constitute at least a majority of the Board;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w:t>
      </w:r>
      <w:r>
        <w:rPr>
          <w:rFonts w:ascii="Arial" w:cs="Arial" w:eastAsia="Arial" w:hAnsi="Arial"/>
          <w:sz w:val="17"/>
          <w:szCs w:val="17"/>
          <w:u w:val="single" w:color="auto"/>
          <w:color w:val="auto"/>
        </w:rPr>
        <w:t>however</w:t>
      </w:r>
      <w:r>
        <w:rPr>
          <w:rFonts w:ascii="Arial" w:cs="Arial" w:eastAsia="Arial" w:hAnsi="Arial"/>
          <w:sz w:val="17"/>
          <w:szCs w:val="17"/>
          <w:color w:val="auto"/>
        </w:rPr>
        <w:t>, that any individual becoming a director subsequent to the Effective Date whose election, or nomination for election by the Corporation’s shareholders, was approved by a vote or the approval of at least a majority of the directors then comprising the Incumbent Board (either by a specific vote or written action or by approval of the proxy statement of the Corporation in which such person is named as a nominee for director, without objection to such nomination) shall be considered as though such individual were a member of the Incumbent Board, but excluding for this purpose, any such individual whose initial assumption of office occurs as a result of an actual or threatened election contest with respect to the election or removal of directors or other actual or threatened solicitation of proxies or consents by or on behalf of a Person other than the Board; or</w:t>
      </w:r>
    </w:p>
    <w:p>
      <w:pPr>
        <w:spacing w:after="0" w:line="148" w:lineRule="exact"/>
        <w:rPr>
          <w:sz w:val="20"/>
          <w:szCs w:val="20"/>
          <w:color w:val="auto"/>
        </w:rPr>
      </w:pPr>
    </w:p>
    <w:p>
      <w:pPr>
        <w:ind w:left="11120"/>
        <w:spacing w:after="0"/>
        <w:rPr>
          <w:sz w:val="20"/>
          <w:szCs w:val="20"/>
          <w:color w:val="auto"/>
        </w:rPr>
      </w:pPr>
      <w:r>
        <w:rPr>
          <w:rFonts w:ascii="Arial" w:cs="Arial" w:eastAsia="Arial" w:hAnsi="Arial"/>
          <w:sz w:val="14"/>
          <w:szCs w:val="14"/>
          <w:color w:val="auto"/>
        </w:rPr>
        <w:t>A-1</w:t>
      </w:r>
    </w:p>
    <w:p>
      <w:pPr>
        <w:sectPr>
          <w:pgSz w:w="11900" w:h="16838" w:orient="portrait"/>
          <w:cols w:equalWidth="0" w:num="1">
            <w:col w:w="11420"/>
          </w:cols>
          <w:pgMar w:left="240" w:top="459" w:right="239" w:bottom="1440" w:gutter="0" w:footer="0" w:header="0"/>
        </w:sectPr>
      </w:pPr>
    </w:p>
    <w:bookmarkStart w:id="89" w:name="page90"/>
    <w:bookmarkEnd w:id="8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241">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3109595</wp:posOffset>
            </wp:positionH>
            <wp:positionV relativeFrom="paragraph">
              <wp:posOffset>205740</wp:posOffset>
            </wp:positionV>
            <wp:extent cx="1046480" cy="205740"/>
            <wp:wrapNone/>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242">
                      <a:extLst>
                        <a:ext uri="{28A0092B-C50C-407E-A947-70E740481C1C}"/>
                      </a:extLst>
                    </a:blip>
                    <a:srcRect/>
                    <a:stretch>
                      <a:fillRect/>
                    </a:stretch>
                  </pic:blipFill>
                  <pic:spPr bwMode="auto">
                    <a:xfrm>
                      <a:off x="0" y="0"/>
                      <a:ext cx="1046480" cy="20574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7" w:lineRule="exact"/>
        <w:rPr>
          <w:sz w:val="20"/>
          <w:szCs w:val="20"/>
          <w:color w:val="auto"/>
        </w:rPr>
      </w:pPr>
    </w:p>
    <w:p>
      <w:pPr>
        <w:ind w:left="900" w:hanging="446"/>
        <w:spacing w:after="0" w:line="233" w:lineRule="auto"/>
        <w:tabs>
          <w:tab w:leader="none" w:pos="900" w:val="left"/>
        </w:tabs>
        <w:numPr>
          <w:ilvl w:val="0"/>
          <w:numId w:val="56"/>
        </w:numPr>
        <w:rPr>
          <w:rFonts w:ascii="Arial" w:cs="Arial" w:eastAsia="Arial" w:hAnsi="Arial"/>
          <w:sz w:val="17"/>
          <w:szCs w:val="17"/>
          <w:color w:val="auto"/>
        </w:rPr>
      </w:pPr>
      <w:r>
        <w:rPr>
          <w:rFonts w:ascii="Arial" w:cs="Arial" w:eastAsia="Arial" w:hAnsi="Arial"/>
          <w:sz w:val="17"/>
          <w:szCs w:val="17"/>
          <w:color w:val="auto"/>
        </w:rPr>
        <w:t>Consummation of a reorganization, merger or consolidation or sale or other disposition of all or substantially all of the assets of the Corporation (a “</w:t>
      </w:r>
      <w:r>
        <w:rPr>
          <w:rFonts w:ascii="Arial" w:cs="Arial" w:eastAsia="Arial" w:hAnsi="Arial"/>
          <w:sz w:val="17"/>
          <w:szCs w:val="17"/>
          <w:b w:val="1"/>
          <w:bCs w:val="1"/>
          <w:i w:val="1"/>
          <w:iCs w:val="1"/>
          <w:color w:val="auto"/>
        </w:rPr>
        <w:t>Business Combination</w:t>
      </w:r>
      <w:r>
        <w:rPr>
          <w:rFonts w:ascii="Arial" w:cs="Arial" w:eastAsia="Arial" w:hAnsi="Arial"/>
          <w:sz w:val="17"/>
          <w:szCs w:val="17"/>
          <w:color w:val="auto"/>
        </w:rPr>
        <w:t>”), in each case, unless, following such Business Combination, (A) all or substantially all of the individuals and entities who were the beneficial owners, respectively, of the Common Shares and Voting Shares immediately prior to such Business Combination beneficially own, directly or indirectly, more than 66-2/3% of, respectively, the then-outstanding common shares and the combined voting power of the then-outstanding voting securities entitled to vote generally in the election of directors, as the case may be, of the entity resulting from such Business Combination (including, without limitation, an entity which as a result of such transaction owns the Corporation or all or substantially all of the Corporation’s assets either directly or through one or more subsidiaries) in substantially the same proportions relative to each other as their ownership, immediately prior to such Business Combination, of the Common Shares and Voting Shares of the Corporation, as the case may be, (B) no Person (excluding any entity resulting from such Business Combination or any employee benefit plan (or related trust) sponsored or maintained by the Corporation or such entity resulting from such Business Combination) beneficially owns, directly or indirectly, 30% or more of, respectively, the then-outstanding common shares of the entity resulting from such Business Combination, or the combined voting power of the then-outstanding voting securities of such entity except to the extent that such ownership existed prior to the Business Combination, and (C) at least a majority of the members of the board of directors of the entity resulting from such Business Combination were members of the Incumbent Board at the time of the execution of the initial agreement, or of the action of the Board, providing for such Business Combination; or</w:t>
      </w:r>
    </w:p>
    <w:p>
      <w:pPr>
        <w:spacing w:after="0" w:line="205" w:lineRule="exact"/>
        <w:rPr>
          <w:rFonts w:ascii="Arial" w:cs="Arial" w:eastAsia="Arial" w:hAnsi="Arial"/>
          <w:sz w:val="17"/>
          <w:szCs w:val="17"/>
          <w:color w:val="auto"/>
        </w:rPr>
      </w:pPr>
    </w:p>
    <w:p>
      <w:pPr>
        <w:ind w:left="900" w:hanging="446"/>
        <w:spacing w:after="0"/>
        <w:tabs>
          <w:tab w:leader="none" w:pos="900" w:val="left"/>
        </w:tabs>
        <w:numPr>
          <w:ilvl w:val="0"/>
          <w:numId w:val="56"/>
        </w:numPr>
        <w:rPr>
          <w:rFonts w:ascii="Arial" w:cs="Arial" w:eastAsia="Arial" w:hAnsi="Arial"/>
          <w:sz w:val="17"/>
          <w:szCs w:val="17"/>
          <w:color w:val="auto"/>
        </w:rPr>
      </w:pPr>
      <w:r>
        <w:rPr>
          <w:rFonts w:ascii="Arial" w:cs="Arial" w:eastAsia="Arial" w:hAnsi="Arial"/>
          <w:sz w:val="17"/>
          <w:szCs w:val="17"/>
          <w:color w:val="auto"/>
        </w:rPr>
        <w:t>Approval by the shareholders of the Corporation of a complete liquidation or dissolution of the Corporation.</w:t>
      </w:r>
    </w:p>
    <w:p>
      <w:pPr>
        <w:spacing w:after="0" w:line="163" w:lineRule="exact"/>
        <w:rPr>
          <w:sz w:val="20"/>
          <w:szCs w:val="20"/>
          <w:color w:val="auto"/>
        </w:rPr>
      </w:pPr>
    </w:p>
    <w:p>
      <w:pPr>
        <w:ind w:left="460"/>
        <w:spacing w:after="0"/>
        <w:rPr>
          <w:sz w:val="20"/>
          <w:szCs w:val="20"/>
          <w:color w:val="auto"/>
        </w:rPr>
      </w:pPr>
      <w:r>
        <w:rPr>
          <w:rFonts w:ascii="Arial" w:cs="Arial" w:eastAsia="Arial" w:hAnsi="Arial"/>
          <w:sz w:val="17"/>
          <w:szCs w:val="17"/>
          <w:color w:val="auto"/>
        </w:rPr>
        <w:t>“</w:t>
      </w:r>
      <w:r>
        <w:rPr>
          <w:rFonts w:ascii="Arial" w:cs="Arial" w:eastAsia="Arial" w:hAnsi="Arial"/>
          <w:sz w:val="17"/>
          <w:szCs w:val="17"/>
          <w:b w:val="1"/>
          <w:bCs w:val="1"/>
          <w:color w:val="auto"/>
        </w:rPr>
        <w:t>Code</w:t>
      </w:r>
      <w:r>
        <w:rPr>
          <w:rFonts w:ascii="Arial" w:cs="Arial" w:eastAsia="Arial" w:hAnsi="Arial"/>
          <w:sz w:val="17"/>
          <w:szCs w:val="17"/>
          <w:color w:val="auto"/>
        </w:rPr>
        <w:t>” means the Internal Revenue Code of 1986, as amended from time to time.</w:t>
      </w:r>
    </w:p>
    <w:p>
      <w:pPr>
        <w:spacing w:after="0" w:line="169" w:lineRule="exact"/>
        <w:rPr>
          <w:sz w:val="20"/>
          <w:szCs w:val="20"/>
          <w:color w:val="auto"/>
        </w:rPr>
      </w:pPr>
    </w:p>
    <w:p>
      <w:pPr>
        <w:ind w:left="460"/>
        <w:spacing w:after="0"/>
        <w:rPr>
          <w:sz w:val="20"/>
          <w:szCs w:val="20"/>
          <w:color w:val="auto"/>
        </w:rPr>
      </w:pPr>
      <w:r>
        <w:rPr>
          <w:rFonts w:ascii="Arial" w:cs="Arial" w:eastAsia="Arial" w:hAnsi="Arial"/>
          <w:sz w:val="17"/>
          <w:szCs w:val="17"/>
          <w:color w:val="auto"/>
        </w:rPr>
        <w:t>“</w:t>
      </w:r>
      <w:r>
        <w:rPr>
          <w:rFonts w:ascii="Arial" w:cs="Arial" w:eastAsia="Arial" w:hAnsi="Arial"/>
          <w:sz w:val="17"/>
          <w:szCs w:val="17"/>
          <w:b w:val="1"/>
          <w:bCs w:val="1"/>
          <w:color w:val="auto"/>
        </w:rPr>
        <w:t>Committee</w:t>
      </w:r>
      <w:r>
        <w:rPr>
          <w:rFonts w:ascii="Arial" w:cs="Arial" w:eastAsia="Arial" w:hAnsi="Arial"/>
          <w:sz w:val="17"/>
          <w:szCs w:val="17"/>
          <w:color w:val="auto"/>
        </w:rPr>
        <w:t xml:space="preserve">” means the Compensation Committee of the Board described in </w:t>
      </w:r>
      <w:r>
        <w:rPr>
          <w:rFonts w:ascii="Arial" w:cs="Arial" w:eastAsia="Arial" w:hAnsi="Arial"/>
          <w:sz w:val="17"/>
          <w:szCs w:val="17"/>
          <w:b w:val="1"/>
          <w:bCs w:val="1"/>
          <w:u w:val="single" w:color="auto"/>
          <w:color w:val="auto"/>
        </w:rPr>
        <w:t>Section 19(a)</w:t>
      </w:r>
      <w:r>
        <w:rPr>
          <w:rFonts w:ascii="Arial" w:cs="Arial" w:eastAsia="Arial" w:hAnsi="Arial"/>
          <w:sz w:val="17"/>
          <w:szCs w:val="17"/>
          <w:color w:val="auto"/>
        </w:rPr>
        <w:t xml:space="preserve"> of this Plan.</w:t>
      </w:r>
    </w:p>
    <w:p>
      <w:pPr>
        <w:spacing w:after="0" w:line="169" w:lineRule="exact"/>
        <w:rPr>
          <w:sz w:val="20"/>
          <w:szCs w:val="20"/>
          <w:color w:val="auto"/>
        </w:rPr>
      </w:pPr>
    </w:p>
    <w:p>
      <w:pPr>
        <w:ind w:left="460" w:right="280"/>
        <w:spacing w:after="0" w:line="268" w:lineRule="auto"/>
        <w:rPr>
          <w:sz w:val="20"/>
          <w:szCs w:val="20"/>
          <w:color w:val="auto"/>
        </w:rPr>
      </w:pPr>
      <w:r>
        <w:rPr>
          <w:rFonts w:ascii="Arial" w:cs="Arial" w:eastAsia="Arial" w:hAnsi="Arial"/>
          <w:sz w:val="17"/>
          <w:szCs w:val="17"/>
          <w:color w:val="auto"/>
        </w:rPr>
        <w:t>“</w:t>
      </w:r>
      <w:r>
        <w:rPr>
          <w:rFonts w:ascii="Arial" w:cs="Arial" w:eastAsia="Arial" w:hAnsi="Arial"/>
          <w:sz w:val="17"/>
          <w:szCs w:val="17"/>
          <w:b w:val="1"/>
          <w:bCs w:val="1"/>
          <w:color w:val="auto"/>
        </w:rPr>
        <w:t>Common Shares</w:t>
      </w:r>
      <w:r>
        <w:rPr>
          <w:rFonts w:ascii="Arial" w:cs="Arial" w:eastAsia="Arial" w:hAnsi="Arial"/>
          <w:sz w:val="17"/>
          <w:szCs w:val="17"/>
          <w:color w:val="auto"/>
        </w:rPr>
        <w:t xml:space="preserve">” means (i) the common shares, without par value, of the Corporation and (ii) any security into which such common shares may be converted by reason of any transaction or event of the type referred to in </w:t>
      </w:r>
      <w:r>
        <w:rPr>
          <w:rFonts w:ascii="Arial" w:cs="Arial" w:eastAsia="Arial" w:hAnsi="Arial"/>
          <w:sz w:val="17"/>
          <w:szCs w:val="17"/>
          <w:b w:val="1"/>
          <w:bCs w:val="1"/>
          <w:u w:val="single" w:color="auto"/>
          <w:color w:val="auto"/>
        </w:rPr>
        <w:t>Section 14</w:t>
      </w:r>
      <w:r>
        <w:rPr>
          <w:rFonts w:ascii="Arial" w:cs="Arial" w:eastAsia="Arial" w:hAnsi="Arial"/>
          <w:sz w:val="17"/>
          <w:szCs w:val="17"/>
          <w:color w:val="auto"/>
        </w:rPr>
        <w:t xml:space="preserve"> of this Plan.</w:t>
      </w:r>
    </w:p>
    <w:p>
      <w:pPr>
        <w:spacing w:after="0" w:line="131" w:lineRule="exact"/>
        <w:rPr>
          <w:sz w:val="20"/>
          <w:szCs w:val="20"/>
          <w:color w:val="auto"/>
        </w:rPr>
      </w:pPr>
    </w:p>
    <w:p>
      <w:pPr>
        <w:ind w:left="460" w:right="240"/>
        <w:spacing w:after="0" w:line="268" w:lineRule="auto"/>
        <w:rPr>
          <w:sz w:val="20"/>
          <w:szCs w:val="20"/>
          <w:color w:val="auto"/>
        </w:rPr>
      </w:pPr>
      <w:r>
        <w:rPr>
          <w:rFonts w:ascii="Arial" w:cs="Arial" w:eastAsia="Arial" w:hAnsi="Arial"/>
          <w:sz w:val="17"/>
          <w:szCs w:val="17"/>
          <w:color w:val="auto"/>
        </w:rPr>
        <w:t>“</w:t>
      </w:r>
      <w:r>
        <w:rPr>
          <w:rFonts w:ascii="Arial" w:cs="Arial" w:eastAsia="Arial" w:hAnsi="Arial"/>
          <w:sz w:val="17"/>
          <w:szCs w:val="17"/>
          <w:b w:val="1"/>
          <w:bCs w:val="1"/>
          <w:color w:val="auto"/>
        </w:rPr>
        <w:t>Covered Employee</w:t>
      </w:r>
      <w:r>
        <w:rPr>
          <w:rFonts w:ascii="Arial" w:cs="Arial" w:eastAsia="Arial" w:hAnsi="Arial"/>
          <w:sz w:val="17"/>
          <w:szCs w:val="17"/>
          <w:color w:val="auto"/>
        </w:rPr>
        <w:t>” means a Participant who is, or is determined by the Committee to be likely to become, a “covered employee” within the meaning of Section 162(m) of the Code (or any successor provision).</w:t>
      </w:r>
    </w:p>
    <w:p>
      <w:pPr>
        <w:spacing w:after="0" w:line="117" w:lineRule="exact"/>
        <w:rPr>
          <w:sz w:val="20"/>
          <w:szCs w:val="20"/>
          <w:color w:val="auto"/>
        </w:rPr>
      </w:pPr>
    </w:p>
    <w:p>
      <w:pPr>
        <w:ind w:left="460" w:right="80"/>
        <w:spacing w:after="0" w:line="241" w:lineRule="auto"/>
        <w:rPr>
          <w:sz w:val="20"/>
          <w:szCs w:val="20"/>
          <w:color w:val="auto"/>
        </w:rPr>
      </w:pPr>
      <w:r>
        <w:rPr>
          <w:rFonts w:ascii="Arial" w:cs="Arial" w:eastAsia="Arial" w:hAnsi="Arial"/>
          <w:sz w:val="17"/>
          <w:szCs w:val="17"/>
          <w:color w:val="auto"/>
        </w:rPr>
        <w:t>“</w:t>
      </w:r>
      <w:r>
        <w:rPr>
          <w:rFonts w:ascii="Arial" w:cs="Arial" w:eastAsia="Arial" w:hAnsi="Arial"/>
          <w:sz w:val="17"/>
          <w:szCs w:val="17"/>
          <w:b w:val="1"/>
          <w:bCs w:val="1"/>
          <w:color w:val="auto"/>
        </w:rPr>
        <w:t>Date of Grant</w:t>
      </w:r>
      <w:r>
        <w:rPr>
          <w:rFonts w:ascii="Arial" w:cs="Arial" w:eastAsia="Arial" w:hAnsi="Arial"/>
          <w:sz w:val="17"/>
          <w:szCs w:val="17"/>
          <w:color w:val="auto"/>
        </w:rPr>
        <w:t xml:space="preserve">” means the date specified by the Committee on which a grant of Option Rights, Appreciation Rights, Performance Shares, Performance Units, or Cash Incentive Awards, or a grant or sale of Restricted Shares, Restricted Stock Units, Deferred Shares, Common Shares, or other awards contemplated by </w:t>
      </w:r>
      <w:r>
        <w:rPr>
          <w:rFonts w:ascii="Arial" w:cs="Arial" w:eastAsia="Arial" w:hAnsi="Arial"/>
          <w:sz w:val="17"/>
          <w:szCs w:val="17"/>
          <w:b w:val="1"/>
          <w:bCs w:val="1"/>
          <w:u w:val="single" w:color="auto"/>
          <w:color w:val="auto"/>
        </w:rPr>
        <w:t>Section 10</w:t>
      </w:r>
      <w:r>
        <w:rPr>
          <w:rFonts w:ascii="Arial" w:cs="Arial" w:eastAsia="Arial" w:hAnsi="Arial"/>
          <w:sz w:val="17"/>
          <w:szCs w:val="17"/>
          <w:color w:val="auto"/>
        </w:rPr>
        <w:t xml:space="preserve"> of this Plan, shall become effective, which date shall not be earlier than the date on which the Committee takes action with respect thereto, including the date on which a grant of Common Shares to a Nonemployee Director becomes effective pursuant to </w:t>
      </w:r>
      <w:r>
        <w:rPr>
          <w:rFonts w:ascii="Arial" w:cs="Arial" w:eastAsia="Arial" w:hAnsi="Arial"/>
          <w:sz w:val="17"/>
          <w:szCs w:val="17"/>
          <w:b w:val="1"/>
          <w:bCs w:val="1"/>
          <w:u w:val="single" w:color="auto"/>
          <w:color w:val="auto"/>
        </w:rPr>
        <w:t>Section 11</w:t>
      </w:r>
      <w:r>
        <w:rPr>
          <w:rFonts w:ascii="Arial" w:cs="Arial" w:eastAsia="Arial" w:hAnsi="Arial"/>
          <w:sz w:val="17"/>
          <w:szCs w:val="17"/>
          <w:color w:val="auto"/>
        </w:rPr>
        <w:t xml:space="preserve"> of this Plan.</w:t>
      </w:r>
    </w:p>
    <w:p>
      <w:pPr>
        <w:spacing w:after="0" w:line="139" w:lineRule="exact"/>
        <w:rPr>
          <w:sz w:val="20"/>
          <w:szCs w:val="20"/>
          <w:color w:val="auto"/>
        </w:rPr>
      </w:pPr>
    </w:p>
    <w:p>
      <w:pPr>
        <w:ind w:left="460"/>
        <w:spacing w:after="0"/>
        <w:rPr>
          <w:sz w:val="20"/>
          <w:szCs w:val="20"/>
          <w:color w:val="auto"/>
        </w:rPr>
      </w:pPr>
      <w:r>
        <w:rPr>
          <w:rFonts w:ascii="Arial" w:cs="Arial" w:eastAsia="Arial" w:hAnsi="Arial"/>
          <w:sz w:val="17"/>
          <w:szCs w:val="17"/>
          <w:color w:val="auto"/>
        </w:rPr>
        <w:t>“</w:t>
      </w:r>
      <w:r>
        <w:rPr>
          <w:rFonts w:ascii="Arial" w:cs="Arial" w:eastAsia="Arial" w:hAnsi="Arial"/>
          <w:sz w:val="17"/>
          <w:szCs w:val="17"/>
          <w:b w:val="1"/>
          <w:bCs w:val="1"/>
          <w:color w:val="auto"/>
        </w:rPr>
        <w:t>Deferral Period</w:t>
      </w:r>
      <w:r>
        <w:rPr>
          <w:rFonts w:ascii="Arial" w:cs="Arial" w:eastAsia="Arial" w:hAnsi="Arial"/>
          <w:sz w:val="17"/>
          <w:szCs w:val="17"/>
          <w:color w:val="auto"/>
        </w:rPr>
        <w:t xml:space="preserve">” means the period of time during which Deferred Shares are subject to deferral limitations under </w:t>
      </w:r>
      <w:r>
        <w:rPr>
          <w:rFonts w:ascii="Arial" w:cs="Arial" w:eastAsia="Arial" w:hAnsi="Arial"/>
          <w:sz w:val="17"/>
          <w:szCs w:val="17"/>
          <w:b w:val="1"/>
          <w:bCs w:val="1"/>
          <w:u w:val="single" w:color="auto"/>
          <w:color w:val="auto"/>
        </w:rPr>
        <w:t>Section 8</w:t>
      </w:r>
      <w:r>
        <w:rPr>
          <w:rFonts w:ascii="Arial" w:cs="Arial" w:eastAsia="Arial" w:hAnsi="Arial"/>
          <w:sz w:val="17"/>
          <w:szCs w:val="17"/>
          <w:color w:val="auto"/>
        </w:rPr>
        <w:t xml:space="preserve"> of this Plan.</w:t>
      </w:r>
    </w:p>
    <w:p>
      <w:pPr>
        <w:spacing w:after="0" w:line="183" w:lineRule="exact"/>
        <w:rPr>
          <w:sz w:val="20"/>
          <w:szCs w:val="20"/>
          <w:color w:val="auto"/>
        </w:rPr>
      </w:pPr>
    </w:p>
    <w:p>
      <w:pPr>
        <w:ind w:left="460" w:right="80"/>
        <w:spacing w:after="0" w:line="268" w:lineRule="auto"/>
        <w:rPr>
          <w:sz w:val="20"/>
          <w:szCs w:val="20"/>
          <w:color w:val="auto"/>
        </w:rPr>
      </w:pPr>
      <w:r>
        <w:rPr>
          <w:rFonts w:ascii="Arial" w:cs="Arial" w:eastAsia="Arial" w:hAnsi="Arial"/>
          <w:sz w:val="17"/>
          <w:szCs w:val="17"/>
          <w:color w:val="auto"/>
        </w:rPr>
        <w:t>“</w:t>
      </w:r>
      <w:r>
        <w:rPr>
          <w:rFonts w:ascii="Arial" w:cs="Arial" w:eastAsia="Arial" w:hAnsi="Arial"/>
          <w:sz w:val="17"/>
          <w:szCs w:val="17"/>
          <w:b w:val="1"/>
          <w:bCs w:val="1"/>
          <w:color w:val="auto"/>
        </w:rPr>
        <w:t>Deferred Shares</w:t>
      </w:r>
      <w:r>
        <w:rPr>
          <w:rFonts w:ascii="Arial" w:cs="Arial" w:eastAsia="Arial" w:hAnsi="Arial"/>
          <w:sz w:val="17"/>
          <w:szCs w:val="17"/>
          <w:color w:val="auto"/>
        </w:rPr>
        <w:t xml:space="preserve">” means an award pursuant to </w:t>
      </w:r>
      <w:r>
        <w:rPr>
          <w:rFonts w:ascii="Arial" w:cs="Arial" w:eastAsia="Arial" w:hAnsi="Arial"/>
          <w:sz w:val="17"/>
          <w:szCs w:val="17"/>
          <w:b w:val="1"/>
          <w:bCs w:val="1"/>
          <w:u w:val="single" w:color="auto"/>
          <w:color w:val="auto"/>
        </w:rPr>
        <w:t>Section 8</w:t>
      </w:r>
      <w:r>
        <w:rPr>
          <w:rFonts w:ascii="Arial" w:cs="Arial" w:eastAsia="Arial" w:hAnsi="Arial"/>
          <w:sz w:val="17"/>
          <w:szCs w:val="17"/>
          <w:color w:val="auto"/>
        </w:rPr>
        <w:t xml:space="preserve"> of this Plan of the right to receive Common Shares at the end of a specified Deferral Period.</w:t>
      </w:r>
    </w:p>
    <w:p>
      <w:pPr>
        <w:spacing w:after="0" w:line="121" w:lineRule="exact"/>
        <w:rPr>
          <w:sz w:val="20"/>
          <w:szCs w:val="20"/>
          <w:color w:val="auto"/>
        </w:rPr>
      </w:pPr>
    </w:p>
    <w:p>
      <w:pPr>
        <w:spacing w:after="0"/>
        <w:rPr>
          <w:sz w:val="20"/>
          <w:szCs w:val="20"/>
          <w:color w:val="auto"/>
        </w:rPr>
      </w:pPr>
      <w:r>
        <w:rPr>
          <w:rFonts w:ascii="Arial" w:cs="Arial" w:eastAsia="Arial" w:hAnsi="Arial"/>
          <w:sz w:val="14"/>
          <w:szCs w:val="14"/>
          <w:color w:val="auto"/>
        </w:rPr>
        <w:t>A-2</w:t>
      </w:r>
    </w:p>
    <w:p>
      <w:pPr>
        <w:sectPr>
          <w:pgSz w:w="11900" w:h="16838" w:orient="portrait"/>
          <w:cols w:equalWidth="0" w:num="1">
            <w:col w:w="11380"/>
          </w:cols>
          <w:pgMar w:left="240" w:top="459" w:right="279" w:bottom="1440" w:gutter="0" w:footer="0" w:header="0"/>
        </w:sectPr>
      </w:pPr>
    </w:p>
    <w:bookmarkStart w:id="90" w:name="page91"/>
    <w:bookmarkEnd w:id="9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243">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2715260</wp:posOffset>
            </wp:positionH>
            <wp:positionV relativeFrom="paragraph">
              <wp:posOffset>205740</wp:posOffset>
            </wp:positionV>
            <wp:extent cx="1826895" cy="205740"/>
            <wp:wrapNone/>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244">
                      <a:extLst>
                        <a:ext uri="{28A0092B-C50C-407E-A947-70E740481C1C}"/>
                      </a:extLst>
                    </a:blip>
                    <a:srcRect/>
                    <a:stretch>
                      <a:fillRect/>
                    </a:stretch>
                  </pic:blipFill>
                  <pic:spPr bwMode="auto">
                    <a:xfrm>
                      <a:off x="0" y="0"/>
                      <a:ext cx="1826895" cy="20574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50" w:lineRule="exact"/>
        <w:rPr>
          <w:sz w:val="20"/>
          <w:szCs w:val="20"/>
          <w:color w:val="auto"/>
        </w:rPr>
      </w:pPr>
    </w:p>
    <w:p>
      <w:pPr>
        <w:ind w:left="460"/>
        <w:spacing w:after="0"/>
        <w:rPr>
          <w:sz w:val="20"/>
          <w:szCs w:val="20"/>
          <w:color w:val="auto"/>
        </w:rPr>
      </w:pPr>
      <w:r>
        <w:rPr>
          <w:rFonts w:ascii="Arial" w:cs="Arial" w:eastAsia="Arial" w:hAnsi="Arial"/>
          <w:sz w:val="17"/>
          <w:szCs w:val="17"/>
          <w:color w:val="auto"/>
        </w:rPr>
        <w:t>“</w:t>
      </w:r>
      <w:r>
        <w:rPr>
          <w:rFonts w:ascii="Arial" w:cs="Arial" w:eastAsia="Arial" w:hAnsi="Arial"/>
          <w:sz w:val="17"/>
          <w:szCs w:val="17"/>
          <w:b w:val="1"/>
          <w:bCs w:val="1"/>
          <w:color w:val="auto"/>
        </w:rPr>
        <w:t>Effective Date</w:t>
      </w:r>
      <w:r>
        <w:rPr>
          <w:rFonts w:ascii="Arial" w:cs="Arial" w:eastAsia="Arial" w:hAnsi="Arial"/>
          <w:sz w:val="17"/>
          <w:szCs w:val="17"/>
          <w:color w:val="auto"/>
        </w:rPr>
        <w:t>” means the date this Plan is approved by the Corporation’s shareholders.</w:t>
      </w:r>
    </w:p>
    <w:p>
      <w:pPr>
        <w:spacing w:after="0" w:line="183" w:lineRule="exact"/>
        <w:rPr>
          <w:sz w:val="20"/>
          <w:szCs w:val="20"/>
          <w:color w:val="auto"/>
        </w:rPr>
      </w:pPr>
    </w:p>
    <w:p>
      <w:pPr>
        <w:ind w:left="460" w:right="140"/>
        <w:spacing w:after="0" w:line="244" w:lineRule="auto"/>
        <w:rPr>
          <w:sz w:val="20"/>
          <w:szCs w:val="20"/>
          <w:color w:val="auto"/>
        </w:rPr>
      </w:pPr>
      <w:r>
        <w:rPr>
          <w:rFonts w:ascii="Arial" w:cs="Arial" w:eastAsia="Arial" w:hAnsi="Arial"/>
          <w:sz w:val="17"/>
          <w:szCs w:val="17"/>
          <w:color w:val="auto"/>
        </w:rPr>
        <w:t>“</w:t>
      </w:r>
      <w:r>
        <w:rPr>
          <w:rFonts w:ascii="Arial" w:cs="Arial" w:eastAsia="Arial" w:hAnsi="Arial"/>
          <w:sz w:val="17"/>
          <w:szCs w:val="17"/>
          <w:b w:val="1"/>
          <w:bCs w:val="1"/>
          <w:color w:val="auto"/>
        </w:rPr>
        <w:t>Evidence of Award</w:t>
      </w:r>
      <w:r>
        <w:rPr>
          <w:rFonts w:ascii="Arial" w:cs="Arial" w:eastAsia="Arial" w:hAnsi="Arial"/>
          <w:sz w:val="17"/>
          <w:szCs w:val="17"/>
          <w:color w:val="auto"/>
        </w:rPr>
        <w:t>” means an agreement, certificate, resolution or other type or form of writing or other evidence approved by the Committee which sets forth the terms and conditions of one or more awards granted under this Plan. An Evidence of Award may be in any electronic medium, may be limited to notation on the books and records of the Corporation and, unless otherwise determined by the Committee, need not be signed by a representative of the Corporation or a Participant.</w:t>
      </w:r>
    </w:p>
    <w:p>
      <w:pPr>
        <w:spacing w:after="0" w:line="137" w:lineRule="exact"/>
        <w:rPr>
          <w:sz w:val="20"/>
          <w:szCs w:val="20"/>
          <w:color w:val="auto"/>
        </w:rPr>
      </w:pPr>
    </w:p>
    <w:p>
      <w:pPr>
        <w:ind w:left="460" w:right="380"/>
        <w:spacing w:after="0" w:line="268" w:lineRule="auto"/>
        <w:rPr>
          <w:sz w:val="20"/>
          <w:szCs w:val="20"/>
          <w:color w:val="auto"/>
        </w:rPr>
      </w:pPr>
      <w:r>
        <w:rPr>
          <w:rFonts w:ascii="Arial" w:cs="Arial" w:eastAsia="Arial" w:hAnsi="Arial"/>
          <w:sz w:val="17"/>
          <w:szCs w:val="17"/>
          <w:color w:val="auto"/>
        </w:rPr>
        <w:t>“</w:t>
      </w:r>
      <w:r>
        <w:rPr>
          <w:rFonts w:ascii="Arial" w:cs="Arial" w:eastAsia="Arial" w:hAnsi="Arial"/>
          <w:sz w:val="17"/>
          <w:szCs w:val="17"/>
          <w:b w:val="1"/>
          <w:bCs w:val="1"/>
          <w:color w:val="auto"/>
        </w:rPr>
        <w:t>Exchange Act</w:t>
      </w:r>
      <w:r>
        <w:rPr>
          <w:rFonts w:ascii="Arial" w:cs="Arial" w:eastAsia="Arial" w:hAnsi="Arial"/>
          <w:sz w:val="17"/>
          <w:szCs w:val="17"/>
          <w:color w:val="auto"/>
        </w:rPr>
        <w:t>” means the Securities Exchange Act of 1934, as amended, and the rules and regulations thereunder, as such law, rules and regulations may be amended from time to time.</w:t>
      </w:r>
    </w:p>
    <w:p>
      <w:pPr>
        <w:spacing w:after="0" w:line="117" w:lineRule="exact"/>
        <w:rPr>
          <w:sz w:val="20"/>
          <w:szCs w:val="20"/>
          <w:color w:val="auto"/>
        </w:rPr>
      </w:pPr>
    </w:p>
    <w:p>
      <w:pPr>
        <w:ind w:left="460" w:right="80"/>
        <w:spacing w:after="0" w:line="268" w:lineRule="auto"/>
        <w:rPr>
          <w:sz w:val="20"/>
          <w:szCs w:val="20"/>
          <w:color w:val="auto"/>
        </w:rPr>
      </w:pPr>
      <w:r>
        <w:rPr>
          <w:rFonts w:ascii="Arial" w:cs="Arial" w:eastAsia="Arial" w:hAnsi="Arial"/>
          <w:sz w:val="17"/>
          <w:szCs w:val="17"/>
          <w:color w:val="auto"/>
        </w:rPr>
        <w:t>“</w:t>
      </w:r>
      <w:r>
        <w:rPr>
          <w:rFonts w:ascii="Arial" w:cs="Arial" w:eastAsia="Arial" w:hAnsi="Arial"/>
          <w:sz w:val="17"/>
          <w:szCs w:val="17"/>
          <w:b w:val="1"/>
          <w:bCs w:val="1"/>
          <w:color w:val="auto"/>
        </w:rPr>
        <w:t>Free-Standing Appreciation Right</w:t>
      </w:r>
      <w:r>
        <w:rPr>
          <w:rFonts w:ascii="Arial" w:cs="Arial" w:eastAsia="Arial" w:hAnsi="Arial"/>
          <w:sz w:val="17"/>
          <w:szCs w:val="17"/>
          <w:color w:val="auto"/>
        </w:rPr>
        <w:t xml:space="preserve">” means an Appreciation Right granted pursuant to </w:t>
      </w:r>
      <w:r>
        <w:rPr>
          <w:rFonts w:ascii="Arial" w:cs="Arial" w:eastAsia="Arial" w:hAnsi="Arial"/>
          <w:sz w:val="17"/>
          <w:szCs w:val="17"/>
          <w:b w:val="1"/>
          <w:bCs w:val="1"/>
          <w:u w:val="single" w:color="auto"/>
          <w:color w:val="auto"/>
        </w:rPr>
        <w:t>Section 5</w:t>
      </w:r>
      <w:r>
        <w:rPr>
          <w:rFonts w:ascii="Arial" w:cs="Arial" w:eastAsia="Arial" w:hAnsi="Arial"/>
          <w:sz w:val="17"/>
          <w:szCs w:val="17"/>
          <w:color w:val="auto"/>
        </w:rPr>
        <w:t xml:space="preserve"> of this Plan that is not granted in tandem with an Option Right or similar right.</w:t>
      </w:r>
    </w:p>
    <w:p>
      <w:pPr>
        <w:spacing w:after="0" w:line="131" w:lineRule="exact"/>
        <w:rPr>
          <w:sz w:val="20"/>
          <w:szCs w:val="20"/>
          <w:color w:val="auto"/>
        </w:rPr>
      </w:pPr>
    </w:p>
    <w:p>
      <w:pPr>
        <w:ind w:left="460" w:right="200"/>
        <w:spacing w:after="0" w:line="268" w:lineRule="auto"/>
        <w:rPr>
          <w:sz w:val="20"/>
          <w:szCs w:val="20"/>
          <w:color w:val="auto"/>
        </w:rPr>
      </w:pPr>
      <w:r>
        <w:rPr>
          <w:rFonts w:ascii="Arial" w:cs="Arial" w:eastAsia="Arial" w:hAnsi="Arial"/>
          <w:sz w:val="17"/>
          <w:szCs w:val="17"/>
          <w:color w:val="auto"/>
        </w:rPr>
        <w:t>“</w:t>
      </w:r>
      <w:r>
        <w:rPr>
          <w:rFonts w:ascii="Arial" w:cs="Arial" w:eastAsia="Arial" w:hAnsi="Arial"/>
          <w:sz w:val="17"/>
          <w:szCs w:val="17"/>
          <w:b w:val="1"/>
          <w:bCs w:val="1"/>
          <w:color w:val="auto"/>
        </w:rPr>
        <w:t>Incentive Stock Options</w:t>
      </w:r>
      <w:r>
        <w:rPr>
          <w:rFonts w:ascii="Arial" w:cs="Arial" w:eastAsia="Arial" w:hAnsi="Arial"/>
          <w:sz w:val="17"/>
          <w:szCs w:val="17"/>
          <w:color w:val="auto"/>
        </w:rPr>
        <w:t>” means Option Rights that are intended to qualify as “incentive stock options” under Section 422 of the Code or any successor provision.</w:t>
      </w:r>
    </w:p>
    <w:p>
      <w:pPr>
        <w:spacing w:after="0" w:line="117" w:lineRule="exact"/>
        <w:rPr>
          <w:sz w:val="20"/>
          <w:szCs w:val="20"/>
          <w:color w:val="auto"/>
        </w:rPr>
      </w:pPr>
    </w:p>
    <w:p>
      <w:pPr>
        <w:ind w:left="460" w:right="80"/>
        <w:spacing w:after="0" w:line="235" w:lineRule="auto"/>
        <w:rPr>
          <w:sz w:val="20"/>
          <w:szCs w:val="20"/>
          <w:color w:val="auto"/>
        </w:rPr>
      </w:pPr>
      <w:r>
        <w:rPr>
          <w:rFonts w:ascii="Arial" w:cs="Arial" w:eastAsia="Arial" w:hAnsi="Arial"/>
          <w:sz w:val="17"/>
          <w:szCs w:val="17"/>
          <w:color w:val="auto"/>
        </w:rPr>
        <w:t>“</w:t>
      </w:r>
      <w:r>
        <w:rPr>
          <w:rFonts w:ascii="Arial" w:cs="Arial" w:eastAsia="Arial" w:hAnsi="Arial"/>
          <w:sz w:val="17"/>
          <w:szCs w:val="17"/>
          <w:b w:val="1"/>
          <w:bCs w:val="1"/>
          <w:color w:val="auto"/>
        </w:rPr>
        <w:t>Management Objectives</w:t>
      </w:r>
      <w:r>
        <w:rPr>
          <w:rFonts w:ascii="Arial" w:cs="Arial" w:eastAsia="Arial" w:hAnsi="Arial"/>
          <w:sz w:val="17"/>
          <w:szCs w:val="17"/>
          <w:color w:val="auto"/>
        </w:rPr>
        <w:t>” means the measurable performance objective or objectives established pursuant to this Plan for Participants who have received grants of Performance Shares, Performance Units or Cash Incentive Awards or, when so determined by the Committee, Option Rights, Appreciation Rights, Restricted Shares, Restricted Stock Units, Deferred Shares, dividend equivalents or other awards pursuant to this Plan. Management Objectives may be described in terms of Corporation-wide objectives or objectives that are related to the performance of the individual Participant or of one or more of the Subsidiaries, divisions, departments, regions, functions or other organizational units within the Corporation and its Subsidiaries. The Management Objectives may be made relative to the performance of other companies or subsidiaries, divisions, departments, regions, functions or other organizational units within such other companies, and may be made relative to an index or one or more of the performance objectives themselves. The Committee may grant awards subject to Management Objectives that are either Qualified Performance-Based Awards or are not Qualified Performance-Based Awards. The Management Objectives applicable to any Qualified Performance-Based Award to a Covered Employee will be based on one or more, or a combination, of the following criteria: cash flow; comparisons with various stock market indices; cost of capital; customer service; debt reduction; earnings; earnings before interest and taxes; earnings before interest, taxes, depreciation and amortization; earnings per share; economic profit; free cash flow; gross profits; inventory management; net income; productivity improvement; profit after tax; reduction of fixed costs; return on assets; return on equity; return on invested capital; sales; shareholder return and/or working capital.</w:t>
      </w:r>
    </w:p>
    <w:p>
      <w:pPr>
        <w:spacing w:after="0" w:line="163" w:lineRule="exact"/>
        <w:rPr>
          <w:sz w:val="20"/>
          <w:szCs w:val="20"/>
          <w:color w:val="auto"/>
        </w:rPr>
      </w:pPr>
    </w:p>
    <w:p>
      <w:pPr>
        <w:ind w:left="460"/>
        <w:spacing w:after="0" w:line="234" w:lineRule="auto"/>
        <w:rPr>
          <w:sz w:val="20"/>
          <w:szCs w:val="20"/>
          <w:color w:val="auto"/>
        </w:rPr>
      </w:pPr>
      <w:r>
        <w:rPr>
          <w:rFonts w:ascii="Arial" w:cs="Arial" w:eastAsia="Arial" w:hAnsi="Arial"/>
          <w:sz w:val="17"/>
          <w:szCs w:val="17"/>
          <w:color w:val="auto"/>
        </w:rPr>
        <w:t>In the case of a Qualified Performance-Based Award, each Management Objective will be objectively determinable to the extent required under Section 162(m) of the Code, and, unless otherwise determined by the Committee and to the extent consistent with Section 162(m) of the Code, will exclude the effects of certain designated items identified at the time of grant. If the Committee determines that a change in the business, operations, corporate structure or capital structure of the Corporation, or the manner in which it conducts its business, or other events or circumstances render the Management Objectives unsuitable, the Committee may in its discretion modify such Management Objectives or the related minimum acceptable level of achievement, in whole or in part, as the Committee deems appropriate and equitable, except in the case of a Qualified Performance-Based Award (other than in connection with a Change in Control) where such action would result in the loss of the otherwise available exemption of the award under Section 162(m) of the Code. In such case, the Committee will not make any modification of the Management Objectives or minimum acceptable level of achievement with respect to such Covered Employee.</w:t>
      </w:r>
    </w:p>
    <w:p>
      <w:pPr>
        <w:spacing w:after="0" w:line="146" w:lineRule="exact"/>
        <w:rPr>
          <w:sz w:val="20"/>
          <w:szCs w:val="20"/>
          <w:color w:val="auto"/>
        </w:rPr>
      </w:pPr>
    </w:p>
    <w:p>
      <w:pPr>
        <w:ind w:left="11120"/>
        <w:spacing w:after="0"/>
        <w:rPr>
          <w:sz w:val="20"/>
          <w:szCs w:val="20"/>
          <w:color w:val="auto"/>
        </w:rPr>
      </w:pPr>
      <w:r>
        <w:rPr>
          <w:rFonts w:ascii="Arial" w:cs="Arial" w:eastAsia="Arial" w:hAnsi="Arial"/>
          <w:sz w:val="14"/>
          <w:szCs w:val="14"/>
          <w:color w:val="auto"/>
        </w:rPr>
        <w:t>A-3</w:t>
      </w:r>
    </w:p>
    <w:p>
      <w:pPr>
        <w:sectPr>
          <w:pgSz w:w="11900" w:h="16838" w:orient="portrait"/>
          <w:cols w:equalWidth="0" w:num="1">
            <w:col w:w="11420"/>
          </w:cols>
          <w:pgMar w:left="240" w:top="459" w:right="239" w:bottom="1440" w:gutter="0" w:footer="0" w:header="0"/>
        </w:sectPr>
      </w:pPr>
    </w:p>
    <w:bookmarkStart w:id="91" w:name="page92"/>
    <w:bookmarkEnd w:id="9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245">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3109595</wp:posOffset>
            </wp:positionH>
            <wp:positionV relativeFrom="paragraph">
              <wp:posOffset>205740</wp:posOffset>
            </wp:positionV>
            <wp:extent cx="1046480" cy="205740"/>
            <wp:wrapNone/>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246">
                      <a:extLst>
                        <a:ext uri="{28A0092B-C50C-407E-A947-70E740481C1C}"/>
                      </a:extLst>
                    </a:blip>
                    <a:srcRect/>
                    <a:stretch>
                      <a:fillRect/>
                    </a:stretch>
                  </pic:blipFill>
                  <pic:spPr bwMode="auto">
                    <a:xfrm>
                      <a:off x="0" y="0"/>
                      <a:ext cx="1046480" cy="20574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50" w:lineRule="exact"/>
        <w:rPr>
          <w:sz w:val="20"/>
          <w:szCs w:val="20"/>
          <w:color w:val="auto"/>
        </w:rPr>
      </w:pPr>
    </w:p>
    <w:p>
      <w:pPr>
        <w:ind w:left="460"/>
        <w:spacing w:after="0" w:line="237" w:lineRule="auto"/>
        <w:rPr>
          <w:sz w:val="20"/>
          <w:szCs w:val="20"/>
          <w:color w:val="auto"/>
        </w:rPr>
      </w:pPr>
      <w:r>
        <w:rPr>
          <w:rFonts w:ascii="Arial" w:cs="Arial" w:eastAsia="Arial" w:hAnsi="Arial"/>
          <w:sz w:val="17"/>
          <w:szCs w:val="17"/>
          <w:color w:val="auto"/>
        </w:rPr>
        <w:t>“</w:t>
      </w:r>
      <w:r>
        <w:rPr>
          <w:rFonts w:ascii="Arial" w:cs="Arial" w:eastAsia="Arial" w:hAnsi="Arial"/>
          <w:sz w:val="17"/>
          <w:szCs w:val="17"/>
          <w:b w:val="1"/>
          <w:bCs w:val="1"/>
          <w:color w:val="auto"/>
        </w:rPr>
        <w:t>Market Value per Share</w:t>
      </w:r>
      <w:r>
        <w:rPr>
          <w:rFonts w:ascii="Arial" w:cs="Arial" w:eastAsia="Arial" w:hAnsi="Arial"/>
          <w:sz w:val="17"/>
          <w:szCs w:val="17"/>
          <w:color w:val="auto"/>
        </w:rPr>
        <w:t>” means as of any particular date the closing sale price of the Common Shares as reported on the New York Stock Exchange or, if not listed on such exchange, on any other national securities exchange on which the Common Shares are listed. If the Common Shares are not traded as of any given date, the Market Value per Share means the closing price for the Common Shares on the principal exchange on which the Common Shares are traded for the immediately preceding date on which the Common Shares were traded. If there is no regular public trading market for the Common Shares, the Market Value per Share of the Common Shares shall be the fair market value of the Common Shares as determined in good faith by the Committee. The Committee is authorized to adopt another fair market value pricing method, provided such method is stated in the Evidence of Award, and is in compliance with the fair market value pricing rules set forth in Section 409A of the Code.</w:t>
      </w:r>
    </w:p>
    <w:p>
      <w:pPr>
        <w:spacing w:after="0" w:line="157" w:lineRule="exact"/>
        <w:rPr>
          <w:sz w:val="20"/>
          <w:szCs w:val="20"/>
          <w:color w:val="auto"/>
        </w:rPr>
      </w:pPr>
    </w:p>
    <w:p>
      <w:pPr>
        <w:ind w:left="460"/>
        <w:spacing w:after="0"/>
        <w:rPr>
          <w:sz w:val="20"/>
          <w:szCs w:val="20"/>
          <w:color w:val="auto"/>
        </w:rPr>
      </w:pPr>
      <w:r>
        <w:rPr>
          <w:rFonts w:ascii="Arial" w:cs="Arial" w:eastAsia="Arial" w:hAnsi="Arial"/>
          <w:sz w:val="17"/>
          <w:szCs w:val="17"/>
          <w:color w:val="auto"/>
        </w:rPr>
        <w:t>“</w:t>
      </w:r>
      <w:r>
        <w:rPr>
          <w:rFonts w:ascii="Arial" w:cs="Arial" w:eastAsia="Arial" w:hAnsi="Arial"/>
          <w:sz w:val="17"/>
          <w:szCs w:val="17"/>
          <w:b w:val="1"/>
          <w:bCs w:val="1"/>
          <w:color w:val="auto"/>
        </w:rPr>
        <w:t>Nonemployee Director</w:t>
      </w:r>
      <w:r>
        <w:rPr>
          <w:rFonts w:ascii="Arial" w:cs="Arial" w:eastAsia="Arial" w:hAnsi="Arial"/>
          <w:sz w:val="17"/>
          <w:szCs w:val="17"/>
          <w:color w:val="auto"/>
        </w:rPr>
        <w:t>” means a member of the Board who is not an employee of the Corporation or any of its Subsidiaries.</w:t>
      </w:r>
    </w:p>
    <w:p>
      <w:pPr>
        <w:spacing w:after="0" w:line="169" w:lineRule="exact"/>
        <w:rPr>
          <w:sz w:val="20"/>
          <w:szCs w:val="20"/>
          <w:color w:val="auto"/>
        </w:rPr>
      </w:pPr>
    </w:p>
    <w:p>
      <w:pPr>
        <w:ind w:left="460"/>
        <w:spacing w:after="0"/>
        <w:rPr>
          <w:sz w:val="20"/>
          <w:szCs w:val="20"/>
          <w:color w:val="auto"/>
        </w:rPr>
      </w:pPr>
      <w:r>
        <w:rPr>
          <w:rFonts w:ascii="Arial" w:cs="Arial" w:eastAsia="Arial" w:hAnsi="Arial"/>
          <w:sz w:val="17"/>
          <w:szCs w:val="17"/>
          <w:color w:val="auto"/>
        </w:rPr>
        <w:t>“</w:t>
      </w:r>
      <w:r>
        <w:rPr>
          <w:rFonts w:ascii="Arial" w:cs="Arial" w:eastAsia="Arial" w:hAnsi="Arial"/>
          <w:sz w:val="17"/>
          <w:szCs w:val="17"/>
          <w:b w:val="1"/>
          <w:bCs w:val="1"/>
          <w:color w:val="auto"/>
        </w:rPr>
        <w:t>Optionee</w:t>
      </w:r>
      <w:r>
        <w:rPr>
          <w:rFonts w:ascii="Arial" w:cs="Arial" w:eastAsia="Arial" w:hAnsi="Arial"/>
          <w:sz w:val="17"/>
          <w:szCs w:val="17"/>
          <w:color w:val="auto"/>
        </w:rPr>
        <w:t>” means the person named in an Evidence of Award evidencing an outstanding Option Right.</w:t>
      </w:r>
    </w:p>
    <w:p>
      <w:pPr>
        <w:spacing w:after="0" w:line="169" w:lineRule="exact"/>
        <w:rPr>
          <w:sz w:val="20"/>
          <w:szCs w:val="20"/>
          <w:color w:val="auto"/>
        </w:rPr>
      </w:pPr>
    </w:p>
    <w:p>
      <w:pPr>
        <w:ind w:left="460"/>
        <w:spacing w:after="0"/>
        <w:rPr>
          <w:sz w:val="20"/>
          <w:szCs w:val="20"/>
          <w:color w:val="auto"/>
        </w:rPr>
      </w:pPr>
      <w:r>
        <w:rPr>
          <w:rFonts w:ascii="Arial" w:cs="Arial" w:eastAsia="Arial" w:hAnsi="Arial"/>
          <w:sz w:val="17"/>
          <w:szCs w:val="17"/>
          <w:color w:val="auto"/>
        </w:rPr>
        <w:t>“</w:t>
      </w:r>
      <w:r>
        <w:rPr>
          <w:rFonts w:ascii="Arial" w:cs="Arial" w:eastAsia="Arial" w:hAnsi="Arial"/>
          <w:sz w:val="17"/>
          <w:szCs w:val="17"/>
          <w:b w:val="1"/>
          <w:bCs w:val="1"/>
          <w:color w:val="auto"/>
        </w:rPr>
        <w:t>Option Price</w:t>
      </w:r>
      <w:r>
        <w:rPr>
          <w:rFonts w:ascii="Arial" w:cs="Arial" w:eastAsia="Arial" w:hAnsi="Arial"/>
          <w:sz w:val="17"/>
          <w:szCs w:val="17"/>
          <w:color w:val="auto"/>
        </w:rPr>
        <w:t>” means the purchase price payable upon the exercise of an Option Right.</w:t>
      </w:r>
    </w:p>
    <w:p>
      <w:pPr>
        <w:spacing w:after="0" w:line="183" w:lineRule="exact"/>
        <w:rPr>
          <w:sz w:val="20"/>
          <w:szCs w:val="20"/>
          <w:color w:val="auto"/>
        </w:rPr>
      </w:pPr>
    </w:p>
    <w:p>
      <w:pPr>
        <w:ind w:left="460"/>
        <w:spacing w:after="0"/>
        <w:rPr>
          <w:sz w:val="20"/>
          <w:szCs w:val="20"/>
          <w:color w:val="auto"/>
        </w:rPr>
      </w:pPr>
      <w:r>
        <w:rPr>
          <w:rFonts w:ascii="Arial" w:cs="Arial" w:eastAsia="Arial" w:hAnsi="Arial"/>
          <w:sz w:val="17"/>
          <w:szCs w:val="17"/>
          <w:color w:val="auto"/>
        </w:rPr>
        <w:t>“</w:t>
      </w:r>
      <w:r>
        <w:rPr>
          <w:rFonts w:ascii="Arial" w:cs="Arial" w:eastAsia="Arial" w:hAnsi="Arial"/>
          <w:sz w:val="17"/>
          <w:szCs w:val="17"/>
          <w:b w:val="1"/>
          <w:bCs w:val="1"/>
          <w:color w:val="auto"/>
        </w:rPr>
        <w:t>Option Right</w:t>
      </w:r>
      <w:r>
        <w:rPr>
          <w:rFonts w:ascii="Arial" w:cs="Arial" w:eastAsia="Arial" w:hAnsi="Arial"/>
          <w:sz w:val="17"/>
          <w:szCs w:val="17"/>
          <w:color w:val="auto"/>
        </w:rPr>
        <w:t xml:space="preserve">” means the right to purchase Common Shares upon exercise of an option granted pursuant to </w:t>
      </w:r>
      <w:r>
        <w:rPr>
          <w:rFonts w:ascii="Arial" w:cs="Arial" w:eastAsia="Arial" w:hAnsi="Arial"/>
          <w:sz w:val="17"/>
          <w:szCs w:val="17"/>
          <w:b w:val="1"/>
          <w:bCs w:val="1"/>
          <w:u w:val="single" w:color="auto"/>
          <w:color w:val="auto"/>
        </w:rPr>
        <w:t>Section 4</w:t>
      </w:r>
      <w:r>
        <w:rPr>
          <w:rFonts w:ascii="Arial" w:cs="Arial" w:eastAsia="Arial" w:hAnsi="Arial"/>
          <w:sz w:val="17"/>
          <w:szCs w:val="17"/>
          <w:color w:val="auto"/>
        </w:rPr>
        <w:t xml:space="preserve"> of this Plan.</w:t>
      </w:r>
    </w:p>
    <w:p>
      <w:pPr>
        <w:spacing w:after="0" w:line="169" w:lineRule="exact"/>
        <w:rPr>
          <w:sz w:val="20"/>
          <w:szCs w:val="20"/>
          <w:color w:val="auto"/>
        </w:rPr>
      </w:pPr>
    </w:p>
    <w:p>
      <w:pPr>
        <w:ind w:left="460"/>
        <w:spacing w:after="0" w:line="239" w:lineRule="auto"/>
        <w:rPr>
          <w:sz w:val="20"/>
          <w:szCs w:val="20"/>
          <w:color w:val="auto"/>
        </w:rPr>
      </w:pPr>
      <w:r>
        <w:rPr>
          <w:rFonts w:ascii="Arial" w:cs="Arial" w:eastAsia="Arial" w:hAnsi="Arial"/>
          <w:sz w:val="17"/>
          <w:szCs w:val="17"/>
          <w:color w:val="auto"/>
        </w:rPr>
        <w:t>“</w:t>
      </w:r>
      <w:r>
        <w:rPr>
          <w:rFonts w:ascii="Arial" w:cs="Arial" w:eastAsia="Arial" w:hAnsi="Arial"/>
          <w:sz w:val="17"/>
          <w:szCs w:val="17"/>
          <w:b w:val="1"/>
          <w:bCs w:val="1"/>
          <w:color w:val="auto"/>
        </w:rPr>
        <w:t>Participant</w:t>
      </w:r>
      <w:r>
        <w:rPr>
          <w:rFonts w:ascii="Arial" w:cs="Arial" w:eastAsia="Arial" w:hAnsi="Arial"/>
          <w:sz w:val="17"/>
          <w:szCs w:val="17"/>
          <w:color w:val="auto"/>
        </w:rPr>
        <w:t>” means a person who is selected by the Committee to receive benefits under this Plan and who is at that time an officer, including, without limitation, an officer who may also be a member of the Board, or other key employee of the Corporation or any of its Subsidiaries or who has agreed to commence serving in any such capacity within 90 days of the Date of Grant, and shall also include each Nonemployee Director who receives an award pursuant to this Plan. The term “</w:t>
      </w:r>
      <w:r>
        <w:rPr>
          <w:rFonts w:ascii="Arial" w:cs="Arial" w:eastAsia="Arial" w:hAnsi="Arial"/>
          <w:sz w:val="17"/>
          <w:szCs w:val="17"/>
          <w:b w:val="1"/>
          <w:bCs w:val="1"/>
          <w:i w:val="1"/>
          <w:iCs w:val="1"/>
          <w:color w:val="auto"/>
        </w:rPr>
        <w:t>Participant</w:t>
      </w:r>
      <w:r>
        <w:rPr>
          <w:rFonts w:ascii="Arial" w:cs="Arial" w:eastAsia="Arial" w:hAnsi="Arial"/>
          <w:sz w:val="17"/>
          <w:szCs w:val="17"/>
          <w:color w:val="auto"/>
        </w:rPr>
        <w:t>” shall also include any person who provides services to the Corporation or any of its Subsidiaries that are equivalent to those typically provided by an employee (provided that such person satisfies the Form S-8 definition of “employee”).</w:t>
      </w:r>
    </w:p>
    <w:p>
      <w:pPr>
        <w:spacing w:after="0" w:line="142" w:lineRule="exact"/>
        <w:rPr>
          <w:sz w:val="20"/>
          <w:szCs w:val="20"/>
          <w:color w:val="auto"/>
        </w:rPr>
      </w:pPr>
    </w:p>
    <w:p>
      <w:pPr>
        <w:ind w:left="460" w:right="380"/>
        <w:spacing w:after="0" w:line="268" w:lineRule="auto"/>
        <w:rPr>
          <w:sz w:val="20"/>
          <w:szCs w:val="20"/>
          <w:color w:val="auto"/>
        </w:rPr>
      </w:pPr>
      <w:r>
        <w:rPr>
          <w:rFonts w:ascii="Arial" w:cs="Arial" w:eastAsia="Arial" w:hAnsi="Arial"/>
          <w:sz w:val="17"/>
          <w:szCs w:val="17"/>
          <w:color w:val="auto"/>
        </w:rPr>
        <w:t>“</w:t>
      </w:r>
      <w:r>
        <w:rPr>
          <w:rFonts w:ascii="Arial" w:cs="Arial" w:eastAsia="Arial" w:hAnsi="Arial"/>
          <w:sz w:val="17"/>
          <w:szCs w:val="17"/>
          <w:b w:val="1"/>
          <w:bCs w:val="1"/>
          <w:color w:val="auto"/>
        </w:rPr>
        <w:t>Performance Period</w:t>
      </w:r>
      <w:r>
        <w:rPr>
          <w:rFonts w:ascii="Arial" w:cs="Arial" w:eastAsia="Arial" w:hAnsi="Arial"/>
          <w:sz w:val="17"/>
          <w:szCs w:val="17"/>
          <w:color w:val="auto"/>
        </w:rPr>
        <w:t xml:space="preserve">” means, in respect of a Cash Incentive Award, Performance Share or Performance Unit, a period of time established pursuant to </w:t>
      </w:r>
      <w:r>
        <w:rPr>
          <w:rFonts w:ascii="Arial" w:cs="Arial" w:eastAsia="Arial" w:hAnsi="Arial"/>
          <w:sz w:val="17"/>
          <w:szCs w:val="17"/>
          <w:b w:val="1"/>
          <w:bCs w:val="1"/>
          <w:u w:val="single" w:color="auto"/>
          <w:color w:val="auto"/>
        </w:rPr>
        <w:t>Section 9</w:t>
      </w:r>
      <w:r>
        <w:rPr>
          <w:rFonts w:ascii="Arial" w:cs="Arial" w:eastAsia="Arial" w:hAnsi="Arial"/>
          <w:sz w:val="17"/>
          <w:szCs w:val="17"/>
          <w:color w:val="auto"/>
        </w:rPr>
        <w:t xml:space="preserve"> of this Plan within which the Management Objectives relating thereto are to be achieved.</w:t>
      </w:r>
    </w:p>
    <w:p>
      <w:pPr>
        <w:spacing w:after="0" w:line="131" w:lineRule="exact"/>
        <w:rPr>
          <w:sz w:val="20"/>
          <w:szCs w:val="20"/>
          <w:color w:val="auto"/>
        </w:rPr>
      </w:pPr>
    </w:p>
    <w:p>
      <w:pPr>
        <w:ind w:left="460" w:right="320"/>
        <w:spacing w:after="0" w:line="268" w:lineRule="auto"/>
        <w:rPr>
          <w:sz w:val="20"/>
          <w:szCs w:val="20"/>
          <w:color w:val="auto"/>
        </w:rPr>
      </w:pPr>
      <w:r>
        <w:rPr>
          <w:rFonts w:ascii="Arial" w:cs="Arial" w:eastAsia="Arial" w:hAnsi="Arial"/>
          <w:sz w:val="17"/>
          <w:szCs w:val="17"/>
          <w:color w:val="auto"/>
        </w:rPr>
        <w:t>“</w:t>
      </w:r>
      <w:r>
        <w:rPr>
          <w:rFonts w:ascii="Arial" w:cs="Arial" w:eastAsia="Arial" w:hAnsi="Arial"/>
          <w:sz w:val="17"/>
          <w:szCs w:val="17"/>
          <w:b w:val="1"/>
          <w:bCs w:val="1"/>
          <w:color w:val="auto"/>
        </w:rPr>
        <w:t>Performance Share</w:t>
      </w:r>
      <w:r>
        <w:rPr>
          <w:rFonts w:ascii="Arial" w:cs="Arial" w:eastAsia="Arial" w:hAnsi="Arial"/>
          <w:sz w:val="17"/>
          <w:szCs w:val="17"/>
          <w:color w:val="auto"/>
        </w:rPr>
        <w:t xml:space="preserve">” means a bookkeeping entry that records the equivalent of one Common Share awarded pursuant to </w:t>
      </w:r>
      <w:r>
        <w:rPr>
          <w:rFonts w:ascii="Arial" w:cs="Arial" w:eastAsia="Arial" w:hAnsi="Arial"/>
          <w:sz w:val="17"/>
          <w:szCs w:val="17"/>
          <w:b w:val="1"/>
          <w:bCs w:val="1"/>
          <w:u w:val="single" w:color="auto"/>
          <w:color w:val="auto"/>
        </w:rPr>
        <w:t>Section 9</w:t>
      </w:r>
      <w:r>
        <w:rPr>
          <w:rFonts w:ascii="Arial" w:cs="Arial" w:eastAsia="Arial" w:hAnsi="Arial"/>
          <w:sz w:val="17"/>
          <w:szCs w:val="17"/>
          <w:color w:val="auto"/>
        </w:rPr>
        <w:t xml:space="preserve"> of this Plan.</w:t>
      </w:r>
    </w:p>
    <w:p>
      <w:pPr>
        <w:spacing w:after="0" w:line="117" w:lineRule="exact"/>
        <w:rPr>
          <w:sz w:val="20"/>
          <w:szCs w:val="20"/>
          <w:color w:val="auto"/>
        </w:rPr>
      </w:pPr>
    </w:p>
    <w:p>
      <w:pPr>
        <w:ind w:left="460" w:right="120"/>
        <w:spacing w:after="0" w:line="268" w:lineRule="auto"/>
        <w:rPr>
          <w:sz w:val="20"/>
          <w:szCs w:val="20"/>
          <w:color w:val="auto"/>
        </w:rPr>
      </w:pPr>
      <w:r>
        <w:rPr>
          <w:rFonts w:ascii="Arial" w:cs="Arial" w:eastAsia="Arial" w:hAnsi="Arial"/>
          <w:sz w:val="17"/>
          <w:szCs w:val="17"/>
          <w:color w:val="auto"/>
        </w:rPr>
        <w:t>“</w:t>
      </w:r>
      <w:r>
        <w:rPr>
          <w:rFonts w:ascii="Arial" w:cs="Arial" w:eastAsia="Arial" w:hAnsi="Arial"/>
          <w:sz w:val="17"/>
          <w:szCs w:val="17"/>
          <w:b w:val="1"/>
          <w:bCs w:val="1"/>
          <w:color w:val="auto"/>
        </w:rPr>
        <w:t>Performance Unit</w:t>
      </w:r>
      <w:r>
        <w:rPr>
          <w:rFonts w:ascii="Arial" w:cs="Arial" w:eastAsia="Arial" w:hAnsi="Arial"/>
          <w:sz w:val="17"/>
          <w:szCs w:val="17"/>
          <w:color w:val="auto"/>
        </w:rPr>
        <w:t xml:space="preserve">” means a bookkeeping entry that records a unit equivalent to $1.00 or such other value as is determined by the Committee awarded pursuant to </w:t>
      </w:r>
      <w:r>
        <w:rPr>
          <w:rFonts w:ascii="Arial" w:cs="Arial" w:eastAsia="Arial" w:hAnsi="Arial"/>
          <w:sz w:val="17"/>
          <w:szCs w:val="17"/>
          <w:b w:val="1"/>
          <w:bCs w:val="1"/>
          <w:u w:val="single" w:color="auto"/>
          <w:color w:val="auto"/>
        </w:rPr>
        <w:t>Section 9</w:t>
      </w:r>
      <w:r>
        <w:rPr>
          <w:rFonts w:ascii="Arial" w:cs="Arial" w:eastAsia="Arial" w:hAnsi="Arial"/>
          <w:sz w:val="17"/>
          <w:szCs w:val="17"/>
          <w:color w:val="auto"/>
        </w:rPr>
        <w:t xml:space="preserve"> of this Plan.</w:t>
      </w:r>
    </w:p>
    <w:p>
      <w:pPr>
        <w:spacing w:after="0" w:line="117" w:lineRule="exact"/>
        <w:rPr>
          <w:sz w:val="20"/>
          <w:szCs w:val="20"/>
          <w:color w:val="auto"/>
        </w:rPr>
      </w:pPr>
    </w:p>
    <w:p>
      <w:pPr>
        <w:ind w:left="460" w:right="140"/>
        <w:spacing w:after="0" w:line="250" w:lineRule="auto"/>
        <w:rPr>
          <w:sz w:val="20"/>
          <w:szCs w:val="20"/>
          <w:color w:val="auto"/>
        </w:rPr>
      </w:pPr>
      <w:r>
        <w:rPr>
          <w:rFonts w:ascii="Arial" w:cs="Arial" w:eastAsia="Arial" w:hAnsi="Arial"/>
          <w:sz w:val="17"/>
          <w:szCs w:val="17"/>
          <w:color w:val="auto"/>
        </w:rPr>
        <w:t>“</w:t>
      </w:r>
      <w:r>
        <w:rPr>
          <w:rFonts w:ascii="Arial" w:cs="Arial" w:eastAsia="Arial" w:hAnsi="Arial"/>
          <w:sz w:val="17"/>
          <w:szCs w:val="17"/>
          <w:b w:val="1"/>
          <w:bCs w:val="1"/>
          <w:color w:val="auto"/>
        </w:rPr>
        <w:t>Qualified Performance-Based Award</w:t>
      </w:r>
      <w:r>
        <w:rPr>
          <w:rFonts w:ascii="Arial" w:cs="Arial" w:eastAsia="Arial" w:hAnsi="Arial"/>
          <w:sz w:val="17"/>
          <w:szCs w:val="17"/>
          <w:color w:val="auto"/>
        </w:rPr>
        <w:t xml:space="preserve">” means any Cash Incentive Award or award of Performance Shares, Performance Units, Restricted Shares, Restricted Stock Units, or other awards contemplated under </w:t>
      </w:r>
      <w:r>
        <w:rPr>
          <w:rFonts w:ascii="Arial" w:cs="Arial" w:eastAsia="Arial" w:hAnsi="Arial"/>
          <w:sz w:val="17"/>
          <w:szCs w:val="17"/>
          <w:b w:val="1"/>
          <w:bCs w:val="1"/>
          <w:u w:val="single" w:color="auto"/>
          <w:color w:val="auto"/>
        </w:rPr>
        <w:t>Section 10</w:t>
      </w:r>
      <w:r>
        <w:rPr>
          <w:rFonts w:ascii="Arial" w:cs="Arial" w:eastAsia="Arial" w:hAnsi="Arial"/>
          <w:sz w:val="17"/>
          <w:szCs w:val="17"/>
          <w:color w:val="auto"/>
        </w:rPr>
        <w:t xml:space="preserve"> of this Plan, or portion of such award, to a Covered Employee that is intended to satisfy the requirements for “qualified performance-based compensation” under Section 162(m) of the Code.</w:t>
      </w:r>
    </w:p>
    <w:p>
      <w:pPr>
        <w:spacing w:after="0" w:line="145" w:lineRule="exact"/>
        <w:rPr>
          <w:sz w:val="20"/>
          <w:szCs w:val="20"/>
          <w:color w:val="auto"/>
        </w:rPr>
      </w:pPr>
    </w:p>
    <w:p>
      <w:pPr>
        <w:ind w:left="460" w:right="520"/>
        <w:spacing w:after="0" w:line="268" w:lineRule="auto"/>
        <w:rPr>
          <w:sz w:val="20"/>
          <w:szCs w:val="20"/>
          <w:color w:val="auto"/>
        </w:rPr>
      </w:pPr>
      <w:r>
        <w:rPr>
          <w:rFonts w:ascii="Arial" w:cs="Arial" w:eastAsia="Arial" w:hAnsi="Arial"/>
          <w:sz w:val="17"/>
          <w:szCs w:val="17"/>
          <w:color w:val="auto"/>
        </w:rPr>
        <w:t>“</w:t>
      </w:r>
      <w:r>
        <w:rPr>
          <w:rFonts w:ascii="Arial" w:cs="Arial" w:eastAsia="Arial" w:hAnsi="Arial"/>
          <w:sz w:val="17"/>
          <w:szCs w:val="17"/>
          <w:b w:val="1"/>
          <w:bCs w:val="1"/>
          <w:color w:val="auto"/>
        </w:rPr>
        <w:t>Restricted Shares</w:t>
      </w:r>
      <w:r>
        <w:rPr>
          <w:rFonts w:ascii="Arial" w:cs="Arial" w:eastAsia="Arial" w:hAnsi="Arial"/>
          <w:sz w:val="17"/>
          <w:szCs w:val="17"/>
          <w:color w:val="auto"/>
        </w:rPr>
        <w:t xml:space="preserve">” means Common Shares granted or sold pursuant to </w:t>
      </w:r>
      <w:r>
        <w:rPr>
          <w:rFonts w:ascii="Arial" w:cs="Arial" w:eastAsia="Arial" w:hAnsi="Arial"/>
          <w:sz w:val="17"/>
          <w:szCs w:val="17"/>
          <w:b w:val="1"/>
          <w:bCs w:val="1"/>
          <w:u w:val="single" w:color="auto"/>
          <w:color w:val="auto"/>
        </w:rPr>
        <w:t>Section 6</w:t>
      </w:r>
      <w:r>
        <w:rPr>
          <w:rFonts w:ascii="Arial" w:cs="Arial" w:eastAsia="Arial" w:hAnsi="Arial"/>
          <w:sz w:val="17"/>
          <w:szCs w:val="17"/>
          <w:color w:val="auto"/>
        </w:rPr>
        <w:t xml:space="preserve"> of this Plan as to which neither the substantial risk of forfeiture nor the restrictions on transfer referred to in </w:t>
      </w:r>
      <w:r>
        <w:rPr>
          <w:rFonts w:ascii="Arial" w:cs="Arial" w:eastAsia="Arial" w:hAnsi="Arial"/>
          <w:sz w:val="17"/>
          <w:szCs w:val="17"/>
          <w:b w:val="1"/>
          <w:bCs w:val="1"/>
          <w:u w:val="single" w:color="auto"/>
          <w:color w:val="auto"/>
        </w:rPr>
        <w:t>Section 6</w:t>
      </w:r>
      <w:r>
        <w:rPr>
          <w:rFonts w:ascii="Arial" w:cs="Arial" w:eastAsia="Arial" w:hAnsi="Arial"/>
          <w:sz w:val="17"/>
          <w:szCs w:val="17"/>
          <w:color w:val="auto"/>
        </w:rPr>
        <w:t xml:space="preserve"> hereof has expired.</w:t>
      </w:r>
    </w:p>
    <w:p>
      <w:pPr>
        <w:spacing w:after="0" w:line="117" w:lineRule="exact"/>
        <w:rPr>
          <w:sz w:val="20"/>
          <w:szCs w:val="20"/>
          <w:color w:val="auto"/>
        </w:rPr>
      </w:pPr>
    </w:p>
    <w:p>
      <w:pPr>
        <w:ind w:left="460" w:right="840"/>
        <w:spacing w:after="0" w:line="268" w:lineRule="auto"/>
        <w:rPr>
          <w:sz w:val="20"/>
          <w:szCs w:val="20"/>
          <w:color w:val="auto"/>
        </w:rPr>
      </w:pPr>
      <w:r>
        <w:rPr>
          <w:rFonts w:ascii="Arial" w:cs="Arial" w:eastAsia="Arial" w:hAnsi="Arial"/>
          <w:sz w:val="17"/>
          <w:szCs w:val="17"/>
          <w:color w:val="auto"/>
        </w:rPr>
        <w:t>“</w:t>
      </w:r>
      <w:r>
        <w:rPr>
          <w:rFonts w:ascii="Arial" w:cs="Arial" w:eastAsia="Arial" w:hAnsi="Arial"/>
          <w:sz w:val="17"/>
          <w:szCs w:val="17"/>
          <w:b w:val="1"/>
          <w:bCs w:val="1"/>
          <w:color w:val="auto"/>
        </w:rPr>
        <w:t>Restricted Stock Unit</w:t>
      </w:r>
      <w:r>
        <w:rPr>
          <w:rFonts w:ascii="Arial" w:cs="Arial" w:eastAsia="Arial" w:hAnsi="Arial"/>
          <w:sz w:val="17"/>
          <w:szCs w:val="17"/>
          <w:color w:val="auto"/>
        </w:rPr>
        <w:t xml:space="preserve">” means an award made pursuant to </w:t>
      </w:r>
      <w:r>
        <w:rPr>
          <w:rFonts w:ascii="Arial" w:cs="Arial" w:eastAsia="Arial" w:hAnsi="Arial"/>
          <w:sz w:val="17"/>
          <w:szCs w:val="17"/>
          <w:b w:val="1"/>
          <w:bCs w:val="1"/>
          <w:u w:val="single" w:color="auto"/>
          <w:color w:val="auto"/>
        </w:rPr>
        <w:t>Section 7</w:t>
      </w:r>
      <w:r>
        <w:rPr>
          <w:rFonts w:ascii="Arial" w:cs="Arial" w:eastAsia="Arial" w:hAnsi="Arial"/>
          <w:sz w:val="17"/>
          <w:szCs w:val="17"/>
          <w:color w:val="auto"/>
        </w:rPr>
        <w:t xml:space="preserve"> of this Plan of the right to receive Common Shares, cash, or a combination thereof, at the end of a specified period.</w:t>
      </w:r>
    </w:p>
    <w:p>
      <w:pPr>
        <w:spacing w:after="0" w:line="121" w:lineRule="exact"/>
        <w:rPr>
          <w:sz w:val="20"/>
          <w:szCs w:val="20"/>
          <w:color w:val="auto"/>
        </w:rPr>
      </w:pPr>
    </w:p>
    <w:p>
      <w:pPr>
        <w:spacing w:after="0"/>
        <w:rPr>
          <w:sz w:val="20"/>
          <w:szCs w:val="20"/>
          <w:color w:val="auto"/>
        </w:rPr>
      </w:pPr>
      <w:r>
        <w:rPr>
          <w:rFonts w:ascii="Arial" w:cs="Arial" w:eastAsia="Arial" w:hAnsi="Arial"/>
          <w:sz w:val="14"/>
          <w:szCs w:val="14"/>
          <w:color w:val="auto"/>
        </w:rPr>
        <w:t>A-4</w:t>
      </w:r>
    </w:p>
    <w:p>
      <w:pPr>
        <w:sectPr>
          <w:pgSz w:w="11900" w:h="16838" w:orient="portrait"/>
          <w:cols w:equalWidth="0" w:num="1">
            <w:col w:w="11360"/>
          </w:cols>
          <w:pgMar w:left="240" w:top="459" w:right="299" w:bottom="1440" w:gutter="0" w:footer="0" w:header="0"/>
        </w:sectPr>
      </w:pPr>
    </w:p>
    <w:bookmarkStart w:id="92" w:name="page93"/>
    <w:bookmarkEnd w:id="9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247">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2715260</wp:posOffset>
            </wp:positionH>
            <wp:positionV relativeFrom="paragraph">
              <wp:posOffset>205740</wp:posOffset>
            </wp:positionV>
            <wp:extent cx="1826895" cy="205740"/>
            <wp:wrapNone/>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248">
                      <a:extLst>
                        <a:ext uri="{28A0092B-C50C-407E-A947-70E740481C1C}"/>
                      </a:extLst>
                    </a:blip>
                    <a:srcRect/>
                    <a:stretch>
                      <a:fillRect/>
                    </a:stretch>
                  </pic:blipFill>
                  <pic:spPr bwMode="auto">
                    <a:xfrm>
                      <a:off x="0" y="0"/>
                      <a:ext cx="1826895" cy="20574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50" w:lineRule="exact"/>
        <w:rPr>
          <w:sz w:val="20"/>
          <w:szCs w:val="20"/>
          <w:color w:val="auto"/>
        </w:rPr>
      </w:pPr>
    </w:p>
    <w:p>
      <w:pPr>
        <w:ind w:left="460" w:right="260"/>
        <w:spacing w:after="0" w:line="268" w:lineRule="auto"/>
        <w:rPr>
          <w:sz w:val="20"/>
          <w:szCs w:val="20"/>
          <w:color w:val="auto"/>
        </w:rPr>
      </w:pPr>
      <w:r>
        <w:rPr>
          <w:rFonts w:ascii="Arial" w:cs="Arial" w:eastAsia="Arial" w:hAnsi="Arial"/>
          <w:sz w:val="17"/>
          <w:szCs w:val="17"/>
          <w:color w:val="auto"/>
        </w:rPr>
        <w:t>“</w:t>
      </w:r>
      <w:r>
        <w:rPr>
          <w:rFonts w:ascii="Arial" w:cs="Arial" w:eastAsia="Arial" w:hAnsi="Arial"/>
          <w:sz w:val="17"/>
          <w:szCs w:val="17"/>
          <w:b w:val="1"/>
          <w:bCs w:val="1"/>
          <w:color w:val="auto"/>
        </w:rPr>
        <w:t>Restriction Period</w:t>
      </w:r>
      <w:r>
        <w:rPr>
          <w:rFonts w:ascii="Arial" w:cs="Arial" w:eastAsia="Arial" w:hAnsi="Arial"/>
          <w:sz w:val="17"/>
          <w:szCs w:val="17"/>
          <w:color w:val="auto"/>
        </w:rPr>
        <w:t xml:space="preserve">” means the period of time during which Restricted Stock Units are subject to restrictions, as provided in </w:t>
      </w:r>
      <w:r>
        <w:rPr>
          <w:rFonts w:ascii="Arial" w:cs="Arial" w:eastAsia="Arial" w:hAnsi="Arial"/>
          <w:sz w:val="17"/>
          <w:szCs w:val="17"/>
          <w:b w:val="1"/>
          <w:bCs w:val="1"/>
          <w:u w:val="single" w:color="auto"/>
          <w:color w:val="auto"/>
        </w:rPr>
        <w:t>Section 7</w:t>
      </w:r>
      <w:r>
        <w:rPr>
          <w:rFonts w:ascii="Arial" w:cs="Arial" w:eastAsia="Arial" w:hAnsi="Arial"/>
          <w:sz w:val="17"/>
          <w:szCs w:val="17"/>
          <w:color w:val="auto"/>
        </w:rPr>
        <w:t xml:space="preserve"> of this Plan.</w:t>
      </w:r>
    </w:p>
    <w:p>
      <w:pPr>
        <w:spacing w:after="0" w:line="131" w:lineRule="exact"/>
        <w:rPr>
          <w:sz w:val="20"/>
          <w:szCs w:val="20"/>
          <w:color w:val="auto"/>
        </w:rPr>
      </w:pPr>
    </w:p>
    <w:p>
      <w:pPr>
        <w:ind w:left="460" w:right="40"/>
        <w:spacing w:after="0" w:line="268" w:lineRule="auto"/>
        <w:rPr>
          <w:sz w:val="20"/>
          <w:szCs w:val="20"/>
          <w:color w:val="auto"/>
        </w:rPr>
      </w:pPr>
      <w:r>
        <w:rPr>
          <w:rFonts w:ascii="Arial" w:cs="Arial" w:eastAsia="Arial" w:hAnsi="Arial"/>
          <w:sz w:val="17"/>
          <w:szCs w:val="17"/>
          <w:color w:val="auto"/>
        </w:rPr>
        <w:t>“</w:t>
      </w:r>
      <w:r>
        <w:rPr>
          <w:rFonts w:ascii="Arial" w:cs="Arial" w:eastAsia="Arial" w:hAnsi="Arial"/>
          <w:sz w:val="17"/>
          <w:szCs w:val="17"/>
          <w:b w:val="1"/>
          <w:bCs w:val="1"/>
          <w:color w:val="auto"/>
        </w:rPr>
        <w:t>Rule 16b-3</w:t>
      </w:r>
      <w:r>
        <w:rPr>
          <w:rFonts w:ascii="Arial" w:cs="Arial" w:eastAsia="Arial" w:hAnsi="Arial"/>
          <w:sz w:val="17"/>
          <w:szCs w:val="17"/>
          <w:color w:val="auto"/>
        </w:rPr>
        <w:t>” means Rule 16b-3 of the Securities and Exchange Commission promulgated under the Exchange Act (or any successor rule to the same effect), as in effect from time to time.</w:t>
      </w:r>
    </w:p>
    <w:p>
      <w:pPr>
        <w:spacing w:after="0" w:line="117" w:lineRule="exact"/>
        <w:rPr>
          <w:sz w:val="20"/>
          <w:szCs w:val="20"/>
          <w:color w:val="auto"/>
        </w:rPr>
      </w:pPr>
    </w:p>
    <w:p>
      <w:pPr>
        <w:ind w:left="460" w:right="160"/>
        <w:spacing w:after="0" w:line="250" w:lineRule="auto"/>
        <w:rPr>
          <w:sz w:val="20"/>
          <w:szCs w:val="20"/>
          <w:color w:val="auto"/>
        </w:rPr>
      </w:pPr>
      <w:r>
        <w:rPr>
          <w:rFonts w:ascii="Arial" w:cs="Arial" w:eastAsia="Arial" w:hAnsi="Arial"/>
          <w:sz w:val="17"/>
          <w:szCs w:val="17"/>
          <w:color w:val="auto"/>
        </w:rPr>
        <w:t>“</w:t>
      </w:r>
      <w:r>
        <w:rPr>
          <w:rFonts w:ascii="Arial" w:cs="Arial" w:eastAsia="Arial" w:hAnsi="Arial"/>
          <w:sz w:val="17"/>
          <w:szCs w:val="17"/>
          <w:b w:val="1"/>
          <w:bCs w:val="1"/>
          <w:color w:val="auto"/>
        </w:rPr>
        <w:t>Spread</w:t>
      </w:r>
      <w:r>
        <w:rPr>
          <w:rFonts w:ascii="Arial" w:cs="Arial" w:eastAsia="Arial" w:hAnsi="Arial"/>
          <w:sz w:val="17"/>
          <w:szCs w:val="17"/>
          <w:color w:val="auto"/>
        </w:rPr>
        <w:t>” means, in the case of a Free-Standing Appreciation Right, the amount by which the Market Value per Share on the date when any such right is exercised exceeds the Base Price specified for such right or, in the case of a Tandem Appreciation Right, the amount by which the Market Value per Share on the date when any such right is exercised exceeds the Option Price specified for the related Option Right.</w:t>
      </w:r>
    </w:p>
    <w:p>
      <w:pPr>
        <w:spacing w:after="0" w:line="132" w:lineRule="exact"/>
        <w:rPr>
          <w:sz w:val="20"/>
          <w:szCs w:val="20"/>
          <w:color w:val="auto"/>
        </w:rPr>
      </w:pPr>
    </w:p>
    <w:p>
      <w:pPr>
        <w:ind w:left="460"/>
        <w:spacing w:after="0" w:line="241" w:lineRule="auto"/>
        <w:rPr>
          <w:sz w:val="20"/>
          <w:szCs w:val="20"/>
          <w:color w:val="auto"/>
        </w:rPr>
      </w:pPr>
      <w:r>
        <w:rPr>
          <w:rFonts w:ascii="Arial" w:cs="Arial" w:eastAsia="Arial" w:hAnsi="Arial"/>
          <w:sz w:val="17"/>
          <w:szCs w:val="17"/>
          <w:color w:val="auto"/>
        </w:rPr>
        <w:t>“</w:t>
      </w:r>
      <w:r>
        <w:rPr>
          <w:rFonts w:ascii="Arial" w:cs="Arial" w:eastAsia="Arial" w:hAnsi="Arial"/>
          <w:sz w:val="17"/>
          <w:szCs w:val="17"/>
          <w:b w:val="1"/>
          <w:bCs w:val="1"/>
          <w:color w:val="auto"/>
        </w:rPr>
        <w:t>Subsidiary</w:t>
      </w:r>
      <w:r>
        <w:rPr>
          <w:rFonts w:ascii="Arial" w:cs="Arial" w:eastAsia="Arial" w:hAnsi="Arial"/>
          <w:sz w:val="17"/>
          <w:szCs w:val="17"/>
          <w:color w:val="auto"/>
        </w:rPr>
        <w:t xml:space="preserve">” means a corporation, partnership, joint venture, unincorporated association or other entity in which the applicable parent entity has a direct or indirect ownership or other equity interest;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w:t>
      </w:r>
      <w:r>
        <w:rPr>
          <w:rFonts w:ascii="Arial" w:cs="Arial" w:eastAsia="Arial" w:hAnsi="Arial"/>
          <w:sz w:val="17"/>
          <w:szCs w:val="17"/>
          <w:u w:val="single" w:color="auto"/>
          <w:color w:val="auto"/>
        </w:rPr>
        <w:t>however</w:t>
      </w:r>
      <w:r>
        <w:rPr>
          <w:rFonts w:ascii="Arial" w:cs="Arial" w:eastAsia="Arial" w:hAnsi="Arial"/>
          <w:sz w:val="17"/>
          <w:szCs w:val="17"/>
          <w:color w:val="auto"/>
        </w:rPr>
        <w:t>, for purposes of determining whether any person may be a Participant for purposes of any grant of Incentive Stock Options, “</w:t>
      </w:r>
      <w:r>
        <w:rPr>
          <w:rFonts w:ascii="Arial" w:cs="Arial" w:eastAsia="Arial" w:hAnsi="Arial"/>
          <w:sz w:val="17"/>
          <w:szCs w:val="17"/>
          <w:b w:val="1"/>
          <w:bCs w:val="1"/>
          <w:i w:val="1"/>
          <w:iCs w:val="1"/>
          <w:color w:val="auto"/>
        </w:rPr>
        <w:t>Subsidiary</w:t>
      </w:r>
      <w:r>
        <w:rPr>
          <w:rFonts w:ascii="Arial" w:cs="Arial" w:eastAsia="Arial" w:hAnsi="Arial"/>
          <w:sz w:val="17"/>
          <w:szCs w:val="17"/>
          <w:color w:val="auto"/>
        </w:rPr>
        <w:t>” means any corporation in which the applicable parent entity owns or controls directly or indirectly more than 50 percent of the total combined voting power represented by all classes of stock issued by such entity at the time of such grant.</w:t>
      </w:r>
    </w:p>
    <w:p>
      <w:pPr>
        <w:spacing w:after="0" w:line="153" w:lineRule="exact"/>
        <w:rPr>
          <w:sz w:val="20"/>
          <w:szCs w:val="20"/>
          <w:color w:val="auto"/>
        </w:rPr>
      </w:pPr>
    </w:p>
    <w:p>
      <w:pPr>
        <w:ind w:left="460" w:right="60"/>
        <w:spacing w:after="0" w:line="268" w:lineRule="auto"/>
        <w:rPr>
          <w:sz w:val="20"/>
          <w:szCs w:val="20"/>
          <w:color w:val="auto"/>
        </w:rPr>
      </w:pPr>
      <w:r>
        <w:rPr>
          <w:rFonts w:ascii="Arial" w:cs="Arial" w:eastAsia="Arial" w:hAnsi="Arial"/>
          <w:sz w:val="17"/>
          <w:szCs w:val="17"/>
          <w:color w:val="auto"/>
        </w:rPr>
        <w:t>“</w:t>
      </w:r>
      <w:r>
        <w:rPr>
          <w:rFonts w:ascii="Arial" w:cs="Arial" w:eastAsia="Arial" w:hAnsi="Arial"/>
          <w:sz w:val="17"/>
          <w:szCs w:val="17"/>
          <w:b w:val="1"/>
          <w:bCs w:val="1"/>
          <w:color w:val="auto"/>
        </w:rPr>
        <w:t>Tandem Appreciation Right</w:t>
      </w:r>
      <w:r>
        <w:rPr>
          <w:rFonts w:ascii="Arial" w:cs="Arial" w:eastAsia="Arial" w:hAnsi="Arial"/>
          <w:sz w:val="17"/>
          <w:szCs w:val="17"/>
          <w:color w:val="auto"/>
        </w:rPr>
        <w:t xml:space="preserve">” means an Appreciation Right granted pursuant to </w:t>
      </w:r>
      <w:r>
        <w:rPr>
          <w:rFonts w:ascii="Arial" w:cs="Arial" w:eastAsia="Arial" w:hAnsi="Arial"/>
          <w:sz w:val="17"/>
          <w:szCs w:val="17"/>
          <w:b w:val="1"/>
          <w:bCs w:val="1"/>
          <w:u w:val="single" w:color="auto"/>
          <w:color w:val="auto"/>
        </w:rPr>
        <w:t>Section 5</w:t>
      </w:r>
      <w:r>
        <w:rPr>
          <w:rFonts w:ascii="Arial" w:cs="Arial" w:eastAsia="Arial" w:hAnsi="Arial"/>
          <w:sz w:val="17"/>
          <w:szCs w:val="17"/>
          <w:color w:val="auto"/>
        </w:rPr>
        <w:t xml:space="preserve"> of this Plan that is granted in tandem with an Option Right or any similar right granted under any other plan of the Corporation.</w:t>
      </w:r>
    </w:p>
    <w:p>
      <w:pPr>
        <w:spacing w:after="0" w:line="158" w:lineRule="exact"/>
        <w:rPr>
          <w:sz w:val="20"/>
          <w:szCs w:val="20"/>
          <w:color w:val="auto"/>
        </w:rPr>
      </w:pPr>
    </w:p>
    <w:p>
      <w:pPr>
        <w:ind w:left="460" w:hanging="452"/>
        <w:spacing w:after="0"/>
        <w:tabs>
          <w:tab w:leader="none" w:pos="460" w:val="left"/>
        </w:tabs>
        <w:numPr>
          <w:ilvl w:val="0"/>
          <w:numId w:val="57"/>
        </w:numPr>
        <w:rPr>
          <w:rFonts w:ascii="Arial" w:cs="Arial" w:eastAsia="Arial" w:hAnsi="Arial"/>
          <w:sz w:val="17"/>
          <w:szCs w:val="17"/>
          <w:color w:val="auto"/>
        </w:rPr>
      </w:pPr>
      <w:r>
        <w:rPr>
          <w:rFonts w:ascii="Arial" w:cs="Arial" w:eastAsia="Arial" w:hAnsi="Arial"/>
          <w:sz w:val="17"/>
          <w:szCs w:val="17"/>
          <w:b w:val="1"/>
          <w:bCs w:val="1"/>
          <w:color w:val="auto"/>
        </w:rPr>
        <w:t>Maximum Shares Available Under the Plan; Life of Plan Limits; Individual Participant Limits</w:t>
      </w:r>
      <w:r>
        <w:rPr>
          <w:rFonts w:ascii="Arial" w:cs="Arial" w:eastAsia="Arial" w:hAnsi="Arial"/>
          <w:sz w:val="17"/>
          <w:szCs w:val="17"/>
          <w:color w:val="auto"/>
        </w:rPr>
        <w:t>.</w:t>
      </w:r>
    </w:p>
    <w:p>
      <w:pPr>
        <w:spacing w:after="0" w:line="209" w:lineRule="exact"/>
        <w:rPr>
          <w:rFonts w:ascii="Arial" w:cs="Arial" w:eastAsia="Arial" w:hAnsi="Arial"/>
          <w:sz w:val="17"/>
          <w:szCs w:val="17"/>
          <w:color w:val="auto"/>
        </w:rPr>
      </w:pPr>
    </w:p>
    <w:p>
      <w:pPr>
        <w:ind w:left="900" w:hanging="446"/>
        <w:spacing w:after="0"/>
        <w:tabs>
          <w:tab w:leader="none" w:pos="900" w:val="left"/>
        </w:tabs>
        <w:numPr>
          <w:ilvl w:val="1"/>
          <w:numId w:val="57"/>
        </w:numPr>
        <w:rPr>
          <w:rFonts w:ascii="Arial" w:cs="Arial" w:eastAsia="Arial" w:hAnsi="Arial"/>
          <w:sz w:val="17"/>
          <w:szCs w:val="17"/>
          <w:color w:val="auto"/>
        </w:rPr>
      </w:pPr>
      <w:r>
        <w:rPr>
          <w:rFonts w:ascii="Arial" w:cs="Arial" w:eastAsia="Arial" w:hAnsi="Arial"/>
          <w:sz w:val="17"/>
          <w:szCs w:val="17"/>
          <w:color w:val="auto"/>
        </w:rPr>
        <w:t xml:space="preserve">Subject to adjustment as provided in </w:t>
      </w:r>
      <w:r>
        <w:rPr>
          <w:rFonts w:ascii="Arial" w:cs="Arial" w:eastAsia="Arial" w:hAnsi="Arial"/>
          <w:sz w:val="17"/>
          <w:szCs w:val="17"/>
          <w:b w:val="1"/>
          <w:bCs w:val="1"/>
          <w:u w:val="single" w:color="auto"/>
          <w:color w:val="auto"/>
        </w:rPr>
        <w:t>Section 14</w:t>
      </w:r>
      <w:r>
        <w:rPr>
          <w:rFonts w:ascii="Arial" w:cs="Arial" w:eastAsia="Arial" w:hAnsi="Arial"/>
          <w:sz w:val="17"/>
          <w:szCs w:val="17"/>
          <w:color w:val="auto"/>
        </w:rPr>
        <w:t xml:space="preserve"> of this Plan, the maximum number of Common Shares that may be issued or transferred</w:t>
      </w:r>
    </w:p>
    <w:p>
      <w:pPr>
        <w:spacing w:after="0" w:line="13" w:lineRule="exact"/>
        <w:rPr>
          <w:rFonts w:ascii="Arial" w:cs="Arial" w:eastAsia="Arial" w:hAnsi="Arial"/>
          <w:sz w:val="17"/>
          <w:szCs w:val="17"/>
          <w:color w:val="auto"/>
        </w:rPr>
      </w:pPr>
    </w:p>
    <w:p>
      <w:pPr>
        <w:ind w:left="1100" w:hanging="201"/>
        <w:spacing w:after="0" w:line="232" w:lineRule="auto"/>
        <w:tabs>
          <w:tab w:leader="none" w:pos="1100" w:val="left"/>
        </w:tabs>
        <w:numPr>
          <w:ilvl w:val="2"/>
          <w:numId w:val="57"/>
        </w:numPr>
        <w:rPr>
          <w:rFonts w:ascii="Arial" w:cs="Arial" w:eastAsia="Arial" w:hAnsi="Arial"/>
          <w:sz w:val="17"/>
          <w:szCs w:val="17"/>
          <w:color w:val="auto"/>
        </w:rPr>
      </w:pPr>
      <w:r>
        <w:rPr>
          <w:rFonts w:ascii="Arial" w:cs="Arial" w:eastAsia="Arial" w:hAnsi="Arial"/>
          <w:sz w:val="17"/>
          <w:szCs w:val="17"/>
          <w:color w:val="auto"/>
        </w:rPr>
        <w:t>upon the exercise of Option Rights or Appreciation Rights, (ii) as Restricted Shares and released from all substantial risks of forfeiture,</w:t>
      </w:r>
    </w:p>
    <w:p>
      <w:pPr>
        <w:ind w:left="900" w:right="20" w:hanging="1"/>
        <w:spacing w:after="0" w:line="235" w:lineRule="auto"/>
        <w:tabs>
          <w:tab w:leader="none" w:pos="1175" w:val="left"/>
        </w:tabs>
        <w:numPr>
          <w:ilvl w:val="2"/>
          <w:numId w:val="58"/>
        </w:numPr>
        <w:rPr>
          <w:rFonts w:ascii="Arial" w:cs="Arial" w:eastAsia="Arial" w:hAnsi="Arial"/>
          <w:sz w:val="17"/>
          <w:szCs w:val="17"/>
          <w:color w:val="auto"/>
        </w:rPr>
      </w:pPr>
      <w:r>
        <w:rPr>
          <w:rFonts w:ascii="Arial" w:cs="Arial" w:eastAsia="Arial" w:hAnsi="Arial"/>
          <w:sz w:val="17"/>
          <w:szCs w:val="17"/>
          <w:color w:val="auto"/>
        </w:rPr>
        <w:t xml:space="preserve">in payment of Restricted Stock Units, (iv) as Deferred Shares, (v) in payment of Performance Shares or Performance Units that have been earned, (vi) as Common Share awards to Nonemployee Directors, (vii) as awards contemplated by </w:t>
      </w:r>
      <w:r>
        <w:rPr>
          <w:rFonts w:ascii="Arial" w:cs="Arial" w:eastAsia="Arial" w:hAnsi="Arial"/>
          <w:sz w:val="17"/>
          <w:szCs w:val="17"/>
          <w:b w:val="1"/>
          <w:bCs w:val="1"/>
          <w:u w:val="single" w:color="auto"/>
          <w:color w:val="auto"/>
        </w:rPr>
        <w:t>Section 10</w:t>
      </w:r>
      <w:r>
        <w:rPr>
          <w:rFonts w:ascii="Arial" w:cs="Arial" w:eastAsia="Arial" w:hAnsi="Arial"/>
          <w:sz w:val="17"/>
          <w:szCs w:val="17"/>
          <w:color w:val="auto"/>
        </w:rPr>
        <w:t xml:space="preserve"> of this Plan, or (viii) in payment of dividend equivalents paid with respect to awards made under this Plan, shall not in the aggregate exceed 11,050,000 Common Shares (consisting of 6,750,000 Common Shares originally approved in 2014 and 4,300,000 Common Shares anticipated to be approved by shareholders at the Corporation’s 2016 Annual Meeting of Shareholders) (the “</w:t>
      </w:r>
      <w:r>
        <w:rPr>
          <w:rFonts w:ascii="Arial" w:cs="Arial" w:eastAsia="Arial" w:hAnsi="Arial"/>
          <w:sz w:val="17"/>
          <w:szCs w:val="17"/>
          <w:b w:val="1"/>
          <w:bCs w:val="1"/>
          <w:i w:val="1"/>
          <w:iCs w:val="1"/>
          <w:color w:val="auto"/>
        </w:rPr>
        <w:t>Available Common Shares</w:t>
      </w:r>
      <w:r>
        <w:rPr>
          <w:rFonts w:ascii="Arial" w:cs="Arial" w:eastAsia="Arial" w:hAnsi="Arial"/>
          <w:sz w:val="17"/>
          <w:szCs w:val="17"/>
          <w:color w:val="auto"/>
        </w:rPr>
        <w:t>”). The Available Common Shares may be Common Shares of original issuance or Common Shares held in treasury, or a combination thereof.</w:t>
      </w:r>
    </w:p>
    <w:p>
      <w:pPr>
        <w:spacing w:after="0" w:line="202" w:lineRule="exact"/>
        <w:rPr>
          <w:rFonts w:ascii="Arial" w:cs="Arial" w:eastAsia="Arial" w:hAnsi="Arial"/>
          <w:sz w:val="17"/>
          <w:szCs w:val="17"/>
          <w:color w:val="auto"/>
        </w:rPr>
      </w:pPr>
    </w:p>
    <w:p>
      <w:pPr>
        <w:ind w:left="900" w:right="40" w:hanging="446"/>
        <w:spacing w:after="0" w:line="232" w:lineRule="auto"/>
        <w:tabs>
          <w:tab w:leader="none" w:pos="900" w:val="left"/>
        </w:tabs>
        <w:numPr>
          <w:ilvl w:val="1"/>
          <w:numId w:val="59"/>
        </w:numPr>
        <w:rPr>
          <w:rFonts w:ascii="Arial" w:cs="Arial" w:eastAsia="Arial" w:hAnsi="Arial"/>
          <w:sz w:val="17"/>
          <w:szCs w:val="17"/>
          <w:color w:val="auto"/>
        </w:rPr>
      </w:pPr>
      <w:r>
        <w:rPr>
          <w:rFonts w:ascii="Arial" w:cs="Arial" w:eastAsia="Arial" w:hAnsi="Arial"/>
          <w:sz w:val="17"/>
          <w:szCs w:val="17"/>
          <w:color w:val="auto"/>
        </w:rPr>
        <w:t xml:space="preserve">Each Common Share issued or transferred (and, in the case of Restricted Shares, released from all substantial risks of forfeiture) pursuant to any award (other than an Option Right or Appreciation Right) granted under this Plan shall, for purposes of </w:t>
      </w:r>
      <w:r>
        <w:rPr>
          <w:rFonts w:ascii="Arial" w:cs="Arial" w:eastAsia="Arial" w:hAnsi="Arial"/>
          <w:sz w:val="17"/>
          <w:szCs w:val="17"/>
          <w:b w:val="1"/>
          <w:bCs w:val="1"/>
          <w:u w:val="single" w:color="auto"/>
          <w:color w:val="auto"/>
        </w:rPr>
        <w:t>Section 3(a)</w:t>
      </w:r>
      <w:r>
        <w:rPr>
          <w:rFonts w:ascii="Arial" w:cs="Arial" w:eastAsia="Arial" w:hAnsi="Arial"/>
          <w:sz w:val="17"/>
          <w:szCs w:val="17"/>
          <w:color w:val="auto"/>
        </w:rPr>
        <w:t xml:space="preserve"> of this Plan,</w:t>
      </w:r>
    </w:p>
    <w:p>
      <w:pPr>
        <w:ind w:left="900" w:right="60" w:hanging="1"/>
        <w:spacing w:after="0" w:line="235" w:lineRule="auto"/>
        <w:tabs>
          <w:tab w:leader="none" w:pos="1099" w:val="left"/>
        </w:tabs>
        <w:numPr>
          <w:ilvl w:val="2"/>
          <w:numId w:val="59"/>
        </w:numPr>
        <w:rPr>
          <w:rFonts w:ascii="Arial" w:cs="Arial" w:eastAsia="Arial" w:hAnsi="Arial"/>
          <w:sz w:val="17"/>
          <w:szCs w:val="17"/>
          <w:color w:val="auto"/>
        </w:rPr>
      </w:pPr>
      <w:r>
        <w:rPr>
          <w:rFonts w:ascii="Arial" w:cs="Arial" w:eastAsia="Arial" w:hAnsi="Arial"/>
          <w:sz w:val="17"/>
          <w:szCs w:val="17"/>
          <w:color w:val="auto"/>
        </w:rPr>
        <w:t xml:space="preserve">with respect to awards granted prior to the Effective Date, reduce the number of Available Common Shares by two and forty-six one hundredths (2.46) Common Shares for each such issued or transferred Common Share, and (ii) with respect to awards granted on or after the Effective Date, reduce the number of Available Common Shares by two and one-half (2.50) Common Shares for each such issued or transferred Common Share (in each case instead of one Common Share). Each Common Share issued or transferred pursuant to any Option Right or Appreciation Right granted under this Plan shall, for purposes of </w:t>
      </w:r>
      <w:r>
        <w:rPr>
          <w:rFonts w:ascii="Arial" w:cs="Arial" w:eastAsia="Arial" w:hAnsi="Arial"/>
          <w:sz w:val="17"/>
          <w:szCs w:val="17"/>
          <w:b w:val="1"/>
          <w:bCs w:val="1"/>
          <w:u w:val="single" w:color="auto"/>
          <w:color w:val="auto"/>
        </w:rPr>
        <w:t>Section 3(a)</w:t>
      </w:r>
      <w:r>
        <w:rPr>
          <w:rFonts w:ascii="Arial" w:cs="Arial" w:eastAsia="Arial" w:hAnsi="Arial"/>
          <w:sz w:val="17"/>
          <w:szCs w:val="17"/>
          <w:color w:val="auto"/>
        </w:rPr>
        <w:t xml:space="preserve"> of this Plan, reduce the number of Available Common Shares by one Common Share.</w:t>
      </w:r>
    </w:p>
    <w:p>
      <w:pPr>
        <w:spacing w:after="0" w:line="202" w:lineRule="exact"/>
        <w:rPr>
          <w:rFonts w:ascii="Arial" w:cs="Arial" w:eastAsia="Arial" w:hAnsi="Arial"/>
          <w:sz w:val="17"/>
          <w:szCs w:val="17"/>
          <w:color w:val="auto"/>
        </w:rPr>
      </w:pPr>
    </w:p>
    <w:p>
      <w:pPr>
        <w:ind w:left="900" w:right="140" w:hanging="446"/>
        <w:spacing w:after="0" w:line="243" w:lineRule="auto"/>
        <w:tabs>
          <w:tab w:leader="none" w:pos="900" w:val="left"/>
        </w:tabs>
        <w:numPr>
          <w:ilvl w:val="1"/>
          <w:numId w:val="59"/>
        </w:numPr>
        <w:rPr>
          <w:rFonts w:ascii="Arial" w:cs="Arial" w:eastAsia="Arial" w:hAnsi="Arial"/>
          <w:sz w:val="17"/>
          <w:szCs w:val="17"/>
          <w:color w:val="auto"/>
        </w:rPr>
      </w:pPr>
      <w:r>
        <w:rPr>
          <w:rFonts w:ascii="Arial" w:cs="Arial" w:eastAsia="Arial" w:hAnsi="Arial"/>
          <w:sz w:val="17"/>
          <w:szCs w:val="17"/>
          <w:color w:val="auto"/>
        </w:rPr>
        <w:t>Common Shares covered by an award granted under this Plan shall not be counted as used unless and until they are actually issued and delivered to a Participant, as described above, and, therefore, the total</w:t>
      </w:r>
    </w:p>
    <w:p>
      <w:pPr>
        <w:spacing w:after="0" w:line="142" w:lineRule="exact"/>
        <w:rPr>
          <w:sz w:val="20"/>
          <w:szCs w:val="20"/>
          <w:color w:val="auto"/>
        </w:rPr>
      </w:pPr>
    </w:p>
    <w:p>
      <w:pPr>
        <w:ind w:left="11120"/>
        <w:spacing w:after="0"/>
        <w:rPr>
          <w:sz w:val="20"/>
          <w:szCs w:val="20"/>
          <w:color w:val="auto"/>
        </w:rPr>
      </w:pPr>
      <w:r>
        <w:rPr>
          <w:rFonts w:ascii="Arial" w:cs="Arial" w:eastAsia="Arial" w:hAnsi="Arial"/>
          <w:sz w:val="14"/>
          <w:szCs w:val="14"/>
          <w:color w:val="auto"/>
        </w:rPr>
        <w:t>A-5</w:t>
      </w:r>
    </w:p>
    <w:p>
      <w:pPr>
        <w:sectPr>
          <w:pgSz w:w="11900" w:h="16838" w:orient="portrait"/>
          <w:cols w:equalWidth="0" w:num="1">
            <w:col w:w="11400"/>
          </w:cols>
          <w:pgMar w:left="240" w:top="459" w:right="259" w:bottom="1440" w:gutter="0" w:footer="0" w:header="0"/>
        </w:sectPr>
      </w:pPr>
    </w:p>
    <w:bookmarkStart w:id="93" w:name="page94"/>
    <w:bookmarkEnd w:id="9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249">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3109595</wp:posOffset>
            </wp:positionH>
            <wp:positionV relativeFrom="paragraph">
              <wp:posOffset>205740</wp:posOffset>
            </wp:positionV>
            <wp:extent cx="1046480" cy="205740"/>
            <wp:wrapNone/>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250">
                      <a:extLst>
                        <a:ext uri="{28A0092B-C50C-407E-A947-70E740481C1C}"/>
                      </a:extLst>
                    </a:blip>
                    <a:srcRect/>
                    <a:stretch>
                      <a:fillRect/>
                    </a:stretch>
                  </pic:blipFill>
                  <pic:spPr bwMode="auto">
                    <a:xfrm>
                      <a:off x="0" y="0"/>
                      <a:ext cx="1046480" cy="20574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70" w:lineRule="exact"/>
        <w:rPr>
          <w:sz w:val="20"/>
          <w:szCs w:val="20"/>
          <w:color w:val="auto"/>
        </w:rPr>
      </w:pPr>
    </w:p>
    <w:p>
      <w:pPr>
        <w:ind w:left="920"/>
        <w:spacing w:after="0" w:line="233" w:lineRule="auto"/>
        <w:rPr>
          <w:sz w:val="20"/>
          <w:szCs w:val="20"/>
          <w:color w:val="auto"/>
        </w:rPr>
      </w:pPr>
      <w:r>
        <w:rPr>
          <w:rFonts w:ascii="Arial" w:cs="Arial" w:eastAsia="Arial" w:hAnsi="Arial"/>
          <w:sz w:val="17"/>
          <w:szCs w:val="17"/>
          <w:color w:val="auto"/>
        </w:rPr>
        <w:t>number of Available Common Shares under this Plan as of a given date shall not be reduced by any Common Shares relating to prior awards that have expired or have been forfeited or cancelled. Without limiting the generality of the foregoing, upon payment in cash of the benefit provided by any award granted under this Plan, any Common Shares that were covered by that award will again be available for issue or transfer hereunder. Notwithstanding anything to the contrary contained herein: (i) if Common Shares are tendered or otherwise used in payment of the Option Price of an Option Right, the total number of shares covered by the Option Right being exercised shall count against the Available Common Shares; (ii) Common Shares withheld by the Corporation or otherwise tendered to satisfy tax withholding obligations shall count against the Available Common Shares; (iii) Common Shares that are repurchased by the Corporation with Option Right proceeds shall not be added to the Available Common Shares; and (iv) the gross number of Common Shares covered by an Appreciation Right, to the extent that it is exercised and settled in Common Shares, and whether or not Common Shares are actually issued to the Participant upon exercise of the Appreciation Right, shall be considered issued or transferred pursuant to this Plan. If, under this Plan, a Participant has elected to give up the right to receive compensation in exchange for Common Shares based on fair market value, such Common Shares will not count against the Available Common Shares.</w:t>
      </w:r>
    </w:p>
    <w:p>
      <w:pPr>
        <w:spacing w:after="0" w:line="188" w:lineRule="exact"/>
        <w:rPr>
          <w:sz w:val="20"/>
          <w:szCs w:val="20"/>
          <w:color w:val="auto"/>
        </w:rPr>
      </w:pPr>
    </w:p>
    <w:p>
      <w:pPr>
        <w:ind w:left="900" w:hanging="446"/>
        <w:spacing w:after="0"/>
        <w:tabs>
          <w:tab w:leader="none" w:pos="900" w:val="left"/>
        </w:tabs>
        <w:numPr>
          <w:ilvl w:val="1"/>
          <w:numId w:val="60"/>
        </w:numPr>
        <w:rPr>
          <w:rFonts w:ascii="Arial" w:cs="Arial" w:eastAsia="Arial" w:hAnsi="Arial"/>
          <w:sz w:val="17"/>
          <w:szCs w:val="17"/>
          <w:color w:val="auto"/>
        </w:rPr>
      </w:pPr>
      <w:r>
        <w:rPr>
          <w:rFonts w:ascii="Arial" w:cs="Arial" w:eastAsia="Arial" w:hAnsi="Arial"/>
          <w:sz w:val="17"/>
          <w:szCs w:val="17"/>
          <w:color w:val="auto"/>
        </w:rPr>
        <w:t xml:space="preserve">Notwithstanding anything in this Plan to the contrary, and subject to adjustment as provided in </w:t>
      </w:r>
      <w:r>
        <w:rPr>
          <w:rFonts w:ascii="Arial" w:cs="Arial" w:eastAsia="Arial" w:hAnsi="Arial"/>
          <w:sz w:val="17"/>
          <w:szCs w:val="17"/>
          <w:b w:val="1"/>
          <w:bCs w:val="1"/>
          <w:u w:val="single" w:color="auto"/>
          <w:color w:val="auto"/>
        </w:rPr>
        <w:t>Section 14</w:t>
      </w:r>
      <w:r>
        <w:rPr>
          <w:rFonts w:ascii="Arial" w:cs="Arial" w:eastAsia="Arial" w:hAnsi="Arial"/>
          <w:sz w:val="17"/>
          <w:szCs w:val="17"/>
          <w:color w:val="auto"/>
        </w:rPr>
        <w:t xml:space="preserve"> of this Plan:</w:t>
      </w:r>
    </w:p>
    <w:p>
      <w:pPr>
        <w:spacing w:after="0" w:line="229" w:lineRule="exact"/>
        <w:rPr>
          <w:rFonts w:ascii="Arial" w:cs="Arial" w:eastAsia="Arial" w:hAnsi="Arial"/>
          <w:sz w:val="17"/>
          <w:szCs w:val="17"/>
          <w:color w:val="auto"/>
        </w:rPr>
      </w:pPr>
    </w:p>
    <w:p>
      <w:pPr>
        <w:ind w:left="1360" w:right="320" w:hanging="447"/>
        <w:spacing w:after="0" w:line="243" w:lineRule="auto"/>
        <w:tabs>
          <w:tab w:leader="none" w:pos="1360" w:val="left"/>
        </w:tabs>
        <w:numPr>
          <w:ilvl w:val="2"/>
          <w:numId w:val="60"/>
        </w:numPr>
        <w:rPr>
          <w:rFonts w:ascii="Arial" w:cs="Arial" w:eastAsia="Arial" w:hAnsi="Arial"/>
          <w:sz w:val="17"/>
          <w:szCs w:val="17"/>
          <w:color w:val="auto"/>
        </w:rPr>
      </w:pPr>
      <w:r>
        <w:rPr>
          <w:rFonts w:ascii="Arial" w:cs="Arial" w:eastAsia="Arial" w:hAnsi="Arial"/>
          <w:sz w:val="17"/>
          <w:szCs w:val="17"/>
          <w:color w:val="auto"/>
        </w:rPr>
        <w:t>The aggregate number of Common Shares actually issued or transferred by the Corporation upon the exercise of Incentive Stock Options shall not exceed 11,050,000 Common Shares;</w:t>
      </w:r>
    </w:p>
    <w:p>
      <w:pPr>
        <w:spacing w:after="0" w:line="198" w:lineRule="exact"/>
        <w:rPr>
          <w:rFonts w:ascii="Arial" w:cs="Arial" w:eastAsia="Arial" w:hAnsi="Arial"/>
          <w:sz w:val="17"/>
          <w:szCs w:val="17"/>
          <w:color w:val="auto"/>
        </w:rPr>
      </w:pPr>
    </w:p>
    <w:p>
      <w:pPr>
        <w:ind w:left="1360" w:right="340" w:hanging="447"/>
        <w:spacing w:after="0" w:line="243" w:lineRule="auto"/>
        <w:tabs>
          <w:tab w:leader="none" w:pos="1360" w:val="left"/>
        </w:tabs>
        <w:numPr>
          <w:ilvl w:val="2"/>
          <w:numId w:val="60"/>
        </w:numPr>
        <w:rPr>
          <w:rFonts w:ascii="Arial" w:cs="Arial" w:eastAsia="Arial" w:hAnsi="Arial"/>
          <w:sz w:val="17"/>
          <w:szCs w:val="17"/>
          <w:color w:val="auto"/>
        </w:rPr>
      </w:pPr>
      <w:r>
        <w:rPr>
          <w:rFonts w:ascii="Arial" w:cs="Arial" w:eastAsia="Arial" w:hAnsi="Arial"/>
          <w:sz w:val="17"/>
          <w:szCs w:val="17"/>
          <w:color w:val="auto"/>
        </w:rPr>
        <w:t>No Participant shall be granted Option Rights or Appreciation Rights, in the aggregate, for more than 1,000,000 Common Shares during any calendar year;</w:t>
      </w:r>
    </w:p>
    <w:p>
      <w:pPr>
        <w:spacing w:after="0" w:line="198" w:lineRule="exact"/>
        <w:rPr>
          <w:rFonts w:ascii="Arial" w:cs="Arial" w:eastAsia="Arial" w:hAnsi="Arial"/>
          <w:sz w:val="17"/>
          <w:szCs w:val="17"/>
          <w:color w:val="auto"/>
        </w:rPr>
      </w:pPr>
    </w:p>
    <w:p>
      <w:pPr>
        <w:ind w:left="1360" w:right="480" w:hanging="447"/>
        <w:spacing w:after="0" w:line="238" w:lineRule="auto"/>
        <w:tabs>
          <w:tab w:leader="none" w:pos="1360" w:val="left"/>
        </w:tabs>
        <w:numPr>
          <w:ilvl w:val="2"/>
          <w:numId w:val="60"/>
        </w:numPr>
        <w:rPr>
          <w:rFonts w:ascii="Arial" w:cs="Arial" w:eastAsia="Arial" w:hAnsi="Arial"/>
          <w:sz w:val="17"/>
          <w:szCs w:val="17"/>
          <w:color w:val="auto"/>
        </w:rPr>
      </w:pPr>
      <w:r>
        <w:rPr>
          <w:rFonts w:ascii="Arial" w:cs="Arial" w:eastAsia="Arial" w:hAnsi="Arial"/>
          <w:sz w:val="17"/>
          <w:szCs w:val="17"/>
          <w:color w:val="auto"/>
        </w:rPr>
        <w:t xml:space="preserve">No Participant will be granted Qualified Performance-Based Awards of Restricted Shares, Restricted Stock Units, Performance Shares or other awards under </w:t>
      </w:r>
      <w:r>
        <w:rPr>
          <w:rFonts w:ascii="Arial" w:cs="Arial" w:eastAsia="Arial" w:hAnsi="Arial"/>
          <w:sz w:val="17"/>
          <w:szCs w:val="17"/>
          <w:b w:val="1"/>
          <w:bCs w:val="1"/>
          <w:u w:val="single" w:color="auto"/>
          <w:color w:val="auto"/>
        </w:rPr>
        <w:t>Section 10</w:t>
      </w:r>
      <w:r>
        <w:rPr>
          <w:rFonts w:ascii="Arial" w:cs="Arial" w:eastAsia="Arial" w:hAnsi="Arial"/>
          <w:sz w:val="17"/>
          <w:szCs w:val="17"/>
          <w:color w:val="auto"/>
        </w:rPr>
        <w:t xml:space="preserve"> of this Plan, in the aggregate, for more than 1,000,000 Common Shares during any calendar year;</w:t>
      </w:r>
    </w:p>
    <w:p>
      <w:pPr>
        <w:spacing w:after="0" w:line="201" w:lineRule="exact"/>
        <w:rPr>
          <w:rFonts w:ascii="Arial" w:cs="Arial" w:eastAsia="Arial" w:hAnsi="Arial"/>
          <w:sz w:val="17"/>
          <w:szCs w:val="17"/>
          <w:color w:val="auto"/>
        </w:rPr>
      </w:pPr>
    </w:p>
    <w:p>
      <w:pPr>
        <w:ind w:left="1360" w:right="180" w:hanging="447"/>
        <w:spacing w:after="0" w:line="238" w:lineRule="auto"/>
        <w:tabs>
          <w:tab w:leader="none" w:pos="1360" w:val="left"/>
        </w:tabs>
        <w:numPr>
          <w:ilvl w:val="2"/>
          <w:numId w:val="60"/>
        </w:numPr>
        <w:rPr>
          <w:rFonts w:ascii="Arial" w:cs="Arial" w:eastAsia="Arial" w:hAnsi="Arial"/>
          <w:sz w:val="17"/>
          <w:szCs w:val="17"/>
          <w:color w:val="auto"/>
        </w:rPr>
      </w:pPr>
      <w:r>
        <w:rPr>
          <w:rFonts w:ascii="Arial" w:cs="Arial" w:eastAsia="Arial" w:hAnsi="Arial"/>
          <w:sz w:val="17"/>
          <w:szCs w:val="17"/>
          <w:color w:val="auto"/>
        </w:rPr>
        <w:t xml:space="preserve">In no event will any Participant in any calendar year receive a Qualified Performance-Based Award of Performance Units or other awards payable in cash under </w:t>
      </w:r>
      <w:r>
        <w:rPr>
          <w:rFonts w:ascii="Arial" w:cs="Arial" w:eastAsia="Arial" w:hAnsi="Arial"/>
          <w:sz w:val="17"/>
          <w:szCs w:val="17"/>
          <w:b w:val="1"/>
          <w:bCs w:val="1"/>
          <w:u w:val="single" w:color="auto"/>
          <w:color w:val="auto"/>
        </w:rPr>
        <w:t>Section 10</w:t>
      </w:r>
      <w:r>
        <w:rPr>
          <w:rFonts w:ascii="Arial" w:cs="Arial" w:eastAsia="Arial" w:hAnsi="Arial"/>
          <w:sz w:val="17"/>
          <w:szCs w:val="17"/>
          <w:color w:val="auto"/>
        </w:rPr>
        <w:t xml:space="preserve"> of this Plan having an aggregate maximum value as of their respective Dates of Grant in excess of $6,000,000;</w:t>
      </w:r>
    </w:p>
    <w:p>
      <w:pPr>
        <w:spacing w:after="0" w:line="201" w:lineRule="exact"/>
        <w:rPr>
          <w:rFonts w:ascii="Arial" w:cs="Arial" w:eastAsia="Arial" w:hAnsi="Arial"/>
          <w:sz w:val="17"/>
          <w:szCs w:val="17"/>
          <w:color w:val="auto"/>
        </w:rPr>
      </w:pPr>
    </w:p>
    <w:p>
      <w:pPr>
        <w:ind w:left="1360" w:right="80" w:hanging="447"/>
        <w:spacing w:after="0" w:line="243" w:lineRule="auto"/>
        <w:tabs>
          <w:tab w:leader="none" w:pos="1360" w:val="left"/>
        </w:tabs>
        <w:numPr>
          <w:ilvl w:val="2"/>
          <w:numId w:val="60"/>
        </w:numPr>
        <w:rPr>
          <w:rFonts w:ascii="Arial" w:cs="Arial" w:eastAsia="Arial" w:hAnsi="Arial"/>
          <w:sz w:val="17"/>
          <w:szCs w:val="17"/>
          <w:color w:val="auto"/>
        </w:rPr>
      </w:pPr>
      <w:r>
        <w:rPr>
          <w:rFonts w:ascii="Arial" w:cs="Arial" w:eastAsia="Arial" w:hAnsi="Arial"/>
          <w:sz w:val="17"/>
          <w:szCs w:val="17"/>
          <w:color w:val="auto"/>
        </w:rPr>
        <w:t>No Nonemployee Director will be granted, in any period of one calendar year, awards under the Plan having an aggregate maximum value in excess of $500,000.</w:t>
      </w:r>
    </w:p>
    <w:p>
      <w:pPr>
        <w:spacing w:after="0" w:line="198" w:lineRule="exact"/>
        <w:rPr>
          <w:rFonts w:ascii="Arial" w:cs="Arial" w:eastAsia="Arial" w:hAnsi="Arial"/>
          <w:sz w:val="17"/>
          <w:szCs w:val="17"/>
          <w:color w:val="auto"/>
        </w:rPr>
      </w:pPr>
    </w:p>
    <w:p>
      <w:pPr>
        <w:ind w:left="1360" w:right="260" w:hanging="447"/>
        <w:spacing w:after="0" w:line="243" w:lineRule="auto"/>
        <w:tabs>
          <w:tab w:leader="none" w:pos="1360" w:val="left"/>
        </w:tabs>
        <w:numPr>
          <w:ilvl w:val="2"/>
          <w:numId w:val="60"/>
        </w:numPr>
        <w:rPr>
          <w:rFonts w:ascii="Arial" w:cs="Arial" w:eastAsia="Arial" w:hAnsi="Arial"/>
          <w:sz w:val="17"/>
          <w:szCs w:val="17"/>
          <w:color w:val="auto"/>
        </w:rPr>
      </w:pPr>
      <w:r>
        <w:rPr>
          <w:rFonts w:ascii="Arial" w:cs="Arial" w:eastAsia="Arial" w:hAnsi="Arial"/>
          <w:sz w:val="17"/>
          <w:szCs w:val="17"/>
          <w:color w:val="auto"/>
        </w:rPr>
        <w:t>In no event will any Participant in any calendar year receive a Qualified Performance-Based Award that is a Cash Incentive Award having an aggregate maximum value in excess of $6,000,000.</w:t>
      </w:r>
    </w:p>
    <w:p>
      <w:pPr>
        <w:spacing w:after="0" w:line="178" w:lineRule="exact"/>
        <w:rPr>
          <w:rFonts w:ascii="Arial" w:cs="Arial" w:eastAsia="Arial" w:hAnsi="Arial"/>
          <w:sz w:val="17"/>
          <w:szCs w:val="17"/>
          <w:color w:val="auto"/>
        </w:rPr>
      </w:pPr>
    </w:p>
    <w:p>
      <w:pPr>
        <w:jc w:val="both"/>
        <w:ind w:left="900" w:right="80" w:hanging="446"/>
        <w:spacing w:after="0" w:line="250" w:lineRule="auto"/>
        <w:tabs>
          <w:tab w:leader="none" w:pos="900" w:val="left"/>
        </w:tabs>
        <w:numPr>
          <w:ilvl w:val="1"/>
          <w:numId w:val="60"/>
        </w:numPr>
        <w:rPr>
          <w:rFonts w:ascii="Arial" w:cs="Arial" w:eastAsia="Arial" w:hAnsi="Arial"/>
          <w:sz w:val="17"/>
          <w:szCs w:val="17"/>
          <w:color w:val="auto"/>
        </w:rPr>
      </w:pPr>
      <w:r>
        <w:rPr>
          <w:rFonts w:ascii="Arial" w:cs="Arial" w:eastAsia="Arial" w:hAnsi="Arial"/>
          <w:sz w:val="17"/>
          <w:szCs w:val="17"/>
          <w:color w:val="auto"/>
        </w:rPr>
        <w:t xml:space="preserve">Notwithstanding anything in this Plan to the contrary, up to 5% of the Available Common Shares, as may be adjusted under </w:t>
      </w:r>
      <w:r>
        <w:rPr>
          <w:rFonts w:ascii="Arial" w:cs="Arial" w:eastAsia="Arial" w:hAnsi="Arial"/>
          <w:sz w:val="17"/>
          <w:szCs w:val="17"/>
          <w:b w:val="1"/>
          <w:bCs w:val="1"/>
          <w:u w:val="single" w:color="auto"/>
          <w:color w:val="auto"/>
        </w:rPr>
        <w:t>Section 14</w:t>
      </w:r>
      <w:r>
        <w:rPr>
          <w:rFonts w:ascii="Arial" w:cs="Arial" w:eastAsia="Arial" w:hAnsi="Arial"/>
          <w:sz w:val="17"/>
          <w:szCs w:val="17"/>
          <w:color w:val="auto"/>
        </w:rPr>
        <w:t xml:space="preserve"> of this Plan, may be used for awards granted under </w:t>
      </w:r>
      <w:r>
        <w:rPr>
          <w:rFonts w:ascii="Arial" w:cs="Arial" w:eastAsia="Arial" w:hAnsi="Arial"/>
          <w:sz w:val="17"/>
          <w:szCs w:val="17"/>
          <w:b w:val="1"/>
          <w:bCs w:val="1"/>
          <w:u w:val="single" w:color="auto"/>
          <w:color w:val="auto"/>
        </w:rPr>
        <w:t>Section 4</w:t>
      </w:r>
      <w:r>
        <w:rPr>
          <w:rFonts w:ascii="Arial" w:cs="Arial" w:eastAsia="Arial" w:hAnsi="Arial"/>
          <w:sz w:val="17"/>
          <w:szCs w:val="17"/>
          <w:color w:val="auto"/>
        </w:rPr>
        <w:t xml:space="preserve"> through </w:t>
      </w:r>
      <w:r>
        <w:rPr>
          <w:rFonts w:ascii="Arial" w:cs="Arial" w:eastAsia="Arial" w:hAnsi="Arial"/>
          <w:sz w:val="17"/>
          <w:szCs w:val="17"/>
          <w:b w:val="1"/>
          <w:bCs w:val="1"/>
          <w:u w:val="single" w:color="auto"/>
          <w:color w:val="auto"/>
        </w:rPr>
        <w:t>Section 11</w:t>
      </w:r>
      <w:r>
        <w:rPr>
          <w:rFonts w:ascii="Arial" w:cs="Arial" w:eastAsia="Arial" w:hAnsi="Arial"/>
          <w:sz w:val="17"/>
          <w:szCs w:val="17"/>
          <w:color w:val="auto"/>
        </w:rPr>
        <w:t xml:space="preserve"> of this Plan that do not at grant comply with the applicable one-year minimum vesting or performance period requirements set forth in such sections of this Plan.</w:t>
      </w:r>
    </w:p>
    <w:p>
      <w:pPr>
        <w:spacing w:after="0" w:line="172" w:lineRule="exact"/>
        <w:rPr>
          <w:rFonts w:ascii="Arial" w:cs="Arial" w:eastAsia="Arial" w:hAnsi="Arial"/>
          <w:sz w:val="17"/>
          <w:szCs w:val="17"/>
          <w:color w:val="auto"/>
        </w:rPr>
      </w:pPr>
    </w:p>
    <w:p>
      <w:pPr>
        <w:ind w:left="460" w:right="60" w:hanging="452"/>
        <w:spacing w:after="0" w:line="268" w:lineRule="auto"/>
        <w:tabs>
          <w:tab w:leader="none" w:pos="460" w:val="left"/>
        </w:tabs>
        <w:numPr>
          <w:ilvl w:val="0"/>
          <w:numId w:val="61"/>
        </w:numPr>
        <w:rPr>
          <w:rFonts w:ascii="Arial" w:cs="Arial" w:eastAsia="Arial" w:hAnsi="Arial"/>
          <w:sz w:val="17"/>
          <w:szCs w:val="17"/>
          <w:color w:val="auto"/>
        </w:rPr>
      </w:pPr>
      <w:r>
        <w:rPr>
          <w:rFonts w:ascii="Arial" w:cs="Arial" w:eastAsia="Arial" w:hAnsi="Arial"/>
          <w:sz w:val="17"/>
          <w:szCs w:val="17"/>
          <w:b w:val="1"/>
          <w:bCs w:val="1"/>
          <w:color w:val="auto"/>
        </w:rPr>
        <w:t>Option Rights</w:t>
      </w:r>
      <w:r>
        <w:rPr>
          <w:rFonts w:ascii="Arial" w:cs="Arial" w:eastAsia="Arial" w:hAnsi="Arial"/>
          <w:sz w:val="17"/>
          <w:szCs w:val="17"/>
          <w:color w:val="auto"/>
        </w:rPr>
        <w:t>. The Committee may, from time to time and upon such terms and conditions as it may determine, authorize grants to Participants</w:t>
      </w:r>
      <w:r>
        <w:rPr>
          <w:rFonts w:ascii="Arial" w:cs="Arial" w:eastAsia="Arial" w:hAnsi="Arial"/>
          <w:sz w:val="17"/>
          <w:szCs w:val="17"/>
          <w:b w:val="1"/>
          <w:bCs w:val="1"/>
          <w:color w:val="auto"/>
        </w:rPr>
        <w:t xml:space="preserve"> </w:t>
      </w:r>
      <w:r>
        <w:rPr>
          <w:rFonts w:ascii="Arial" w:cs="Arial" w:eastAsia="Arial" w:hAnsi="Arial"/>
          <w:sz w:val="17"/>
          <w:szCs w:val="17"/>
          <w:color w:val="auto"/>
        </w:rPr>
        <w:t>of options to purchase Common Shares. Each such grant may</w:t>
      </w:r>
    </w:p>
    <w:p>
      <w:pPr>
        <w:spacing w:after="0" w:line="121" w:lineRule="exact"/>
        <w:rPr>
          <w:sz w:val="20"/>
          <w:szCs w:val="20"/>
          <w:color w:val="auto"/>
        </w:rPr>
      </w:pPr>
    </w:p>
    <w:p>
      <w:pPr>
        <w:spacing w:after="0"/>
        <w:rPr>
          <w:sz w:val="20"/>
          <w:szCs w:val="20"/>
          <w:color w:val="auto"/>
        </w:rPr>
      </w:pPr>
      <w:r>
        <w:rPr>
          <w:rFonts w:ascii="Arial" w:cs="Arial" w:eastAsia="Arial" w:hAnsi="Arial"/>
          <w:sz w:val="14"/>
          <w:szCs w:val="14"/>
          <w:color w:val="auto"/>
        </w:rPr>
        <w:t>A-6</w:t>
      </w:r>
    </w:p>
    <w:p>
      <w:pPr>
        <w:sectPr>
          <w:pgSz w:w="11900" w:h="16838" w:orient="portrait"/>
          <w:cols w:equalWidth="0" w:num="1">
            <w:col w:w="11420"/>
          </w:cols>
          <w:pgMar w:left="240" w:top="459" w:right="239" w:bottom="1440" w:gutter="0" w:footer="0" w:header="0"/>
        </w:sectPr>
      </w:pPr>
    </w:p>
    <w:bookmarkStart w:id="94" w:name="page95"/>
    <w:bookmarkEnd w:id="9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251">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2715260</wp:posOffset>
            </wp:positionH>
            <wp:positionV relativeFrom="paragraph">
              <wp:posOffset>205740</wp:posOffset>
            </wp:positionV>
            <wp:extent cx="1826895" cy="205740"/>
            <wp:wrapNone/>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252">
                      <a:extLst>
                        <a:ext uri="{28A0092B-C50C-407E-A947-70E740481C1C}"/>
                      </a:extLst>
                    </a:blip>
                    <a:srcRect/>
                    <a:stretch>
                      <a:fillRect/>
                    </a:stretch>
                  </pic:blipFill>
                  <pic:spPr bwMode="auto">
                    <a:xfrm>
                      <a:off x="0" y="0"/>
                      <a:ext cx="1826895" cy="20574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70" w:lineRule="exact"/>
        <w:rPr>
          <w:sz w:val="20"/>
          <w:szCs w:val="20"/>
          <w:color w:val="auto"/>
        </w:rPr>
      </w:pPr>
    </w:p>
    <w:p>
      <w:pPr>
        <w:ind w:left="460"/>
        <w:spacing w:after="0"/>
        <w:rPr>
          <w:sz w:val="20"/>
          <w:szCs w:val="20"/>
          <w:color w:val="auto"/>
        </w:rPr>
      </w:pPr>
      <w:r>
        <w:rPr>
          <w:rFonts w:ascii="Arial" w:cs="Arial" w:eastAsia="Arial" w:hAnsi="Arial"/>
          <w:sz w:val="17"/>
          <w:szCs w:val="17"/>
          <w:color w:val="auto"/>
        </w:rPr>
        <w:t>utilize any or all of the authorizations and shall be subject to all of the requirements contained in the following provisions:</w:t>
      </w:r>
    </w:p>
    <w:p>
      <w:pPr>
        <w:spacing w:after="0" w:line="190" w:lineRule="exact"/>
        <w:rPr>
          <w:sz w:val="20"/>
          <w:szCs w:val="20"/>
          <w:color w:val="auto"/>
        </w:rPr>
      </w:pPr>
    </w:p>
    <w:p>
      <w:pPr>
        <w:ind w:left="900" w:hanging="446"/>
        <w:spacing w:after="0"/>
        <w:tabs>
          <w:tab w:leader="none" w:pos="900" w:val="left"/>
        </w:tabs>
        <w:numPr>
          <w:ilvl w:val="0"/>
          <w:numId w:val="62"/>
        </w:numPr>
        <w:rPr>
          <w:rFonts w:ascii="Arial" w:cs="Arial" w:eastAsia="Arial" w:hAnsi="Arial"/>
          <w:sz w:val="17"/>
          <w:szCs w:val="17"/>
          <w:color w:val="auto"/>
        </w:rPr>
      </w:pPr>
      <w:r>
        <w:rPr>
          <w:rFonts w:ascii="Arial" w:cs="Arial" w:eastAsia="Arial" w:hAnsi="Arial"/>
          <w:sz w:val="17"/>
          <w:szCs w:val="17"/>
          <w:color w:val="auto"/>
        </w:rPr>
        <w:t xml:space="preserve">Each grant shall specify the number of Common Shares to which it pertains, subject to the limitations set forth in </w:t>
      </w:r>
      <w:r>
        <w:rPr>
          <w:rFonts w:ascii="Arial" w:cs="Arial" w:eastAsia="Arial" w:hAnsi="Arial"/>
          <w:sz w:val="17"/>
          <w:szCs w:val="17"/>
          <w:b w:val="1"/>
          <w:bCs w:val="1"/>
          <w:u w:val="single" w:color="auto"/>
          <w:color w:val="auto"/>
        </w:rPr>
        <w:t>Section 3</w:t>
      </w:r>
      <w:r>
        <w:rPr>
          <w:rFonts w:ascii="Arial" w:cs="Arial" w:eastAsia="Arial" w:hAnsi="Arial"/>
          <w:sz w:val="17"/>
          <w:szCs w:val="17"/>
          <w:color w:val="auto"/>
        </w:rPr>
        <w:t xml:space="preserve"> of this Plan.</w:t>
      </w:r>
    </w:p>
    <w:p>
      <w:pPr>
        <w:spacing w:after="0" w:line="209" w:lineRule="exact"/>
        <w:rPr>
          <w:rFonts w:ascii="Arial" w:cs="Arial" w:eastAsia="Arial" w:hAnsi="Arial"/>
          <w:sz w:val="17"/>
          <w:szCs w:val="17"/>
          <w:color w:val="auto"/>
        </w:rPr>
      </w:pPr>
    </w:p>
    <w:p>
      <w:pPr>
        <w:ind w:left="900" w:right="60" w:hanging="446"/>
        <w:spacing w:after="0" w:line="268" w:lineRule="auto"/>
        <w:tabs>
          <w:tab w:leader="none" w:pos="900" w:val="left"/>
        </w:tabs>
        <w:numPr>
          <w:ilvl w:val="0"/>
          <w:numId w:val="62"/>
        </w:numPr>
        <w:rPr>
          <w:rFonts w:ascii="Arial" w:cs="Arial" w:eastAsia="Arial" w:hAnsi="Arial"/>
          <w:sz w:val="17"/>
          <w:szCs w:val="17"/>
          <w:color w:val="auto"/>
        </w:rPr>
      </w:pPr>
      <w:r>
        <w:rPr>
          <w:rFonts w:ascii="Arial" w:cs="Arial" w:eastAsia="Arial" w:hAnsi="Arial"/>
          <w:sz w:val="17"/>
          <w:szCs w:val="17"/>
          <w:color w:val="auto"/>
        </w:rPr>
        <w:t xml:space="preserve">Each grant shall specify an Option Price per Common Share, which (except with respect to awards under </w:t>
      </w:r>
      <w:r>
        <w:rPr>
          <w:rFonts w:ascii="Arial" w:cs="Arial" w:eastAsia="Arial" w:hAnsi="Arial"/>
          <w:sz w:val="17"/>
          <w:szCs w:val="17"/>
          <w:b w:val="1"/>
          <w:bCs w:val="1"/>
          <w:u w:val="single" w:color="auto"/>
          <w:color w:val="auto"/>
        </w:rPr>
        <w:t>Section 23</w:t>
      </w:r>
      <w:r>
        <w:rPr>
          <w:rFonts w:ascii="Arial" w:cs="Arial" w:eastAsia="Arial" w:hAnsi="Arial"/>
          <w:sz w:val="17"/>
          <w:szCs w:val="17"/>
          <w:color w:val="auto"/>
        </w:rPr>
        <w:t xml:space="preserve"> of this Plan) shall be equal to or greater than the Market Value per Share on the Date of Grant.</w:t>
      </w:r>
    </w:p>
    <w:p>
      <w:pPr>
        <w:spacing w:after="0" w:line="177" w:lineRule="exact"/>
        <w:rPr>
          <w:rFonts w:ascii="Arial" w:cs="Arial" w:eastAsia="Arial" w:hAnsi="Arial"/>
          <w:sz w:val="17"/>
          <w:szCs w:val="17"/>
          <w:color w:val="auto"/>
        </w:rPr>
      </w:pPr>
    </w:p>
    <w:p>
      <w:pPr>
        <w:jc w:val="both"/>
        <w:ind w:left="900" w:right="680" w:hanging="446"/>
        <w:spacing w:after="0" w:line="232" w:lineRule="auto"/>
        <w:tabs>
          <w:tab w:leader="none" w:pos="900" w:val="left"/>
        </w:tabs>
        <w:numPr>
          <w:ilvl w:val="0"/>
          <w:numId w:val="62"/>
        </w:numPr>
        <w:rPr>
          <w:rFonts w:ascii="Arial" w:cs="Arial" w:eastAsia="Arial" w:hAnsi="Arial"/>
          <w:sz w:val="17"/>
          <w:szCs w:val="17"/>
          <w:color w:val="auto"/>
        </w:rPr>
      </w:pPr>
      <w:r>
        <w:rPr>
          <w:rFonts w:ascii="Arial" w:cs="Arial" w:eastAsia="Arial" w:hAnsi="Arial"/>
          <w:sz w:val="17"/>
          <w:szCs w:val="17"/>
          <w:color w:val="auto"/>
        </w:rPr>
        <w:t>Each grant shall specify the form of consideration to be paid in satisfaction of the Option Price and the manner of payment of such consideration, which may include (i) cash in the form of currency or check or other cash equivalent acceptable to the Corporation,</w:t>
      </w:r>
    </w:p>
    <w:p>
      <w:pPr>
        <w:ind w:left="900" w:right="100"/>
        <w:spacing w:after="0" w:line="234" w:lineRule="auto"/>
        <w:rPr>
          <w:rFonts w:ascii="Arial" w:cs="Arial" w:eastAsia="Arial" w:hAnsi="Arial"/>
          <w:sz w:val="17"/>
          <w:szCs w:val="17"/>
          <w:color w:val="auto"/>
        </w:rPr>
      </w:pPr>
      <w:r>
        <w:rPr>
          <w:rFonts w:ascii="Arial" w:cs="Arial" w:eastAsia="Arial" w:hAnsi="Arial"/>
          <w:sz w:val="17"/>
          <w:szCs w:val="17"/>
          <w:color w:val="auto"/>
        </w:rPr>
        <w:t xml:space="preserve">(ii) nonforfeitable, unrestricted Common Shares, which are already owned by the Optionee and have a value at the time of exercise that is equal to the total Option Price, (iii) subject to any conditions or limitations established by the Committee, the Corporation’s withholding Common Shares otherwise issuable upon exercise of an Option Right pursuant to a “net exercise” arrangement (it being understood that, solely for purposes of determining the number of treasury shares held by the Corporation, the Common Shares so withheld shall not be treated as issued and acquired by the Corporation upon such exercise), (iv) any other legal consideration that the Committee may deem appropriate, including without limitation any form of consideration authorized under </w:t>
      </w:r>
      <w:r>
        <w:rPr>
          <w:rFonts w:ascii="Arial" w:cs="Arial" w:eastAsia="Arial" w:hAnsi="Arial"/>
          <w:sz w:val="17"/>
          <w:szCs w:val="17"/>
          <w:b w:val="1"/>
          <w:bCs w:val="1"/>
          <w:u w:val="single" w:color="auto"/>
          <w:color w:val="auto"/>
        </w:rPr>
        <w:t>Section 4(d)</w:t>
      </w:r>
      <w:r>
        <w:rPr>
          <w:rFonts w:ascii="Arial" w:cs="Arial" w:eastAsia="Arial" w:hAnsi="Arial"/>
          <w:sz w:val="17"/>
          <w:szCs w:val="17"/>
          <w:color w:val="auto"/>
        </w:rPr>
        <w:t xml:space="preserve"> below, on such basis as the Committee may determine in accordance with this Plan and (v) any combination of the foregoing.</w:t>
      </w:r>
    </w:p>
    <w:p>
      <w:pPr>
        <w:spacing w:after="0" w:line="205" w:lineRule="exact"/>
        <w:rPr>
          <w:rFonts w:ascii="Arial" w:cs="Arial" w:eastAsia="Arial" w:hAnsi="Arial"/>
          <w:sz w:val="17"/>
          <w:szCs w:val="17"/>
          <w:color w:val="auto"/>
        </w:rPr>
      </w:pPr>
    </w:p>
    <w:p>
      <w:pPr>
        <w:ind w:left="900" w:hanging="446"/>
        <w:spacing w:after="0" w:line="243" w:lineRule="auto"/>
        <w:tabs>
          <w:tab w:leader="none" w:pos="900" w:val="left"/>
        </w:tabs>
        <w:numPr>
          <w:ilvl w:val="0"/>
          <w:numId w:val="62"/>
        </w:numPr>
        <w:rPr>
          <w:rFonts w:ascii="Arial" w:cs="Arial" w:eastAsia="Arial" w:hAnsi="Arial"/>
          <w:sz w:val="17"/>
          <w:szCs w:val="17"/>
          <w:color w:val="auto"/>
        </w:rPr>
      </w:pPr>
      <w:r>
        <w:rPr>
          <w:rFonts w:ascii="Arial" w:cs="Arial" w:eastAsia="Arial" w:hAnsi="Arial"/>
          <w:sz w:val="17"/>
          <w:szCs w:val="17"/>
          <w:color w:val="auto"/>
        </w:rPr>
        <w:t>To the extent permitted by law, any grant may provide for deferred payment of the Option Price from the proceeds of sale through a bank or broker on the date of exercise of some or all of the Common Shares to which the exercise relates.</w:t>
      </w:r>
    </w:p>
    <w:p>
      <w:pPr>
        <w:spacing w:after="0" w:line="198" w:lineRule="exact"/>
        <w:rPr>
          <w:rFonts w:ascii="Arial" w:cs="Arial" w:eastAsia="Arial" w:hAnsi="Arial"/>
          <w:sz w:val="17"/>
          <w:szCs w:val="17"/>
          <w:color w:val="auto"/>
        </w:rPr>
      </w:pPr>
    </w:p>
    <w:p>
      <w:pPr>
        <w:ind w:left="900" w:right="240" w:hanging="446"/>
        <w:spacing w:after="0" w:line="243" w:lineRule="auto"/>
        <w:tabs>
          <w:tab w:leader="none" w:pos="900" w:val="left"/>
        </w:tabs>
        <w:numPr>
          <w:ilvl w:val="0"/>
          <w:numId w:val="62"/>
        </w:numPr>
        <w:rPr>
          <w:rFonts w:ascii="Arial" w:cs="Arial" w:eastAsia="Arial" w:hAnsi="Arial"/>
          <w:sz w:val="17"/>
          <w:szCs w:val="17"/>
          <w:color w:val="auto"/>
        </w:rPr>
      </w:pPr>
      <w:r>
        <w:rPr>
          <w:rFonts w:ascii="Arial" w:cs="Arial" w:eastAsia="Arial" w:hAnsi="Arial"/>
          <w:sz w:val="17"/>
          <w:szCs w:val="17"/>
          <w:color w:val="auto"/>
        </w:rPr>
        <w:t>Successive grants may be made to the same Participant regardless of whether any Option Rights previously granted to such Participant remain unexercised.</w:t>
      </w:r>
    </w:p>
    <w:p>
      <w:pPr>
        <w:spacing w:after="0" w:line="198" w:lineRule="exact"/>
        <w:rPr>
          <w:rFonts w:ascii="Arial" w:cs="Arial" w:eastAsia="Arial" w:hAnsi="Arial"/>
          <w:sz w:val="17"/>
          <w:szCs w:val="17"/>
          <w:color w:val="auto"/>
        </w:rPr>
      </w:pPr>
    </w:p>
    <w:p>
      <w:pPr>
        <w:ind w:left="900" w:right="100" w:hanging="446"/>
        <w:spacing w:after="0" w:line="235" w:lineRule="auto"/>
        <w:tabs>
          <w:tab w:leader="none" w:pos="900" w:val="left"/>
        </w:tabs>
        <w:numPr>
          <w:ilvl w:val="0"/>
          <w:numId w:val="62"/>
        </w:numPr>
        <w:rPr>
          <w:rFonts w:ascii="Arial" w:cs="Arial" w:eastAsia="Arial" w:hAnsi="Arial"/>
          <w:sz w:val="17"/>
          <w:szCs w:val="17"/>
          <w:color w:val="auto"/>
        </w:rPr>
      </w:pPr>
      <w:r>
        <w:rPr>
          <w:rFonts w:ascii="Arial" w:cs="Arial" w:eastAsia="Arial" w:hAnsi="Arial"/>
          <w:sz w:val="17"/>
          <w:szCs w:val="17"/>
          <w:color w:val="auto"/>
        </w:rPr>
        <w:t xml:space="preserve">Each grant shall specify the period or periods of continuous service by the Optionee with the Corporation or any of its Subsidiaries that is necessary before the Option Rights or installments thereof shall become exercisable;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that, except as otherwise described in this subsection, no grant of Option Rights may become exercisable sooner than after one year or a one-year performance period. A grant of Option Rights may provide for the earlier exercisability of such rights, including in the event of the retirement, death or disability of the Participant or a Change in Control (in the case of a Change in Control, as further described in </w:t>
      </w:r>
      <w:r>
        <w:rPr>
          <w:rFonts w:ascii="Arial" w:cs="Arial" w:eastAsia="Arial" w:hAnsi="Arial"/>
          <w:sz w:val="17"/>
          <w:szCs w:val="17"/>
          <w:b w:val="1"/>
          <w:bCs w:val="1"/>
          <w:u w:val="single" w:color="auto"/>
          <w:color w:val="auto"/>
        </w:rPr>
        <w:t>Section 13</w:t>
      </w:r>
      <w:r>
        <w:rPr>
          <w:rFonts w:ascii="Arial" w:cs="Arial" w:eastAsia="Arial" w:hAnsi="Arial"/>
          <w:sz w:val="17"/>
          <w:szCs w:val="17"/>
          <w:color w:val="auto"/>
        </w:rPr>
        <w:t>).</w:t>
      </w:r>
    </w:p>
    <w:p>
      <w:pPr>
        <w:spacing w:after="0" w:line="204" w:lineRule="exact"/>
        <w:rPr>
          <w:rFonts w:ascii="Arial" w:cs="Arial" w:eastAsia="Arial" w:hAnsi="Arial"/>
          <w:sz w:val="17"/>
          <w:szCs w:val="17"/>
          <w:color w:val="auto"/>
        </w:rPr>
      </w:pPr>
    </w:p>
    <w:p>
      <w:pPr>
        <w:ind w:left="900" w:hanging="446"/>
        <w:spacing w:after="0"/>
        <w:tabs>
          <w:tab w:leader="none" w:pos="900" w:val="left"/>
        </w:tabs>
        <w:numPr>
          <w:ilvl w:val="0"/>
          <w:numId w:val="62"/>
        </w:numPr>
        <w:rPr>
          <w:rFonts w:ascii="Arial" w:cs="Arial" w:eastAsia="Arial" w:hAnsi="Arial"/>
          <w:sz w:val="17"/>
          <w:szCs w:val="17"/>
          <w:color w:val="auto"/>
        </w:rPr>
      </w:pPr>
      <w:r>
        <w:rPr>
          <w:rFonts w:ascii="Arial" w:cs="Arial" w:eastAsia="Arial" w:hAnsi="Arial"/>
          <w:sz w:val="17"/>
          <w:szCs w:val="17"/>
          <w:color w:val="auto"/>
        </w:rPr>
        <w:t>Any grant of Option Rights may specify Management Objectives that must be achieved as a condition to the exercise of such rights.</w:t>
      </w:r>
    </w:p>
    <w:p>
      <w:pPr>
        <w:spacing w:after="0" w:line="209" w:lineRule="exact"/>
        <w:rPr>
          <w:rFonts w:ascii="Arial" w:cs="Arial" w:eastAsia="Arial" w:hAnsi="Arial"/>
          <w:sz w:val="17"/>
          <w:szCs w:val="17"/>
          <w:color w:val="auto"/>
        </w:rPr>
      </w:pPr>
    </w:p>
    <w:p>
      <w:pPr>
        <w:jc w:val="both"/>
        <w:ind w:left="900" w:right="340" w:hanging="446"/>
        <w:spacing w:after="0" w:line="238" w:lineRule="auto"/>
        <w:tabs>
          <w:tab w:leader="none" w:pos="900" w:val="left"/>
        </w:tabs>
        <w:numPr>
          <w:ilvl w:val="0"/>
          <w:numId w:val="62"/>
        </w:numPr>
        <w:rPr>
          <w:rFonts w:ascii="Arial" w:cs="Arial" w:eastAsia="Arial" w:hAnsi="Arial"/>
          <w:sz w:val="17"/>
          <w:szCs w:val="17"/>
          <w:color w:val="auto"/>
        </w:rPr>
      </w:pPr>
      <w:r>
        <w:rPr>
          <w:rFonts w:ascii="Arial" w:cs="Arial" w:eastAsia="Arial" w:hAnsi="Arial"/>
          <w:sz w:val="17"/>
          <w:szCs w:val="17"/>
          <w:color w:val="auto"/>
        </w:rPr>
        <w:t>Option Rights granted under this Plan may be (i) options that are intended to qualify under particular provisions of the Code, including, without limitation, Incentive Stock Options, (ii) options that are not intended to so qualify or (iii) combinations of the foregoing. Incentive Stock Options may be granted only to Participants who meet the definition of “employees” under Section 3401(c) of the Code.</w:t>
      </w:r>
    </w:p>
    <w:p>
      <w:pPr>
        <w:spacing w:after="0" w:line="201" w:lineRule="exact"/>
        <w:rPr>
          <w:rFonts w:ascii="Arial" w:cs="Arial" w:eastAsia="Arial" w:hAnsi="Arial"/>
          <w:sz w:val="17"/>
          <w:szCs w:val="17"/>
          <w:color w:val="auto"/>
        </w:rPr>
      </w:pPr>
    </w:p>
    <w:p>
      <w:pPr>
        <w:ind w:left="900" w:hanging="446"/>
        <w:spacing w:after="0"/>
        <w:tabs>
          <w:tab w:leader="none" w:pos="900" w:val="left"/>
        </w:tabs>
        <w:numPr>
          <w:ilvl w:val="0"/>
          <w:numId w:val="62"/>
        </w:numPr>
        <w:rPr>
          <w:rFonts w:ascii="Arial" w:cs="Arial" w:eastAsia="Arial" w:hAnsi="Arial"/>
          <w:sz w:val="17"/>
          <w:szCs w:val="17"/>
          <w:color w:val="auto"/>
        </w:rPr>
      </w:pPr>
      <w:r>
        <w:rPr>
          <w:rFonts w:ascii="Arial" w:cs="Arial" w:eastAsia="Arial" w:hAnsi="Arial"/>
          <w:sz w:val="17"/>
          <w:szCs w:val="17"/>
          <w:color w:val="auto"/>
        </w:rPr>
        <w:t>Option Rights granted under this Plan shall not provide for any dividends or dividend equivalents thereon.</w:t>
      </w:r>
    </w:p>
    <w:p>
      <w:pPr>
        <w:spacing w:after="0" w:line="209" w:lineRule="exact"/>
        <w:rPr>
          <w:rFonts w:ascii="Arial" w:cs="Arial" w:eastAsia="Arial" w:hAnsi="Arial"/>
          <w:sz w:val="17"/>
          <w:szCs w:val="17"/>
          <w:color w:val="auto"/>
        </w:rPr>
      </w:pPr>
    </w:p>
    <w:p>
      <w:pPr>
        <w:ind w:left="900" w:right="180" w:hanging="446"/>
        <w:spacing w:after="0" w:line="243" w:lineRule="auto"/>
        <w:tabs>
          <w:tab w:leader="none" w:pos="900" w:val="left"/>
        </w:tabs>
        <w:numPr>
          <w:ilvl w:val="0"/>
          <w:numId w:val="62"/>
        </w:numPr>
        <w:rPr>
          <w:rFonts w:ascii="Arial" w:cs="Arial" w:eastAsia="Arial" w:hAnsi="Arial"/>
          <w:sz w:val="17"/>
          <w:szCs w:val="17"/>
          <w:color w:val="auto"/>
        </w:rPr>
      </w:pPr>
      <w:r>
        <w:rPr>
          <w:rFonts w:ascii="Arial" w:cs="Arial" w:eastAsia="Arial" w:hAnsi="Arial"/>
          <w:sz w:val="17"/>
          <w:szCs w:val="17"/>
          <w:color w:val="auto"/>
        </w:rPr>
        <w:t xml:space="preserve">The exercise of an Option Right will result in the cancellation on a Common Share-for-Common Share basis of any Tandem Appreciation Right authorized under </w:t>
      </w:r>
      <w:r>
        <w:rPr>
          <w:rFonts w:ascii="Arial" w:cs="Arial" w:eastAsia="Arial" w:hAnsi="Arial"/>
          <w:sz w:val="17"/>
          <w:szCs w:val="17"/>
          <w:b w:val="1"/>
          <w:bCs w:val="1"/>
          <w:u w:val="single" w:color="auto"/>
          <w:color w:val="auto"/>
        </w:rPr>
        <w:t>Section 5</w:t>
      </w:r>
      <w:r>
        <w:rPr>
          <w:rFonts w:ascii="Arial" w:cs="Arial" w:eastAsia="Arial" w:hAnsi="Arial"/>
          <w:sz w:val="17"/>
          <w:szCs w:val="17"/>
          <w:color w:val="auto"/>
        </w:rPr>
        <w:t xml:space="preserve"> of this Plan.</w:t>
      </w:r>
    </w:p>
    <w:p>
      <w:pPr>
        <w:spacing w:after="0" w:line="142" w:lineRule="exact"/>
        <w:rPr>
          <w:sz w:val="20"/>
          <w:szCs w:val="20"/>
          <w:color w:val="auto"/>
        </w:rPr>
      </w:pPr>
    </w:p>
    <w:p>
      <w:pPr>
        <w:ind w:left="11120"/>
        <w:spacing w:after="0"/>
        <w:rPr>
          <w:sz w:val="20"/>
          <w:szCs w:val="20"/>
          <w:color w:val="auto"/>
        </w:rPr>
      </w:pPr>
      <w:r>
        <w:rPr>
          <w:rFonts w:ascii="Arial" w:cs="Arial" w:eastAsia="Arial" w:hAnsi="Arial"/>
          <w:sz w:val="14"/>
          <w:szCs w:val="14"/>
          <w:color w:val="auto"/>
        </w:rPr>
        <w:t>A-7</w:t>
      </w:r>
    </w:p>
    <w:p>
      <w:pPr>
        <w:sectPr>
          <w:pgSz w:w="11900" w:h="16838" w:orient="portrait"/>
          <w:cols w:equalWidth="0" w:num="1">
            <w:col w:w="11400"/>
          </w:cols>
          <w:pgMar w:left="240" w:top="459" w:right="259" w:bottom="1440" w:gutter="0" w:footer="0" w:header="0"/>
        </w:sectPr>
      </w:pPr>
    </w:p>
    <w:bookmarkStart w:id="95" w:name="page96"/>
    <w:bookmarkEnd w:id="9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253">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3109595</wp:posOffset>
            </wp:positionH>
            <wp:positionV relativeFrom="paragraph">
              <wp:posOffset>205740</wp:posOffset>
            </wp:positionV>
            <wp:extent cx="1046480" cy="205740"/>
            <wp:wrapNone/>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254">
                      <a:extLst>
                        <a:ext uri="{28A0092B-C50C-407E-A947-70E740481C1C}"/>
                      </a:extLst>
                    </a:blip>
                    <a:srcRect/>
                    <a:stretch>
                      <a:fillRect/>
                    </a:stretch>
                  </pic:blipFill>
                  <pic:spPr bwMode="auto">
                    <a:xfrm>
                      <a:off x="0" y="0"/>
                      <a:ext cx="1046480" cy="20574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7" w:lineRule="exact"/>
        <w:rPr>
          <w:sz w:val="20"/>
          <w:szCs w:val="20"/>
          <w:color w:val="auto"/>
        </w:rPr>
      </w:pPr>
    </w:p>
    <w:p>
      <w:pPr>
        <w:ind w:left="900" w:hanging="446"/>
        <w:spacing w:after="0"/>
        <w:tabs>
          <w:tab w:leader="none" w:pos="900" w:val="left"/>
        </w:tabs>
        <w:numPr>
          <w:ilvl w:val="1"/>
          <w:numId w:val="63"/>
        </w:numPr>
        <w:rPr>
          <w:rFonts w:ascii="Arial" w:cs="Arial" w:eastAsia="Arial" w:hAnsi="Arial"/>
          <w:sz w:val="17"/>
          <w:szCs w:val="17"/>
          <w:color w:val="auto"/>
        </w:rPr>
      </w:pPr>
      <w:r>
        <w:rPr>
          <w:rFonts w:ascii="Arial" w:cs="Arial" w:eastAsia="Arial" w:hAnsi="Arial"/>
          <w:sz w:val="17"/>
          <w:szCs w:val="17"/>
          <w:color w:val="auto"/>
        </w:rPr>
        <w:t>No Option Right granted under this Plan may be exercised more than 10 years from the Date of Grant.</w:t>
      </w:r>
    </w:p>
    <w:p>
      <w:pPr>
        <w:spacing w:after="0" w:line="209" w:lineRule="exact"/>
        <w:rPr>
          <w:rFonts w:ascii="Arial" w:cs="Arial" w:eastAsia="Arial" w:hAnsi="Arial"/>
          <w:sz w:val="17"/>
          <w:szCs w:val="17"/>
          <w:color w:val="auto"/>
        </w:rPr>
      </w:pPr>
    </w:p>
    <w:p>
      <w:pPr>
        <w:ind w:left="900" w:right="140" w:hanging="446"/>
        <w:spacing w:after="0" w:line="243" w:lineRule="auto"/>
        <w:tabs>
          <w:tab w:leader="none" w:pos="900" w:val="left"/>
        </w:tabs>
        <w:numPr>
          <w:ilvl w:val="1"/>
          <w:numId w:val="63"/>
        </w:numPr>
        <w:rPr>
          <w:rFonts w:ascii="Arial" w:cs="Arial" w:eastAsia="Arial" w:hAnsi="Arial"/>
          <w:sz w:val="17"/>
          <w:szCs w:val="17"/>
          <w:color w:val="auto"/>
        </w:rPr>
      </w:pPr>
      <w:r>
        <w:rPr>
          <w:rFonts w:ascii="Arial" w:cs="Arial" w:eastAsia="Arial" w:hAnsi="Arial"/>
          <w:sz w:val="17"/>
          <w:szCs w:val="17"/>
          <w:color w:val="auto"/>
        </w:rPr>
        <w:t>Each grant shall be evidenced by an Evidence of Award, which shall contain such terms and provisions as the Committee may determine consistent with this Plan.</w:t>
      </w:r>
    </w:p>
    <w:p>
      <w:pPr>
        <w:spacing w:after="0" w:line="178" w:lineRule="exact"/>
        <w:rPr>
          <w:rFonts w:ascii="Arial" w:cs="Arial" w:eastAsia="Arial" w:hAnsi="Arial"/>
          <w:sz w:val="17"/>
          <w:szCs w:val="17"/>
          <w:color w:val="auto"/>
        </w:rPr>
      </w:pPr>
    </w:p>
    <w:p>
      <w:pPr>
        <w:ind w:left="460" w:right="20" w:hanging="452"/>
        <w:spacing w:after="0" w:line="237" w:lineRule="auto"/>
        <w:tabs>
          <w:tab w:leader="none" w:pos="460" w:val="left"/>
        </w:tabs>
        <w:numPr>
          <w:ilvl w:val="0"/>
          <w:numId w:val="64"/>
        </w:numPr>
        <w:rPr>
          <w:rFonts w:ascii="Arial" w:cs="Arial" w:eastAsia="Arial" w:hAnsi="Arial"/>
          <w:sz w:val="17"/>
          <w:szCs w:val="17"/>
          <w:color w:val="auto"/>
        </w:rPr>
      </w:pPr>
      <w:r>
        <w:rPr>
          <w:rFonts w:ascii="Arial" w:cs="Arial" w:eastAsia="Arial" w:hAnsi="Arial"/>
          <w:sz w:val="17"/>
          <w:szCs w:val="17"/>
          <w:b w:val="1"/>
          <w:bCs w:val="1"/>
          <w:color w:val="auto"/>
        </w:rPr>
        <w:t>Appreciation Rights</w:t>
      </w:r>
      <w:r>
        <w:rPr>
          <w:rFonts w:ascii="Arial" w:cs="Arial" w:eastAsia="Arial" w:hAnsi="Arial"/>
          <w:sz w:val="17"/>
          <w:szCs w:val="17"/>
          <w:color w:val="auto"/>
        </w:rPr>
        <w:t>. The Committee may, from time to time and upon such terms and conditions as it may determine, authorize grants to</w:t>
      </w:r>
      <w:r>
        <w:rPr>
          <w:rFonts w:ascii="Arial" w:cs="Arial" w:eastAsia="Arial" w:hAnsi="Arial"/>
          <w:sz w:val="17"/>
          <w:szCs w:val="17"/>
          <w:b w:val="1"/>
          <w:bCs w:val="1"/>
          <w:color w:val="auto"/>
        </w:rPr>
        <w:t xml:space="preserve"> </w:t>
      </w:r>
      <w:r>
        <w:rPr>
          <w:rFonts w:ascii="Arial" w:cs="Arial" w:eastAsia="Arial" w:hAnsi="Arial"/>
          <w:sz w:val="17"/>
          <w:szCs w:val="17"/>
          <w:color w:val="auto"/>
        </w:rPr>
        <w:t xml:space="preserve">Participants of Appreciation Rights. A Tandem Appreciation Right will be a right of the Optionee, exercisable by surrender of the related Option Right, to receive from the Corporation an amount determined by the Committee, which will be expressed as a percentage (not exceeding 100 percent) of the Spread at the time of exercise. Tandem Appreciation Rights may be granted at any time prior to the exercise or termination of the related Option Rights;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w:t>
      </w:r>
      <w:r>
        <w:rPr>
          <w:rFonts w:ascii="Arial" w:cs="Arial" w:eastAsia="Arial" w:hAnsi="Arial"/>
          <w:sz w:val="17"/>
          <w:szCs w:val="17"/>
          <w:u w:val="single" w:color="auto"/>
          <w:color w:val="auto"/>
        </w:rPr>
        <w:t>however</w:t>
      </w:r>
      <w:r>
        <w:rPr>
          <w:rFonts w:ascii="Arial" w:cs="Arial" w:eastAsia="Arial" w:hAnsi="Arial"/>
          <w:sz w:val="17"/>
          <w:szCs w:val="17"/>
          <w:color w:val="auto"/>
        </w:rPr>
        <w:t>, that a Tandem Appreciation Right awarded in relation to an Incentive Stock Option must be granted concurrently with such Incentive Stock Option. A Free-Standing Appreciation Right will be a right of the Participant to receive from the Corporation an amount determined by the Committee, which will be expressed as a percentage (not exceeding 100 percent) of the Spread at the time of exercise. Each such grant may utilize any or all of the authorizations and shall be subject to all of the requirements contained in the following provisions:</w:t>
      </w:r>
    </w:p>
    <w:p>
      <w:pPr>
        <w:spacing w:after="0" w:line="200" w:lineRule="exact"/>
        <w:rPr>
          <w:rFonts w:ascii="Arial" w:cs="Arial" w:eastAsia="Arial" w:hAnsi="Arial"/>
          <w:sz w:val="17"/>
          <w:szCs w:val="17"/>
          <w:color w:val="auto"/>
        </w:rPr>
      </w:pPr>
    </w:p>
    <w:p>
      <w:pPr>
        <w:ind w:left="900" w:hanging="446"/>
        <w:spacing w:after="0" w:line="235" w:lineRule="auto"/>
        <w:tabs>
          <w:tab w:leader="none" w:pos="900" w:val="left"/>
        </w:tabs>
        <w:numPr>
          <w:ilvl w:val="1"/>
          <w:numId w:val="64"/>
        </w:numPr>
        <w:rPr>
          <w:rFonts w:ascii="Arial" w:cs="Arial" w:eastAsia="Arial" w:hAnsi="Arial"/>
          <w:sz w:val="17"/>
          <w:szCs w:val="17"/>
          <w:color w:val="auto"/>
        </w:rPr>
      </w:pPr>
      <w:r>
        <w:rPr>
          <w:rFonts w:ascii="Arial" w:cs="Arial" w:eastAsia="Arial" w:hAnsi="Arial"/>
          <w:sz w:val="17"/>
          <w:szCs w:val="17"/>
          <w:color w:val="auto"/>
        </w:rPr>
        <w:t xml:space="preserve">Any grant may specify that the amount payable upon the exercise of an Appreciation Right may be paid by the Corporation in cash, Common Shares or any combination thereof and may (i) either grant to the Participant or reserve to the Committee the right to elect among those alternatives or (ii) preclude the right of the Participant to receive and the Corporation to issue Common Shares or other equity securities in lieu of cash;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w:t>
      </w:r>
      <w:r>
        <w:rPr>
          <w:rFonts w:ascii="Arial" w:cs="Arial" w:eastAsia="Arial" w:hAnsi="Arial"/>
          <w:sz w:val="17"/>
          <w:szCs w:val="17"/>
          <w:u w:val="single" w:color="auto"/>
          <w:color w:val="auto"/>
        </w:rPr>
        <w:t>however</w:t>
      </w:r>
      <w:r>
        <w:rPr>
          <w:rFonts w:ascii="Arial" w:cs="Arial" w:eastAsia="Arial" w:hAnsi="Arial"/>
          <w:sz w:val="17"/>
          <w:szCs w:val="17"/>
          <w:color w:val="auto"/>
        </w:rPr>
        <w:t>, that no form of consideration or manner of payment that would cause Rule 16b-3 to cease to apply to this Plan shall be permitted.</w:t>
      </w:r>
    </w:p>
    <w:p>
      <w:pPr>
        <w:spacing w:after="0" w:line="204" w:lineRule="exact"/>
        <w:rPr>
          <w:rFonts w:ascii="Arial" w:cs="Arial" w:eastAsia="Arial" w:hAnsi="Arial"/>
          <w:sz w:val="17"/>
          <w:szCs w:val="17"/>
          <w:color w:val="auto"/>
        </w:rPr>
      </w:pPr>
    </w:p>
    <w:p>
      <w:pPr>
        <w:ind w:left="900" w:right="220" w:hanging="446"/>
        <w:spacing w:after="0" w:line="243" w:lineRule="auto"/>
        <w:tabs>
          <w:tab w:leader="none" w:pos="900" w:val="left"/>
        </w:tabs>
        <w:numPr>
          <w:ilvl w:val="1"/>
          <w:numId w:val="64"/>
        </w:numPr>
        <w:rPr>
          <w:rFonts w:ascii="Arial" w:cs="Arial" w:eastAsia="Arial" w:hAnsi="Arial"/>
          <w:sz w:val="17"/>
          <w:szCs w:val="17"/>
          <w:color w:val="auto"/>
        </w:rPr>
      </w:pPr>
      <w:r>
        <w:rPr>
          <w:rFonts w:ascii="Arial" w:cs="Arial" w:eastAsia="Arial" w:hAnsi="Arial"/>
          <w:sz w:val="17"/>
          <w:szCs w:val="17"/>
          <w:color w:val="auto"/>
        </w:rPr>
        <w:t>Any grant may specify that the amount payable upon the exercise of an Appreciation Right shall not exceed a maximum specified by the Committee on the Date of Grant.</w:t>
      </w:r>
    </w:p>
    <w:p>
      <w:pPr>
        <w:spacing w:after="0" w:line="198" w:lineRule="exact"/>
        <w:rPr>
          <w:rFonts w:ascii="Arial" w:cs="Arial" w:eastAsia="Arial" w:hAnsi="Arial"/>
          <w:sz w:val="17"/>
          <w:szCs w:val="17"/>
          <w:color w:val="auto"/>
        </w:rPr>
      </w:pPr>
    </w:p>
    <w:p>
      <w:pPr>
        <w:ind w:left="900" w:right="400" w:hanging="446"/>
        <w:spacing w:after="0" w:line="243" w:lineRule="auto"/>
        <w:tabs>
          <w:tab w:leader="none" w:pos="900" w:val="left"/>
        </w:tabs>
        <w:numPr>
          <w:ilvl w:val="1"/>
          <w:numId w:val="64"/>
        </w:numPr>
        <w:rPr>
          <w:rFonts w:ascii="Arial" w:cs="Arial" w:eastAsia="Arial" w:hAnsi="Arial"/>
          <w:sz w:val="17"/>
          <w:szCs w:val="17"/>
          <w:color w:val="auto"/>
        </w:rPr>
      </w:pPr>
      <w:r>
        <w:rPr>
          <w:rFonts w:ascii="Arial" w:cs="Arial" w:eastAsia="Arial" w:hAnsi="Arial"/>
          <w:sz w:val="17"/>
          <w:szCs w:val="17"/>
          <w:color w:val="auto"/>
        </w:rPr>
        <w:t>Any grant may specify (i) a waiting period or periods before Appreciation Rights shall become exercisable and (ii) permissible dates or periods on or during which Appreciation Rights shall be exercisable.</w:t>
      </w:r>
    </w:p>
    <w:p>
      <w:pPr>
        <w:spacing w:after="0" w:line="198" w:lineRule="exact"/>
        <w:rPr>
          <w:rFonts w:ascii="Arial" w:cs="Arial" w:eastAsia="Arial" w:hAnsi="Arial"/>
          <w:sz w:val="17"/>
          <w:szCs w:val="17"/>
          <w:color w:val="auto"/>
        </w:rPr>
      </w:pPr>
    </w:p>
    <w:p>
      <w:pPr>
        <w:ind w:left="900" w:right="40" w:hanging="446"/>
        <w:spacing w:after="0" w:line="235" w:lineRule="auto"/>
        <w:tabs>
          <w:tab w:leader="none" w:pos="900" w:val="left"/>
        </w:tabs>
        <w:numPr>
          <w:ilvl w:val="1"/>
          <w:numId w:val="64"/>
        </w:numPr>
        <w:rPr>
          <w:rFonts w:ascii="Arial" w:cs="Arial" w:eastAsia="Arial" w:hAnsi="Arial"/>
          <w:sz w:val="17"/>
          <w:szCs w:val="17"/>
          <w:color w:val="auto"/>
        </w:rPr>
      </w:pPr>
      <w:r>
        <w:rPr>
          <w:rFonts w:ascii="Arial" w:cs="Arial" w:eastAsia="Arial" w:hAnsi="Arial"/>
          <w:sz w:val="17"/>
          <w:szCs w:val="17"/>
          <w:color w:val="auto"/>
        </w:rPr>
        <w:t xml:space="preserve">Each grant may specify the period or periods of continuous service by the Participant with the Corporation or any Subsidiary that is necessary before the Appreciation Rights or installments thereof will become exercisable;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that, except as otherwise described in this subsection, no grant of Appreciation Rights may become exercisable sooner than after one year or a one-year performance period. A grant of Appreciation Rights may provide for the earlier exercise of such Appreciation Rights, including in the event of the retirement, death or disability of the Participant or a Change in Control (in the case of a Change in Control, as further described in </w:t>
      </w:r>
      <w:r>
        <w:rPr>
          <w:rFonts w:ascii="Arial" w:cs="Arial" w:eastAsia="Arial" w:hAnsi="Arial"/>
          <w:sz w:val="17"/>
          <w:szCs w:val="17"/>
          <w:b w:val="1"/>
          <w:bCs w:val="1"/>
          <w:u w:val="single" w:color="auto"/>
          <w:color w:val="auto"/>
        </w:rPr>
        <w:t>Section 13</w:t>
      </w:r>
      <w:r>
        <w:rPr>
          <w:rFonts w:ascii="Arial" w:cs="Arial" w:eastAsia="Arial" w:hAnsi="Arial"/>
          <w:sz w:val="17"/>
          <w:szCs w:val="17"/>
          <w:color w:val="auto"/>
        </w:rPr>
        <w:t>).</w:t>
      </w:r>
    </w:p>
    <w:p>
      <w:pPr>
        <w:spacing w:after="0" w:line="204" w:lineRule="exact"/>
        <w:rPr>
          <w:rFonts w:ascii="Arial" w:cs="Arial" w:eastAsia="Arial" w:hAnsi="Arial"/>
          <w:sz w:val="17"/>
          <w:szCs w:val="17"/>
          <w:color w:val="auto"/>
        </w:rPr>
      </w:pPr>
    </w:p>
    <w:p>
      <w:pPr>
        <w:ind w:left="900" w:hanging="446"/>
        <w:spacing w:after="0"/>
        <w:tabs>
          <w:tab w:leader="none" w:pos="900" w:val="left"/>
        </w:tabs>
        <w:numPr>
          <w:ilvl w:val="1"/>
          <w:numId w:val="64"/>
        </w:numPr>
        <w:rPr>
          <w:rFonts w:ascii="Arial" w:cs="Arial" w:eastAsia="Arial" w:hAnsi="Arial"/>
          <w:sz w:val="17"/>
          <w:szCs w:val="17"/>
          <w:color w:val="auto"/>
        </w:rPr>
      </w:pPr>
      <w:r>
        <w:rPr>
          <w:rFonts w:ascii="Arial" w:cs="Arial" w:eastAsia="Arial" w:hAnsi="Arial"/>
          <w:sz w:val="17"/>
          <w:szCs w:val="17"/>
          <w:color w:val="auto"/>
        </w:rPr>
        <w:t>Appreciation Rights granted under this Plan shall not provide for any dividends or dividend equivalents thereon.</w:t>
      </w:r>
    </w:p>
    <w:p>
      <w:pPr>
        <w:spacing w:after="0" w:line="209" w:lineRule="exact"/>
        <w:rPr>
          <w:rFonts w:ascii="Arial" w:cs="Arial" w:eastAsia="Arial" w:hAnsi="Arial"/>
          <w:sz w:val="17"/>
          <w:szCs w:val="17"/>
          <w:color w:val="auto"/>
        </w:rPr>
      </w:pPr>
    </w:p>
    <w:p>
      <w:pPr>
        <w:ind w:left="900" w:right="160" w:hanging="446"/>
        <w:spacing w:after="0" w:line="238" w:lineRule="auto"/>
        <w:tabs>
          <w:tab w:leader="none" w:pos="900" w:val="left"/>
        </w:tabs>
        <w:numPr>
          <w:ilvl w:val="1"/>
          <w:numId w:val="64"/>
        </w:numPr>
        <w:rPr>
          <w:rFonts w:ascii="Arial" w:cs="Arial" w:eastAsia="Arial" w:hAnsi="Arial"/>
          <w:sz w:val="17"/>
          <w:szCs w:val="17"/>
          <w:color w:val="auto"/>
        </w:rPr>
      </w:pPr>
      <w:r>
        <w:rPr>
          <w:rFonts w:ascii="Arial" w:cs="Arial" w:eastAsia="Arial" w:hAnsi="Arial"/>
          <w:sz w:val="17"/>
          <w:szCs w:val="17"/>
          <w:color w:val="auto"/>
        </w:rPr>
        <w:t>Each grant shall be evidenced by an Evidence of Award, which shall describe the subject Appreciation Rights, identify any related Option Rights, state that the Appreciation Rights are subject to all of the terms and conditions of this Plan and contain such other terms and provisions as the Committee may determine consistent with this Plan.</w:t>
      </w:r>
    </w:p>
    <w:p>
      <w:pPr>
        <w:spacing w:after="0" w:line="201" w:lineRule="exact"/>
        <w:rPr>
          <w:rFonts w:ascii="Arial" w:cs="Arial" w:eastAsia="Arial" w:hAnsi="Arial"/>
          <w:sz w:val="17"/>
          <w:szCs w:val="17"/>
          <w:color w:val="auto"/>
        </w:rPr>
      </w:pPr>
    </w:p>
    <w:p>
      <w:pPr>
        <w:ind w:left="900" w:hanging="446"/>
        <w:spacing w:after="0"/>
        <w:tabs>
          <w:tab w:leader="none" w:pos="900" w:val="left"/>
        </w:tabs>
        <w:numPr>
          <w:ilvl w:val="1"/>
          <w:numId w:val="64"/>
        </w:numPr>
        <w:rPr>
          <w:rFonts w:ascii="Arial" w:cs="Arial" w:eastAsia="Arial" w:hAnsi="Arial"/>
          <w:sz w:val="17"/>
          <w:szCs w:val="17"/>
          <w:color w:val="auto"/>
        </w:rPr>
      </w:pPr>
      <w:r>
        <w:rPr>
          <w:rFonts w:ascii="Arial" w:cs="Arial" w:eastAsia="Arial" w:hAnsi="Arial"/>
          <w:sz w:val="17"/>
          <w:szCs w:val="17"/>
          <w:color w:val="auto"/>
        </w:rPr>
        <w:t>Any grant of Appreciation Rights may specify Management Objectives that must be achieved as a condition of the exercise of such rights.</w:t>
      </w:r>
    </w:p>
    <w:p>
      <w:pPr>
        <w:spacing w:after="0" w:line="153" w:lineRule="exact"/>
        <w:rPr>
          <w:sz w:val="20"/>
          <w:szCs w:val="20"/>
          <w:color w:val="auto"/>
        </w:rPr>
      </w:pPr>
    </w:p>
    <w:p>
      <w:pPr>
        <w:spacing w:after="0"/>
        <w:rPr>
          <w:sz w:val="20"/>
          <w:szCs w:val="20"/>
          <w:color w:val="auto"/>
        </w:rPr>
      </w:pPr>
      <w:r>
        <w:rPr>
          <w:rFonts w:ascii="Arial" w:cs="Arial" w:eastAsia="Arial" w:hAnsi="Arial"/>
          <w:sz w:val="14"/>
          <w:szCs w:val="14"/>
          <w:color w:val="auto"/>
        </w:rPr>
        <w:t>A-8</w:t>
      </w:r>
    </w:p>
    <w:p>
      <w:pPr>
        <w:sectPr>
          <w:pgSz w:w="11900" w:h="16838" w:orient="portrait"/>
          <w:cols w:equalWidth="0" w:num="1">
            <w:col w:w="11400"/>
          </w:cols>
          <w:pgMar w:left="240" w:top="459" w:right="259" w:bottom="1440" w:gutter="0" w:footer="0" w:header="0"/>
        </w:sectPr>
      </w:pPr>
    </w:p>
    <w:bookmarkStart w:id="96" w:name="page97"/>
    <w:bookmarkEnd w:id="9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255">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2715260</wp:posOffset>
            </wp:positionH>
            <wp:positionV relativeFrom="paragraph">
              <wp:posOffset>205740</wp:posOffset>
            </wp:positionV>
            <wp:extent cx="1826895" cy="205740"/>
            <wp:wrapNone/>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256">
                      <a:extLst>
                        <a:ext uri="{28A0092B-C50C-407E-A947-70E740481C1C}"/>
                      </a:extLst>
                    </a:blip>
                    <a:srcRect/>
                    <a:stretch>
                      <a:fillRect/>
                    </a:stretch>
                  </pic:blipFill>
                  <pic:spPr bwMode="auto">
                    <a:xfrm>
                      <a:off x="0" y="0"/>
                      <a:ext cx="1826895" cy="20574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7" w:lineRule="exact"/>
        <w:rPr>
          <w:sz w:val="20"/>
          <w:szCs w:val="20"/>
          <w:color w:val="auto"/>
        </w:rPr>
      </w:pPr>
    </w:p>
    <w:p>
      <w:pPr>
        <w:ind w:left="900" w:right="20" w:hanging="446"/>
        <w:spacing w:after="0" w:line="238" w:lineRule="auto"/>
        <w:tabs>
          <w:tab w:leader="none" w:pos="900" w:val="left"/>
        </w:tabs>
        <w:numPr>
          <w:ilvl w:val="1"/>
          <w:numId w:val="65"/>
        </w:numPr>
        <w:rPr>
          <w:rFonts w:ascii="Arial" w:cs="Arial" w:eastAsia="Arial" w:hAnsi="Arial"/>
          <w:sz w:val="17"/>
          <w:szCs w:val="17"/>
          <w:color w:val="auto"/>
        </w:rPr>
      </w:pPr>
      <w:r>
        <w:rPr>
          <w:rFonts w:ascii="Arial" w:cs="Arial" w:eastAsia="Arial" w:hAnsi="Arial"/>
          <w:sz w:val="17"/>
          <w:szCs w:val="17"/>
          <w:color w:val="auto"/>
        </w:rPr>
        <w:t>Regarding Tandem Appreciation Rights only: each grant shall provide that a Tandem Appreciation Right may be exercised only (i) at a time when the related Option Right (or any similar right granted under any other plan of the Corporation) is also exercisable and the Spread is positive and (ii) by surrender of the related Option Right (or such other right) for cancellation.</w:t>
      </w:r>
    </w:p>
    <w:p>
      <w:pPr>
        <w:spacing w:after="0" w:line="201" w:lineRule="exact"/>
        <w:rPr>
          <w:rFonts w:ascii="Arial" w:cs="Arial" w:eastAsia="Arial" w:hAnsi="Arial"/>
          <w:sz w:val="17"/>
          <w:szCs w:val="17"/>
          <w:color w:val="auto"/>
        </w:rPr>
      </w:pPr>
    </w:p>
    <w:p>
      <w:pPr>
        <w:ind w:left="900" w:hanging="446"/>
        <w:spacing w:after="0"/>
        <w:tabs>
          <w:tab w:leader="none" w:pos="900" w:val="left"/>
        </w:tabs>
        <w:numPr>
          <w:ilvl w:val="1"/>
          <w:numId w:val="65"/>
        </w:numPr>
        <w:rPr>
          <w:rFonts w:ascii="Arial" w:cs="Arial" w:eastAsia="Arial" w:hAnsi="Arial"/>
          <w:sz w:val="17"/>
          <w:szCs w:val="17"/>
          <w:color w:val="auto"/>
        </w:rPr>
      </w:pPr>
      <w:r>
        <w:rPr>
          <w:rFonts w:ascii="Arial" w:cs="Arial" w:eastAsia="Arial" w:hAnsi="Arial"/>
          <w:sz w:val="17"/>
          <w:szCs w:val="17"/>
          <w:color w:val="auto"/>
        </w:rPr>
        <w:t>Regarding Free-Standing Appreciation Rights only:</w:t>
      </w:r>
    </w:p>
    <w:p>
      <w:pPr>
        <w:spacing w:after="0" w:line="209" w:lineRule="exact"/>
        <w:rPr>
          <w:rFonts w:ascii="Arial" w:cs="Arial" w:eastAsia="Arial" w:hAnsi="Arial"/>
          <w:sz w:val="17"/>
          <w:szCs w:val="17"/>
          <w:color w:val="auto"/>
        </w:rPr>
      </w:pPr>
    </w:p>
    <w:p>
      <w:pPr>
        <w:ind w:left="1360" w:right="100" w:hanging="447"/>
        <w:spacing w:after="0" w:line="243" w:lineRule="auto"/>
        <w:tabs>
          <w:tab w:leader="none" w:pos="1360" w:val="left"/>
        </w:tabs>
        <w:numPr>
          <w:ilvl w:val="2"/>
          <w:numId w:val="65"/>
        </w:numPr>
        <w:rPr>
          <w:rFonts w:ascii="Arial" w:cs="Arial" w:eastAsia="Arial" w:hAnsi="Arial"/>
          <w:sz w:val="17"/>
          <w:szCs w:val="17"/>
          <w:color w:val="auto"/>
        </w:rPr>
      </w:pPr>
      <w:r>
        <w:rPr>
          <w:rFonts w:ascii="Arial" w:cs="Arial" w:eastAsia="Arial" w:hAnsi="Arial"/>
          <w:sz w:val="17"/>
          <w:szCs w:val="17"/>
          <w:color w:val="auto"/>
        </w:rPr>
        <w:t xml:space="preserve">Each grant shall specify in respect of each Free-Standing Appreciation Right a Base Price per Common Share, which (except with respect to awards under </w:t>
      </w:r>
      <w:r>
        <w:rPr>
          <w:rFonts w:ascii="Arial" w:cs="Arial" w:eastAsia="Arial" w:hAnsi="Arial"/>
          <w:sz w:val="17"/>
          <w:szCs w:val="17"/>
          <w:b w:val="1"/>
          <w:bCs w:val="1"/>
          <w:u w:val="single" w:color="auto"/>
          <w:color w:val="auto"/>
        </w:rPr>
        <w:t>Section 23</w:t>
      </w:r>
      <w:r>
        <w:rPr>
          <w:rFonts w:ascii="Arial" w:cs="Arial" w:eastAsia="Arial" w:hAnsi="Arial"/>
          <w:sz w:val="17"/>
          <w:szCs w:val="17"/>
          <w:color w:val="auto"/>
        </w:rPr>
        <w:t xml:space="preserve"> of this Plan) shall be equal to or greater than the Market Value per Share on the Date of Grant;</w:t>
      </w:r>
    </w:p>
    <w:p>
      <w:pPr>
        <w:spacing w:after="0" w:line="198" w:lineRule="exact"/>
        <w:rPr>
          <w:rFonts w:ascii="Arial" w:cs="Arial" w:eastAsia="Arial" w:hAnsi="Arial"/>
          <w:sz w:val="17"/>
          <w:szCs w:val="17"/>
          <w:color w:val="auto"/>
        </w:rPr>
      </w:pPr>
    </w:p>
    <w:p>
      <w:pPr>
        <w:ind w:left="1360" w:right="260" w:hanging="447"/>
        <w:spacing w:after="0" w:line="243" w:lineRule="auto"/>
        <w:tabs>
          <w:tab w:leader="none" w:pos="1360" w:val="left"/>
        </w:tabs>
        <w:numPr>
          <w:ilvl w:val="2"/>
          <w:numId w:val="65"/>
        </w:numPr>
        <w:rPr>
          <w:rFonts w:ascii="Arial" w:cs="Arial" w:eastAsia="Arial" w:hAnsi="Arial"/>
          <w:sz w:val="17"/>
          <w:szCs w:val="17"/>
          <w:color w:val="auto"/>
        </w:rPr>
      </w:pPr>
      <w:r>
        <w:rPr>
          <w:rFonts w:ascii="Arial" w:cs="Arial" w:eastAsia="Arial" w:hAnsi="Arial"/>
          <w:sz w:val="17"/>
          <w:szCs w:val="17"/>
          <w:color w:val="auto"/>
        </w:rPr>
        <w:t>Successive grants may be made to the same Participant regardless of whether any Free-Standing Appreciation Rights previously granted to such Participant remain unexercised; and</w:t>
      </w:r>
    </w:p>
    <w:p>
      <w:pPr>
        <w:spacing w:after="0" w:line="198" w:lineRule="exact"/>
        <w:rPr>
          <w:rFonts w:ascii="Arial" w:cs="Arial" w:eastAsia="Arial" w:hAnsi="Arial"/>
          <w:sz w:val="17"/>
          <w:szCs w:val="17"/>
          <w:color w:val="auto"/>
        </w:rPr>
      </w:pPr>
    </w:p>
    <w:p>
      <w:pPr>
        <w:ind w:left="1360" w:hanging="447"/>
        <w:spacing w:after="0"/>
        <w:tabs>
          <w:tab w:leader="none" w:pos="1360" w:val="left"/>
        </w:tabs>
        <w:numPr>
          <w:ilvl w:val="2"/>
          <w:numId w:val="65"/>
        </w:numPr>
        <w:rPr>
          <w:rFonts w:ascii="Arial" w:cs="Arial" w:eastAsia="Arial" w:hAnsi="Arial"/>
          <w:sz w:val="17"/>
          <w:szCs w:val="17"/>
          <w:color w:val="auto"/>
        </w:rPr>
      </w:pPr>
      <w:r>
        <w:rPr>
          <w:rFonts w:ascii="Arial" w:cs="Arial" w:eastAsia="Arial" w:hAnsi="Arial"/>
          <w:sz w:val="17"/>
          <w:szCs w:val="17"/>
          <w:color w:val="auto"/>
        </w:rPr>
        <w:t>No Free-Standing Appreciation Right granted under this Plan may be exercised more than 10 years from the Date of Grant.</w:t>
      </w:r>
    </w:p>
    <w:p>
      <w:pPr>
        <w:spacing w:after="0" w:line="189" w:lineRule="exact"/>
        <w:rPr>
          <w:rFonts w:ascii="Arial" w:cs="Arial" w:eastAsia="Arial" w:hAnsi="Arial"/>
          <w:sz w:val="17"/>
          <w:szCs w:val="17"/>
          <w:color w:val="auto"/>
        </w:rPr>
      </w:pPr>
    </w:p>
    <w:p>
      <w:pPr>
        <w:ind w:left="460" w:right="80" w:hanging="452"/>
        <w:spacing w:after="0" w:line="250" w:lineRule="auto"/>
        <w:tabs>
          <w:tab w:leader="none" w:pos="460" w:val="left"/>
        </w:tabs>
        <w:numPr>
          <w:ilvl w:val="0"/>
          <w:numId w:val="66"/>
        </w:numPr>
        <w:rPr>
          <w:rFonts w:ascii="Arial" w:cs="Arial" w:eastAsia="Arial" w:hAnsi="Arial"/>
          <w:sz w:val="17"/>
          <w:szCs w:val="17"/>
          <w:color w:val="auto"/>
        </w:rPr>
      </w:pPr>
      <w:r>
        <w:rPr>
          <w:rFonts w:ascii="Arial" w:cs="Arial" w:eastAsia="Arial" w:hAnsi="Arial"/>
          <w:sz w:val="17"/>
          <w:szCs w:val="17"/>
          <w:b w:val="1"/>
          <w:bCs w:val="1"/>
          <w:color w:val="auto"/>
        </w:rPr>
        <w:t>Restricted Shares</w:t>
      </w:r>
      <w:r>
        <w:rPr>
          <w:rFonts w:ascii="Arial" w:cs="Arial" w:eastAsia="Arial" w:hAnsi="Arial"/>
          <w:sz w:val="17"/>
          <w:szCs w:val="17"/>
          <w:color w:val="auto"/>
        </w:rPr>
        <w:t>. The Committee may also authorize grants or sales to Participants of Restricted Shares upon such terms and conditions as</w:t>
      </w:r>
      <w:r>
        <w:rPr>
          <w:rFonts w:ascii="Arial" w:cs="Arial" w:eastAsia="Arial" w:hAnsi="Arial"/>
          <w:sz w:val="17"/>
          <w:szCs w:val="17"/>
          <w:b w:val="1"/>
          <w:bCs w:val="1"/>
          <w:color w:val="auto"/>
        </w:rPr>
        <w:t xml:space="preserve"> </w:t>
      </w:r>
      <w:r>
        <w:rPr>
          <w:rFonts w:ascii="Arial" w:cs="Arial" w:eastAsia="Arial" w:hAnsi="Arial"/>
          <w:sz w:val="17"/>
          <w:szCs w:val="17"/>
          <w:color w:val="auto"/>
        </w:rPr>
        <w:t>the Committee may determine. Each such grant or sale may utilize any or all of the authorizations and shall be subject to all of the requirements contained in the following provisions:</w:t>
      </w:r>
    </w:p>
    <w:p>
      <w:pPr>
        <w:spacing w:after="0" w:line="192" w:lineRule="exact"/>
        <w:rPr>
          <w:rFonts w:ascii="Arial" w:cs="Arial" w:eastAsia="Arial" w:hAnsi="Arial"/>
          <w:sz w:val="17"/>
          <w:szCs w:val="17"/>
          <w:color w:val="auto"/>
        </w:rPr>
      </w:pPr>
    </w:p>
    <w:p>
      <w:pPr>
        <w:ind w:left="900" w:right="20" w:hanging="446"/>
        <w:spacing w:after="0" w:line="238" w:lineRule="auto"/>
        <w:tabs>
          <w:tab w:leader="none" w:pos="900" w:val="left"/>
        </w:tabs>
        <w:numPr>
          <w:ilvl w:val="1"/>
          <w:numId w:val="66"/>
        </w:numPr>
        <w:rPr>
          <w:rFonts w:ascii="Arial" w:cs="Arial" w:eastAsia="Arial" w:hAnsi="Arial"/>
          <w:sz w:val="17"/>
          <w:szCs w:val="17"/>
          <w:color w:val="auto"/>
        </w:rPr>
      </w:pPr>
      <w:r>
        <w:rPr>
          <w:rFonts w:ascii="Arial" w:cs="Arial" w:eastAsia="Arial" w:hAnsi="Arial"/>
          <w:sz w:val="17"/>
          <w:szCs w:val="17"/>
          <w:color w:val="auto"/>
        </w:rPr>
        <w:t>Each grant or sale shall constitute an immediate transfer of the ownership of Common Shares to the Participant in consideration of the performance of services, entitling such Participant to dividend, voting and other ownership rights, subject to the substantial risk of forfeiture and restrictions on transfer hereinafter referred to.</w:t>
      </w:r>
    </w:p>
    <w:p>
      <w:pPr>
        <w:spacing w:after="0" w:line="201" w:lineRule="exact"/>
        <w:rPr>
          <w:rFonts w:ascii="Arial" w:cs="Arial" w:eastAsia="Arial" w:hAnsi="Arial"/>
          <w:sz w:val="17"/>
          <w:szCs w:val="17"/>
          <w:color w:val="auto"/>
        </w:rPr>
      </w:pPr>
    </w:p>
    <w:p>
      <w:pPr>
        <w:ind w:left="900" w:right="200" w:hanging="446"/>
        <w:spacing w:after="0" w:line="243" w:lineRule="auto"/>
        <w:tabs>
          <w:tab w:leader="none" w:pos="900" w:val="left"/>
        </w:tabs>
        <w:numPr>
          <w:ilvl w:val="1"/>
          <w:numId w:val="66"/>
        </w:numPr>
        <w:rPr>
          <w:rFonts w:ascii="Arial" w:cs="Arial" w:eastAsia="Arial" w:hAnsi="Arial"/>
          <w:sz w:val="17"/>
          <w:szCs w:val="17"/>
          <w:color w:val="auto"/>
        </w:rPr>
      </w:pPr>
      <w:r>
        <w:rPr>
          <w:rFonts w:ascii="Arial" w:cs="Arial" w:eastAsia="Arial" w:hAnsi="Arial"/>
          <w:sz w:val="17"/>
          <w:szCs w:val="17"/>
          <w:color w:val="auto"/>
        </w:rPr>
        <w:t>Each grant or sale may be made without additional consideration from the Participant or in consideration of a payment by the Participant that is less than the Market Value per Share on the Date of Grant.</w:t>
      </w:r>
    </w:p>
    <w:p>
      <w:pPr>
        <w:spacing w:after="0" w:line="198" w:lineRule="exact"/>
        <w:rPr>
          <w:rFonts w:ascii="Arial" w:cs="Arial" w:eastAsia="Arial" w:hAnsi="Arial"/>
          <w:sz w:val="17"/>
          <w:szCs w:val="17"/>
          <w:color w:val="auto"/>
        </w:rPr>
      </w:pPr>
    </w:p>
    <w:p>
      <w:pPr>
        <w:ind w:left="900" w:hanging="446"/>
        <w:spacing w:after="0" w:line="236" w:lineRule="auto"/>
        <w:tabs>
          <w:tab w:leader="none" w:pos="900" w:val="left"/>
        </w:tabs>
        <w:numPr>
          <w:ilvl w:val="1"/>
          <w:numId w:val="66"/>
        </w:numPr>
        <w:rPr>
          <w:rFonts w:ascii="Arial" w:cs="Arial" w:eastAsia="Arial" w:hAnsi="Arial"/>
          <w:sz w:val="17"/>
          <w:szCs w:val="17"/>
          <w:color w:val="auto"/>
        </w:rPr>
      </w:pPr>
      <w:r>
        <w:rPr>
          <w:rFonts w:ascii="Arial" w:cs="Arial" w:eastAsia="Arial" w:hAnsi="Arial"/>
          <w:sz w:val="17"/>
          <w:szCs w:val="17"/>
          <w:color w:val="auto"/>
        </w:rPr>
        <w:t>Each grant or sale shall provide that the Restricted Shares covered thereby shall be subject to a “substantial risk of forfeiture” within the meaning of Section 83 of the Code for a period to be determined by the Committee on the Date of Grant or until Management Objectives referred to in subparagraph (e) below are achieved. If the elimination of restrictions is based only on the passage of time, the period of time will be no shorter than one year.</w:t>
      </w:r>
    </w:p>
    <w:p>
      <w:pPr>
        <w:spacing w:after="0" w:line="203" w:lineRule="exact"/>
        <w:rPr>
          <w:rFonts w:ascii="Arial" w:cs="Arial" w:eastAsia="Arial" w:hAnsi="Arial"/>
          <w:sz w:val="17"/>
          <w:szCs w:val="17"/>
          <w:color w:val="auto"/>
        </w:rPr>
      </w:pPr>
    </w:p>
    <w:p>
      <w:pPr>
        <w:ind w:left="900" w:right="20" w:hanging="446"/>
        <w:spacing w:after="0" w:line="236" w:lineRule="auto"/>
        <w:tabs>
          <w:tab w:leader="none" w:pos="900" w:val="left"/>
        </w:tabs>
        <w:numPr>
          <w:ilvl w:val="1"/>
          <w:numId w:val="66"/>
        </w:numPr>
        <w:rPr>
          <w:rFonts w:ascii="Arial" w:cs="Arial" w:eastAsia="Arial" w:hAnsi="Arial"/>
          <w:sz w:val="17"/>
          <w:szCs w:val="17"/>
          <w:color w:val="auto"/>
        </w:rPr>
      </w:pPr>
      <w:r>
        <w:rPr>
          <w:rFonts w:ascii="Arial" w:cs="Arial" w:eastAsia="Arial" w:hAnsi="Arial"/>
          <w:sz w:val="17"/>
          <w:szCs w:val="17"/>
          <w:color w:val="auto"/>
        </w:rPr>
        <w:t>Each grant or sale shall provide that, during the period for which such substantial risk of forfeiture is to continue, the transferability of the Restricted Shares shall be prohibited or restricted in the manner and to the extent prescribed by the Committee on the Date of Grant. Such restrictions may include without limitation rights of repurchase or first refusal in the Corporation or provisions subjecting the Restricted Shares to a continuing substantial risk of forfeiture in the hands of any transferee.</w:t>
      </w:r>
    </w:p>
    <w:p>
      <w:pPr>
        <w:spacing w:after="0" w:line="203" w:lineRule="exact"/>
        <w:rPr>
          <w:rFonts w:ascii="Arial" w:cs="Arial" w:eastAsia="Arial" w:hAnsi="Arial"/>
          <w:sz w:val="17"/>
          <w:szCs w:val="17"/>
          <w:color w:val="auto"/>
        </w:rPr>
      </w:pPr>
    </w:p>
    <w:p>
      <w:pPr>
        <w:ind w:left="900" w:right="40" w:hanging="446"/>
        <w:spacing w:after="0" w:line="235" w:lineRule="auto"/>
        <w:tabs>
          <w:tab w:leader="none" w:pos="900" w:val="left"/>
        </w:tabs>
        <w:numPr>
          <w:ilvl w:val="1"/>
          <w:numId w:val="66"/>
        </w:numPr>
        <w:rPr>
          <w:rFonts w:ascii="Arial" w:cs="Arial" w:eastAsia="Arial" w:hAnsi="Arial"/>
          <w:sz w:val="17"/>
          <w:szCs w:val="17"/>
          <w:color w:val="auto"/>
        </w:rPr>
      </w:pPr>
      <w:r>
        <w:rPr>
          <w:rFonts w:ascii="Arial" w:cs="Arial" w:eastAsia="Arial" w:hAnsi="Arial"/>
          <w:sz w:val="17"/>
          <w:szCs w:val="17"/>
          <w:color w:val="auto"/>
        </w:rPr>
        <w:t xml:space="preserve">Any grant of Restricted Shares may specify Management Objectives which, if achieved, will result in termination or early termination of the restrictions applicable to such Restricted Shares;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w:t>
      </w:r>
      <w:r>
        <w:rPr>
          <w:rFonts w:ascii="Arial" w:cs="Arial" w:eastAsia="Arial" w:hAnsi="Arial"/>
          <w:sz w:val="17"/>
          <w:szCs w:val="17"/>
          <w:u w:val="single" w:color="auto"/>
          <w:color w:val="auto"/>
        </w:rPr>
        <w:t>however</w:t>
      </w:r>
      <w:r>
        <w:rPr>
          <w:rFonts w:ascii="Arial" w:cs="Arial" w:eastAsia="Arial" w:hAnsi="Arial"/>
          <w:sz w:val="17"/>
          <w:szCs w:val="17"/>
          <w:color w:val="auto"/>
        </w:rPr>
        <w:t>, that, for Restricted Shares that vest upon the achievement of Management Objectives the performance period must be at least one year. Each such grant may specify in respect of such specified Management Objectives a minimum acceptable level of achievement and may set forth a formula for determining the number of Restricted Shares on which restrictions will terminate if performance is at or above the minimum level, but falls short of full achievement of the specified Management Objectives.</w:t>
      </w:r>
    </w:p>
    <w:p>
      <w:pPr>
        <w:spacing w:after="0" w:line="146" w:lineRule="exact"/>
        <w:rPr>
          <w:sz w:val="20"/>
          <w:szCs w:val="20"/>
          <w:color w:val="auto"/>
        </w:rPr>
      </w:pPr>
    </w:p>
    <w:p>
      <w:pPr>
        <w:ind w:left="11120"/>
        <w:spacing w:after="0"/>
        <w:rPr>
          <w:sz w:val="20"/>
          <w:szCs w:val="20"/>
          <w:color w:val="auto"/>
        </w:rPr>
      </w:pPr>
      <w:r>
        <w:rPr>
          <w:rFonts w:ascii="Arial" w:cs="Arial" w:eastAsia="Arial" w:hAnsi="Arial"/>
          <w:sz w:val="14"/>
          <w:szCs w:val="14"/>
          <w:color w:val="auto"/>
        </w:rPr>
        <w:t>A-9</w:t>
      </w:r>
    </w:p>
    <w:p>
      <w:pPr>
        <w:sectPr>
          <w:pgSz w:w="11900" w:h="16838" w:orient="portrait"/>
          <w:cols w:equalWidth="0" w:num="1">
            <w:col w:w="11380"/>
          </w:cols>
          <w:pgMar w:left="240" w:top="459" w:right="279" w:bottom="1440" w:gutter="0" w:footer="0" w:header="0"/>
        </w:sectPr>
      </w:pPr>
    </w:p>
    <w:bookmarkStart w:id="97" w:name="page98"/>
    <w:bookmarkEnd w:id="9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257">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3109595</wp:posOffset>
            </wp:positionH>
            <wp:positionV relativeFrom="paragraph">
              <wp:posOffset>205740</wp:posOffset>
            </wp:positionV>
            <wp:extent cx="1046480" cy="205740"/>
            <wp:wrapNone/>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258">
                      <a:extLst>
                        <a:ext uri="{28A0092B-C50C-407E-A947-70E740481C1C}"/>
                      </a:extLst>
                    </a:blip>
                    <a:srcRect/>
                    <a:stretch>
                      <a:fillRect/>
                    </a:stretch>
                  </pic:blipFill>
                  <pic:spPr bwMode="auto">
                    <a:xfrm>
                      <a:off x="0" y="0"/>
                      <a:ext cx="1046480" cy="20574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7" w:lineRule="exact"/>
        <w:rPr>
          <w:sz w:val="20"/>
          <w:szCs w:val="20"/>
          <w:color w:val="auto"/>
        </w:rPr>
      </w:pPr>
    </w:p>
    <w:p>
      <w:pPr>
        <w:ind w:left="900" w:hanging="446"/>
        <w:spacing w:after="0" w:line="235" w:lineRule="auto"/>
        <w:tabs>
          <w:tab w:leader="none" w:pos="900" w:val="left"/>
        </w:tabs>
        <w:numPr>
          <w:ilvl w:val="1"/>
          <w:numId w:val="67"/>
        </w:numPr>
        <w:rPr>
          <w:rFonts w:ascii="Arial" w:cs="Arial" w:eastAsia="Arial" w:hAnsi="Arial"/>
          <w:sz w:val="17"/>
          <w:szCs w:val="17"/>
          <w:color w:val="auto"/>
        </w:rPr>
      </w:pPr>
      <w:r>
        <w:rPr>
          <w:rFonts w:ascii="Arial" w:cs="Arial" w:eastAsia="Arial" w:hAnsi="Arial"/>
          <w:sz w:val="17"/>
          <w:szCs w:val="17"/>
          <w:color w:val="auto"/>
        </w:rPr>
        <w:t xml:space="preserve">Notwithstanding anything to the contrary contained in this Plan (including minimum vesting requirements), any grant or sale of Restricted Shares may provide for the earlier termination of restrictions on such Restricted Shares, including in the event of the retirement, death or disability of the Participant or a Change in Control (in the case of a Change in Control, as further described in </w:t>
      </w:r>
      <w:r>
        <w:rPr>
          <w:rFonts w:ascii="Arial" w:cs="Arial" w:eastAsia="Arial" w:hAnsi="Arial"/>
          <w:sz w:val="17"/>
          <w:szCs w:val="17"/>
          <w:b w:val="1"/>
          <w:bCs w:val="1"/>
          <w:u w:val="single" w:color="auto"/>
          <w:color w:val="auto"/>
        </w:rPr>
        <w:t>Section 13</w:t>
      </w:r>
      <w:r>
        <w:rPr>
          <w:rFonts w:ascii="Arial" w:cs="Arial" w:eastAsia="Arial" w:hAnsi="Arial"/>
          <w:sz w:val="17"/>
          <w:szCs w:val="17"/>
          <w:color w:val="auto"/>
        </w:rPr>
        <w:t xml:space="preserve">);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w:t>
      </w:r>
      <w:r>
        <w:rPr>
          <w:rFonts w:ascii="Arial" w:cs="Arial" w:eastAsia="Arial" w:hAnsi="Arial"/>
          <w:sz w:val="17"/>
          <w:szCs w:val="17"/>
          <w:u w:val="single" w:color="auto"/>
          <w:color w:val="auto"/>
        </w:rPr>
        <w:t>however</w:t>
      </w:r>
      <w:r>
        <w:rPr>
          <w:rFonts w:ascii="Arial" w:cs="Arial" w:eastAsia="Arial" w:hAnsi="Arial"/>
          <w:sz w:val="17"/>
          <w:szCs w:val="17"/>
          <w:color w:val="auto"/>
        </w:rPr>
        <w:t>, that no award of Restricted Shares intended to be a Qualified Performance-Based Award will provide for such early termination of restrictions (other than in connection with the death or disability of the Participant or a Change in Control) to the extent such provisions would cause such award to fail to be a Qualified Performance-Based Award.</w:t>
      </w:r>
    </w:p>
    <w:p>
      <w:pPr>
        <w:spacing w:after="0" w:line="202" w:lineRule="exact"/>
        <w:rPr>
          <w:rFonts w:ascii="Arial" w:cs="Arial" w:eastAsia="Arial" w:hAnsi="Arial"/>
          <w:sz w:val="17"/>
          <w:szCs w:val="17"/>
          <w:color w:val="auto"/>
        </w:rPr>
      </w:pPr>
    </w:p>
    <w:p>
      <w:pPr>
        <w:ind w:left="900" w:right="60" w:hanging="446"/>
        <w:spacing w:after="0" w:line="235" w:lineRule="auto"/>
        <w:tabs>
          <w:tab w:leader="none" w:pos="900" w:val="left"/>
        </w:tabs>
        <w:numPr>
          <w:ilvl w:val="1"/>
          <w:numId w:val="67"/>
        </w:numPr>
        <w:rPr>
          <w:rFonts w:ascii="Arial" w:cs="Arial" w:eastAsia="Arial" w:hAnsi="Arial"/>
          <w:sz w:val="17"/>
          <w:szCs w:val="17"/>
          <w:color w:val="auto"/>
        </w:rPr>
      </w:pPr>
      <w:r>
        <w:rPr>
          <w:rFonts w:ascii="Arial" w:cs="Arial" w:eastAsia="Arial" w:hAnsi="Arial"/>
          <w:sz w:val="17"/>
          <w:szCs w:val="17"/>
          <w:color w:val="auto"/>
        </w:rPr>
        <w:t xml:space="preserve">Any grant or sale may require that any or all dividends or other distributions paid on the Restricted Shares during the period of such restrictions be automatically sequestered;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w:t>
      </w:r>
      <w:r>
        <w:rPr>
          <w:rFonts w:ascii="Arial" w:cs="Arial" w:eastAsia="Arial" w:hAnsi="Arial"/>
          <w:sz w:val="17"/>
          <w:szCs w:val="17"/>
          <w:u w:val="single" w:color="auto"/>
          <w:color w:val="auto"/>
        </w:rPr>
        <w:t>however</w:t>
      </w:r>
      <w:r>
        <w:rPr>
          <w:rFonts w:ascii="Arial" w:cs="Arial" w:eastAsia="Arial" w:hAnsi="Arial"/>
          <w:sz w:val="17"/>
          <w:szCs w:val="17"/>
          <w:color w:val="auto"/>
        </w:rPr>
        <w:t>, that dividends or other distributions on Restricted Shares with restrictions that lapse as a result of the achievement of Management Objectives shall be deferred until and paid contingent upon the achievement of the applicable Management Objectives. Sequestered dividends or other distributions may be reinvested on an immediate or deferred basis in additional Common Shares, which may be subject to the same restrictions as the underlying award or such other restrictions as the Committee may determine.</w:t>
      </w:r>
    </w:p>
    <w:p>
      <w:pPr>
        <w:spacing w:after="0" w:line="202" w:lineRule="exact"/>
        <w:rPr>
          <w:rFonts w:ascii="Arial" w:cs="Arial" w:eastAsia="Arial" w:hAnsi="Arial"/>
          <w:sz w:val="17"/>
          <w:szCs w:val="17"/>
          <w:color w:val="auto"/>
        </w:rPr>
      </w:pPr>
    </w:p>
    <w:p>
      <w:pPr>
        <w:ind w:left="900" w:right="200" w:hanging="446"/>
        <w:spacing w:after="0" w:line="235" w:lineRule="auto"/>
        <w:tabs>
          <w:tab w:leader="none" w:pos="900" w:val="left"/>
        </w:tabs>
        <w:numPr>
          <w:ilvl w:val="1"/>
          <w:numId w:val="67"/>
        </w:numPr>
        <w:rPr>
          <w:rFonts w:ascii="Arial" w:cs="Arial" w:eastAsia="Arial" w:hAnsi="Arial"/>
          <w:sz w:val="17"/>
          <w:szCs w:val="17"/>
          <w:color w:val="auto"/>
        </w:rPr>
      </w:pPr>
      <w:r>
        <w:rPr>
          <w:rFonts w:ascii="Arial" w:cs="Arial" w:eastAsia="Arial" w:hAnsi="Arial"/>
          <w:sz w:val="17"/>
          <w:szCs w:val="17"/>
          <w:color w:val="auto"/>
        </w:rPr>
        <w:t>Each grant or sale shall be evidenced by an Evidence of Award, which shall contain such terms and provisions as the Committee may determine consistent with this Plan. Unless otherwise directed by the Committee, (i) all certificates representing Restricted Shares will be held in custody by the Corporation until all restrictions thereon will have lapsed, together with a stock power or powers executed by the Participant in whose name such certificates are registered, endorsed in blank and covering such Restricted Shares, or (ii) all Restricted Shares will be held at the Corporation’s transfer agent in book entry form with appropriate restrictions relating to the transfer of such Restricted Shares.</w:t>
      </w:r>
    </w:p>
    <w:p>
      <w:pPr>
        <w:spacing w:after="0" w:line="182" w:lineRule="exact"/>
        <w:rPr>
          <w:rFonts w:ascii="Arial" w:cs="Arial" w:eastAsia="Arial" w:hAnsi="Arial"/>
          <w:sz w:val="17"/>
          <w:szCs w:val="17"/>
          <w:color w:val="auto"/>
        </w:rPr>
      </w:pPr>
    </w:p>
    <w:p>
      <w:pPr>
        <w:ind w:left="460" w:right="120" w:hanging="452"/>
        <w:spacing w:after="0" w:line="250" w:lineRule="auto"/>
        <w:tabs>
          <w:tab w:leader="none" w:pos="460" w:val="left"/>
        </w:tabs>
        <w:numPr>
          <w:ilvl w:val="0"/>
          <w:numId w:val="68"/>
        </w:numPr>
        <w:rPr>
          <w:rFonts w:ascii="Arial" w:cs="Arial" w:eastAsia="Arial" w:hAnsi="Arial"/>
          <w:sz w:val="17"/>
          <w:szCs w:val="17"/>
          <w:color w:val="auto"/>
        </w:rPr>
      </w:pPr>
      <w:r>
        <w:rPr>
          <w:rFonts w:ascii="Arial" w:cs="Arial" w:eastAsia="Arial" w:hAnsi="Arial"/>
          <w:sz w:val="17"/>
          <w:szCs w:val="17"/>
          <w:b w:val="1"/>
          <w:bCs w:val="1"/>
          <w:color w:val="auto"/>
        </w:rPr>
        <w:t>Restricted Stock Units</w:t>
      </w:r>
      <w:r>
        <w:rPr>
          <w:rFonts w:ascii="Arial" w:cs="Arial" w:eastAsia="Arial" w:hAnsi="Arial"/>
          <w:sz w:val="17"/>
          <w:szCs w:val="17"/>
          <w:color w:val="auto"/>
        </w:rPr>
        <w:t>. The Committee may also authorize the granting or sale of Restricted Stock Units to Participants upon such terms and</w:t>
      </w:r>
      <w:r>
        <w:rPr>
          <w:rFonts w:ascii="Arial" w:cs="Arial" w:eastAsia="Arial" w:hAnsi="Arial"/>
          <w:sz w:val="17"/>
          <w:szCs w:val="17"/>
          <w:b w:val="1"/>
          <w:bCs w:val="1"/>
          <w:color w:val="auto"/>
        </w:rPr>
        <w:t xml:space="preserve"> </w:t>
      </w:r>
      <w:r>
        <w:rPr>
          <w:rFonts w:ascii="Arial" w:cs="Arial" w:eastAsia="Arial" w:hAnsi="Arial"/>
          <w:sz w:val="17"/>
          <w:szCs w:val="17"/>
          <w:color w:val="auto"/>
        </w:rPr>
        <w:t>conditions as the Committee may determine. Each such grant or sale may utilize any or all of the authorizations and shall be subject to all of the requirements contained in the following provisions:</w:t>
      </w:r>
    </w:p>
    <w:p>
      <w:pPr>
        <w:spacing w:after="0" w:line="192" w:lineRule="exact"/>
        <w:rPr>
          <w:rFonts w:ascii="Arial" w:cs="Arial" w:eastAsia="Arial" w:hAnsi="Arial"/>
          <w:sz w:val="17"/>
          <w:szCs w:val="17"/>
          <w:color w:val="auto"/>
        </w:rPr>
      </w:pPr>
    </w:p>
    <w:p>
      <w:pPr>
        <w:ind w:left="900" w:right="40" w:hanging="446"/>
        <w:spacing w:after="0" w:line="234" w:lineRule="auto"/>
        <w:tabs>
          <w:tab w:leader="none" w:pos="900" w:val="left"/>
        </w:tabs>
        <w:numPr>
          <w:ilvl w:val="1"/>
          <w:numId w:val="68"/>
        </w:numPr>
        <w:rPr>
          <w:rFonts w:ascii="Arial" w:cs="Arial" w:eastAsia="Arial" w:hAnsi="Arial"/>
          <w:sz w:val="17"/>
          <w:szCs w:val="17"/>
          <w:color w:val="auto"/>
        </w:rPr>
      </w:pPr>
      <w:r>
        <w:rPr>
          <w:rFonts w:ascii="Arial" w:cs="Arial" w:eastAsia="Arial" w:hAnsi="Arial"/>
          <w:sz w:val="17"/>
          <w:szCs w:val="17"/>
          <w:color w:val="auto"/>
        </w:rPr>
        <w:t xml:space="preserve">Each grant or sale will constitute the agreement by the Corporation to deliver Common Shares or cash, or a combination thereof, to the Participant in the future in consideration of the performance of services, but subject to the fulfillment of such conditions (which may include the achievement of Management Objectives) during the Restriction Period as the Committee may specify. A grant of Restricted Stock Units may specify that the Restriction Period will terminate only upon the achievement of Management Objectives;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w:t>
      </w:r>
      <w:r>
        <w:rPr>
          <w:rFonts w:ascii="Arial" w:cs="Arial" w:eastAsia="Arial" w:hAnsi="Arial"/>
          <w:sz w:val="17"/>
          <w:szCs w:val="17"/>
          <w:u w:val="single" w:color="auto"/>
          <w:color w:val="auto"/>
        </w:rPr>
        <w:t>however</w:t>
      </w:r>
      <w:r>
        <w:rPr>
          <w:rFonts w:ascii="Arial" w:cs="Arial" w:eastAsia="Arial" w:hAnsi="Arial"/>
          <w:sz w:val="17"/>
          <w:szCs w:val="17"/>
          <w:color w:val="auto"/>
        </w:rPr>
        <w:t>, that for Restricted Stock Units that vest upon the achievement of Management Objectives, the performance period must be at least one year. Each grant may specify in respect of such Management Objectives a minimum acceptable level of achievement and may set forth a formula for determining the number of Restricted Stock Units on which restrictions will terminate if performance is at or above the minimum level, but falls short of full achievement of the specified Management Objectives.</w:t>
      </w:r>
    </w:p>
    <w:p>
      <w:pPr>
        <w:spacing w:after="0" w:line="203" w:lineRule="exact"/>
        <w:rPr>
          <w:rFonts w:ascii="Arial" w:cs="Arial" w:eastAsia="Arial" w:hAnsi="Arial"/>
          <w:sz w:val="17"/>
          <w:szCs w:val="17"/>
          <w:color w:val="auto"/>
        </w:rPr>
      </w:pPr>
    </w:p>
    <w:p>
      <w:pPr>
        <w:ind w:left="900" w:hanging="446"/>
        <w:spacing w:after="0" w:line="243" w:lineRule="auto"/>
        <w:tabs>
          <w:tab w:leader="none" w:pos="900" w:val="left"/>
        </w:tabs>
        <w:numPr>
          <w:ilvl w:val="1"/>
          <w:numId w:val="68"/>
        </w:numPr>
        <w:rPr>
          <w:rFonts w:ascii="Arial" w:cs="Arial" w:eastAsia="Arial" w:hAnsi="Arial"/>
          <w:sz w:val="17"/>
          <w:szCs w:val="17"/>
          <w:color w:val="auto"/>
        </w:rPr>
      </w:pPr>
      <w:r>
        <w:rPr>
          <w:rFonts w:ascii="Arial" w:cs="Arial" w:eastAsia="Arial" w:hAnsi="Arial"/>
          <w:sz w:val="17"/>
          <w:szCs w:val="17"/>
          <w:color w:val="auto"/>
        </w:rPr>
        <w:t>Each such grant or sale may be made without additional consideration or in consideration of a payment by such Participant that is less than the Market Value per Share at the Date of Grant.</w:t>
      </w:r>
    </w:p>
    <w:p>
      <w:pPr>
        <w:spacing w:after="0" w:line="198" w:lineRule="exact"/>
        <w:rPr>
          <w:rFonts w:ascii="Arial" w:cs="Arial" w:eastAsia="Arial" w:hAnsi="Arial"/>
          <w:sz w:val="17"/>
          <w:szCs w:val="17"/>
          <w:color w:val="auto"/>
        </w:rPr>
      </w:pPr>
    </w:p>
    <w:p>
      <w:pPr>
        <w:ind w:left="900" w:right="700" w:hanging="446"/>
        <w:spacing w:after="0" w:line="243" w:lineRule="auto"/>
        <w:tabs>
          <w:tab w:leader="none" w:pos="900" w:val="left"/>
        </w:tabs>
        <w:numPr>
          <w:ilvl w:val="1"/>
          <w:numId w:val="68"/>
        </w:numPr>
        <w:rPr>
          <w:rFonts w:ascii="Arial" w:cs="Arial" w:eastAsia="Arial" w:hAnsi="Arial"/>
          <w:sz w:val="17"/>
          <w:szCs w:val="17"/>
          <w:color w:val="auto"/>
        </w:rPr>
      </w:pPr>
      <w:r>
        <w:rPr>
          <w:rFonts w:ascii="Arial" w:cs="Arial" w:eastAsia="Arial" w:hAnsi="Arial"/>
          <w:sz w:val="17"/>
          <w:szCs w:val="17"/>
          <w:color w:val="auto"/>
        </w:rPr>
        <w:t>If the Restriction Period lapses only by the passage of time rather than the achievement of Management Objectives as provided in subparagraph (a) above, each such grant or sale will be subject to a Restriction Period of not less than one year.</w:t>
      </w:r>
    </w:p>
    <w:p>
      <w:pPr>
        <w:spacing w:after="0" w:line="142" w:lineRule="exact"/>
        <w:rPr>
          <w:sz w:val="20"/>
          <w:szCs w:val="20"/>
          <w:color w:val="auto"/>
        </w:rPr>
      </w:pPr>
    </w:p>
    <w:p>
      <w:pPr>
        <w:spacing w:after="0"/>
        <w:rPr>
          <w:sz w:val="20"/>
          <w:szCs w:val="20"/>
          <w:color w:val="auto"/>
        </w:rPr>
      </w:pPr>
      <w:r>
        <w:rPr>
          <w:rFonts w:ascii="Arial" w:cs="Arial" w:eastAsia="Arial" w:hAnsi="Arial"/>
          <w:sz w:val="14"/>
          <w:szCs w:val="14"/>
          <w:color w:val="auto"/>
        </w:rPr>
        <w:t>A-10</w:t>
      </w:r>
    </w:p>
    <w:p>
      <w:pPr>
        <w:sectPr>
          <w:pgSz w:w="11900" w:h="16838" w:orient="portrait"/>
          <w:cols w:equalWidth="0" w:num="1">
            <w:col w:w="11420"/>
          </w:cols>
          <w:pgMar w:left="240" w:top="459" w:right="239" w:bottom="1440" w:gutter="0" w:footer="0" w:header="0"/>
        </w:sectPr>
      </w:pPr>
    </w:p>
    <w:bookmarkStart w:id="98" w:name="page99"/>
    <w:bookmarkEnd w:id="9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259">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2715260</wp:posOffset>
            </wp:positionH>
            <wp:positionV relativeFrom="paragraph">
              <wp:posOffset>205740</wp:posOffset>
            </wp:positionV>
            <wp:extent cx="1826895" cy="205740"/>
            <wp:wrapNone/>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260">
                      <a:extLst>
                        <a:ext uri="{28A0092B-C50C-407E-A947-70E740481C1C}"/>
                      </a:extLst>
                    </a:blip>
                    <a:srcRect/>
                    <a:stretch>
                      <a:fillRect/>
                    </a:stretch>
                  </pic:blipFill>
                  <pic:spPr bwMode="auto">
                    <a:xfrm>
                      <a:off x="0" y="0"/>
                      <a:ext cx="1826895" cy="20574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7" w:lineRule="exact"/>
        <w:rPr>
          <w:sz w:val="20"/>
          <w:szCs w:val="20"/>
          <w:color w:val="auto"/>
        </w:rPr>
      </w:pPr>
    </w:p>
    <w:p>
      <w:pPr>
        <w:ind w:left="900" w:right="100" w:hanging="446"/>
        <w:spacing w:after="0" w:line="235" w:lineRule="auto"/>
        <w:tabs>
          <w:tab w:leader="none" w:pos="900" w:val="left"/>
        </w:tabs>
        <w:numPr>
          <w:ilvl w:val="1"/>
          <w:numId w:val="69"/>
        </w:numPr>
        <w:rPr>
          <w:rFonts w:ascii="Arial" w:cs="Arial" w:eastAsia="Arial" w:hAnsi="Arial"/>
          <w:sz w:val="17"/>
          <w:szCs w:val="17"/>
          <w:color w:val="auto"/>
        </w:rPr>
      </w:pPr>
      <w:r>
        <w:rPr>
          <w:rFonts w:ascii="Arial" w:cs="Arial" w:eastAsia="Arial" w:hAnsi="Arial"/>
          <w:sz w:val="17"/>
          <w:szCs w:val="17"/>
          <w:color w:val="auto"/>
        </w:rPr>
        <w:t xml:space="preserve">Notwithstanding anything to the contrary contained in this Plan (including minimum vesting requirements), any grant or sale of Restricted Stock Units may provide for the earlier lapse or modification of the Restriction Period, including in the event of the retirement, death or disability of the Participant or a Change in Control (in the case of a Change in Control, as further described in </w:t>
      </w:r>
      <w:r>
        <w:rPr>
          <w:rFonts w:ascii="Arial" w:cs="Arial" w:eastAsia="Arial" w:hAnsi="Arial"/>
          <w:sz w:val="17"/>
          <w:szCs w:val="17"/>
          <w:b w:val="1"/>
          <w:bCs w:val="1"/>
          <w:u w:val="single" w:color="auto"/>
          <w:color w:val="auto"/>
        </w:rPr>
        <w:t>Section 13</w:t>
      </w:r>
      <w:r>
        <w:rPr>
          <w:rFonts w:ascii="Arial" w:cs="Arial" w:eastAsia="Arial" w:hAnsi="Arial"/>
          <w:sz w:val="17"/>
          <w:szCs w:val="17"/>
          <w:color w:val="auto"/>
        </w:rPr>
        <w:t xml:space="preserve">);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w:t>
      </w:r>
      <w:r>
        <w:rPr>
          <w:rFonts w:ascii="Arial" w:cs="Arial" w:eastAsia="Arial" w:hAnsi="Arial"/>
          <w:sz w:val="17"/>
          <w:szCs w:val="17"/>
          <w:u w:val="single" w:color="auto"/>
          <w:color w:val="auto"/>
        </w:rPr>
        <w:t>however</w:t>
      </w:r>
      <w:r>
        <w:rPr>
          <w:rFonts w:ascii="Arial" w:cs="Arial" w:eastAsia="Arial" w:hAnsi="Arial"/>
          <w:sz w:val="17"/>
          <w:szCs w:val="17"/>
          <w:color w:val="auto"/>
        </w:rPr>
        <w:t>, that no award of Restricted Stock Units intended to be a Qualified Performance-Based Award will provide for such early lapse or modification of the Restriction Period (other than in connection with the death or disability of the Participant or a Change in Control) to the extent such provisions would cause such award to fail to be a Qualified Performance-Based Award.</w:t>
      </w:r>
    </w:p>
    <w:p>
      <w:pPr>
        <w:spacing w:after="0" w:line="202" w:lineRule="exact"/>
        <w:rPr>
          <w:rFonts w:ascii="Arial" w:cs="Arial" w:eastAsia="Arial" w:hAnsi="Arial"/>
          <w:sz w:val="17"/>
          <w:szCs w:val="17"/>
          <w:color w:val="auto"/>
        </w:rPr>
      </w:pPr>
    </w:p>
    <w:p>
      <w:pPr>
        <w:ind w:left="900" w:hanging="446"/>
        <w:spacing w:after="0" w:line="235" w:lineRule="auto"/>
        <w:tabs>
          <w:tab w:leader="none" w:pos="900" w:val="left"/>
        </w:tabs>
        <w:numPr>
          <w:ilvl w:val="1"/>
          <w:numId w:val="69"/>
        </w:numPr>
        <w:rPr>
          <w:rFonts w:ascii="Arial" w:cs="Arial" w:eastAsia="Arial" w:hAnsi="Arial"/>
          <w:sz w:val="17"/>
          <w:szCs w:val="17"/>
          <w:color w:val="auto"/>
        </w:rPr>
      </w:pPr>
      <w:r>
        <w:rPr>
          <w:rFonts w:ascii="Arial" w:cs="Arial" w:eastAsia="Arial" w:hAnsi="Arial"/>
          <w:sz w:val="17"/>
          <w:szCs w:val="17"/>
          <w:color w:val="auto"/>
        </w:rPr>
        <w:t xml:space="preserve">During the Restriction Period, the Participant will have no rights of ownership in the Common Shares deliverable upon payment of the Restricted Stock Units and shall have no right to vote them, but the Committee may at the Date of Grant, authorize the payment of dividend equivalents on such Restricted Stock Units on either a current, deferred or contingent basis, either in cash or in additional Common Shares;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w:t>
      </w:r>
      <w:r>
        <w:rPr>
          <w:rFonts w:ascii="Arial" w:cs="Arial" w:eastAsia="Arial" w:hAnsi="Arial"/>
          <w:sz w:val="17"/>
          <w:szCs w:val="17"/>
          <w:u w:val="single" w:color="auto"/>
          <w:color w:val="auto"/>
        </w:rPr>
        <w:t>however</w:t>
      </w:r>
      <w:r>
        <w:rPr>
          <w:rFonts w:ascii="Arial" w:cs="Arial" w:eastAsia="Arial" w:hAnsi="Arial"/>
          <w:sz w:val="17"/>
          <w:szCs w:val="17"/>
          <w:color w:val="auto"/>
        </w:rPr>
        <w:t>, that dividend equivalents or other distributions on Common Shares underlying Restricted Stock Units with restrictions that lapse as a result of the achievement of Management Objectives shall be deferred until and paid contingent upon the achievement of the applicable Management Objectives.</w:t>
      </w:r>
    </w:p>
    <w:p>
      <w:pPr>
        <w:spacing w:after="0" w:line="202" w:lineRule="exact"/>
        <w:rPr>
          <w:rFonts w:ascii="Arial" w:cs="Arial" w:eastAsia="Arial" w:hAnsi="Arial"/>
          <w:sz w:val="17"/>
          <w:szCs w:val="17"/>
          <w:color w:val="auto"/>
        </w:rPr>
      </w:pPr>
    </w:p>
    <w:p>
      <w:pPr>
        <w:ind w:left="900" w:right="440" w:hanging="446"/>
        <w:spacing w:after="0" w:line="243" w:lineRule="auto"/>
        <w:tabs>
          <w:tab w:leader="none" w:pos="900" w:val="left"/>
        </w:tabs>
        <w:numPr>
          <w:ilvl w:val="1"/>
          <w:numId w:val="69"/>
        </w:numPr>
        <w:rPr>
          <w:rFonts w:ascii="Arial" w:cs="Arial" w:eastAsia="Arial" w:hAnsi="Arial"/>
          <w:sz w:val="17"/>
          <w:szCs w:val="17"/>
          <w:color w:val="auto"/>
        </w:rPr>
      </w:pPr>
      <w:r>
        <w:rPr>
          <w:rFonts w:ascii="Arial" w:cs="Arial" w:eastAsia="Arial" w:hAnsi="Arial"/>
          <w:sz w:val="17"/>
          <w:szCs w:val="17"/>
          <w:color w:val="auto"/>
        </w:rPr>
        <w:t>Each grant or sale of Restricted Stock Units will specify the time and manner of payment of the Restricted Stock Units that have been earned.</w:t>
      </w:r>
    </w:p>
    <w:p>
      <w:pPr>
        <w:spacing w:after="0" w:line="198" w:lineRule="exact"/>
        <w:rPr>
          <w:rFonts w:ascii="Arial" w:cs="Arial" w:eastAsia="Arial" w:hAnsi="Arial"/>
          <w:sz w:val="17"/>
          <w:szCs w:val="17"/>
          <w:color w:val="auto"/>
        </w:rPr>
      </w:pPr>
    </w:p>
    <w:p>
      <w:pPr>
        <w:ind w:left="900" w:right="620" w:hanging="446"/>
        <w:spacing w:after="0" w:line="243" w:lineRule="auto"/>
        <w:tabs>
          <w:tab w:leader="none" w:pos="900" w:val="left"/>
        </w:tabs>
        <w:numPr>
          <w:ilvl w:val="1"/>
          <w:numId w:val="69"/>
        </w:numPr>
        <w:rPr>
          <w:rFonts w:ascii="Arial" w:cs="Arial" w:eastAsia="Arial" w:hAnsi="Arial"/>
          <w:sz w:val="17"/>
          <w:szCs w:val="17"/>
          <w:color w:val="auto"/>
        </w:rPr>
      </w:pPr>
      <w:r>
        <w:rPr>
          <w:rFonts w:ascii="Arial" w:cs="Arial" w:eastAsia="Arial" w:hAnsi="Arial"/>
          <w:sz w:val="17"/>
          <w:szCs w:val="17"/>
          <w:color w:val="auto"/>
        </w:rPr>
        <w:t>Each grant or sale of Restricted Stock Units will be evidenced by an Evidence of Award and will contain such terms and provisions, consistent with this Plan, as the Committee may approve.</w:t>
      </w:r>
    </w:p>
    <w:p>
      <w:pPr>
        <w:spacing w:after="0" w:line="178" w:lineRule="exact"/>
        <w:rPr>
          <w:rFonts w:ascii="Arial" w:cs="Arial" w:eastAsia="Arial" w:hAnsi="Arial"/>
          <w:sz w:val="17"/>
          <w:szCs w:val="17"/>
          <w:color w:val="auto"/>
        </w:rPr>
      </w:pPr>
    </w:p>
    <w:p>
      <w:pPr>
        <w:jc w:val="both"/>
        <w:ind w:left="460" w:right="120" w:hanging="452"/>
        <w:spacing w:after="0" w:line="250" w:lineRule="auto"/>
        <w:tabs>
          <w:tab w:leader="none" w:pos="460" w:val="left"/>
        </w:tabs>
        <w:numPr>
          <w:ilvl w:val="0"/>
          <w:numId w:val="70"/>
        </w:numPr>
        <w:rPr>
          <w:rFonts w:ascii="Arial" w:cs="Arial" w:eastAsia="Arial" w:hAnsi="Arial"/>
          <w:sz w:val="17"/>
          <w:szCs w:val="17"/>
          <w:color w:val="auto"/>
        </w:rPr>
      </w:pPr>
      <w:r>
        <w:rPr>
          <w:rFonts w:ascii="Arial" w:cs="Arial" w:eastAsia="Arial" w:hAnsi="Arial"/>
          <w:sz w:val="17"/>
          <w:szCs w:val="17"/>
          <w:b w:val="1"/>
          <w:bCs w:val="1"/>
          <w:color w:val="auto"/>
        </w:rPr>
        <w:t>Deferred Shares</w:t>
      </w:r>
      <w:r>
        <w:rPr>
          <w:rFonts w:ascii="Arial" w:cs="Arial" w:eastAsia="Arial" w:hAnsi="Arial"/>
          <w:sz w:val="17"/>
          <w:szCs w:val="17"/>
          <w:color w:val="auto"/>
        </w:rPr>
        <w:t>. The Committee may also authorize grants or sales of Deferred Shares to Participants upon such terms and conditions as the</w:t>
      </w:r>
      <w:r>
        <w:rPr>
          <w:rFonts w:ascii="Arial" w:cs="Arial" w:eastAsia="Arial" w:hAnsi="Arial"/>
          <w:sz w:val="17"/>
          <w:szCs w:val="17"/>
          <w:b w:val="1"/>
          <w:bCs w:val="1"/>
          <w:color w:val="auto"/>
        </w:rPr>
        <w:t xml:space="preserve"> </w:t>
      </w:r>
      <w:r>
        <w:rPr>
          <w:rFonts w:ascii="Arial" w:cs="Arial" w:eastAsia="Arial" w:hAnsi="Arial"/>
          <w:sz w:val="17"/>
          <w:szCs w:val="17"/>
          <w:color w:val="auto"/>
        </w:rPr>
        <w:t>Committee may determine. Each such grant may utilize any or all of the authorizations and shall be subject to all of the requirements contained in the following provisions:</w:t>
      </w:r>
    </w:p>
    <w:p>
      <w:pPr>
        <w:spacing w:after="0" w:line="192" w:lineRule="exact"/>
        <w:rPr>
          <w:rFonts w:ascii="Arial" w:cs="Arial" w:eastAsia="Arial" w:hAnsi="Arial"/>
          <w:sz w:val="17"/>
          <w:szCs w:val="17"/>
          <w:color w:val="auto"/>
        </w:rPr>
      </w:pPr>
    </w:p>
    <w:p>
      <w:pPr>
        <w:jc w:val="both"/>
        <w:ind w:left="900" w:right="80" w:hanging="446"/>
        <w:spacing w:after="0" w:line="238" w:lineRule="auto"/>
        <w:tabs>
          <w:tab w:leader="none" w:pos="900" w:val="left"/>
        </w:tabs>
        <w:numPr>
          <w:ilvl w:val="1"/>
          <w:numId w:val="70"/>
        </w:numPr>
        <w:rPr>
          <w:rFonts w:ascii="Arial" w:cs="Arial" w:eastAsia="Arial" w:hAnsi="Arial"/>
          <w:sz w:val="17"/>
          <w:szCs w:val="17"/>
          <w:color w:val="auto"/>
        </w:rPr>
      </w:pPr>
      <w:r>
        <w:rPr>
          <w:rFonts w:ascii="Arial" w:cs="Arial" w:eastAsia="Arial" w:hAnsi="Arial"/>
          <w:sz w:val="17"/>
          <w:szCs w:val="17"/>
          <w:color w:val="auto"/>
        </w:rPr>
        <w:t>Each grant or sale shall constitute the agreement by the Corporation to issue or transfer Common Shares to the Participant in the future in consideration of the performance of services, subject to the fulfillment during the Deferral Period of such conditions as the Committee may specify.</w:t>
      </w:r>
    </w:p>
    <w:p>
      <w:pPr>
        <w:spacing w:after="0" w:line="201" w:lineRule="exact"/>
        <w:rPr>
          <w:rFonts w:ascii="Arial" w:cs="Arial" w:eastAsia="Arial" w:hAnsi="Arial"/>
          <w:sz w:val="17"/>
          <w:szCs w:val="17"/>
          <w:color w:val="auto"/>
        </w:rPr>
      </w:pPr>
    </w:p>
    <w:p>
      <w:pPr>
        <w:ind w:left="900" w:right="220" w:hanging="446"/>
        <w:spacing w:after="0" w:line="243" w:lineRule="auto"/>
        <w:tabs>
          <w:tab w:leader="none" w:pos="900" w:val="left"/>
        </w:tabs>
        <w:numPr>
          <w:ilvl w:val="1"/>
          <w:numId w:val="70"/>
        </w:numPr>
        <w:rPr>
          <w:rFonts w:ascii="Arial" w:cs="Arial" w:eastAsia="Arial" w:hAnsi="Arial"/>
          <w:sz w:val="17"/>
          <w:szCs w:val="17"/>
          <w:color w:val="auto"/>
        </w:rPr>
      </w:pPr>
      <w:r>
        <w:rPr>
          <w:rFonts w:ascii="Arial" w:cs="Arial" w:eastAsia="Arial" w:hAnsi="Arial"/>
          <w:sz w:val="17"/>
          <w:szCs w:val="17"/>
          <w:color w:val="auto"/>
        </w:rPr>
        <w:t>Each grant or sale may be made without additional consideration from the Participant or in consideration of a payment by the Participant that is less than the Market Value per Share on the Date of Grant.</w:t>
      </w:r>
    </w:p>
    <w:p>
      <w:pPr>
        <w:spacing w:after="0" w:line="198" w:lineRule="exact"/>
        <w:rPr>
          <w:rFonts w:ascii="Arial" w:cs="Arial" w:eastAsia="Arial" w:hAnsi="Arial"/>
          <w:sz w:val="17"/>
          <w:szCs w:val="17"/>
          <w:color w:val="auto"/>
        </w:rPr>
      </w:pPr>
    </w:p>
    <w:p>
      <w:pPr>
        <w:ind w:left="900" w:right="200" w:hanging="446"/>
        <w:spacing w:after="0" w:line="235" w:lineRule="auto"/>
        <w:tabs>
          <w:tab w:leader="none" w:pos="900" w:val="left"/>
        </w:tabs>
        <w:numPr>
          <w:ilvl w:val="1"/>
          <w:numId w:val="70"/>
        </w:numPr>
        <w:rPr>
          <w:rFonts w:ascii="Arial" w:cs="Arial" w:eastAsia="Arial" w:hAnsi="Arial"/>
          <w:sz w:val="17"/>
          <w:szCs w:val="17"/>
          <w:color w:val="auto"/>
        </w:rPr>
      </w:pPr>
      <w:r>
        <w:rPr>
          <w:rFonts w:ascii="Arial" w:cs="Arial" w:eastAsia="Arial" w:hAnsi="Arial"/>
          <w:sz w:val="17"/>
          <w:szCs w:val="17"/>
          <w:color w:val="auto"/>
        </w:rPr>
        <w:t xml:space="preserve">Each grant or sale shall provide that the Deferred Shares covered thereby shall be subject to a Deferral Period to be determined by the Committee on the Date of Grant or until Management Objectives referred to in subparagraph (e) below are achieved;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w:t>
      </w:r>
      <w:r>
        <w:rPr>
          <w:rFonts w:ascii="Arial" w:cs="Arial" w:eastAsia="Arial" w:hAnsi="Arial"/>
          <w:sz w:val="17"/>
          <w:szCs w:val="17"/>
          <w:u w:val="single" w:color="auto"/>
          <w:color w:val="auto"/>
        </w:rPr>
        <w:t>however</w:t>
      </w:r>
      <w:r>
        <w:rPr>
          <w:rFonts w:ascii="Arial" w:cs="Arial" w:eastAsia="Arial" w:hAnsi="Arial"/>
          <w:sz w:val="17"/>
          <w:szCs w:val="17"/>
          <w:color w:val="auto"/>
        </w:rPr>
        <w:t xml:space="preserve">, that for Deferred Shares that vest upon the achievement of Management Objectives, the performance period must be at least one year; and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w:t>
      </w:r>
      <w:r>
        <w:rPr>
          <w:rFonts w:ascii="Arial" w:cs="Arial" w:eastAsia="Arial" w:hAnsi="Arial"/>
          <w:sz w:val="17"/>
          <w:szCs w:val="17"/>
          <w:u w:val="single" w:color="auto"/>
          <w:color w:val="auto"/>
        </w:rPr>
        <w:t>further</w:t>
      </w:r>
      <w:r>
        <w:rPr>
          <w:rFonts w:ascii="Arial" w:cs="Arial" w:eastAsia="Arial" w:hAnsi="Arial"/>
          <w:sz w:val="17"/>
          <w:szCs w:val="17"/>
          <w:color w:val="auto"/>
        </w:rPr>
        <w:t>, that if the Deferral Period lapses only by the passage of time rather than the achievement of Management Objectives, such Deferral Period will be not less than one year.</w:t>
      </w:r>
    </w:p>
    <w:p>
      <w:pPr>
        <w:spacing w:after="0" w:line="204" w:lineRule="exact"/>
        <w:rPr>
          <w:rFonts w:ascii="Arial" w:cs="Arial" w:eastAsia="Arial" w:hAnsi="Arial"/>
          <w:sz w:val="17"/>
          <w:szCs w:val="17"/>
          <w:color w:val="auto"/>
        </w:rPr>
      </w:pPr>
    </w:p>
    <w:p>
      <w:pPr>
        <w:ind w:left="900" w:right="100" w:hanging="446"/>
        <w:spacing w:after="0" w:line="236" w:lineRule="auto"/>
        <w:tabs>
          <w:tab w:leader="none" w:pos="900" w:val="left"/>
        </w:tabs>
        <w:numPr>
          <w:ilvl w:val="1"/>
          <w:numId w:val="70"/>
        </w:numPr>
        <w:rPr>
          <w:rFonts w:ascii="Arial" w:cs="Arial" w:eastAsia="Arial" w:hAnsi="Arial"/>
          <w:sz w:val="17"/>
          <w:szCs w:val="17"/>
          <w:color w:val="auto"/>
        </w:rPr>
      </w:pPr>
      <w:r>
        <w:rPr>
          <w:rFonts w:ascii="Arial" w:cs="Arial" w:eastAsia="Arial" w:hAnsi="Arial"/>
          <w:sz w:val="17"/>
          <w:szCs w:val="17"/>
          <w:color w:val="auto"/>
        </w:rPr>
        <w:t xml:space="preserve">During the Deferral Period, the Participant shall not have any right to transfer any rights under the subject award, shall not have any rights of ownership in the Deferred Shares and shall not have any right to vote such Deferred Shares, but the Committee may on or after the Date of Grant authorize the payment of dividend equivalents on such shares in cash or additional Common Shares on a current, deferred or contingent basis;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w:t>
      </w:r>
      <w:r>
        <w:rPr>
          <w:rFonts w:ascii="Arial" w:cs="Arial" w:eastAsia="Arial" w:hAnsi="Arial"/>
          <w:sz w:val="17"/>
          <w:szCs w:val="17"/>
          <w:u w:val="single" w:color="auto"/>
          <w:color w:val="auto"/>
        </w:rPr>
        <w:t>however</w:t>
      </w:r>
      <w:r>
        <w:rPr>
          <w:rFonts w:ascii="Arial" w:cs="Arial" w:eastAsia="Arial" w:hAnsi="Arial"/>
          <w:sz w:val="17"/>
          <w:szCs w:val="17"/>
          <w:color w:val="auto"/>
        </w:rPr>
        <w:t>, that dividend equivalents on Deferred Shares with restrictions that</w:t>
      </w:r>
    </w:p>
    <w:p>
      <w:pPr>
        <w:spacing w:after="0" w:line="147" w:lineRule="exact"/>
        <w:rPr>
          <w:sz w:val="20"/>
          <w:szCs w:val="20"/>
          <w:color w:val="auto"/>
        </w:rPr>
      </w:pPr>
    </w:p>
    <w:p>
      <w:pPr>
        <w:ind w:left="11040"/>
        <w:spacing w:after="0"/>
        <w:rPr>
          <w:sz w:val="20"/>
          <w:szCs w:val="20"/>
          <w:color w:val="auto"/>
        </w:rPr>
      </w:pPr>
      <w:r>
        <w:rPr>
          <w:rFonts w:ascii="Arial" w:cs="Arial" w:eastAsia="Arial" w:hAnsi="Arial"/>
          <w:sz w:val="14"/>
          <w:szCs w:val="14"/>
          <w:color w:val="auto"/>
        </w:rPr>
        <w:t>A-11</w:t>
      </w:r>
    </w:p>
    <w:p>
      <w:pPr>
        <w:sectPr>
          <w:pgSz w:w="11900" w:h="16838" w:orient="portrait"/>
          <w:cols w:equalWidth="0" w:num="1">
            <w:col w:w="11400"/>
          </w:cols>
          <w:pgMar w:left="240" w:top="459" w:right="259" w:bottom="1440" w:gutter="0" w:footer="0" w:header="0"/>
        </w:sectPr>
      </w:pPr>
    </w:p>
    <w:bookmarkStart w:id="99" w:name="page100"/>
    <w:bookmarkEnd w:id="9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261">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3109595</wp:posOffset>
            </wp:positionH>
            <wp:positionV relativeFrom="paragraph">
              <wp:posOffset>205740</wp:posOffset>
            </wp:positionV>
            <wp:extent cx="1046480" cy="205740"/>
            <wp:wrapNone/>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262">
                      <a:extLst>
                        <a:ext uri="{28A0092B-C50C-407E-A947-70E740481C1C}"/>
                      </a:extLst>
                    </a:blip>
                    <a:srcRect/>
                    <a:stretch>
                      <a:fillRect/>
                    </a:stretch>
                  </pic:blipFill>
                  <pic:spPr bwMode="auto">
                    <a:xfrm>
                      <a:off x="0" y="0"/>
                      <a:ext cx="1046480" cy="20574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70" w:lineRule="exact"/>
        <w:rPr>
          <w:sz w:val="20"/>
          <w:szCs w:val="20"/>
          <w:color w:val="auto"/>
        </w:rPr>
      </w:pPr>
    </w:p>
    <w:p>
      <w:pPr>
        <w:ind w:left="920" w:right="240"/>
        <w:spacing w:after="0" w:line="243" w:lineRule="auto"/>
        <w:rPr>
          <w:sz w:val="20"/>
          <w:szCs w:val="20"/>
          <w:color w:val="auto"/>
        </w:rPr>
      </w:pPr>
      <w:r>
        <w:rPr>
          <w:rFonts w:ascii="Arial" w:cs="Arial" w:eastAsia="Arial" w:hAnsi="Arial"/>
          <w:sz w:val="17"/>
          <w:szCs w:val="17"/>
          <w:color w:val="auto"/>
        </w:rPr>
        <w:t>lapse as a result of the achievement of Management Objectives shall be deferred until and paid contingent upon the achievement of the applicable Management Objectives.</w:t>
      </w:r>
    </w:p>
    <w:p>
      <w:pPr>
        <w:spacing w:after="0" w:line="198" w:lineRule="exact"/>
        <w:rPr>
          <w:sz w:val="20"/>
          <w:szCs w:val="20"/>
          <w:color w:val="auto"/>
        </w:rPr>
      </w:pPr>
    </w:p>
    <w:p>
      <w:pPr>
        <w:ind w:left="900" w:right="180" w:hanging="446"/>
        <w:spacing w:after="0" w:line="235" w:lineRule="auto"/>
        <w:tabs>
          <w:tab w:leader="none" w:pos="900" w:val="left"/>
        </w:tabs>
        <w:numPr>
          <w:ilvl w:val="1"/>
          <w:numId w:val="71"/>
        </w:numPr>
        <w:rPr>
          <w:rFonts w:ascii="Arial" w:cs="Arial" w:eastAsia="Arial" w:hAnsi="Arial"/>
          <w:sz w:val="17"/>
          <w:szCs w:val="17"/>
          <w:color w:val="auto"/>
        </w:rPr>
      </w:pPr>
      <w:r>
        <w:rPr>
          <w:rFonts w:ascii="Arial" w:cs="Arial" w:eastAsia="Arial" w:hAnsi="Arial"/>
          <w:sz w:val="17"/>
          <w:szCs w:val="17"/>
          <w:color w:val="auto"/>
        </w:rPr>
        <w:t>Any grant of Deferred Shares may specify Management Objectives which, if achieved, will result in termination or early termination of the Deferral Period applicable to such Deferred Shares. Each such grant may specify in respect of such specified Management Objectives a minimum acceptable level of achievement and may set forth a formula for determining the number of Deferred Shares for which the Deferral Period will terminate if performance is at or above the minimum level, but falls short of full achievement of the specified Management Objectives.</w:t>
      </w:r>
    </w:p>
    <w:p>
      <w:pPr>
        <w:spacing w:after="0" w:line="204" w:lineRule="exact"/>
        <w:rPr>
          <w:rFonts w:ascii="Arial" w:cs="Arial" w:eastAsia="Arial" w:hAnsi="Arial"/>
          <w:sz w:val="17"/>
          <w:szCs w:val="17"/>
          <w:color w:val="auto"/>
        </w:rPr>
      </w:pPr>
    </w:p>
    <w:p>
      <w:pPr>
        <w:ind w:left="900" w:right="60" w:hanging="446"/>
        <w:spacing w:after="0" w:line="235" w:lineRule="auto"/>
        <w:tabs>
          <w:tab w:leader="none" w:pos="900" w:val="left"/>
        </w:tabs>
        <w:numPr>
          <w:ilvl w:val="1"/>
          <w:numId w:val="71"/>
        </w:numPr>
        <w:rPr>
          <w:rFonts w:ascii="Arial" w:cs="Arial" w:eastAsia="Arial" w:hAnsi="Arial"/>
          <w:sz w:val="17"/>
          <w:szCs w:val="17"/>
          <w:color w:val="auto"/>
        </w:rPr>
      </w:pPr>
      <w:r>
        <w:rPr>
          <w:rFonts w:ascii="Arial" w:cs="Arial" w:eastAsia="Arial" w:hAnsi="Arial"/>
          <w:sz w:val="17"/>
          <w:szCs w:val="17"/>
          <w:color w:val="auto"/>
        </w:rPr>
        <w:t xml:space="preserve">Notwithstanding anything to the contrary contained in this Plan (including minimum vesting requirements), any grant or sale of Deferred Shares may provide for the earlier termination of the Deferral Period relating to such Deferred Shares, including in the event of the retirement, death or disability of the Participant or a Change in Control (in the case of a Change in Control, as further described in </w:t>
      </w:r>
      <w:r>
        <w:rPr>
          <w:rFonts w:ascii="Arial" w:cs="Arial" w:eastAsia="Arial" w:hAnsi="Arial"/>
          <w:sz w:val="17"/>
          <w:szCs w:val="17"/>
          <w:b w:val="1"/>
          <w:bCs w:val="1"/>
          <w:u w:val="single" w:color="auto"/>
          <w:color w:val="auto"/>
        </w:rPr>
        <w:t>Section 13</w:t>
      </w:r>
      <w:r>
        <w:rPr>
          <w:rFonts w:ascii="Arial" w:cs="Arial" w:eastAsia="Arial" w:hAnsi="Arial"/>
          <w:sz w:val="17"/>
          <w:szCs w:val="17"/>
          <w:color w:val="auto"/>
        </w:rPr>
        <w:t>);</w:t>
      </w:r>
      <w:r>
        <w:rPr>
          <w:rFonts w:ascii="Arial" w:cs="Arial" w:eastAsia="Arial" w:hAnsi="Arial"/>
          <w:sz w:val="17"/>
          <w:szCs w:val="17"/>
          <w:b w:val="1"/>
          <w:bCs w:val="1"/>
          <w:color w:val="auto"/>
        </w:rPr>
        <w:t xml:space="preserve"> </w:t>
      </w:r>
      <w:r>
        <w:rPr>
          <w:rFonts w:ascii="Arial" w:cs="Arial" w:eastAsia="Arial" w:hAnsi="Arial"/>
          <w:sz w:val="17"/>
          <w:szCs w:val="17"/>
          <w:u w:val="single" w:color="auto"/>
          <w:color w:val="auto"/>
        </w:rPr>
        <w:t>provided</w:t>
      </w:r>
      <w:r>
        <w:rPr>
          <w:rFonts w:ascii="Arial" w:cs="Arial" w:eastAsia="Arial" w:hAnsi="Arial"/>
          <w:sz w:val="17"/>
          <w:szCs w:val="17"/>
          <w:color w:val="auto"/>
        </w:rPr>
        <w:t>,</w:t>
      </w:r>
      <w:r>
        <w:rPr>
          <w:rFonts w:ascii="Arial" w:cs="Arial" w:eastAsia="Arial" w:hAnsi="Arial"/>
          <w:sz w:val="17"/>
          <w:szCs w:val="17"/>
          <w:b w:val="1"/>
          <w:bCs w:val="1"/>
          <w:color w:val="auto"/>
        </w:rPr>
        <w:t xml:space="preserve"> </w:t>
      </w:r>
      <w:r>
        <w:rPr>
          <w:rFonts w:ascii="Arial" w:cs="Arial" w:eastAsia="Arial" w:hAnsi="Arial"/>
          <w:sz w:val="17"/>
          <w:szCs w:val="17"/>
          <w:u w:val="single" w:color="auto"/>
          <w:color w:val="auto"/>
        </w:rPr>
        <w:t>however</w:t>
      </w:r>
      <w:r>
        <w:rPr>
          <w:rFonts w:ascii="Arial" w:cs="Arial" w:eastAsia="Arial" w:hAnsi="Arial"/>
          <w:sz w:val="17"/>
          <w:szCs w:val="17"/>
          <w:color w:val="auto"/>
        </w:rPr>
        <w:t>, that no award of Deferred Shares intended to be a Qualified Performance-Based Award will provide for</w:t>
      </w:r>
      <w:r>
        <w:rPr>
          <w:rFonts w:ascii="Arial" w:cs="Arial" w:eastAsia="Arial" w:hAnsi="Arial"/>
          <w:sz w:val="17"/>
          <w:szCs w:val="17"/>
          <w:b w:val="1"/>
          <w:bCs w:val="1"/>
          <w:color w:val="auto"/>
        </w:rPr>
        <w:t xml:space="preserve"> </w:t>
      </w:r>
      <w:r>
        <w:rPr>
          <w:rFonts w:ascii="Arial" w:cs="Arial" w:eastAsia="Arial" w:hAnsi="Arial"/>
          <w:sz w:val="17"/>
          <w:szCs w:val="17"/>
          <w:color w:val="auto"/>
        </w:rPr>
        <w:t>such early termination of the Deferral Period (other than in connection with the death or disability of the Participant or a Change in Control) to the extent such provisions would cause such award to fail to be a Qualified Performance-Based Award.</w:t>
      </w:r>
    </w:p>
    <w:p>
      <w:pPr>
        <w:spacing w:after="0" w:line="202" w:lineRule="exact"/>
        <w:rPr>
          <w:rFonts w:ascii="Arial" w:cs="Arial" w:eastAsia="Arial" w:hAnsi="Arial"/>
          <w:sz w:val="17"/>
          <w:szCs w:val="17"/>
          <w:color w:val="auto"/>
        </w:rPr>
      </w:pPr>
    </w:p>
    <w:p>
      <w:pPr>
        <w:ind w:left="900" w:right="400" w:hanging="446"/>
        <w:spacing w:after="0" w:line="243" w:lineRule="auto"/>
        <w:tabs>
          <w:tab w:leader="none" w:pos="900" w:val="left"/>
        </w:tabs>
        <w:numPr>
          <w:ilvl w:val="1"/>
          <w:numId w:val="71"/>
        </w:numPr>
        <w:rPr>
          <w:rFonts w:ascii="Arial" w:cs="Arial" w:eastAsia="Arial" w:hAnsi="Arial"/>
          <w:sz w:val="17"/>
          <w:szCs w:val="17"/>
          <w:color w:val="auto"/>
        </w:rPr>
      </w:pPr>
      <w:r>
        <w:rPr>
          <w:rFonts w:ascii="Arial" w:cs="Arial" w:eastAsia="Arial" w:hAnsi="Arial"/>
          <w:sz w:val="17"/>
          <w:szCs w:val="17"/>
          <w:color w:val="auto"/>
        </w:rPr>
        <w:t>Each grant or sale shall be evidenced by an Evidence of Award, which shall contain such terms and provisions as the Committee may determine consistent with this Plan.</w:t>
      </w:r>
    </w:p>
    <w:p>
      <w:pPr>
        <w:spacing w:after="0" w:line="178" w:lineRule="exact"/>
        <w:rPr>
          <w:rFonts w:ascii="Arial" w:cs="Arial" w:eastAsia="Arial" w:hAnsi="Arial"/>
          <w:sz w:val="17"/>
          <w:szCs w:val="17"/>
          <w:color w:val="auto"/>
        </w:rPr>
      </w:pPr>
    </w:p>
    <w:p>
      <w:pPr>
        <w:ind w:left="460" w:right="200" w:hanging="452"/>
        <w:spacing w:after="0" w:line="244" w:lineRule="auto"/>
        <w:tabs>
          <w:tab w:leader="none" w:pos="460" w:val="left"/>
        </w:tabs>
        <w:numPr>
          <w:ilvl w:val="0"/>
          <w:numId w:val="72"/>
        </w:numPr>
        <w:rPr>
          <w:rFonts w:ascii="Arial" w:cs="Arial" w:eastAsia="Arial" w:hAnsi="Arial"/>
          <w:sz w:val="17"/>
          <w:szCs w:val="17"/>
          <w:color w:val="auto"/>
        </w:rPr>
      </w:pPr>
      <w:r>
        <w:rPr>
          <w:rFonts w:ascii="Arial" w:cs="Arial" w:eastAsia="Arial" w:hAnsi="Arial"/>
          <w:sz w:val="17"/>
          <w:szCs w:val="17"/>
          <w:b w:val="1"/>
          <w:bCs w:val="1"/>
          <w:color w:val="auto"/>
        </w:rPr>
        <w:t>Performance Shares, Performance Units and Cash Incentive Awards</w:t>
      </w:r>
      <w:r>
        <w:rPr>
          <w:rFonts w:ascii="Arial" w:cs="Arial" w:eastAsia="Arial" w:hAnsi="Arial"/>
          <w:sz w:val="17"/>
          <w:szCs w:val="17"/>
          <w:color w:val="auto"/>
        </w:rPr>
        <w:t>. The Committee may also authorize grants to Participants of</w:t>
      </w:r>
      <w:r>
        <w:rPr>
          <w:rFonts w:ascii="Arial" w:cs="Arial" w:eastAsia="Arial" w:hAnsi="Arial"/>
          <w:sz w:val="17"/>
          <w:szCs w:val="17"/>
          <w:b w:val="1"/>
          <w:bCs w:val="1"/>
          <w:color w:val="auto"/>
        </w:rPr>
        <w:t xml:space="preserve"> </w:t>
      </w:r>
      <w:r>
        <w:rPr>
          <w:rFonts w:ascii="Arial" w:cs="Arial" w:eastAsia="Arial" w:hAnsi="Arial"/>
          <w:sz w:val="17"/>
          <w:szCs w:val="17"/>
          <w:color w:val="auto"/>
        </w:rPr>
        <w:t>Performance Shares, Performance Units and Cash Incentive Awards, which shall become payable to the Participant upon the achievement of specified Management Objectives, upon such terms and conditions as the Committee may determine. Each such grant may utilize any or all of the authorizations and shall be subject to all of the requirements contained in the following provisions:</w:t>
      </w:r>
    </w:p>
    <w:p>
      <w:pPr>
        <w:spacing w:after="0" w:line="197" w:lineRule="exact"/>
        <w:rPr>
          <w:rFonts w:ascii="Arial" w:cs="Arial" w:eastAsia="Arial" w:hAnsi="Arial"/>
          <w:sz w:val="17"/>
          <w:szCs w:val="17"/>
          <w:color w:val="auto"/>
        </w:rPr>
      </w:pPr>
    </w:p>
    <w:p>
      <w:pPr>
        <w:ind w:left="900" w:right="80" w:hanging="446"/>
        <w:spacing w:after="0" w:line="235" w:lineRule="auto"/>
        <w:tabs>
          <w:tab w:leader="none" w:pos="900" w:val="left"/>
        </w:tabs>
        <w:numPr>
          <w:ilvl w:val="1"/>
          <w:numId w:val="72"/>
        </w:numPr>
        <w:rPr>
          <w:rFonts w:ascii="Arial" w:cs="Arial" w:eastAsia="Arial" w:hAnsi="Arial"/>
          <w:sz w:val="17"/>
          <w:szCs w:val="17"/>
          <w:color w:val="auto"/>
        </w:rPr>
      </w:pPr>
      <w:r>
        <w:rPr>
          <w:rFonts w:ascii="Arial" w:cs="Arial" w:eastAsia="Arial" w:hAnsi="Arial"/>
          <w:sz w:val="17"/>
          <w:szCs w:val="17"/>
          <w:color w:val="auto"/>
        </w:rPr>
        <w:t xml:space="preserve">Each grant shall specify the number or amount of Performance Shares or Performance Units, or amount payable with respect to Cash Incentive Awards, to which it pertains, subject to the limitations in </w:t>
      </w:r>
      <w:r>
        <w:rPr>
          <w:rFonts w:ascii="Arial" w:cs="Arial" w:eastAsia="Arial" w:hAnsi="Arial"/>
          <w:sz w:val="17"/>
          <w:szCs w:val="17"/>
          <w:b w:val="1"/>
          <w:bCs w:val="1"/>
          <w:u w:val="single" w:color="auto"/>
          <w:color w:val="auto"/>
        </w:rPr>
        <w:t>Section 3</w:t>
      </w:r>
      <w:r>
        <w:rPr>
          <w:rFonts w:ascii="Arial" w:cs="Arial" w:eastAsia="Arial" w:hAnsi="Arial"/>
          <w:sz w:val="17"/>
          <w:szCs w:val="17"/>
          <w:color w:val="auto"/>
        </w:rPr>
        <w:t xml:space="preserve">, which may be subject to adjustment to reflect changes in compensation or other factors;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w:t>
      </w:r>
      <w:r>
        <w:rPr>
          <w:rFonts w:ascii="Arial" w:cs="Arial" w:eastAsia="Arial" w:hAnsi="Arial"/>
          <w:sz w:val="17"/>
          <w:szCs w:val="17"/>
          <w:u w:val="single" w:color="auto"/>
          <w:color w:val="auto"/>
        </w:rPr>
        <w:t>however</w:t>
      </w:r>
      <w:r>
        <w:rPr>
          <w:rFonts w:ascii="Arial" w:cs="Arial" w:eastAsia="Arial" w:hAnsi="Arial"/>
          <w:sz w:val="17"/>
          <w:szCs w:val="17"/>
          <w:color w:val="auto"/>
        </w:rPr>
        <w:t>, that no such adjustment will be made in the case of a Qualified Performance-Based Award (other than in connection with the death or disability of the Participant or a Change in Control) where such action would result in the loss of the otherwise available exemption of the award under Section 162(m) of the Code.</w:t>
      </w:r>
    </w:p>
    <w:p>
      <w:pPr>
        <w:spacing w:after="0" w:line="204" w:lineRule="exact"/>
        <w:rPr>
          <w:rFonts w:ascii="Arial" w:cs="Arial" w:eastAsia="Arial" w:hAnsi="Arial"/>
          <w:sz w:val="17"/>
          <w:szCs w:val="17"/>
          <w:color w:val="auto"/>
        </w:rPr>
      </w:pPr>
    </w:p>
    <w:p>
      <w:pPr>
        <w:ind w:left="900" w:right="40" w:hanging="446"/>
        <w:spacing w:after="0" w:line="235" w:lineRule="auto"/>
        <w:tabs>
          <w:tab w:leader="none" w:pos="900" w:val="left"/>
        </w:tabs>
        <w:numPr>
          <w:ilvl w:val="1"/>
          <w:numId w:val="72"/>
        </w:numPr>
        <w:rPr>
          <w:rFonts w:ascii="Arial" w:cs="Arial" w:eastAsia="Arial" w:hAnsi="Arial"/>
          <w:sz w:val="17"/>
          <w:szCs w:val="17"/>
          <w:color w:val="auto"/>
        </w:rPr>
      </w:pPr>
      <w:r>
        <w:rPr>
          <w:rFonts w:ascii="Arial" w:cs="Arial" w:eastAsia="Arial" w:hAnsi="Arial"/>
          <w:sz w:val="17"/>
          <w:szCs w:val="17"/>
          <w:color w:val="auto"/>
        </w:rPr>
        <w:t xml:space="preserve">The Performance Period with respect to each Cash Incentive Award, Performance Share or Performance Unit will be such period of time (not less than one year) as shall be determined by the Committee on the Date of Grant and may be subject to earlier termination, including in the event of the retirement, death or disability of the Participant or a Change in Control (in the case of a Change in Control, as further described in </w:t>
      </w:r>
      <w:r>
        <w:rPr>
          <w:rFonts w:ascii="Arial" w:cs="Arial" w:eastAsia="Arial" w:hAnsi="Arial"/>
          <w:sz w:val="17"/>
          <w:szCs w:val="17"/>
          <w:b w:val="1"/>
          <w:bCs w:val="1"/>
          <w:u w:val="single" w:color="auto"/>
          <w:color w:val="auto"/>
        </w:rPr>
        <w:t>Section 13</w:t>
      </w:r>
      <w:r>
        <w:rPr>
          <w:rFonts w:ascii="Arial" w:cs="Arial" w:eastAsia="Arial" w:hAnsi="Arial"/>
          <w:sz w:val="17"/>
          <w:szCs w:val="17"/>
          <w:color w:val="auto"/>
        </w:rPr>
        <w:t xml:space="preserve">);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w:t>
      </w:r>
      <w:r>
        <w:rPr>
          <w:rFonts w:ascii="Arial" w:cs="Arial" w:eastAsia="Arial" w:hAnsi="Arial"/>
          <w:sz w:val="17"/>
          <w:szCs w:val="17"/>
          <w:u w:val="single" w:color="auto"/>
          <w:color w:val="auto"/>
        </w:rPr>
        <w:t>however</w:t>
      </w:r>
      <w:r>
        <w:rPr>
          <w:rFonts w:ascii="Arial" w:cs="Arial" w:eastAsia="Arial" w:hAnsi="Arial"/>
          <w:sz w:val="17"/>
          <w:szCs w:val="17"/>
          <w:color w:val="auto"/>
        </w:rPr>
        <w:t>, that no such award intended to be a Qualified Performance-Based Award will provide for such early termination (other than in connection with the death or disability of the Participant or a Change in Control) where such action would result in the loss of the otherwise available exemption of the award under Section 162(m) of the Code.</w:t>
      </w:r>
    </w:p>
    <w:p>
      <w:pPr>
        <w:spacing w:after="0" w:line="202" w:lineRule="exact"/>
        <w:rPr>
          <w:rFonts w:ascii="Arial" w:cs="Arial" w:eastAsia="Arial" w:hAnsi="Arial"/>
          <w:sz w:val="17"/>
          <w:szCs w:val="17"/>
          <w:color w:val="auto"/>
        </w:rPr>
      </w:pPr>
    </w:p>
    <w:p>
      <w:pPr>
        <w:ind w:left="900" w:hanging="446"/>
        <w:spacing w:after="0" w:line="238" w:lineRule="auto"/>
        <w:tabs>
          <w:tab w:leader="none" w:pos="900" w:val="left"/>
        </w:tabs>
        <w:numPr>
          <w:ilvl w:val="1"/>
          <w:numId w:val="72"/>
        </w:numPr>
        <w:rPr>
          <w:rFonts w:ascii="Arial" w:cs="Arial" w:eastAsia="Arial" w:hAnsi="Arial"/>
          <w:sz w:val="17"/>
          <w:szCs w:val="17"/>
          <w:color w:val="auto"/>
        </w:rPr>
      </w:pPr>
      <w:r>
        <w:rPr>
          <w:rFonts w:ascii="Arial" w:cs="Arial" w:eastAsia="Arial" w:hAnsi="Arial"/>
          <w:sz w:val="17"/>
          <w:szCs w:val="17"/>
          <w:color w:val="auto"/>
        </w:rPr>
        <w:t>Each grant shall specify the Management Objectives which, if achieved, will result in payment or early payment of the award, and each grant may specify in respect of the specified Management Objectives a minimum acceptable level of achievement below which no payment will be made and may set forth a</w:t>
      </w:r>
    </w:p>
    <w:p>
      <w:pPr>
        <w:spacing w:after="0" w:line="145" w:lineRule="exact"/>
        <w:rPr>
          <w:sz w:val="20"/>
          <w:szCs w:val="20"/>
          <w:color w:val="auto"/>
        </w:rPr>
      </w:pPr>
    </w:p>
    <w:p>
      <w:pPr>
        <w:spacing w:after="0"/>
        <w:rPr>
          <w:sz w:val="20"/>
          <w:szCs w:val="20"/>
          <w:color w:val="auto"/>
        </w:rPr>
      </w:pPr>
      <w:r>
        <w:rPr>
          <w:rFonts w:ascii="Arial" w:cs="Arial" w:eastAsia="Arial" w:hAnsi="Arial"/>
          <w:sz w:val="14"/>
          <w:szCs w:val="14"/>
          <w:color w:val="auto"/>
        </w:rPr>
        <w:t>A-12</w:t>
      </w:r>
    </w:p>
    <w:p>
      <w:pPr>
        <w:sectPr>
          <w:pgSz w:w="11900" w:h="16838" w:orient="portrait"/>
          <w:cols w:equalWidth="0" w:num="1">
            <w:col w:w="11400"/>
          </w:cols>
          <w:pgMar w:left="240" w:top="459" w:right="259" w:bottom="1440" w:gutter="0" w:footer="0" w:header="0"/>
        </w:sectPr>
      </w:pPr>
    </w:p>
    <w:bookmarkStart w:id="100" w:name="page101"/>
    <w:bookmarkEnd w:id="10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263">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2715260</wp:posOffset>
            </wp:positionH>
            <wp:positionV relativeFrom="paragraph">
              <wp:posOffset>205740</wp:posOffset>
            </wp:positionV>
            <wp:extent cx="1826895" cy="205740"/>
            <wp:wrapNone/>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264">
                      <a:extLst>
                        <a:ext uri="{28A0092B-C50C-407E-A947-70E740481C1C}"/>
                      </a:extLst>
                    </a:blip>
                    <a:srcRect/>
                    <a:stretch>
                      <a:fillRect/>
                    </a:stretch>
                  </pic:blipFill>
                  <pic:spPr bwMode="auto">
                    <a:xfrm>
                      <a:off x="0" y="0"/>
                      <a:ext cx="1826895" cy="20574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70" w:lineRule="exact"/>
        <w:rPr>
          <w:sz w:val="20"/>
          <w:szCs w:val="20"/>
          <w:color w:val="auto"/>
        </w:rPr>
      </w:pPr>
    </w:p>
    <w:p>
      <w:pPr>
        <w:ind w:left="920" w:right="160"/>
        <w:spacing w:after="0" w:line="236" w:lineRule="auto"/>
        <w:rPr>
          <w:sz w:val="20"/>
          <w:szCs w:val="20"/>
          <w:color w:val="auto"/>
        </w:rPr>
      </w:pPr>
      <w:r>
        <w:rPr>
          <w:rFonts w:ascii="Arial" w:cs="Arial" w:eastAsia="Arial" w:hAnsi="Arial"/>
          <w:sz w:val="17"/>
          <w:szCs w:val="17"/>
          <w:color w:val="auto"/>
        </w:rPr>
        <w:t>formula for determining the amount of any payment to be made if performance is at or above the minimum acceptable level but falls short of full achievement of the specified Management Objectives. The grant of Performance Shares or Performance Units will specify that, before the Performance Shares or Performance Units will be earned and paid, the Board must certify that the Management Objectives have been satisfied.</w:t>
      </w:r>
    </w:p>
    <w:p>
      <w:pPr>
        <w:spacing w:after="0" w:line="204" w:lineRule="exact"/>
        <w:rPr>
          <w:sz w:val="20"/>
          <w:szCs w:val="20"/>
          <w:color w:val="auto"/>
        </w:rPr>
      </w:pPr>
    </w:p>
    <w:p>
      <w:pPr>
        <w:ind w:left="900" w:right="160" w:hanging="446"/>
        <w:spacing w:after="0" w:line="238" w:lineRule="auto"/>
        <w:tabs>
          <w:tab w:leader="none" w:pos="900" w:val="left"/>
        </w:tabs>
        <w:numPr>
          <w:ilvl w:val="1"/>
          <w:numId w:val="73"/>
        </w:numPr>
        <w:rPr>
          <w:rFonts w:ascii="Arial" w:cs="Arial" w:eastAsia="Arial" w:hAnsi="Arial"/>
          <w:sz w:val="17"/>
          <w:szCs w:val="17"/>
          <w:color w:val="auto"/>
        </w:rPr>
      </w:pPr>
      <w:r>
        <w:rPr>
          <w:rFonts w:ascii="Arial" w:cs="Arial" w:eastAsia="Arial" w:hAnsi="Arial"/>
          <w:sz w:val="17"/>
          <w:szCs w:val="17"/>
          <w:color w:val="auto"/>
        </w:rPr>
        <w:t>Each grant shall specify the time and manner of payment of Cash Incentive Awards, Performance Shares or Performance Units that shall have been earned, and any grant of Performance Shares or Performance Units may specify that any such amount may be paid by the Corporation in cash, Common Shares, Restricted Shares or Restricted Stock Units, or in any combination thereof.</w:t>
      </w:r>
    </w:p>
    <w:p>
      <w:pPr>
        <w:spacing w:after="0" w:line="201" w:lineRule="exact"/>
        <w:rPr>
          <w:rFonts w:ascii="Arial" w:cs="Arial" w:eastAsia="Arial" w:hAnsi="Arial"/>
          <w:sz w:val="17"/>
          <w:szCs w:val="17"/>
          <w:color w:val="auto"/>
        </w:rPr>
      </w:pPr>
    </w:p>
    <w:p>
      <w:pPr>
        <w:ind w:left="900" w:right="200" w:hanging="446"/>
        <w:spacing w:after="0" w:line="238" w:lineRule="auto"/>
        <w:tabs>
          <w:tab w:leader="none" w:pos="900" w:val="left"/>
        </w:tabs>
        <w:numPr>
          <w:ilvl w:val="1"/>
          <w:numId w:val="73"/>
        </w:numPr>
        <w:rPr>
          <w:rFonts w:ascii="Arial" w:cs="Arial" w:eastAsia="Arial" w:hAnsi="Arial"/>
          <w:sz w:val="17"/>
          <w:szCs w:val="17"/>
          <w:color w:val="auto"/>
        </w:rPr>
      </w:pPr>
      <w:r>
        <w:rPr>
          <w:rFonts w:ascii="Arial" w:cs="Arial" w:eastAsia="Arial" w:hAnsi="Arial"/>
          <w:sz w:val="17"/>
          <w:szCs w:val="17"/>
          <w:color w:val="auto"/>
        </w:rPr>
        <w:t>Any grant of Performance Shares may specify that the amount payable with respect thereto may not exceed a maximum specified by the Committee on the Date of Grant. Any grant of Performance Units or Cash Incentive Awards may specify that the amount payable, or the number of Common Shares issued, with respect thereto may not exceed maximums specified by the Committee on the Date of Grant.</w:t>
      </w:r>
    </w:p>
    <w:p>
      <w:pPr>
        <w:spacing w:after="0" w:line="201" w:lineRule="exact"/>
        <w:rPr>
          <w:rFonts w:ascii="Arial" w:cs="Arial" w:eastAsia="Arial" w:hAnsi="Arial"/>
          <w:sz w:val="17"/>
          <w:szCs w:val="17"/>
          <w:color w:val="auto"/>
        </w:rPr>
      </w:pPr>
    </w:p>
    <w:p>
      <w:pPr>
        <w:ind w:left="900" w:right="60" w:hanging="446"/>
        <w:spacing w:after="0" w:line="238" w:lineRule="auto"/>
        <w:tabs>
          <w:tab w:leader="none" w:pos="900" w:val="left"/>
        </w:tabs>
        <w:numPr>
          <w:ilvl w:val="1"/>
          <w:numId w:val="73"/>
        </w:numPr>
        <w:rPr>
          <w:rFonts w:ascii="Arial" w:cs="Arial" w:eastAsia="Arial" w:hAnsi="Arial"/>
          <w:sz w:val="17"/>
          <w:szCs w:val="17"/>
          <w:color w:val="auto"/>
        </w:rPr>
      </w:pPr>
      <w:r>
        <w:rPr>
          <w:rFonts w:ascii="Arial" w:cs="Arial" w:eastAsia="Arial" w:hAnsi="Arial"/>
          <w:sz w:val="17"/>
          <w:szCs w:val="17"/>
          <w:color w:val="auto"/>
        </w:rPr>
        <w:t>Any grant of Performance Shares may provide for the payment to the Participant of dividend equivalents thereon in cash or in additional Common Shares, subject in all cases to deferral and payment on a contingent basis based on the Participant’s earning of the Performance Shares with respect to which such dividend equivalents are paid.</w:t>
      </w:r>
    </w:p>
    <w:p>
      <w:pPr>
        <w:spacing w:after="0" w:line="201" w:lineRule="exact"/>
        <w:rPr>
          <w:rFonts w:ascii="Arial" w:cs="Arial" w:eastAsia="Arial" w:hAnsi="Arial"/>
          <w:sz w:val="17"/>
          <w:szCs w:val="17"/>
          <w:color w:val="auto"/>
        </w:rPr>
      </w:pPr>
    </w:p>
    <w:p>
      <w:pPr>
        <w:ind w:left="900" w:right="60" w:hanging="446"/>
        <w:spacing w:after="0" w:line="243" w:lineRule="auto"/>
        <w:tabs>
          <w:tab w:leader="none" w:pos="900" w:val="left"/>
        </w:tabs>
        <w:numPr>
          <w:ilvl w:val="1"/>
          <w:numId w:val="73"/>
        </w:numPr>
        <w:rPr>
          <w:rFonts w:ascii="Arial" w:cs="Arial" w:eastAsia="Arial" w:hAnsi="Arial"/>
          <w:sz w:val="17"/>
          <w:szCs w:val="17"/>
          <w:color w:val="auto"/>
        </w:rPr>
      </w:pPr>
      <w:r>
        <w:rPr>
          <w:rFonts w:ascii="Arial" w:cs="Arial" w:eastAsia="Arial" w:hAnsi="Arial"/>
          <w:sz w:val="17"/>
          <w:szCs w:val="17"/>
          <w:color w:val="auto"/>
        </w:rPr>
        <w:t>Each grant of Cash Incentive Awards, Performance Shares or Performance Units shall be evidenced by an Evidence of Award, which shall contain such terms and provisions as the Committee may determine consistent with this Plan.</w:t>
      </w:r>
    </w:p>
    <w:p>
      <w:pPr>
        <w:spacing w:after="0" w:line="178" w:lineRule="exact"/>
        <w:rPr>
          <w:rFonts w:ascii="Arial" w:cs="Arial" w:eastAsia="Arial" w:hAnsi="Arial"/>
          <w:sz w:val="17"/>
          <w:szCs w:val="17"/>
          <w:color w:val="auto"/>
        </w:rPr>
      </w:pPr>
    </w:p>
    <w:p>
      <w:pPr>
        <w:ind w:left="460" w:hanging="452"/>
        <w:spacing w:after="0"/>
        <w:tabs>
          <w:tab w:leader="none" w:pos="460" w:val="left"/>
        </w:tabs>
        <w:numPr>
          <w:ilvl w:val="0"/>
          <w:numId w:val="74"/>
        </w:numPr>
        <w:rPr>
          <w:rFonts w:ascii="Arial" w:cs="Arial" w:eastAsia="Arial" w:hAnsi="Arial"/>
          <w:sz w:val="17"/>
          <w:szCs w:val="17"/>
          <w:color w:val="auto"/>
        </w:rPr>
      </w:pPr>
      <w:r>
        <w:rPr>
          <w:rFonts w:ascii="Arial" w:cs="Arial" w:eastAsia="Arial" w:hAnsi="Arial"/>
          <w:sz w:val="17"/>
          <w:szCs w:val="17"/>
          <w:b w:val="1"/>
          <w:bCs w:val="1"/>
          <w:color w:val="auto"/>
        </w:rPr>
        <w:t>Other Awards</w:t>
      </w:r>
      <w:r>
        <w:rPr>
          <w:rFonts w:ascii="Arial" w:cs="Arial" w:eastAsia="Arial" w:hAnsi="Arial"/>
          <w:sz w:val="17"/>
          <w:szCs w:val="17"/>
          <w:color w:val="auto"/>
        </w:rPr>
        <w:t>.</w:t>
      </w:r>
    </w:p>
    <w:p>
      <w:pPr>
        <w:spacing w:after="0" w:line="209" w:lineRule="exact"/>
        <w:rPr>
          <w:rFonts w:ascii="Arial" w:cs="Arial" w:eastAsia="Arial" w:hAnsi="Arial"/>
          <w:sz w:val="17"/>
          <w:szCs w:val="17"/>
          <w:color w:val="auto"/>
        </w:rPr>
      </w:pPr>
    </w:p>
    <w:p>
      <w:pPr>
        <w:ind w:left="900" w:hanging="446"/>
        <w:spacing w:after="0" w:line="235" w:lineRule="auto"/>
        <w:tabs>
          <w:tab w:leader="none" w:pos="900" w:val="left"/>
        </w:tabs>
        <w:numPr>
          <w:ilvl w:val="1"/>
          <w:numId w:val="74"/>
        </w:numPr>
        <w:rPr>
          <w:rFonts w:ascii="Arial" w:cs="Arial" w:eastAsia="Arial" w:hAnsi="Arial"/>
          <w:sz w:val="17"/>
          <w:szCs w:val="17"/>
          <w:color w:val="auto"/>
        </w:rPr>
      </w:pPr>
      <w:r>
        <w:rPr>
          <w:rFonts w:ascii="Arial" w:cs="Arial" w:eastAsia="Arial" w:hAnsi="Arial"/>
          <w:sz w:val="17"/>
          <w:szCs w:val="17"/>
          <w:color w:val="auto"/>
        </w:rPr>
        <w:t xml:space="preserve">Subject to applicable law and the applicable limits set forth in </w:t>
      </w:r>
      <w:r>
        <w:rPr>
          <w:rFonts w:ascii="Arial" w:cs="Arial" w:eastAsia="Arial" w:hAnsi="Arial"/>
          <w:sz w:val="17"/>
          <w:szCs w:val="17"/>
          <w:b w:val="1"/>
          <w:bCs w:val="1"/>
          <w:u w:val="single" w:color="auto"/>
          <w:color w:val="auto"/>
        </w:rPr>
        <w:t>Section 3</w:t>
      </w:r>
      <w:r>
        <w:rPr>
          <w:rFonts w:ascii="Arial" w:cs="Arial" w:eastAsia="Arial" w:hAnsi="Arial"/>
          <w:sz w:val="17"/>
          <w:szCs w:val="17"/>
          <w:color w:val="auto"/>
        </w:rPr>
        <w:t xml:space="preserve"> of this Plan, the Committee may grant to any Participant such other awards that may be denominated or payable in, valued in whole or in part by reference to, or otherwise based on, or related to, Common Shares or factors that may influence the value of such Common Shares, including, without limitation, convertible or exchangeable debt securities, other rights convertible or exchangeable into Common Shares, purchase rights for Common Shares, awards with value and payment contingent upon performance of the Corporation or its Subsidiaries, affiliates or other business units thereof or any other factors designated by the Committee, and awards valued by reference to the book value of the Common Shares or the value of securities of, or the performance of its Subsidiaries or affiliates or other business units of the Corporation. The Committee will determine the terms and conditions of such awards. Common Shares delivered pursuant to an award in the nature of a purchase right granted under this</w:t>
      </w:r>
    </w:p>
    <w:p>
      <w:pPr>
        <w:spacing w:after="0" w:line="1" w:lineRule="exact"/>
        <w:rPr>
          <w:rFonts w:ascii="Arial" w:cs="Arial" w:eastAsia="Arial" w:hAnsi="Arial"/>
          <w:sz w:val="17"/>
          <w:szCs w:val="17"/>
          <w:color w:val="auto"/>
        </w:rPr>
      </w:pPr>
    </w:p>
    <w:p>
      <w:pPr>
        <w:ind w:left="900" w:right="700"/>
        <w:spacing w:after="0" w:line="243" w:lineRule="auto"/>
        <w:rPr>
          <w:rFonts w:ascii="Arial" w:cs="Arial" w:eastAsia="Arial" w:hAnsi="Arial"/>
          <w:sz w:val="17"/>
          <w:szCs w:val="17"/>
          <w:color w:val="auto"/>
        </w:rPr>
      </w:pPr>
      <w:r>
        <w:rPr>
          <w:rFonts w:ascii="Arial" w:cs="Arial" w:eastAsia="Arial" w:hAnsi="Arial"/>
          <w:sz w:val="17"/>
          <w:szCs w:val="17"/>
          <w:b w:val="1"/>
          <w:bCs w:val="1"/>
          <w:u w:val="single" w:color="auto"/>
          <w:color w:val="auto"/>
        </w:rPr>
        <w:t>Section 10</w:t>
      </w:r>
      <w:r>
        <w:rPr>
          <w:rFonts w:ascii="Arial" w:cs="Arial" w:eastAsia="Arial" w:hAnsi="Arial"/>
          <w:sz w:val="17"/>
          <w:szCs w:val="17"/>
          <w:b w:val="1"/>
          <w:bCs w:val="1"/>
          <w:color w:val="auto"/>
        </w:rPr>
        <w:t xml:space="preserve"> </w:t>
      </w:r>
      <w:r>
        <w:rPr>
          <w:rFonts w:ascii="Arial" w:cs="Arial" w:eastAsia="Arial" w:hAnsi="Arial"/>
          <w:sz w:val="17"/>
          <w:szCs w:val="17"/>
          <w:color w:val="auto"/>
        </w:rPr>
        <w:t>will be purchased for such consideration, paid for at such time, by such methods, and in such forms, including, without</w:t>
      </w:r>
      <w:r>
        <w:rPr>
          <w:rFonts w:ascii="Arial" w:cs="Arial" w:eastAsia="Arial" w:hAnsi="Arial"/>
          <w:sz w:val="17"/>
          <w:szCs w:val="17"/>
          <w:b w:val="1"/>
          <w:bCs w:val="1"/>
          <w:color w:val="auto"/>
        </w:rPr>
        <w:t xml:space="preserve"> </w:t>
      </w:r>
      <w:r>
        <w:rPr>
          <w:rFonts w:ascii="Arial" w:cs="Arial" w:eastAsia="Arial" w:hAnsi="Arial"/>
          <w:sz w:val="17"/>
          <w:szCs w:val="17"/>
          <w:color w:val="auto"/>
        </w:rPr>
        <w:t>limitation, Common Shares, other awards, notes or other property, as the Committee determines.</w:t>
      </w:r>
    </w:p>
    <w:p>
      <w:pPr>
        <w:spacing w:after="0" w:line="198" w:lineRule="exact"/>
        <w:rPr>
          <w:rFonts w:ascii="Arial" w:cs="Arial" w:eastAsia="Arial" w:hAnsi="Arial"/>
          <w:sz w:val="17"/>
          <w:szCs w:val="17"/>
          <w:color w:val="auto"/>
        </w:rPr>
      </w:pPr>
    </w:p>
    <w:p>
      <w:pPr>
        <w:ind w:left="900" w:right="900" w:hanging="446"/>
        <w:spacing w:after="0" w:line="243" w:lineRule="auto"/>
        <w:tabs>
          <w:tab w:leader="none" w:pos="900" w:val="left"/>
        </w:tabs>
        <w:numPr>
          <w:ilvl w:val="1"/>
          <w:numId w:val="74"/>
        </w:numPr>
        <w:rPr>
          <w:rFonts w:ascii="Arial" w:cs="Arial" w:eastAsia="Arial" w:hAnsi="Arial"/>
          <w:sz w:val="17"/>
          <w:szCs w:val="17"/>
          <w:color w:val="auto"/>
        </w:rPr>
      </w:pPr>
      <w:r>
        <w:rPr>
          <w:rFonts w:ascii="Arial" w:cs="Arial" w:eastAsia="Arial" w:hAnsi="Arial"/>
          <w:sz w:val="17"/>
          <w:szCs w:val="17"/>
          <w:color w:val="auto"/>
        </w:rPr>
        <w:t xml:space="preserve">Cash awards, as an element of or supplement to any other award granted under this Plan, may also be granted pursuant to this </w:t>
      </w:r>
      <w:r>
        <w:rPr>
          <w:rFonts w:ascii="Arial" w:cs="Arial" w:eastAsia="Arial" w:hAnsi="Arial"/>
          <w:sz w:val="17"/>
          <w:szCs w:val="17"/>
          <w:b w:val="1"/>
          <w:bCs w:val="1"/>
          <w:u w:val="single" w:color="auto"/>
          <w:color w:val="auto"/>
        </w:rPr>
        <w:t>Section 10</w:t>
      </w:r>
      <w:r>
        <w:rPr>
          <w:rFonts w:ascii="Arial" w:cs="Arial" w:eastAsia="Arial" w:hAnsi="Arial"/>
          <w:sz w:val="17"/>
          <w:szCs w:val="17"/>
          <w:color w:val="auto"/>
        </w:rPr>
        <w:t>.</w:t>
      </w:r>
    </w:p>
    <w:p>
      <w:pPr>
        <w:spacing w:after="0" w:line="198" w:lineRule="exact"/>
        <w:rPr>
          <w:rFonts w:ascii="Arial" w:cs="Arial" w:eastAsia="Arial" w:hAnsi="Arial"/>
          <w:sz w:val="17"/>
          <w:szCs w:val="17"/>
          <w:color w:val="auto"/>
        </w:rPr>
      </w:pPr>
    </w:p>
    <w:p>
      <w:pPr>
        <w:jc w:val="both"/>
        <w:ind w:left="900" w:right="340" w:hanging="446"/>
        <w:spacing w:after="0" w:line="238" w:lineRule="auto"/>
        <w:tabs>
          <w:tab w:leader="none" w:pos="900" w:val="left"/>
        </w:tabs>
        <w:numPr>
          <w:ilvl w:val="1"/>
          <w:numId w:val="74"/>
        </w:numPr>
        <w:rPr>
          <w:rFonts w:ascii="Arial" w:cs="Arial" w:eastAsia="Arial" w:hAnsi="Arial"/>
          <w:sz w:val="17"/>
          <w:szCs w:val="17"/>
          <w:color w:val="auto"/>
        </w:rPr>
      </w:pPr>
      <w:r>
        <w:rPr>
          <w:rFonts w:ascii="Arial" w:cs="Arial" w:eastAsia="Arial" w:hAnsi="Arial"/>
          <w:sz w:val="17"/>
          <w:szCs w:val="17"/>
          <w:color w:val="auto"/>
        </w:rPr>
        <w:t>The Committee may grant Common Shares as a bonus, or may grant other awards in lieu of obligations of the Corporation or any of its Subsidiaries to pay cash or deliver other property under this Plan or under other plans or compensatory arrangements, subject to such terms as will be determined by the Committee in a manner that complies with Section 409A of the Code.</w:t>
      </w:r>
    </w:p>
    <w:p>
      <w:pPr>
        <w:spacing w:after="0" w:line="145" w:lineRule="exact"/>
        <w:rPr>
          <w:sz w:val="20"/>
          <w:szCs w:val="20"/>
          <w:color w:val="auto"/>
        </w:rPr>
      </w:pPr>
    </w:p>
    <w:p>
      <w:pPr>
        <w:ind w:left="11040"/>
        <w:spacing w:after="0"/>
        <w:rPr>
          <w:sz w:val="20"/>
          <w:szCs w:val="20"/>
          <w:color w:val="auto"/>
        </w:rPr>
      </w:pPr>
      <w:r>
        <w:rPr>
          <w:rFonts w:ascii="Arial" w:cs="Arial" w:eastAsia="Arial" w:hAnsi="Arial"/>
          <w:sz w:val="14"/>
          <w:szCs w:val="14"/>
          <w:color w:val="auto"/>
        </w:rPr>
        <w:t>A-13</w:t>
      </w:r>
    </w:p>
    <w:p>
      <w:pPr>
        <w:sectPr>
          <w:pgSz w:w="11900" w:h="16838" w:orient="portrait"/>
          <w:cols w:equalWidth="0" w:num="1">
            <w:col w:w="11420"/>
          </w:cols>
          <w:pgMar w:left="240" w:top="459" w:right="239" w:bottom="1440" w:gutter="0" w:footer="0" w:header="0"/>
        </w:sectPr>
      </w:pPr>
    </w:p>
    <w:bookmarkStart w:id="101" w:name="page102"/>
    <w:bookmarkEnd w:id="10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265">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3109595</wp:posOffset>
            </wp:positionH>
            <wp:positionV relativeFrom="paragraph">
              <wp:posOffset>205740</wp:posOffset>
            </wp:positionV>
            <wp:extent cx="1046480" cy="205740"/>
            <wp:wrapNone/>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266">
                      <a:extLst>
                        <a:ext uri="{28A0092B-C50C-407E-A947-70E740481C1C}"/>
                      </a:extLst>
                    </a:blip>
                    <a:srcRect/>
                    <a:stretch>
                      <a:fillRect/>
                    </a:stretch>
                  </pic:blipFill>
                  <pic:spPr bwMode="auto">
                    <a:xfrm>
                      <a:off x="0" y="0"/>
                      <a:ext cx="1046480" cy="20574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7" w:lineRule="exact"/>
        <w:rPr>
          <w:sz w:val="20"/>
          <w:szCs w:val="20"/>
          <w:color w:val="auto"/>
        </w:rPr>
      </w:pPr>
    </w:p>
    <w:p>
      <w:pPr>
        <w:ind w:left="900" w:hanging="446"/>
        <w:spacing w:after="0" w:line="250" w:lineRule="auto"/>
        <w:tabs>
          <w:tab w:leader="none" w:pos="900" w:val="left"/>
        </w:tabs>
        <w:numPr>
          <w:ilvl w:val="1"/>
          <w:numId w:val="75"/>
        </w:numPr>
        <w:rPr>
          <w:rFonts w:ascii="Arial" w:cs="Arial" w:eastAsia="Arial" w:hAnsi="Arial"/>
          <w:sz w:val="17"/>
          <w:szCs w:val="17"/>
          <w:color w:val="auto"/>
        </w:rPr>
      </w:pPr>
      <w:r>
        <w:rPr>
          <w:rFonts w:ascii="Arial" w:cs="Arial" w:eastAsia="Arial" w:hAnsi="Arial"/>
          <w:sz w:val="17"/>
          <w:szCs w:val="17"/>
          <w:color w:val="auto"/>
        </w:rPr>
        <w:t xml:space="preserve">If the earning or vesting of, or elimination of restrictions applicable to an award granted under this </w:t>
      </w:r>
      <w:r>
        <w:rPr>
          <w:rFonts w:ascii="Arial" w:cs="Arial" w:eastAsia="Arial" w:hAnsi="Arial"/>
          <w:sz w:val="17"/>
          <w:szCs w:val="17"/>
          <w:b w:val="1"/>
          <w:bCs w:val="1"/>
          <w:u w:val="single" w:color="auto"/>
          <w:color w:val="auto"/>
        </w:rPr>
        <w:t>Section 10</w:t>
      </w:r>
      <w:r>
        <w:rPr>
          <w:rFonts w:ascii="Arial" w:cs="Arial" w:eastAsia="Arial" w:hAnsi="Arial"/>
          <w:sz w:val="17"/>
          <w:szCs w:val="17"/>
          <w:color w:val="auto"/>
        </w:rPr>
        <w:t xml:space="preserve"> is based only on the passage of time, the period of time shall be no shorter than one year. If the earning or vesting of, or elimination of restrictions applicable to, awards granted under this </w:t>
      </w:r>
      <w:r>
        <w:rPr>
          <w:rFonts w:ascii="Arial" w:cs="Arial" w:eastAsia="Arial" w:hAnsi="Arial"/>
          <w:sz w:val="17"/>
          <w:szCs w:val="17"/>
          <w:b w:val="1"/>
          <w:bCs w:val="1"/>
          <w:u w:val="single" w:color="auto"/>
          <w:color w:val="auto"/>
        </w:rPr>
        <w:t>Section 10</w:t>
      </w:r>
      <w:r>
        <w:rPr>
          <w:rFonts w:ascii="Arial" w:cs="Arial" w:eastAsia="Arial" w:hAnsi="Arial"/>
          <w:sz w:val="17"/>
          <w:szCs w:val="17"/>
          <w:color w:val="auto"/>
        </w:rPr>
        <w:t xml:space="preserve"> is based on the achievement of Management Objectives, the performance period must be at least one year.</w:t>
      </w:r>
    </w:p>
    <w:p>
      <w:pPr>
        <w:spacing w:after="0" w:line="192" w:lineRule="exact"/>
        <w:rPr>
          <w:rFonts w:ascii="Arial" w:cs="Arial" w:eastAsia="Arial" w:hAnsi="Arial"/>
          <w:sz w:val="17"/>
          <w:szCs w:val="17"/>
          <w:color w:val="auto"/>
        </w:rPr>
      </w:pPr>
    </w:p>
    <w:p>
      <w:pPr>
        <w:ind w:left="900" w:right="20" w:hanging="446"/>
        <w:spacing w:after="0" w:line="235" w:lineRule="auto"/>
        <w:tabs>
          <w:tab w:leader="none" w:pos="900" w:val="left"/>
        </w:tabs>
        <w:numPr>
          <w:ilvl w:val="1"/>
          <w:numId w:val="75"/>
        </w:numPr>
        <w:rPr>
          <w:rFonts w:ascii="Arial" w:cs="Arial" w:eastAsia="Arial" w:hAnsi="Arial"/>
          <w:sz w:val="17"/>
          <w:szCs w:val="17"/>
          <w:color w:val="auto"/>
        </w:rPr>
      </w:pPr>
      <w:r>
        <w:rPr>
          <w:rFonts w:ascii="Arial" w:cs="Arial" w:eastAsia="Arial" w:hAnsi="Arial"/>
          <w:sz w:val="17"/>
          <w:szCs w:val="17"/>
          <w:color w:val="auto"/>
        </w:rPr>
        <w:t xml:space="preserve">Notwithstanding anything to the contrary contained in this Plan (including minimum vesting requirements), any grant of an award under this </w:t>
      </w:r>
      <w:r>
        <w:rPr>
          <w:rFonts w:ascii="Arial" w:cs="Arial" w:eastAsia="Arial" w:hAnsi="Arial"/>
          <w:sz w:val="17"/>
          <w:szCs w:val="17"/>
          <w:b w:val="1"/>
          <w:bCs w:val="1"/>
          <w:u w:val="single" w:color="auto"/>
          <w:color w:val="auto"/>
        </w:rPr>
        <w:t>Section 10</w:t>
      </w:r>
      <w:r>
        <w:rPr>
          <w:rFonts w:ascii="Arial" w:cs="Arial" w:eastAsia="Arial" w:hAnsi="Arial"/>
          <w:sz w:val="17"/>
          <w:szCs w:val="17"/>
          <w:b w:val="1"/>
          <w:bCs w:val="1"/>
          <w:color w:val="auto"/>
        </w:rPr>
        <w:t xml:space="preserve"> </w:t>
      </w:r>
      <w:r>
        <w:rPr>
          <w:rFonts w:ascii="Arial" w:cs="Arial" w:eastAsia="Arial" w:hAnsi="Arial"/>
          <w:sz w:val="17"/>
          <w:szCs w:val="17"/>
          <w:color w:val="auto"/>
        </w:rPr>
        <w:t>may provide for the earning or vesting of, or earlier elimination of restrictions applicable to, such award, including in the event</w:t>
      </w:r>
      <w:r>
        <w:rPr>
          <w:rFonts w:ascii="Arial" w:cs="Arial" w:eastAsia="Arial" w:hAnsi="Arial"/>
          <w:sz w:val="17"/>
          <w:szCs w:val="17"/>
          <w:b w:val="1"/>
          <w:bCs w:val="1"/>
          <w:color w:val="auto"/>
        </w:rPr>
        <w:t xml:space="preserve"> </w:t>
      </w:r>
      <w:r>
        <w:rPr>
          <w:rFonts w:ascii="Arial" w:cs="Arial" w:eastAsia="Arial" w:hAnsi="Arial"/>
          <w:sz w:val="17"/>
          <w:szCs w:val="17"/>
          <w:color w:val="auto"/>
        </w:rPr>
        <w:t xml:space="preserve">of the retirement, death or disability of the Participant or a Change in Control (in the case of a Change in Control, as further described in </w:t>
      </w:r>
      <w:r>
        <w:rPr>
          <w:rFonts w:ascii="Arial" w:cs="Arial" w:eastAsia="Arial" w:hAnsi="Arial"/>
          <w:sz w:val="17"/>
          <w:szCs w:val="17"/>
          <w:b w:val="1"/>
          <w:bCs w:val="1"/>
          <w:u w:val="single" w:color="auto"/>
          <w:color w:val="auto"/>
        </w:rPr>
        <w:t>Section 13</w:t>
      </w:r>
      <w:r>
        <w:rPr>
          <w:rFonts w:ascii="Arial" w:cs="Arial" w:eastAsia="Arial" w:hAnsi="Arial"/>
          <w:sz w:val="17"/>
          <w:szCs w:val="17"/>
          <w:color w:val="auto"/>
        </w:rPr>
        <w:t>);</w:t>
      </w:r>
      <w:r>
        <w:rPr>
          <w:rFonts w:ascii="Arial" w:cs="Arial" w:eastAsia="Arial" w:hAnsi="Arial"/>
          <w:sz w:val="17"/>
          <w:szCs w:val="17"/>
          <w:b w:val="1"/>
          <w:bCs w:val="1"/>
          <w:color w:val="auto"/>
        </w:rPr>
        <w:t xml:space="preserve"> </w:t>
      </w:r>
      <w:r>
        <w:rPr>
          <w:rFonts w:ascii="Arial" w:cs="Arial" w:eastAsia="Arial" w:hAnsi="Arial"/>
          <w:sz w:val="17"/>
          <w:szCs w:val="17"/>
          <w:u w:val="single" w:color="auto"/>
          <w:color w:val="auto"/>
        </w:rPr>
        <w:t>provided</w:t>
      </w:r>
      <w:r>
        <w:rPr>
          <w:rFonts w:ascii="Arial" w:cs="Arial" w:eastAsia="Arial" w:hAnsi="Arial"/>
          <w:sz w:val="17"/>
          <w:szCs w:val="17"/>
          <w:color w:val="auto"/>
        </w:rPr>
        <w:t>,</w:t>
      </w:r>
      <w:r>
        <w:rPr>
          <w:rFonts w:ascii="Arial" w:cs="Arial" w:eastAsia="Arial" w:hAnsi="Arial"/>
          <w:sz w:val="17"/>
          <w:szCs w:val="17"/>
          <w:b w:val="1"/>
          <w:bCs w:val="1"/>
          <w:color w:val="auto"/>
        </w:rPr>
        <w:t xml:space="preserve"> </w:t>
      </w:r>
      <w:r>
        <w:rPr>
          <w:rFonts w:ascii="Arial" w:cs="Arial" w:eastAsia="Arial" w:hAnsi="Arial"/>
          <w:sz w:val="17"/>
          <w:szCs w:val="17"/>
          <w:u w:val="single" w:color="auto"/>
          <w:color w:val="auto"/>
        </w:rPr>
        <w:t>however</w:t>
      </w:r>
      <w:r>
        <w:rPr>
          <w:rFonts w:ascii="Arial" w:cs="Arial" w:eastAsia="Arial" w:hAnsi="Arial"/>
          <w:sz w:val="17"/>
          <w:szCs w:val="17"/>
          <w:color w:val="auto"/>
        </w:rPr>
        <w:t>, that no such adjustment will be made in the case of a Qualified Performance-Based Award (other than in</w:t>
      </w:r>
      <w:r>
        <w:rPr>
          <w:rFonts w:ascii="Arial" w:cs="Arial" w:eastAsia="Arial" w:hAnsi="Arial"/>
          <w:sz w:val="17"/>
          <w:szCs w:val="17"/>
          <w:b w:val="1"/>
          <w:bCs w:val="1"/>
          <w:color w:val="auto"/>
        </w:rPr>
        <w:t xml:space="preserve"> </w:t>
      </w:r>
      <w:r>
        <w:rPr>
          <w:rFonts w:ascii="Arial" w:cs="Arial" w:eastAsia="Arial" w:hAnsi="Arial"/>
          <w:sz w:val="17"/>
          <w:szCs w:val="17"/>
          <w:color w:val="auto"/>
        </w:rPr>
        <w:t>connection with the death or disability of the Participant or a Change in Control) where such action would result in the loss of the otherwise available exemption of the award under Section 162(m) of the Code.</w:t>
      </w:r>
    </w:p>
    <w:p>
      <w:pPr>
        <w:spacing w:after="0" w:line="182" w:lineRule="exact"/>
        <w:rPr>
          <w:rFonts w:ascii="Arial" w:cs="Arial" w:eastAsia="Arial" w:hAnsi="Arial"/>
          <w:sz w:val="17"/>
          <w:szCs w:val="17"/>
          <w:color w:val="auto"/>
        </w:rPr>
      </w:pPr>
    </w:p>
    <w:p>
      <w:pPr>
        <w:ind w:left="460" w:hanging="452"/>
        <w:spacing w:after="0" w:line="244" w:lineRule="auto"/>
        <w:tabs>
          <w:tab w:leader="none" w:pos="460" w:val="left"/>
        </w:tabs>
        <w:numPr>
          <w:ilvl w:val="0"/>
          <w:numId w:val="76"/>
        </w:numPr>
        <w:rPr>
          <w:rFonts w:ascii="Arial" w:cs="Arial" w:eastAsia="Arial" w:hAnsi="Arial"/>
          <w:sz w:val="17"/>
          <w:szCs w:val="17"/>
          <w:color w:val="auto"/>
        </w:rPr>
      </w:pPr>
      <w:r>
        <w:rPr>
          <w:rFonts w:ascii="Arial" w:cs="Arial" w:eastAsia="Arial" w:hAnsi="Arial"/>
          <w:sz w:val="17"/>
          <w:szCs w:val="17"/>
          <w:b w:val="1"/>
          <w:bCs w:val="1"/>
          <w:color w:val="auto"/>
        </w:rPr>
        <w:t>Common Share Awards to Nonemployee Directors</w:t>
      </w:r>
      <w:r>
        <w:rPr>
          <w:rFonts w:ascii="Arial" w:cs="Arial" w:eastAsia="Arial" w:hAnsi="Arial"/>
          <w:sz w:val="17"/>
          <w:szCs w:val="17"/>
          <w:color w:val="auto"/>
        </w:rPr>
        <w:t>. To clarify, the Board may, from time to time and upon such terms and conditions as it may</w:t>
      </w:r>
      <w:r>
        <w:rPr>
          <w:rFonts w:ascii="Arial" w:cs="Arial" w:eastAsia="Arial" w:hAnsi="Arial"/>
          <w:sz w:val="17"/>
          <w:szCs w:val="17"/>
          <w:b w:val="1"/>
          <w:bCs w:val="1"/>
          <w:color w:val="auto"/>
        </w:rPr>
        <w:t xml:space="preserve"> </w:t>
      </w:r>
      <w:r>
        <w:rPr>
          <w:rFonts w:ascii="Arial" w:cs="Arial" w:eastAsia="Arial" w:hAnsi="Arial"/>
          <w:sz w:val="17"/>
          <w:szCs w:val="17"/>
          <w:color w:val="auto"/>
        </w:rPr>
        <w:t>determine, authorize the granting to Nonemployee Directors of Common Shares. Awards of Common Shares to Nonemployee Directors shall be subject only to a restriction on transfer for a period of one year immediately following the Date of Grant thereof and shall bear a legend to that effect.</w:t>
      </w:r>
    </w:p>
    <w:p>
      <w:pPr>
        <w:spacing w:after="0" w:line="177" w:lineRule="exact"/>
        <w:rPr>
          <w:rFonts w:ascii="Arial" w:cs="Arial" w:eastAsia="Arial" w:hAnsi="Arial"/>
          <w:sz w:val="17"/>
          <w:szCs w:val="17"/>
          <w:color w:val="auto"/>
        </w:rPr>
      </w:pPr>
    </w:p>
    <w:p>
      <w:pPr>
        <w:ind w:left="460" w:hanging="452"/>
        <w:spacing w:after="0"/>
        <w:tabs>
          <w:tab w:leader="none" w:pos="460" w:val="left"/>
        </w:tabs>
        <w:numPr>
          <w:ilvl w:val="0"/>
          <w:numId w:val="76"/>
        </w:numPr>
        <w:rPr>
          <w:rFonts w:ascii="Arial" w:cs="Arial" w:eastAsia="Arial" w:hAnsi="Arial"/>
          <w:sz w:val="17"/>
          <w:szCs w:val="17"/>
          <w:color w:val="auto"/>
        </w:rPr>
      </w:pPr>
      <w:r>
        <w:rPr>
          <w:rFonts w:ascii="Arial" w:cs="Arial" w:eastAsia="Arial" w:hAnsi="Arial"/>
          <w:sz w:val="17"/>
          <w:szCs w:val="17"/>
          <w:b w:val="1"/>
          <w:bCs w:val="1"/>
          <w:color w:val="auto"/>
        </w:rPr>
        <w:t>Transferability</w:t>
      </w:r>
      <w:r>
        <w:rPr>
          <w:rFonts w:ascii="Arial" w:cs="Arial" w:eastAsia="Arial" w:hAnsi="Arial"/>
          <w:sz w:val="17"/>
          <w:szCs w:val="17"/>
          <w:color w:val="auto"/>
        </w:rPr>
        <w:t>.</w:t>
      </w:r>
    </w:p>
    <w:p>
      <w:pPr>
        <w:spacing w:after="0" w:line="229" w:lineRule="exact"/>
        <w:rPr>
          <w:rFonts w:ascii="Arial" w:cs="Arial" w:eastAsia="Arial" w:hAnsi="Arial"/>
          <w:sz w:val="17"/>
          <w:szCs w:val="17"/>
          <w:color w:val="auto"/>
        </w:rPr>
      </w:pPr>
    </w:p>
    <w:p>
      <w:pPr>
        <w:ind w:left="900" w:hanging="446"/>
        <w:spacing w:after="0" w:line="235" w:lineRule="auto"/>
        <w:tabs>
          <w:tab w:leader="none" w:pos="900" w:val="left"/>
        </w:tabs>
        <w:numPr>
          <w:ilvl w:val="1"/>
          <w:numId w:val="76"/>
        </w:numPr>
        <w:rPr>
          <w:rFonts w:ascii="Arial" w:cs="Arial" w:eastAsia="Arial" w:hAnsi="Arial"/>
          <w:sz w:val="17"/>
          <w:szCs w:val="17"/>
          <w:color w:val="auto"/>
        </w:rPr>
      </w:pPr>
      <w:r>
        <w:rPr>
          <w:rFonts w:ascii="Arial" w:cs="Arial" w:eastAsia="Arial" w:hAnsi="Arial"/>
          <w:sz w:val="17"/>
          <w:szCs w:val="17"/>
          <w:color w:val="auto"/>
        </w:rPr>
        <w:t xml:space="preserve">No Option Right, Appreciation Right or other derivative security (as that term is used in Rule 16b-3) awarded under this Plan shall be transferable by a Participant other than by will or the laws of descent and distribution. Option Rights and Appreciation Rights shall be exercisable during a Participant’s lifetime only by the Participant or, in the event of the Participant’s legal incapacity, by his guardian or legal representative acting in a fiduciary capacity on behalf of the Participant under state law and/or court supervision. Notwithstanding the foregoing, the Committee, in its sole discretion, may provide for transferability of Option Rights or Appreciation Rights under this Plan;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w:t>
      </w:r>
      <w:r>
        <w:rPr>
          <w:rFonts w:ascii="Arial" w:cs="Arial" w:eastAsia="Arial" w:hAnsi="Arial"/>
          <w:sz w:val="17"/>
          <w:szCs w:val="17"/>
          <w:u w:val="single" w:color="auto"/>
          <w:color w:val="auto"/>
        </w:rPr>
        <w:t>however</w:t>
      </w:r>
      <w:r>
        <w:rPr>
          <w:rFonts w:ascii="Arial" w:cs="Arial" w:eastAsia="Arial" w:hAnsi="Arial"/>
          <w:sz w:val="17"/>
          <w:szCs w:val="17"/>
          <w:color w:val="auto"/>
        </w:rPr>
        <w:t>, that no awards granted under this Plan may be transferred in exchange for value or consideration.</w:t>
      </w:r>
    </w:p>
    <w:p>
      <w:pPr>
        <w:spacing w:after="0" w:line="202" w:lineRule="exact"/>
        <w:rPr>
          <w:rFonts w:ascii="Arial" w:cs="Arial" w:eastAsia="Arial" w:hAnsi="Arial"/>
          <w:sz w:val="17"/>
          <w:szCs w:val="17"/>
          <w:color w:val="auto"/>
        </w:rPr>
      </w:pPr>
    </w:p>
    <w:p>
      <w:pPr>
        <w:ind w:left="900" w:right="60" w:hanging="446"/>
        <w:spacing w:after="0" w:line="235" w:lineRule="auto"/>
        <w:tabs>
          <w:tab w:leader="none" w:pos="900" w:val="left"/>
        </w:tabs>
        <w:numPr>
          <w:ilvl w:val="1"/>
          <w:numId w:val="76"/>
        </w:numPr>
        <w:rPr>
          <w:rFonts w:ascii="Arial" w:cs="Arial" w:eastAsia="Arial" w:hAnsi="Arial"/>
          <w:sz w:val="17"/>
          <w:szCs w:val="17"/>
          <w:color w:val="auto"/>
        </w:rPr>
      </w:pPr>
      <w:r>
        <w:rPr>
          <w:rFonts w:ascii="Arial" w:cs="Arial" w:eastAsia="Arial" w:hAnsi="Arial"/>
          <w:sz w:val="17"/>
          <w:szCs w:val="17"/>
          <w:color w:val="auto"/>
        </w:rPr>
        <w:t xml:space="preserve">Any award made under this Plan may provide that all or any part of the Common Shares that are (i) to be issued or transferred by the Corporation upon the exercise of Option Rights or Appreciation Rights, or upon the termination of the Deferral Period applicable to Deferred Shares, or upon the termination of the Restriction Period applicable to Restricted Stock Units, or in payment of Performance Shares or Performance Units or (ii) no longer subject to the substantial risk of forfeiture and restrictions on transfer referred to in </w:t>
      </w:r>
      <w:r>
        <w:rPr>
          <w:rFonts w:ascii="Arial" w:cs="Arial" w:eastAsia="Arial" w:hAnsi="Arial"/>
          <w:sz w:val="17"/>
          <w:szCs w:val="17"/>
          <w:b w:val="1"/>
          <w:bCs w:val="1"/>
          <w:u w:val="single" w:color="auto"/>
          <w:color w:val="auto"/>
        </w:rPr>
        <w:t>Section 6</w:t>
      </w:r>
      <w:r>
        <w:rPr>
          <w:rFonts w:ascii="Arial" w:cs="Arial" w:eastAsia="Arial" w:hAnsi="Arial"/>
          <w:sz w:val="17"/>
          <w:szCs w:val="17"/>
          <w:color w:val="auto"/>
        </w:rPr>
        <w:t xml:space="preserve"> of this Plan, shall be subject to further restrictions upon transfer.</w:t>
      </w:r>
    </w:p>
    <w:p>
      <w:pPr>
        <w:spacing w:after="0" w:line="184" w:lineRule="exact"/>
        <w:rPr>
          <w:rFonts w:ascii="Arial" w:cs="Arial" w:eastAsia="Arial" w:hAnsi="Arial"/>
          <w:sz w:val="17"/>
          <w:szCs w:val="17"/>
          <w:color w:val="auto"/>
        </w:rPr>
      </w:pPr>
    </w:p>
    <w:p>
      <w:pPr>
        <w:ind w:left="460" w:hanging="452"/>
        <w:spacing w:after="0"/>
        <w:tabs>
          <w:tab w:leader="none" w:pos="460" w:val="left"/>
        </w:tabs>
        <w:numPr>
          <w:ilvl w:val="0"/>
          <w:numId w:val="76"/>
        </w:numPr>
        <w:rPr>
          <w:rFonts w:ascii="Arial" w:cs="Arial" w:eastAsia="Arial" w:hAnsi="Arial"/>
          <w:sz w:val="17"/>
          <w:szCs w:val="17"/>
          <w:color w:val="auto"/>
        </w:rPr>
      </w:pPr>
      <w:r>
        <w:rPr>
          <w:rFonts w:ascii="Arial" w:cs="Arial" w:eastAsia="Arial" w:hAnsi="Arial"/>
          <w:sz w:val="17"/>
          <w:szCs w:val="17"/>
          <w:b w:val="1"/>
          <w:bCs w:val="1"/>
          <w:color w:val="auto"/>
        </w:rPr>
        <w:t>Change in Control</w:t>
      </w:r>
      <w:r>
        <w:rPr>
          <w:rFonts w:ascii="Arial" w:cs="Arial" w:eastAsia="Arial" w:hAnsi="Arial"/>
          <w:sz w:val="17"/>
          <w:szCs w:val="17"/>
          <w:color w:val="auto"/>
        </w:rPr>
        <w:t>.</w:t>
      </w:r>
    </w:p>
    <w:p>
      <w:pPr>
        <w:spacing w:after="0" w:line="229" w:lineRule="exact"/>
        <w:rPr>
          <w:rFonts w:ascii="Arial" w:cs="Arial" w:eastAsia="Arial" w:hAnsi="Arial"/>
          <w:sz w:val="17"/>
          <w:szCs w:val="17"/>
          <w:color w:val="auto"/>
        </w:rPr>
      </w:pPr>
    </w:p>
    <w:p>
      <w:pPr>
        <w:ind w:left="900" w:right="100" w:hanging="446"/>
        <w:spacing w:after="0" w:line="235" w:lineRule="auto"/>
        <w:tabs>
          <w:tab w:leader="none" w:pos="900" w:val="left"/>
        </w:tabs>
        <w:numPr>
          <w:ilvl w:val="1"/>
          <w:numId w:val="76"/>
        </w:numPr>
        <w:rPr>
          <w:rFonts w:ascii="Arial" w:cs="Arial" w:eastAsia="Arial" w:hAnsi="Arial"/>
          <w:sz w:val="17"/>
          <w:szCs w:val="17"/>
          <w:color w:val="auto"/>
        </w:rPr>
      </w:pPr>
      <w:r>
        <w:rPr>
          <w:rFonts w:ascii="Arial" w:cs="Arial" w:eastAsia="Arial" w:hAnsi="Arial"/>
          <w:sz w:val="17"/>
          <w:szCs w:val="17"/>
          <w:color w:val="auto"/>
        </w:rPr>
        <w:t>Each applicable Evidence of Award will provide that, in the event of a Change in Control, for outstanding awards under this Plan that vest, are earned or become exercisable (as applicable) based solely on employment, service or the passage of time (as opposed to the achievement of one or more Management Objectives), such awards will accelerate and vest, be earned or become exercisable, as applicable, where either (i) within a specified period the Participant’s employment or service is involuntarily terminated for reasons other than for cause, the Participant terminates his or her employment or service for good reason or the Participant’s employment or service is terminated due to the Participant’s death or disability, or</w:t>
      </w:r>
    </w:p>
    <w:p>
      <w:pPr>
        <w:spacing w:after="0" w:line="146" w:lineRule="exact"/>
        <w:rPr>
          <w:sz w:val="20"/>
          <w:szCs w:val="20"/>
          <w:color w:val="auto"/>
        </w:rPr>
      </w:pPr>
    </w:p>
    <w:p>
      <w:pPr>
        <w:spacing w:after="0"/>
        <w:rPr>
          <w:sz w:val="20"/>
          <w:szCs w:val="20"/>
          <w:color w:val="auto"/>
        </w:rPr>
      </w:pPr>
      <w:r>
        <w:rPr>
          <w:rFonts w:ascii="Arial" w:cs="Arial" w:eastAsia="Arial" w:hAnsi="Arial"/>
          <w:sz w:val="14"/>
          <w:szCs w:val="14"/>
          <w:color w:val="auto"/>
        </w:rPr>
        <w:t>A-14</w:t>
      </w:r>
    </w:p>
    <w:p>
      <w:pPr>
        <w:sectPr>
          <w:pgSz w:w="11900" w:h="16838" w:orient="portrait"/>
          <w:cols w:equalWidth="0" w:num="1">
            <w:col w:w="11400"/>
          </w:cols>
          <w:pgMar w:left="240" w:top="459" w:right="259" w:bottom="1440" w:gutter="0" w:footer="0" w:header="0"/>
        </w:sectPr>
      </w:pPr>
    </w:p>
    <w:bookmarkStart w:id="102" w:name="page103"/>
    <w:bookmarkEnd w:id="10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267">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2715260</wp:posOffset>
            </wp:positionH>
            <wp:positionV relativeFrom="paragraph">
              <wp:posOffset>205740</wp:posOffset>
            </wp:positionV>
            <wp:extent cx="1826895" cy="205740"/>
            <wp:wrapNone/>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268">
                      <a:extLst>
                        <a:ext uri="{28A0092B-C50C-407E-A947-70E740481C1C}"/>
                      </a:extLst>
                    </a:blip>
                    <a:srcRect/>
                    <a:stretch>
                      <a:fillRect/>
                    </a:stretch>
                  </pic:blipFill>
                  <pic:spPr bwMode="auto">
                    <a:xfrm>
                      <a:off x="0" y="0"/>
                      <a:ext cx="1826895" cy="20574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70" w:lineRule="exact"/>
        <w:rPr>
          <w:sz w:val="20"/>
          <w:szCs w:val="20"/>
          <w:color w:val="auto"/>
        </w:rPr>
      </w:pPr>
    </w:p>
    <w:p>
      <w:pPr>
        <w:ind w:left="1160" w:hanging="247"/>
        <w:spacing w:after="0"/>
        <w:tabs>
          <w:tab w:leader="none" w:pos="1160" w:val="left"/>
        </w:tabs>
        <w:numPr>
          <w:ilvl w:val="2"/>
          <w:numId w:val="77"/>
        </w:numPr>
        <w:rPr>
          <w:rFonts w:ascii="Arial" w:cs="Arial" w:eastAsia="Arial" w:hAnsi="Arial"/>
          <w:sz w:val="17"/>
          <w:szCs w:val="17"/>
          <w:color w:val="auto"/>
        </w:rPr>
      </w:pPr>
      <w:r>
        <w:rPr>
          <w:rFonts w:ascii="Arial" w:cs="Arial" w:eastAsia="Arial" w:hAnsi="Arial"/>
          <w:sz w:val="17"/>
          <w:szCs w:val="17"/>
          <w:color w:val="auto"/>
        </w:rPr>
        <w:t>such awards are not assumed or converted into replacement awards in a manner described in the Evidence of Award.</w:t>
      </w:r>
    </w:p>
    <w:p>
      <w:pPr>
        <w:spacing w:after="0" w:line="209" w:lineRule="exact"/>
        <w:rPr>
          <w:rFonts w:ascii="Arial" w:cs="Arial" w:eastAsia="Arial" w:hAnsi="Arial"/>
          <w:sz w:val="17"/>
          <w:szCs w:val="17"/>
          <w:color w:val="auto"/>
        </w:rPr>
      </w:pPr>
    </w:p>
    <w:p>
      <w:pPr>
        <w:ind w:left="900" w:right="100" w:hanging="446"/>
        <w:spacing w:after="0" w:line="234" w:lineRule="auto"/>
        <w:tabs>
          <w:tab w:leader="none" w:pos="900" w:val="left"/>
        </w:tabs>
        <w:numPr>
          <w:ilvl w:val="1"/>
          <w:numId w:val="78"/>
        </w:numPr>
        <w:rPr>
          <w:rFonts w:ascii="Arial" w:cs="Arial" w:eastAsia="Arial" w:hAnsi="Arial"/>
          <w:sz w:val="17"/>
          <w:szCs w:val="17"/>
          <w:color w:val="auto"/>
        </w:rPr>
      </w:pPr>
      <w:r>
        <w:rPr>
          <w:rFonts w:ascii="Arial" w:cs="Arial" w:eastAsia="Arial" w:hAnsi="Arial"/>
          <w:sz w:val="17"/>
          <w:szCs w:val="17"/>
          <w:color w:val="auto"/>
        </w:rPr>
        <w:t>Each applicable Evidence of Award will provide that, in the event of a Change in Control, for outstanding awards under this Plan that vest, are earned or become exercisable (as applicable) based on the achievement of one or more Management Objectives (as opposed to only employment, service or the passage of time), such awards will accelerate and vest, be earned or become exercisable, as applicable, on a pro-rata basis based on actual performance (or the Common Share price relating to the Change in Control, if applicable) for a fractional performance period deemed to end in connection with the Change in Control, where either (i) within a specified period the Participant’s employment or service is involuntarily terminated for reasons other than for cause, the Participant terminates his or her employment or service for good reason or the Participant’s employment or service is terminated due to the Participant’s death or disability, or (ii) such awards are not assumed or converted into replacement awards in a manner described in the Evidence of Award.</w:t>
      </w:r>
    </w:p>
    <w:p>
      <w:pPr>
        <w:spacing w:after="0" w:line="183" w:lineRule="exact"/>
        <w:rPr>
          <w:rFonts w:ascii="Arial" w:cs="Arial" w:eastAsia="Arial" w:hAnsi="Arial"/>
          <w:sz w:val="17"/>
          <w:szCs w:val="17"/>
          <w:color w:val="auto"/>
        </w:rPr>
      </w:pPr>
    </w:p>
    <w:p>
      <w:pPr>
        <w:ind w:left="580" w:hanging="572"/>
        <w:spacing w:after="0" w:line="234" w:lineRule="auto"/>
        <w:tabs>
          <w:tab w:leader="none" w:pos="580" w:val="left"/>
        </w:tabs>
        <w:numPr>
          <w:ilvl w:val="0"/>
          <w:numId w:val="79"/>
        </w:numPr>
        <w:rPr>
          <w:rFonts w:ascii="Arial" w:cs="Arial" w:eastAsia="Arial" w:hAnsi="Arial"/>
          <w:sz w:val="17"/>
          <w:szCs w:val="17"/>
          <w:color w:val="auto"/>
        </w:rPr>
      </w:pPr>
      <w:r>
        <w:rPr>
          <w:rFonts w:ascii="Arial" w:cs="Arial" w:eastAsia="Arial" w:hAnsi="Arial"/>
          <w:sz w:val="17"/>
          <w:szCs w:val="17"/>
          <w:b w:val="1"/>
          <w:bCs w:val="1"/>
          <w:color w:val="auto"/>
        </w:rPr>
        <w:t>Adjustments</w:t>
      </w:r>
      <w:r>
        <w:rPr>
          <w:rFonts w:ascii="Arial" w:cs="Arial" w:eastAsia="Arial" w:hAnsi="Arial"/>
          <w:sz w:val="17"/>
          <w:szCs w:val="17"/>
          <w:color w:val="auto"/>
        </w:rPr>
        <w:t>. The Committee shall make or provide for such adjustments in the (a) number of Common Shares or number of Common Shares</w:t>
      </w:r>
      <w:r>
        <w:rPr>
          <w:rFonts w:ascii="Arial" w:cs="Arial" w:eastAsia="Arial" w:hAnsi="Arial"/>
          <w:sz w:val="17"/>
          <w:szCs w:val="17"/>
          <w:b w:val="1"/>
          <w:bCs w:val="1"/>
          <w:color w:val="auto"/>
        </w:rPr>
        <w:t xml:space="preserve"> </w:t>
      </w:r>
      <w:r>
        <w:rPr>
          <w:rFonts w:ascii="Arial" w:cs="Arial" w:eastAsia="Arial" w:hAnsi="Arial"/>
          <w:sz w:val="17"/>
          <w:szCs w:val="17"/>
          <w:color w:val="auto"/>
        </w:rPr>
        <w:t xml:space="preserve">covered by outstanding Option Rights, Appreciation Rights, Restricted Shares, Restricted Stock Units, Deferred Shares, Performance Shares and Performance Units granted hereunder, (b) prices per share applicable to such Option Rights and Appreciation Rights, (c) if applicable, number of Common Shares covered by other awards granted pursuant to </w:t>
      </w:r>
      <w:r>
        <w:rPr>
          <w:rFonts w:ascii="Arial" w:cs="Arial" w:eastAsia="Arial" w:hAnsi="Arial"/>
          <w:sz w:val="17"/>
          <w:szCs w:val="17"/>
          <w:b w:val="1"/>
          <w:bCs w:val="1"/>
          <w:u w:val="single" w:color="auto"/>
          <w:color w:val="auto"/>
        </w:rPr>
        <w:t>Section 10</w:t>
      </w:r>
      <w:r>
        <w:rPr>
          <w:rFonts w:ascii="Arial" w:cs="Arial" w:eastAsia="Arial" w:hAnsi="Arial"/>
          <w:sz w:val="17"/>
          <w:szCs w:val="17"/>
          <w:color w:val="auto"/>
        </w:rPr>
        <w:t xml:space="preserve"> hereof, (d) kind of shares (including shares of another issuer) covered thereby, and (e) Cash Incentive Awards, as the Committee in its sole discretion in good faith determines to be equitably required in order to prevent dilution or enlargement of the rights of Participants that otherwise would result from (x) any stock dividend, stock split, combination of shares, recapitalization or other change in the capital structure of the Corporation, (y) any merger, consolidation, spin-off, spin-out, split-off, split-up, reorganization, partial or complete liquidation or other distribution of assets, issuance of rights or warrants to purchase securities or (z) any other corporate transaction or event having an effect similar to any of the foregoing. In the event of any such transaction or event, or in the event of a Change in Control, the Committee shall provide in substitution for any or all outstanding awards under this Plan such alternative consideration (including cash) as it in good faith determines to be equitable under the circumstances and shall require in connection therewith the surrender of all awards so replaced in a manner that complies with Section 409A of the Code. Moreover, the Committee may on or after the Date of Grant provide in the agreement evidencing any award under this Plan that the holder of the award may elect to receive an equivalent award in respect of securities of the surviving entity of any merger, consolidation or other transaction or event having a similar effect, or the Committee may provide that the holder will automatically be entitled to receive such an equivalent award. In addition, for each Option Right or Appreciation Right with an Option Price or Base Price greater than the consideration offered in connection with any such transaction or event or Change in Control, the Committee may in its sole discretion elect to cancel such Option Right or Appreciation Right without any payment to the person holding such Option Right or Appreciation Right. The Committee shall also make or provide for such adjustments in the numbers and kind of shares specified in </w:t>
      </w:r>
      <w:r>
        <w:rPr>
          <w:rFonts w:ascii="Arial" w:cs="Arial" w:eastAsia="Arial" w:hAnsi="Arial"/>
          <w:sz w:val="17"/>
          <w:szCs w:val="17"/>
          <w:b w:val="1"/>
          <w:bCs w:val="1"/>
          <w:u w:val="single" w:color="auto"/>
          <w:color w:val="auto"/>
        </w:rPr>
        <w:t>Section 3</w:t>
      </w:r>
      <w:r>
        <w:rPr>
          <w:rFonts w:ascii="Arial" w:cs="Arial" w:eastAsia="Arial" w:hAnsi="Arial"/>
          <w:sz w:val="17"/>
          <w:szCs w:val="17"/>
          <w:color w:val="auto"/>
        </w:rPr>
        <w:t xml:space="preserve"> as the Committee in its sole discretion in good faith determines to be appropriate in order to reflect any transaction or event described in this </w:t>
      </w:r>
      <w:r>
        <w:rPr>
          <w:rFonts w:ascii="Arial" w:cs="Arial" w:eastAsia="Arial" w:hAnsi="Arial"/>
          <w:sz w:val="17"/>
          <w:szCs w:val="17"/>
          <w:b w:val="1"/>
          <w:bCs w:val="1"/>
          <w:u w:val="single" w:color="auto"/>
          <w:color w:val="auto"/>
        </w:rPr>
        <w:t>Section 14</w:t>
      </w:r>
      <w:r>
        <w:rPr>
          <w:rFonts w:ascii="Arial" w:cs="Arial" w:eastAsia="Arial" w:hAnsi="Arial"/>
          <w:sz w:val="17"/>
          <w:szCs w:val="17"/>
          <w:color w:val="auto"/>
        </w:rPr>
        <w:t xml:space="preserve">;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w:t>
      </w:r>
      <w:r>
        <w:rPr>
          <w:rFonts w:ascii="Arial" w:cs="Arial" w:eastAsia="Arial" w:hAnsi="Arial"/>
          <w:sz w:val="17"/>
          <w:szCs w:val="17"/>
          <w:u w:val="single" w:color="auto"/>
          <w:color w:val="auto"/>
        </w:rPr>
        <w:t>however</w:t>
      </w:r>
      <w:r>
        <w:rPr>
          <w:rFonts w:ascii="Arial" w:cs="Arial" w:eastAsia="Arial" w:hAnsi="Arial"/>
          <w:sz w:val="17"/>
          <w:szCs w:val="17"/>
          <w:color w:val="auto"/>
        </w:rPr>
        <w:t xml:space="preserve">, that any such adjustment to the number specified in </w:t>
      </w:r>
      <w:r>
        <w:rPr>
          <w:rFonts w:ascii="Arial" w:cs="Arial" w:eastAsia="Arial" w:hAnsi="Arial"/>
          <w:sz w:val="17"/>
          <w:szCs w:val="17"/>
          <w:b w:val="1"/>
          <w:bCs w:val="1"/>
          <w:u w:val="single" w:color="auto"/>
          <w:color w:val="auto"/>
        </w:rPr>
        <w:t>Section 3(d)(i)</w:t>
      </w:r>
      <w:r>
        <w:rPr>
          <w:rFonts w:ascii="Arial" w:cs="Arial" w:eastAsia="Arial" w:hAnsi="Arial"/>
          <w:sz w:val="17"/>
          <w:szCs w:val="17"/>
          <w:color w:val="auto"/>
        </w:rPr>
        <w:t xml:space="preserve"> will be made only if and to the extent that such adjustment would not cause any option intended to qualify as an Incentive Stock Option to fail to so qualify.</w:t>
      </w:r>
    </w:p>
    <w:p>
      <w:pPr>
        <w:spacing w:after="0" w:line="182" w:lineRule="exact"/>
        <w:rPr>
          <w:rFonts w:ascii="Arial" w:cs="Arial" w:eastAsia="Arial" w:hAnsi="Arial"/>
          <w:sz w:val="17"/>
          <w:szCs w:val="17"/>
          <w:color w:val="auto"/>
        </w:rPr>
      </w:pPr>
    </w:p>
    <w:p>
      <w:pPr>
        <w:ind w:left="460" w:right="320" w:hanging="452"/>
        <w:spacing w:after="0" w:line="268" w:lineRule="auto"/>
        <w:tabs>
          <w:tab w:leader="none" w:pos="460" w:val="left"/>
        </w:tabs>
        <w:numPr>
          <w:ilvl w:val="0"/>
          <w:numId w:val="79"/>
        </w:numPr>
        <w:rPr>
          <w:rFonts w:ascii="Arial" w:cs="Arial" w:eastAsia="Arial" w:hAnsi="Arial"/>
          <w:sz w:val="17"/>
          <w:szCs w:val="17"/>
          <w:color w:val="auto"/>
        </w:rPr>
      </w:pPr>
      <w:r>
        <w:rPr>
          <w:rFonts w:ascii="Arial" w:cs="Arial" w:eastAsia="Arial" w:hAnsi="Arial"/>
          <w:sz w:val="17"/>
          <w:szCs w:val="17"/>
          <w:b w:val="1"/>
          <w:bCs w:val="1"/>
          <w:color w:val="auto"/>
        </w:rPr>
        <w:t>Fractional Shares</w:t>
      </w:r>
      <w:r>
        <w:rPr>
          <w:rFonts w:ascii="Arial" w:cs="Arial" w:eastAsia="Arial" w:hAnsi="Arial"/>
          <w:sz w:val="17"/>
          <w:szCs w:val="17"/>
          <w:color w:val="auto"/>
        </w:rPr>
        <w:t>. The Corporation shall not be required to issue any fractional Common Shares pursuant to this Plan. The Committee may</w:t>
      </w:r>
      <w:r>
        <w:rPr>
          <w:rFonts w:ascii="Arial" w:cs="Arial" w:eastAsia="Arial" w:hAnsi="Arial"/>
          <w:sz w:val="17"/>
          <w:szCs w:val="17"/>
          <w:b w:val="1"/>
          <w:bCs w:val="1"/>
          <w:color w:val="auto"/>
        </w:rPr>
        <w:t xml:space="preserve"> </w:t>
      </w:r>
      <w:r>
        <w:rPr>
          <w:rFonts w:ascii="Arial" w:cs="Arial" w:eastAsia="Arial" w:hAnsi="Arial"/>
          <w:sz w:val="17"/>
          <w:szCs w:val="17"/>
          <w:color w:val="auto"/>
        </w:rPr>
        <w:t>provide for the elimination of fractions or for the settlement thereof in cash.</w:t>
      </w:r>
    </w:p>
    <w:p>
      <w:pPr>
        <w:spacing w:after="0" w:line="121" w:lineRule="exact"/>
        <w:rPr>
          <w:sz w:val="20"/>
          <w:szCs w:val="20"/>
          <w:color w:val="auto"/>
        </w:rPr>
      </w:pPr>
    </w:p>
    <w:p>
      <w:pPr>
        <w:ind w:left="11040"/>
        <w:spacing w:after="0"/>
        <w:rPr>
          <w:sz w:val="20"/>
          <w:szCs w:val="20"/>
          <w:color w:val="auto"/>
        </w:rPr>
      </w:pPr>
      <w:r>
        <w:rPr>
          <w:rFonts w:ascii="Arial" w:cs="Arial" w:eastAsia="Arial" w:hAnsi="Arial"/>
          <w:sz w:val="14"/>
          <w:szCs w:val="14"/>
          <w:color w:val="auto"/>
        </w:rPr>
        <w:t>A-15</w:t>
      </w:r>
    </w:p>
    <w:p>
      <w:pPr>
        <w:sectPr>
          <w:pgSz w:w="11900" w:h="16838" w:orient="portrait"/>
          <w:cols w:equalWidth="0" w:num="1">
            <w:col w:w="11400"/>
          </w:cols>
          <w:pgMar w:left="240" w:top="459" w:right="259" w:bottom="1440" w:gutter="0" w:footer="0" w:header="0"/>
        </w:sectPr>
      </w:pPr>
    </w:p>
    <w:bookmarkStart w:id="103" w:name="page104"/>
    <w:bookmarkEnd w:id="10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269">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3109595</wp:posOffset>
            </wp:positionH>
            <wp:positionV relativeFrom="paragraph">
              <wp:posOffset>205740</wp:posOffset>
            </wp:positionV>
            <wp:extent cx="1046480" cy="205740"/>
            <wp:wrapNone/>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270">
                      <a:extLst>
                        <a:ext uri="{28A0092B-C50C-407E-A947-70E740481C1C}"/>
                      </a:extLst>
                    </a:blip>
                    <a:srcRect/>
                    <a:stretch>
                      <a:fillRect/>
                    </a:stretch>
                  </pic:blipFill>
                  <pic:spPr bwMode="auto">
                    <a:xfrm>
                      <a:off x="0" y="0"/>
                      <a:ext cx="1046480" cy="20574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7" w:lineRule="exact"/>
        <w:rPr>
          <w:sz w:val="20"/>
          <w:szCs w:val="20"/>
          <w:color w:val="auto"/>
        </w:rPr>
      </w:pPr>
    </w:p>
    <w:p>
      <w:pPr>
        <w:ind w:left="460" w:right="40" w:hanging="452"/>
        <w:spacing w:after="0" w:line="237" w:lineRule="auto"/>
        <w:tabs>
          <w:tab w:leader="none" w:pos="460" w:val="left"/>
        </w:tabs>
        <w:numPr>
          <w:ilvl w:val="0"/>
          <w:numId w:val="80"/>
        </w:numPr>
        <w:rPr>
          <w:rFonts w:ascii="Arial" w:cs="Arial" w:eastAsia="Arial" w:hAnsi="Arial"/>
          <w:sz w:val="17"/>
          <w:szCs w:val="17"/>
          <w:color w:val="auto"/>
        </w:rPr>
      </w:pPr>
      <w:r>
        <w:rPr>
          <w:rFonts w:ascii="Arial" w:cs="Arial" w:eastAsia="Arial" w:hAnsi="Arial"/>
          <w:sz w:val="17"/>
          <w:szCs w:val="17"/>
          <w:b w:val="1"/>
          <w:bCs w:val="1"/>
          <w:color w:val="auto"/>
        </w:rPr>
        <w:t>Withholding Taxes</w:t>
      </w:r>
      <w:r>
        <w:rPr>
          <w:rFonts w:ascii="Arial" w:cs="Arial" w:eastAsia="Arial" w:hAnsi="Arial"/>
          <w:sz w:val="17"/>
          <w:szCs w:val="17"/>
          <w:color w:val="auto"/>
        </w:rPr>
        <w:t>. To the extent that the Corporation is required to withhold federal, state, local or foreign taxes in connection with any</w:t>
      </w:r>
      <w:r>
        <w:rPr>
          <w:rFonts w:ascii="Arial" w:cs="Arial" w:eastAsia="Arial" w:hAnsi="Arial"/>
          <w:sz w:val="17"/>
          <w:szCs w:val="17"/>
          <w:b w:val="1"/>
          <w:bCs w:val="1"/>
          <w:color w:val="auto"/>
        </w:rPr>
        <w:t xml:space="preserve"> </w:t>
      </w:r>
      <w:r>
        <w:rPr>
          <w:rFonts w:ascii="Arial" w:cs="Arial" w:eastAsia="Arial" w:hAnsi="Arial"/>
          <w:sz w:val="17"/>
          <w:szCs w:val="17"/>
          <w:color w:val="auto"/>
        </w:rPr>
        <w:t>payment made or benefit realized by a Participant or other person under this Plan, and the amounts available to the Corporation for such withholding are insufficient, it shall be a condition to the receipt of such payment or the realization of such benefit that the Participant or such other person make arrangements satisfactory to the Corporation for payment of the balance of such taxes required to be withheld. At the discretion of the Committee, such arrangements may include the tender by the Participant or such other person or the withholding by the Corporation of Common Shares to provide for such withholding taxes. Any Evidence of Award may provide for such arrangements, subject to such conditions and limitations as the Committee may approve. In no event shall the value of the Common Shares to be tendered or withheld pursuant to this Section to satisfy applicable withholding taxes in connection with the benefit exceed the minimum amount of taxes required to be withheld (unless such higher withholding amounts would not result in adverse accounting implications for the Corporation).</w:t>
      </w:r>
    </w:p>
    <w:p>
      <w:pPr>
        <w:spacing w:after="0" w:line="180" w:lineRule="exact"/>
        <w:rPr>
          <w:rFonts w:ascii="Arial" w:cs="Arial" w:eastAsia="Arial" w:hAnsi="Arial"/>
          <w:sz w:val="17"/>
          <w:szCs w:val="17"/>
          <w:color w:val="auto"/>
        </w:rPr>
      </w:pPr>
    </w:p>
    <w:p>
      <w:pPr>
        <w:ind w:left="460" w:hanging="452"/>
        <w:spacing w:after="0" w:line="235" w:lineRule="auto"/>
        <w:tabs>
          <w:tab w:leader="none" w:pos="460" w:val="left"/>
        </w:tabs>
        <w:numPr>
          <w:ilvl w:val="0"/>
          <w:numId w:val="80"/>
        </w:numPr>
        <w:rPr>
          <w:rFonts w:ascii="Arial" w:cs="Arial" w:eastAsia="Arial" w:hAnsi="Arial"/>
          <w:sz w:val="17"/>
          <w:szCs w:val="17"/>
          <w:color w:val="auto"/>
        </w:rPr>
      </w:pPr>
      <w:r>
        <w:rPr>
          <w:rFonts w:ascii="Arial" w:cs="Arial" w:eastAsia="Arial" w:hAnsi="Arial"/>
          <w:sz w:val="17"/>
          <w:szCs w:val="17"/>
          <w:b w:val="1"/>
          <w:bCs w:val="1"/>
          <w:color w:val="auto"/>
        </w:rPr>
        <w:t>Certain Terminations of Employment</w:t>
      </w:r>
      <w:r>
        <w:rPr>
          <w:rFonts w:ascii="Arial" w:cs="Arial" w:eastAsia="Arial" w:hAnsi="Arial"/>
          <w:sz w:val="17"/>
          <w:szCs w:val="17"/>
          <w:color w:val="auto"/>
        </w:rPr>
        <w:t>. If permitted by Section 409A of the Code and Section 162(m), but subject to the paragraph that follows,</w:t>
      </w:r>
      <w:r>
        <w:rPr>
          <w:rFonts w:ascii="Arial" w:cs="Arial" w:eastAsia="Arial" w:hAnsi="Arial"/>
          <w:sz w:val="17"/>
          <w:szCs w:val="17"/>
          <w:b w:val="1"/>
          <w:bCs w:val="1"/>
          <w:color w:val="auto"/>
        </w:rPr>
        <w:t xml:space="preserve"> </w:t>
      </w:r>
      <w:r>
        <w:rPr>
          <w:rFonts w:ascii="Arial" w:cs="Arial" w:eastAsia="Arial" w:hAnsi="Arial"/>
          <w:sz w:val="17"/>
          <w:szCs w:val="17"/>
          <w:color w:val="auto"/>
        </w:rPr>
        <w:t xml:space="preserve">notwithstanding the Plan’s minimum vesting requirements, and including in the case of termination of employment by reason of death, disability or normal retirement or early retirement, or in the case of unforeseeable emergency or other special circumstances or in the event of a Change in Control, to the extent a Participant holds an Option Right or Appreciation Right not immediately exercisable in full, or any Restricted Shares as to which the substantial risk of forfeiture or the prohibition or restriction on transfer has not lapsed, or any Deferred Shares as to which the Deferral Period is not complete, or any Restricted Stock Units as to which the Restriction Period has not been completed, or any Cash Incentive Awards, Performance Shares or Performance Units which have not been fully earned, or any other awards made pursuant to </w:t>
      </w:r>
      <w:r>
        <w:rPr>
          <w:rFonts w:ascii="Arial" w:cs="Arial" w:eastAsia="Arial" w:hAnsi="Arial"/>
          <w:sz w:val="17"/>
          <w:szCs w:val="17"/>
          <w:b w:val="1"/>
          <w:bCs w:val="1"/>
          <w:u w:val="single" w:color="auto"/>
          <w:color w:val="auto"/>
        </w:rPr>
        <w:t>Section 10</w:t>
      </w:r>
      <w:r>
        <w:rPr>
          <w:rFonts w:ascii="Arial" w:cs="Arial" w:eastAsia="Arial" w:hAnsi="Arial"/>
          <w:sz w:val="17"/>
          <w:szCs w:val="17"/>
          <w:color w:val="auto"/>
        </w:rPr>
        <w:t xml:space="preserve"> subject to any vesting schedule or transfer restriction, or who holds Common Shares subject to any transfer restriction imposed pursuant to </w:t>
      </w:r>
      <w:r>
        <w:rPr>
          <w:rFonts w:ascii="Arial" w:cs="Arial" w:eastAsia="Arial" w:hAnsi="Arial"/>
          <w:sz w:val="17"/>
          <w:szCs w:val="17"/>
          <w:b w:val="1"/>
          <w:bCs w:val="1"/>
          <w:u w:val="single" w:color="auto"/>
          <w:color w:val="auto"/>
        </w:rPr>
        <w:t>Section 12(b)</w:t>
      </w:r>
      <w:r>
        <w:rPr>
          <w:rFonts w:ascii="Arial" w:cs="Arial" w:eastAsia="Arial" w:hAnsi="Arial"/>
          <w:sz w:val="17"/>
          <w:szCs w:val="17"/>
          <w:color w:val="auto"/>
        </w:rPr>
        <w:t xml:space="preserve"> of this Plan, the Committee may, in its sole discretion, take any action that it deems to be equitable under the circumstances or in the best interests of the Corporation, including, without limitation, accelerate the time at which such Option Right, Appreciation Right or other award may be exercised or the time at which such substantial risk of forfeiture or prohibition or restriction on transfer will lapse or the time when such Restriction Period will end or the time at which such Cash Incentive Awards, Performance Shares or Performance Units will be deemed to have been fully earned or the time when such transfer restriction will terminate or may waive any other limitation or requirement under any such award, except in the case of a Qualified Performance-Based Award where such action would result in the loss of the otherwise available exemption of the award under Section 162(m) of the Code.</w:t>
      </w:r>
    </w:p>
    <w:p>
      <w:pPr>
        <w:spacing w:after="0" w:line="154" w:lineRule="exact"/>
        <w:rPr>
          <w:rFonts w:ascii="Arial" w:cs="Arial" w:eastAsia="Arial" w:hAnsi="Arial"/>
          <w:sz w:val="17"/>
          <w:szCs w:val="17"/>
          <w:color w:val="auto"/>
        </w:rPr>
      </w:pPr>
    </w:p>
    <w:p>
      <w:pPr>
        <w:ind w:left="460" w:right="40"/>
        <w:spacing w:after="0" w:line="238" w:lineRule="auto"/>
        <w:rPr>
          <w:rFonts w:ascii="Arial" w:cs="Arial" w:eastAsia="Arial" w:hAnsi="Arial"/>
          <w:sz w:val="17"/>
          <w:szCs w:val="17"/>
          <w:color w:val="auto"/>
        </w:rPr>
      </w:pPr>
      <w:r>
        <w:rPr>
          <w:rFonts w:ascii="Arial" w:cs="Arial" w:eastAsia="Arial" w:hAnsi="Arial"/>
          <w:sz w:val="17"/>
          <w:szCs w:val="17"/>
          <w:color w:val="auto"/>
        </w:rPr>
        <w:t xml:space="preserve">Subject to </w:t>
      </w:r>
      <w:r>
        <w:rPr>
          <w:rFonts w:ascii="Arial" w:cs="Arial" w:eastAsia="Arial" w:hAnsi="Arial"/>
          <w:sz w:val="17"/>
          <w:szCs w:val="17"/>
          <w:b w:val="1"/>
          <w:bCs w:val="1"/>
          <w:u w:val="single" w:color="auto"/>
          <w:color w:val="auto"/>
        </w:rPr>
        <w:t>Section 20(b)</w:t>
      </w:r>
      <w:r>
        <w:rPr>
          <w:rFonts w:ascii="Arial" w:cs="Arial" w:eastAsia="Arial" w:hAnsi="Arial"/>
          <w:sz w:val="17"/>
          <w:szCs w:val="17"/>
          <w:color w:val="auto"/>
        </w:rPr>
        <w:t xml:space="preserve"> hereof, the Committee may amend the terms of any award theretofore granted under this Plan prospectively or retroactively, except in the case of a Qualified Performance-Based Award (other than in connection with the Participant’s death or disability, or a Change in Control) where such action would result in the loss of the otherwise available exemption of the award under Section 162(m) of the Code. In such case, the Committee will not make any modification of the Management Objectives or the level or levels of achievement with respect to such Qualified Performance-Based Award. Subject to </w:t>
      </w:r>
      <w:r>
        <w:rPr>
          <w:rFonts w:ascii="Arial" w:cs="Arial" w:eastAsia="Arial" w:hAnsi="Arial"/>
          <w:sz w:val="17"/>
          <w:szCs w:val="17"/>
          <w:b w:val="1"/>
          <w:bCs w:val="1"/>
          <w:u w:val="single" w:color="auto"/>
          <w:color w:val="auto"/>
        </w:rPr>
        <w:t>Section 14</w:t>
      </w:r>
      <w:r>
        <w:rPr>
          <w:rFonts w:ascii="Arial" w:cs="Arial" w:eastAsia="Arial" w:hAnsi="Arial"/>
          <w:sz w:val="17"/>
          <w:szCs w:val="17"/>
          <w:color w:val="auto"/>
        </w:rPr>
        <w:t xml:space="preserve"> above, no such amendment shall impair the rights of any Participant without his or her consent. The Committee may, in its discretion, terminate this Plan at any time. Termination of this Plan will not affect the rights of Participants or their successors under any awards outstanding hereunder and not exercised in full on the date of termination.</w:t>
      </w:r>
    </w:p>
    <w:p>
      <w:pPr>
        <w:spacing w:after="0" w:line="182" w:lineRule="exact"/>
        <w:rPr>
          <w:rFonts w:ascii="Arial" w:cs="Arial" w:eastAsia="Arial" w:hAnsi="Arial"/>
          <w:sz w:val="17"/>
          <w:szCs w:val="17"/>
          <w:color w:val="auto"/>
        </w:rPr>
      </w:pPr>
    </w:p>
    <w:p>
      <w:pPr>
        <w:ind w:left="460" w:right="160" w:hanging="452"/>
        <w:spacing w:after="0" w:line="250" w:lineRule="auto"/>
        <w:tabs>
          <w:tab w:leader="none" w:pos="460" w:val="left"/>
        </w:tabs>
        <w:numPr>
          <w:ilvl w:val="0"/>
          <w:numId w:val="80"/>
        </w:numPr>
        <w:rPr>
          <w:rFonts w:ascii="Arial" w:cs="Arial" w:eastAsia="Arial" w:hAnsi="Arial"/>
          <w:sz w:val="17"/>
          <w:szCs w:val="17"/>
          <w:color w:val="auto"/>
        </w:rPr>
      </w:pPr>
      <w:r>
        <w:rPr>
          <w:rFonts w:ascii="Arial" w:cs="Arial" w:eastAsia="Arial" w:hAnsi="Arial"/>
          <w:sz w:val="17"/>
          <w:szCs w:val="17"/>
          <w:b w:val="1"/>
          <w:bCs w:val="1"/>
          <w:color w:val="auto"/>
        </w:rPr>
        <w:t>Non-U.S. Participants</w:t>
      </w:r>
      <w:r>
        <w:rPr>
          <w:rFonts w:ascii="Arial" w:cs="Arial" w:eastAsia="Arial" w:hAnsi="Arial"/>
          <w:sz w:val="17"/>
          <w:szCs w:val="17"/>
          <w:color w:val="auto"/>
        </w:rPr>
        <w:t>. In order to facilitate the making of any grant or combination of grants under this Plan, the Committee may provide for</w:t>
      </w:r>
      <w:r>
        <w:rPr>
          <w:rFonts w:ascii="Arial" w:cs="Arial" w:eastAsia="Arial" w:hAnsi="Arial"/>
          <w:sz w:val="17"/>
          <w:szCs w:val="17"/>
          <w:b w:val="1"/>
          <w:bCs w:val="1"/>
          <w:color w:val="auto"/>
        </w:rPr>
        <w:t xml:space="preserve"> </w:t>
      </w:r>
      <w:r>
        <w:rPr>
          <w:rFonts w:ascii="Arial" w:cs="Arial" w:eastAsia="Arial" w:hAnsi="Arial"/>
          <w:sz w:val="17"/>
          <w:szCs w:val="17"/>
          <w:color w:val="auto"/>
        </w:rPr>
        <w:t>such special terms for awards to Participants who are foreign nationals, who are employed by the Corporation or any of its Subsidiaries outside of the United States of America or who</w:t>
      </w:r>
    </w:p>
    <w:p>
      <w:pPr>
        <w:spacing w:after="0" w:line="136" w:lineRule="exact"/>
        <w:rPr>
          <w:sz w:val="20"/>
          <w:szCs w:val="20"/>
          <w:color w:val="auto"/>
        </w:rPr>
      </w:pPr>
    </w:p>
    <w:p>
      <w:pPr>
        <w:spacing w:after="0"/>
        <w:rPr>
          <w:sz w:val="20"/>
          <w:szCs w:val="20"/>
          <w:color w:val="auto"/>
        </w:rPr>
      </w:pPr>
      <w:r>
        <w:rPr>
          <w:rFonts w:ascii="Arial" w:cs="Arial" w:eastAsia="Arial" w:hAnsi="Arial"/>
          <w:sz w:val="14"/>
          <w:szCs w:val="14"/>
          <w:color w:val="auto"/>
        </w:rPr>
        <w:t>A-16</w:t>
      </w:r>
    </w:p>
    <w:p>
      <w:pPr>
        <w:sectPr>
          <w:pgSz w:w="11900" w:h="16838" w:orient="portrait"/>
          <w:cols w:equalWidth="0" w:num="1">
            <w:col w:w="11420"/>
          </w:cols>
          <w:pgMar w:left="240" w:top="459" w:right="239" w:bottom="1440" w:gutter="0" w:footer="0" w:header="0"/>
        </w:sectPr>
      </w:pPr>
    </w:p>
    <w:bookmarkStart w:id="104" w:name="page105"/>
    <w:bookmarkEnd w:id="10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271">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2715260</wp:posOffset>
            </wp:positionH>
            <wp:positionV relativeFrom="paragraph">
              <wp:posOffset>205740</wp:posOffset>
            </wp:positionV>
            <wp:extent cx="1826895" cy="205740"/>
            <wp:wrapNone/>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272">
                      <a:extLst>
                        <a:ext uri="{28A0092B-C50C-407E-A947-70E740481C1C}"/>
                      </a:extLst>
                    </a:blip>
                    <a:srcRect/>
                    <a:stretch>
                      <a:fillRect/>
                    </a:stretch>
                  </pic:blipFill>
                  <pic:spPr bwMode="auto">
                    <a:xfrm>
                      <a:off x="0" y="0"/>
                      <a:ext cx="1826895" cy="20574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70" w:lineRule="exact"/>
        <w:rPr>
          <w:sz w:val="20"/>
          <w:szCs w:val="20"/>
          <w:color w:val="auto"/>
        </w:rPr>
      </w:pPr>
    </w:p>
    <w:p>
      <w:pPr>
        <w:ind w:left="460"/>
        <w:spacing w:after="0" w:line="234" w:lineRule="auto"/>
        <w:rPr>
          <w:sz w:val="20"/>
          <w:szCs w:val="20"/>
          <w:color w:val="auto"/>
        </w:rPr>
      </w:pPr>
      <w:r>
        <w:rPr>
          <w:rFonts w:ascii="Arial" w:cs="Arial" w:eastAsia="Arial" w:hAnsi="Arial"/>
          <w:sz w:val="17"/>
          <w:szCs w:val="17"/>
          <w:color w:val="auto"/>
        </w:rPr>
        <w:t>provide services to the Corporation under an agreement with a foreign nation or agency, as the Committee may consider necessary or appropriate to accommodate differences in local law, tax policy or custom. Moreover, the Committee may approve such supplements to, or amendments, restatements or alternative versions of, this Plan (including, without limitation, sub-plans) as it may consider necessary or appropriate for such purposes without thereby affecting the terms of this Plan as in effect for any other purpose, and the Secretary or other appropriate officer of the Corporation may certify any such document as having been approved and adopted in the same manner as this Plan. No such special terms, supplements, amendments or restatements shall include any provisions that are inconsistent with the terms of this Plan as then in effect unless this Plan could have been amended to eliminate such inconsistency without further approval by the shareholders of the Corporation.</w:t>
      </w:r>
    </w:p>
    <w:p>
      <w:pPr>
        <w:spacing w:after="0" w:line="184" w:lineRule="exact"/>
        <w:rPr>
          <w:sz w:val="20"/>
          <w:szCs w:val="20"/>
          <w:color w:val="auto"/>
        </w:rPr>
      </w:pPr>
    </w:p>
    <w:p>
      <w:pPr>
        <w:ind w:left="460" w:hanging="452"/>
        <w:spacing w:after="0"/>
        <w:tabs>
          <w:tab w:leader="none" w:pos="460" w:val="left"/>
        </w:tabs>
        <w:numPr>
          <w:ilvl w:val="0"/>
          <w:numId w:val="81"/>
        </w:numPr>
        <w:rPr>
          <w:rFonts w:ascii="Arial" w:cs="Arial" w:eastAsia="Arial" w:hAnsi="Arial"/>
          <w:sz w:val="17"/>
          <w:szCs w:val="17"/>
          <w:color w:val="auto"/>
        </w:rPr>
      </w:pPr>
      <w:r>
        <w:rPr>
          <w:rFonts w:ascii="Arial" w:cs="Arial" w:eastAsia="Arial" w:hAnsi="Arial"/>
          <w:sz w:val="17"/>
          <w:szCs w:val="17"/>
          <w:b w:val="1"/>
          <w:bCs w:val="1"/>
          <w:color w:val="auto"/>
        </w:rPr>
        <w:t>Administration of the Plan</w:t>
      </w:r>
      <w:r>
        <w:rPr>
          <w:rFonts w:ascii="Arial" w:cs="Arial" w:eastAsia="Arial" w:hAnsi="Arial"/>
          <w:sz w:val="17"/>
          <w:szCs w:val="17"/>
          <w:color w:val="auto"/>
        </w:rPr>
        <w:t>.</w:t>
      </w:r>
    </w:p>
    <w:p>
      <w:pPr>
        <w:spacing w:after="0" w:line="229" w:lineRule="exact"/>
        <w:rPr>
          <w:rFonts w:ascii="Arial" w:cs="Arial" w:eastAsia="Arial" w:hAnsi="Arial"/>
          <w:sz w:val="17"/>
          <w:szCs w:val="17"/>
          <w:color w:val="auto"/>
        </w:rPr>
      </w:pPr>
    </w:p>
    <w:p>
      <w:pPr>
        <w:ind w:left="900" w:right="100" w:hanging="446"/>
        <w:spacing w:after="0" w:line="234" w:lineRule="auto"/>
        <w:tabs>
          <w:tab w:leader="none" w:pos="900" w:val="left"/>
        </w:tabs>
        <w:numPr>
          <w:ilvl w:val="1"/>
          <w:numId w:val="81"/>
        </w:numPr>
        <w:rPr>
          <w:rFonts w:ascii="Arial" w:cs="Arial" w:eastAsia="Arial" w:hAnsi="Arial"/>
          <w:sz w:val="17"/>
          <w:szCs w:val="17"/>
          <w:color w:val="auto"/>
        </w:rPr>
      </w:pPr>
      <w:r>
        <w:rPr>
          <w:rFonts w:ascii="Arial" w:cs="Arial" w:eastAsia="Arial" w:hAnsi="Arial"/>
          <w:sz w:val="17"/>
          <w:szCs w:val="17"/>
          <w:color w:val="auto"/>
        </w:rPr>
        <w:t>This Plan shall be administered by the Compensation Committee of the Board. The Compensation Committee of the Board shall be composed of not less than three members of the Board, each of whom shall (i) meet all applicable independence requirements of the New York Stock Exchange, or if the Common Shares are not traded on the New York Stock Exchange, the principal national securities exchange on which the Common Shares are traded, (ii) be a “non-employee director” within the meaning of Rule 16b-3 and (iii) be an “outside director” within the meaning of Section 162(m) of the Code. The Committee may from time to time delegate all or any part of its authority under this Plan to any subcommittee thereof. To the extent of any such delegation, references in this Plan to the Committee will be deemed to be references to such subcommittee.</w:t>
      </w:r>
    </w:p>
    <w:p>
      <w:pPr>
        <w:spacing w:after="0" w:line="205" w:lineRule="exact"/>
        <w:rPr>
          <w:rFonts w:ascii="Arial" w:cs="Arial" w:eastAsia="Arial" w:hAnsi="Arial"/>
          <w:sz w:val="17"/>
          <w:szCs w:val="17"/>
          <w:color w:val="auto"/>
        </w:rPr>
      </w:pPr>
    </w:p>
    <w:p>
      <w:pPr>
        <w:ind w:left="900" w:hanging="446"/>
        <w:spacing w:after="0" w:line="235" w:lineRule="auto"/>
        <w:tabs>
          <w:tab w:leader="none" w:pos="900" w:val="left"/>
        </w:tabs>
        <w:numPr>
          <w:ilvl w:val="1"/>
          <w:numId w:val="81"/>
        </w:numPr>
        <w:rPr>
          <w:rFonts w:ascii="Arial" w:cs="Arial" w:eastAsia="Arial" w:hAnsi="Arial"/>
          <w:sz w:val="17"/>
          <w:szCs w:val="17"/>
          <w:color w:val="auto"/>
        </w:rPr>
      </w:pPr>
      <w:r>
        <w:rPr>
          <w:rFonts w:ascii="Arial" w:cs="Arial" w:eastAsia="Arial" w:hAnsi="Arial"/>
          <w:sz w:val="17"/>
          <w:szCs w:val="17"/>
          <w:color w:val="auto"/>
        </w:rPr>
        <w:t>The interpretation and construction by the Committee of any provision of this Plan or of any agreement, notification or document evidencing the grant of awards under this Plan and any determination by the Committee pursuant to any provision of this Plan or any such agreement, notification or document shall be final and conclusive. No member of the Committee shall be liable for any such action taken or determination made in good faith. In addition, the Committee is authorized to take any action it determines in its sole discretion to be appropriate subject only to the express limitations contained in this Plan, and no authorization in any Plan Section or other provision of this Plan is intended or may be deemed to constitute a limitation on the authority of the Committee.</w:t>
      </w:r>
    </w:p>
    <w:p>
      <w:pPr>
        <w:spacing w:after="0" w:line="202" w:lineRule="exact"/>
        <w:rPr>
          <w:rFonts w:ascii="Arial" w:cs="Arial" w:eastAsia="Arial" w:hAnsi="Arial"/>
          <w:sz w:val="17"/>
          <w:szCs w:val="17"/>
          <w:color w:val="auto"/>
        </w:rPr>
      </w:pPr>
    </w:p>
    <w:p>
      <w:pPr>
        <w:ind w:left="900" w:right="80" w:hanging="446"/>
        <w:spacing w:after="0" w:line="233" w:lineRule="auto"/>
        <w:tabs>
          <w:tab w:leader="none" w:pos="900" w:val="left"/>
        </w:tabs>
        <w:numPr>
          <w:ilvl w:val="1"/>
          <w:numId w:val="81"/>
        </w:numPr>
        <w:rPr>
          <w:rFonts w:ascii="Arial" w:cs="Arial" w:eastAsia="Arial" w:hAnsi="Arial"/>
          <w:sz w:val="17"/>
          <w:szCs w:val="17"/>
          <w:color w:val="auto"/>
        </w:rPr>
      </w:pPr>
      <w:r>
        <w:rPr>
          <w:rFonts w:ascii="Arial" w:cs="Arial" w:eastAsia="Arial" w:hAnsi="Arial"/>
          <w:sz w:val="17"/>
          <w:szCs w:val="17"/>
          <w:color w:val="auto"/>
        </w:rPr>
        <w:t xml:space="preserve">The Committee, to the full extent permitted by law, may delegate to one or more of its members or to one or more other directors or any officer or officers of the Corporation, or to one or more agents or advisors, such administrative duties or powers as it may deem advisable, and any person to whom duties or powers have been delegated as aforesaid may employ one or more persons to render advice with respect to any responsibility the Committee or such person may have under the Plan. Without limiting the generality of the foregoing, the Committee may, by resolution, authorize one or more officers of the Corporation to do one or more of the following on the same basis as the Committee: (i) designate employees to be recipients of awards under this Plan; and (ii) determine the size and type of any such awards;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w:t>
      </w:r>
      <w:r>
        <w:rPr>
          <w:rFonts w:ascii="Arial" w:cs="Arial" w:eastAsia="Arial" w:hAnsi="Arial"/>
          <w:sz w:val="17"/>
          <w:szCs w:val="17"/>
          <w:u w:val="single" w:color="auto"/>
          <w:color w:val="auto"/>
        </w:rPr>
        <w:t>however</w:t>
      </w:r>
      <w:r>
        <w:rPr>
          <w:rFonts w:ascii="Arial" w:cs="Arial" w:eastAsia="Arial" w:hAnsi="Arial"/>
          <w:sz w:val="17"/>
          <w:szCs w:val="17"/>
          <w:color w:val="auto"/>
        </w:rPr>
        <w:t>, that (x) the Committee shall not delegate such responsibilities to any such officer for awards granted to an employee who is an officer, director or more than 10% beneficial owner of any class of the Corporation’s equity securities that is registered pursuant to Section 12 of the Exchange Act, as determined by the Committee in accordance with Section 16 of the Exchange Act, or any person subject to Section 162(m) of the Code, (y) the resolution providing for such authorization sets forth the total number of Common Shares such officer(s) may grant and the terms of any award that such officer(s) may grant, and (z) the officer(s) shall report periodically to the Committee regarding the nature and scope of the awards granted pursuant to the authority delegated.</w:t>
      </w:r>
    </w:p>
    <w:p>
      <w:pPr>
        <w:spacing w:after="0" w:line="151" w:lineRule="exact"/>
        <w:rPr>
          <w:sz w:val="20"/>
          <w:szCs w:val="20"/>
          <w:color w:val="auto"/>
        </w:rPr>
      </w:pPr>
    </w:p>
    <w:p>
      <w:pPr>
        <w:ind w:left="11040"/>
        <w:spacing w:after="0"/>
        <w:rPr>
          <w:sz w:val="20"/>
          <w:szCs w:val="20"/>
          <w:color w:val="auto"/>
        </w:rPr>
      </w:pPr>
      <w:r>
        <w:rPr>
          <w:rFonts w:ascii="Arial" w:cs="Arial" w:eastAsia="Arial" w:hAnsi="Arial"/>
          <w:sz w:val="14"/>
          <w:szCs w:val="14"/>
          <w:color w:val="auto"/>
        </w:rPr>
        <w:t>A-17</w:t>
      </w:r>
    </w:p>
    <w:p>
      <w:pPr>
        <w:sectPr>
          <w:pgSz w:w="11900" w:h="16838" w:orient="portrait"/>
          <w:cols w:equalWidth="0" w:num="1">
            <w:col w:w="11420"/>
          </w:cols>
          <w:pgMar w:left="240" w:top="459" w:right="239" w:bottom="1440" w:gutter="0" w:footer="0" w:header="0"/>
        </w:sectPr>
      </w:pPr>
    </w:p>
    <w:bookmarkStart w:id="105" w:name="page106"/>
    <w:bookmarkEnd w:id="10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273">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3109595</wp:posOffset>
            </wp:positionH>
            <wp:positionV relativeFrom="paragraph">
              <wp:posOffset>205740</wp:posOffset>
            </wp:positionV>
            <wp:extent cx="1046480" cy="205740"/>
            <wp:wrapNone/>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274">
                      <a:extLst>
                        <a:ext uri="{28A0092B-C50C-407E-A947-70E740481C1C}"/>
                      </a:extLst>
                    </a:blip>
                    <a:srcRect/>
                    <a:stretch>
                      <a:fillRect/>
                    </a:stretch>
                  </pic:blipFill>
                  <pic:spPr bwMode="auto">
                    <a:xfrm>
                      <a:off x="0" y="0"/>
                      <a:ext cx="1046480" cy="20574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7" w:lineRule="exact"/>
        <w:rPr>
          <w:sz w:val="20"/>
          <w:szCs w:val="20"/>
          <w:color w:val="auto"/>
        </w:rPr>
      </w:pPr>
    </w:p>
    <w:p>
      <w:pPr>
        <w:ind w:left="460" w:hanging="452"/>
        <w:spacing w:after="0"/>
        <w:tabs>
          <w:tab w:leader="none" w:pos="460" w:val="left"/>
        </w:tabs>
        <w:numPr>
          <w:ilvl w:val="0"/>
          <w:numId w:val="82"/>
        </w:numPr>
        <w:rPr>
          <w:rFonts w:ascii="Arial" w:cs="Arial" w:eastAsia="Arial" w:hAnsi="Arial"/>
          <w:sz w:val="17"/>
          <w:szCs w:val="17"/>
          <w:color w:val="auto"/>
        </w:rPr>
      </w:pPr>
      <w:r>
        <w:rPr>
          <w:rFonts w:ascii="Arial" w:cs="Arial" w:eastAsia="Arial" w:hAnsi="Arial"/>
          <w:sz w:val="17"/>
          <w:szCs w:val="17"/>
          <w:b w:val="1"/>
          <w:bCs w:val="1"/>
          <w:color w:val="auto"/>
        </w:rPr>
        <w:t>Amendments and Other Matters</w:t>
      </w:r>
      <w:r>
        <w:rPr>
          <w:rFonts w:ascii="Arial" w:cs="Arial" w:eastAsia="Arial" w:hAnsi="Arial"/>
          <w:sz w:val="17"/>
          <w:szCs w:val="17"/>
          <w:color w:val="auto"/>
        </w:rPr>
        <w:t>.</w:t>
      </w:r>
    </w:p>
    <w:p>
      <w:pPr>
        <w:spacing w:after="0" w:line="229" w:lineRule="exact"/>
        <w:rPr>
          <w:rFonts w:ascii="Arial" w:cs="Arial" w:eastAsia="Arial" w:hAnsi="Arial"/>
          <w:sz w:val="17"/>
          <w:szCs w:val="17"/>
          <w:color w:val="auto"/>
        </w:rPr>
      </w:pPr>
    </w:p>
    <w:p>
      <w:pPr>
        <w:ind w:left="900" w:hanging="446"/>
        <w:spacing w:after="0" w:line="234" w:lineRule="auto"/>
        <w:tabs>
          <w:tab w:leader="none" w:pos="900" w:val="left"/>
        </w:tabs>
        <w:numPr>
          <w:ilvl w:val="1"/>
          <w:numId w:val="82"/>
        </w:numPr>
        <w:rPr>
          <w:rFonts w:ascii="Arial" w:cs="Arial" w:eastAsia="Arial" w:hAnsi="Arial"/>
          <w:sz w:val="17"/>
          <w:szCs w:val="17"/>
          <w:color w:val="auto"/>
        </w:rPr>
      </w:pPr>
      <w:r>
        <w:rPr>
          <w:rFonts w:ascii="Arial" w:cs="Arial" w:eastAsia="Arial" w:hAnsi="Arial"/>
          <w:sz w:val="17"/>
          <w:szCs w:val="17"/>
          <w:color w:val="auto"/>
        </w:rPr>
        <w:t xml:space="preserve">This Plan may be amended from time to time by the Committee;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w:t>
      </w:r>
      <w:r>
        <w:rPr>
          <w:rFonts w:ascii="Arial" w:cs="Arial" w:eastAsia="Arial" w:hAnsi="Arial"/>
          <w:sz w:val="17"/>
          <w:szCs w:val="17"/>
          <w:u w:val="single" w:color="auto"/>
          <w:color w:val="auto"/>
        </w:rPr>
        <w:t>however</w:t>
      </w:r>
      <w:r>
        <w:rPr>
          <w:rFonts w:ascii="Arial" w:cs="Arial" w:eastAsia="Arial" w:hAnsi="Arial"/>
          <w:sz w:val="17"/>
          <w:szCs w:val="17"/>
          <w:color w:val="auto"/>
        </w:rPr>
        <w:t>, that if an amendment to the Plan (i) would materially increase the benefits accruing to Participants under the Plan, (ii) would materially increase the number of securities which may be issued under the Plan, (iii) would materially modify the requirements for participation in the Plan or (iv) must otherwise be approved by the shareholders of the Corporation in order to comply with applicable law or the rules of the New York Stock Exchange or, if the Common Shares are not traded on the New York Stock Exchange, the principal national securities exchange upon which the Common Shares are traded or quoted, then such amendment will be subject to shareholder approval and will not be effective unless and until such approval has been obtained. Without limiting the generality of the foregoing, the Committee may amend this Plan to eliminate provisions which are no longer necessary as a result of changes in tax or securities laws or regulations, or in the interpretation thereof.</w:t>
      </w:r>
    </w:p>
    <w:p>
      <w:pPr>
        <w:spacing w:after="0" w:line="183" w:lineRule="exact"/>
        <w:rPr>
          <w:rFonts w:ascii="Arial" w:cs="Arial" w:eastAsia="Arial" w:hAnsi="Arial"/>
          <w:sz w:val="17"/>
          <w:szCs w:val="17"/>
          <w:color w:val="auto"/>
        </w:rPr>
      </w:pPr>
    </w:p>
    <w:p>
      <w:pPr>
        <w:ind w:left="900" w:right="140" w:hanging="446"/>
        <w:spacing w:after="0" w:line="237" w:lineRule="auto"/>
        <w:tabs>
          <w:tab w:leader="none" w:pos="900" w:val="left"/>
        </w:tabs>
        <w:numPr>
          <w:ilvl w:val="1"/>
          <w:numId w:val="82"/>
        </w:numPr>
        <w:rPr>
          <w:rFonts w:ascii="Arial" w:cs="Arial" w:eastAsia="Arial" w:hAnsi="Arial"/>
          <w:sz w:val="17"/>
          <w:szCs w:val="17"/>
          <w:color w:val="auto"/>
        </w:rPr>
      </w:pPr>
      <w:r>
        <w:rPr>
          <w:rFonts w:ascii="Arial" w:cs="Arial" w:eastAsia="Arial" w:hAnsi="Arial"/>
          <w:sz w:val="17"/>
          <w:szCs w:val="17"/>
          <w:color w:val="auto"/>
        </w:rPr>
        <w:t xml:space="preserve">Except in connection with a corporate transaction or event described in </w:t>
      </w:r>
      <w:r>
        <w:rPr>
          <w:rFonts w:ascii="Arial" w:cs="Arial" w:eastAsia="Arial" w:hAnsi="Arial"/>
          <w:sz w:val="17"/>
          <w:szCs w:val="17"/>
          <w:b w:val="1"/>
          <w:bCs w:val="1"/>
          <w:u w:val="single" w:color="auto"/>
          <w:color w:val="auto"/>
        </w:rPr>
        <w:t>Section 14</w:t>
      </w:r>
      <w:r>
        <w:rPr>
          <w:rFonts w:ascii="Arial" w:cs="Arial" w:eastAsia="Arial" w:hAnsi="Arial"/>
          <w:sz w:val="17"/>
          <w:szCs w:val="17"/>
          <w:color w:val="auto"/>
        </w:rPr>
        <w:t xml:space="preserve"> of this Plan, the terms of outstanding awards may not be amended to reduce the Option Price of outstanding Option Rights or the Base Price of outstanding Appreciation Rights, or cancel outstanding Option Rights or Appreciation Rights in exchange for cash, other awards or Option Rights or Appreciation Rights with an Option Price or Base Price, as applicable, that is less than the Option Price of the original Option Rights or Base Price of the original Appreciation Rights, as applicable, without shareholder approval. This </w:t>
      </w:r>
      <w:r>
        <w:rPr>
          <w:rFonts w:ascii="Arial" w:cs="Arial" w:eastAsia="Arial" w:hAnsi="Arial"/>
          <w:sz w:val="17"/>
          <w:szCs w:val="17"/>
          <w:b w:val="1"/>
          <w:bCs w:val="1"/>
          <w:u w:val="single" w:color="auto"/>
          <w:color w:val="auto"/>
        </w:rPr>
        <w:t>Section 20(b)</w:t>
      </w:r>
      <w:r>
        <w:rPr>
          <w:rFonts w:ascii="Arial" w:cs="Arial" w:eastAsia="Arial" w:hAnsi="Arial"/>
          <w:sz w:val="17"/>
          <w:szCs w:val="17"/>
          <w:color w:val="auto"/>
        </w:rPr>
        <w:t xml:space="preserve"> is intended to prohibit the repricing of “underwater” Option Rights and Appreciation Rights and will not be construed to prohibit the adjustments provided for in </w:t>
      </w:r>
      <w:r>
        <w:rPr>
          <w:rFonts w:ascii="Arial" w:cs="Arial" w:eastAsia="Arial" w:hAnsi="Arial"/>
          <w:sz w:val="17"/>
          <w:szCs w:val="17"/>
          <w:b w:val="1"/>
          <w:bCs w:val="1"/>
          <w:u w:val="single" w:color="auto"/>
          <w:color w:val="auto"/>
        </w:rPr>
        <w:t>Section 14</w:t>
      </w:r>
      <w:r>
        <w:rPr>
          <w:rFonts w:ascii="Arial" w:cs="Arial" w:eastAsia="Arial" w:hAnsi="Arial"/>
          <w:sz w:val="17"/>
          <w:szCs w:val="17"/>
          <w:color w:val="auto"/>
        </w:rPr>
        <w:t xml:space="preserve"> of the Plan. Notwithstanding any provision of the Plan to the contrary, this </w:t>
      </w:r>
      <w:r>
        <w:rPr>
          <w:rFonts w:ascii="Arial" w:cs="Arial" w:eastAsia="Arial" w:hAnsi="Arial"/>
          <w:sz w:val="17"/>
          <w:szCs w:val="17"/>
          <w:b w:val="1"/>
          <w:bCs w:val="1"/>
          <w:u w:val="single" w:color="auto"/>
          <w:color w:val="auto"/>
        </w:rPr>
        <w:t>Section 20(b)</w:t>
      </w:r>
      <w:r>
        <w:rPr>
          <w:rFonts w:ascii="Arial" w:cs="Arial" w:eastAsia="Arial" w:hAnsi="Arial"/>
          <w:sz w:val="17"/>
          <w:szCs w:val="17"/>
          <w:color w:val="auto"/>
        </w:rPr>
        <w:t xml:space="preserve"> may not be amended without approval by the Corporation’s shareholders.</w:t>
      </w:r>
    </w:p>
    <w:p>
      <w:pPr>
        <w:spacing w:after="0" w:line="204" w:lineRule="exact"/>
        <w:rPr>
          <w:rFonts w:ascii="Arial" w:cs="Arial" w:eastAsia="Arial" w:hAnsi="Arial"/>
          <w:sz w:val="17"/>
          <w:szCs w:val="17"/>
          <w:color w:val="auto"/>
        </w:rPr>
      </w:pPr>
    </w:p>
    <w:p>
      <w:pPr>
        <w:ind w:left="900" w:right="60" w:hanging="446"/>
        <w:spacing w:after="0" w:line="235" w:lineRule="auto"/>
        <w:tabs>
          <w:tab w:leader="none" w:pos="900" w:val="left"/>
        </w:tabs>
        <w:numPr>
          <w:ilvl w:val="1"/>
          <w:numId w:val="82"/>
        </w:numPr>
        <w:rPr>
          <w:rFonts w:ascii="Arial" w:cs="Arial" w:eastAsia="Arial" w:hAnsi="Arial"/>
          <w:sz w:val="17"/>
          <w:szCs w:val="17"/>
          <w:color w:val="auto"/>
        </w:rPr>
      </w:pPr>
      <w:r>
        <w:rPr>
          <w:rFonts w:ascii="Arial" w:cs="Arial" w:eastAsia="Arial" w:hAnsi="Arial"/>
          <w:sz w:val="17"/>
          <w:szCs w:val="17"/>
          <w:color w:val="auto"/>
        </w:rPr>
        <w:t>Except with respect to Options Rights, Appreciation Rights and Restricted Shares, the Committee also may permit Participants to elect to defer the issuance of Common Shares or the settlement of awards in cash under the Plan pursuant to such rules, procedures or programs as it may establish for purposes of this Plan and which are intended to comply with Section 409A of the Code. The Committee also may provide that deferred settlements include the payment or crediting of interest on the deferral amounts, or the payment or crediting of dividend equivalents where the deferral amounts are denominated in Common Shares.</w:t>
      </w:r>
    </w:p>
    <w:p>
      <w:pPr>
        <w:spacing w:after="0" w:line="204" w:lineRule="exact"/>
        <w:rPr>
          <w:rFonts w:ascii="Arial" w:cs="Arial" w:eastAsia="Arial" w:hAnsi="Arial"/>
          <w:sz w:val="17"/>
          <w:szCs w:val="17"/>
          <w:color w:val="auto"/>
        </w:rPr>
      </w:pPr>
    </w:p>
    <w:p>
      <w:pPr>
        <w:ind w:left="900" w:right="700" w:hanging="446"/>
        <w:spacing w:after="0" w:line="238" w:lineRule="auto"/>
        <w:tabs>
          <w:tab w:leader="none" w:pos="900" w:val="left"/>
        </w:tabs>
        <w:numPr>
          <w:ilvl w:val="1"/>
          <w:numId w:val="82"/>
        </w:numPr>
        <w:rPr>
          <w:rFonts w:ascii="Arial" w:cs="Arial" w:eastAsia="Arial" w:hAnsi="Arial"/>
          <w:sz w:val="17"/>
          <w:szCs w:val="17"/>
          <w:color w:val="auto"/>
        </w:rPr>
      </w:pPr>
      <w:r>
        <w:rPr>
          <w:rFonts w:ascii="Arial" w:cs="Arial" w:eastAsia="Arial" w:hAnsi="Arial"/>
          <w:sz w:val="17"/>
          <w:szCs w:val="17"/>
          <w:color w:val="auto"/>
        </w:rPr>
        <w:t>The Committee may condition the grant of any award or combination of awards under the Plan on the surrender or deferral by the Participant of his or her right to receive a cash bonus or other compensation otherwise payable by the Corporation or any of its Subsidiaries to the Participant.</w:t>
      </w:r>
    </w:p>
    <w:p>
      <w:pPr>
        <w:spacing w:after="0" w:line="201" w:lineRule="exact"/>
        <w:rPr>
          <w:rFonts w:ascii="Arial" w:cs="Arial" w:eastAsia="Arial" w:hAnsi="Arial"/>
          <w:sz w:val="17"/>
          <w:szCs w:val="17"/>
          <w:color w:val="auto"/>
        </w:rPr>
      </w:pPr>
    </w:p>
    <w:p>
      <w:pPr>
        <w:jc w:val="both"/>
        <w:ind w:left="900" w:right="120" w:hanging="446"/>
        <w:spacing w:after="0" w:line="238" w:lineRule="auto"/>
        <w:tabs>
          <w:tab w:leader="none" w:pos="900" w:val="left"/>
        </w:tabs>
        <w:numPr>
          <w:ilvl w:val="1"/>
          <w:numId w:val="82"/>
        </w:numPr>
        <w:rPr>
          <w:rFonts w:ascii="Arial" w:cs="Arial" w:eastAsia="Arial" w:hAnsi="Arial"/>
          <w:sz w:val="17"/>
          <w:szCs w:val="17"/>
          <w:color w:val="auto"/>
        </w:rPr>
      </w:pPr>
      <w:r>
        <w:rPr>
          <w:rFonts w:ascii="Arial" w:cs="Arial" w:eastAsia="Arial" w:hAnsi="Arial"/>
          <w:sz w:val="17"/>
          <w:szCs w:val="17"/>
          <w:color w:val="auto"/>
        </w:rPr>
        <w:t xml:space="preserve">To the extent that any provision of this Plan would prevent any Option Right that was intended to qualify under particular provisions of the Code from so qualifying, such provision of this Plan shall be null and void with respect to such Option Right;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w:t>
      </w:r>
      <w:r>
        <w:rPr>
          <w:rFonts w:ascii="Arial" w:cs="Arial" w:eastAsia="Arial" w:hAnsi="Arial"/>
          <w:sz w:val="17"/>
          <w:szCs w:val="17"/>
          <w:u w:val="single" w:color="auto"/>
          <w:color w:val="auto"/>
        </w:rPr>
        <w:t>however</w:t>
      </w:r>
      <w:r>
        <w:rPr>
          <w:rFonts w:ascii="Arial" w:cs="Arial" w:eastAsia="Arial" w:hAnsi="Arial"/>
          <w:sz w:val="17"/>
          <w:szCs w:val="17"/>
          <w:color w:val="auto"/>
        </w:rPr>
        <w:t>, that such provision shall remain in effect with respect to other Option Rights, and there shall be no further effect on any provision of this Plan.</w:t>
      </w:r>
    </w:p>
    <w:p>
      <w:pPr>
        <w:spacing w:after="0" w:line="181" w:lineRule="exact"/>
        <w:rPr>
          <w:rFonts w:ascii="Arial" w:cs="Arial" w:eastAsia="Arial" w:hAnsi="Arial"/>
          <w:sz w:val="17"/>
          <w:szCs w:val="17"/>
          <w:color w:val="auto"/>
        </w:rPr>
      </w:pPr>
    </w:p>
    <w:p>
      <w:pPr>
        <w:ind w:left="460" w:right="40" w:hanging="452"/>
        <w:spacing w:after="0" w:line="244" w:lineRule="auto"/>
        <w:tabs>
          <w:tab w:leader="none" w:pos="460" w:val="left"/>
        </w:tabs>
        <w:numPr>
          <w:ilvl w:val="0"/>
          <w:numId w:val="82"/>
        </w:numPr>
        <w:rPr>
          <w:rFonts w:ascii="Arial" w:cs="Arial" w:eastAsia="Arial" w:hAnsi="Arial"/>
          <w:sz w:val="17"/>
          <w:szCs w:val="17"/>
          <w:color w:val="auto"/>
        </w:rPr>
      </w:pPr>
      <w:r>
        <w:rPr>
          <w:rFonts w:ascii="Arial" w:cs="Arial" w:eastAsia="Arial" w:hAnsi="Arial"/>
          <w:sz w:val="17"/>
          <w:szCs w:val="17"/>
          <w:b w:val="1"/>
          <w:bCs w:val="1"/>
          <w:color w:val="auto"/>
        </w:rPr>
        <w:t>Detrimental Activity and Recapture Provisions</w:t>
      </w:r>
      <w:r>
        <w:rPr>
          <w:rFonts w:ascii="Arial" w:cs="Arial" w:eastAsia="Arial" w:hAnsi="Arial"/>
          <w:sz w:val="17"/>
          <w:szCs w:val="17"/>
          <w:color w:val="auto"/>
        </w:rPr>
        <w:t>. Any Evidence of Award may provide for the cancellation or forfeiture of an award or the</w:t>
      </w:r>
      <w:r>
        <w:rPr>
          <w:rFonts w:ascii="Arial" w:cs="Arial" w:eastAsia="Arial" w:hAnsi="Arial"/>
          <w:sz w:val="17"/>
          <w:szCs w:val="17"/>
          <w:b w:val="1"/>
          <w:bCs w:val="1"/>
          <w:color w:val="auto"/>
        </w:rPr>
        <w:t xml:space="preserve"> </w:t>
      </w:r>
      <w:r>
        <w:rPr>
          <w:rFonts w:ascii="Arial" w:cs="Arial" w:eastAsia="Arial" w:hAnsi="Arial"/>
          <w:sz w:val="17"/>
          <w:szCs w:val="17"/>
          <w:color w:val="auto"/>
        </w:rPr>
        <w:t>forfeiture and repayment to the Corporation of any gain related to an award, or other provisions intended to have a similar effect, upon such terms and conditions as may be determined by the Committee from time to time, if a Participant, either during employment by the Corporation or its Subsidiaries, or within a specified period after termination of such employment, shall engage in any detrimental</w:t>
      </w:r>
    </w:p>
    <w:p>
      <w:pPr>
        <w:spacing w:after="0" w:line="141" w:lineRule="exact"/>
        <w:rPr>
          <w:sz w:val="20"/>
          <w:szCs w:val="20"/>
          <w:color w:val="auto"/>
        </w:rPr>
      </w:pPr>
    </w:p>
    <w:p>
      <w:pPr>
        <w:spacing w:after="0"/>
        <w:rPr>
          <w:sz w:val="20"/>
          <w:szCs w:val="20"/>
          <w:color w:val="auto"/>
        </w:rPr>
      </w:pPr>
      <w:r>
        <w:rPr>
          <w:rFonts w:ascii="Arial" w:cs="Arial" w:eastAsia="Arial" w:hAnsi="Arial"/>
          <w:sz w:val="14"/>
          <w:szCs w:val="14"/>
          <w:color w:val="auto"/>
        </w:rPr>
        <w:t>A-18</w:t>
      </w:r>
    </w:p>
    <w:p>
      <w:pPr>
        <w:sectPr>
          <w:pgSz w:w="11900" w:h="16838" w:orient="portrait"/>
          <w:cols w:equalWidth="0" w:num="1">
            <w:col w:w="11380"/>
          </w:cols>
          <w:pgMar w:left="240" w:top="459" w:right="279" w:bottom="1440" w:gutter="0" w:footer="0" w:header="0"/>
        </w:sectPr>
      </w:pPr>
    </w:p>
    <w:bookmarkStart w:id="106" w:name="page107"/>
    <w:bookmarkEnd w:id="10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275">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2715260</wp:posOffset>
            </wp:positionH>
            <wp:positionV relativeFrom="paragraph">
              <wp:posOffset>205740</wp:posOffset>
            </wp:positionV>
            <wp:extent cx="1826895" cy="205740"/>
            <wp:wrapNone/>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276">
                      <a:extLst>
                        <a:ext uri="{28A0092B-C50C-407E-A947-70E740481C1C}"/>
                      </a:extLst>
                    </a:blip>
                    <a:srcRect/>
                    <a:stretch>
                      <a:fillRect/>
                    </a:stretch>
                  </pic:blipFill>
                  <pic:spPr bwMode="auto">
                    <a:xfrm>
                      <a:off x="0" y="0"/>
                      <a:ext cx="1826895" cy="20574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70" w:lineRule="exact"/>
        <w:rPr>
          <w:sz w:val="20"/>
          <w:szCs w:val="20"/>
          <w:color w:val="auto"/>
        </w:rPr>
      </w:pPr>
    </w:p>
    <w:p>
      <w:pPr>
        <w:jc w:val="both"/>
        <w:ind w:left="460"/>
        <w:spacing w:after="0" w:line="235" w:lineRule="auto"/>
        <w:rPr>
          <w:sz w:val="20"/>
          <w:szCs w:val="20"/>
          <w:color w:val="auto"/>
        </w:rPr>
      </w:pPr>
      <w:r>
        <w:rPr>
          <w:rFonts w:ascii="Arial" w:cs="Arial" w:eastAsia="Arial" w:hAnsi="Arial"/>
          <w:sz w:val="17"/>
          <w:szCs w:val="17"/>
          <w:color w:val="auto"/>
        </w:rPr>
        <w:t>activity (as defined in the applicable Evidence of Award). In addition, notwithstanding anything in this Plan to the contrary, any Evidence of Award may also provide for the cancellation or forfeiture of an award or the forfeiture and repayment to the Corporation of any gain related to an award, or other provisions intended to have a similar effect, upon such terms and conditions as may be required by the Committee or under Section 10D of the Exchange Act and any applicable rules or regulations promulgated by the Securities and Exchange Commission or any national securities exchange or national securities association on which the Common Shares may be traded.</w:t>
      </w:r>
    </w:p>
    <w:p>
      <w:pPr>
        <w:spacing w:after="0" w:line="184" w:lineRule="exact"/>
        <w:rPr>
          <w:sz w:val="20"/>
          <w:szCs w:val="20"/>
          <w:color w:val="auto"/>
        </w:rPr>
      </w:pPr>
    </w:p>
    <w:p>
      <w:pPr>
        <w:ind w:left="460" w:hanging="452"/>
        <w:spacing w:after="0"/>
        <w:tabs>
          <w:tab w:leader="none" w:pos="460" w:val="left"/>
        </w:tabs>
        <w:numPr>
          <w:ilvl w:val="0"/>
          <w:numId w:val="83"/>
        </w:numPr>
        <w:rPr>
          <w:rFonts w:ascii="Arial" w:cs="Arial" w:eastAsia="Arial" w:hAnsi="Arial"/>
          <w:sz w:val="17"/>
          <w:szCs w:val="17"/>
          <w:color w:val="auto"/>
        </w:rPr>
      </w:pPr>
      <w:r>
        <w:rPr>
          <w:rFonts w:ascii="Arial" w:cs="Arial" w:eastAsia="Arial" w:hAnsi="Arial"/>
          <w:sz w:val="17"/>
          <w:szCs w:val="17"/>
          <w:b w:val="1"/>
          <w:bCs w:val="1"/>
          <w:color w:val="auto"/>
        </w:rPr>
        <w:t>Compliance with Section 409A of the Code</w:t>
      </w:r>
      <w:r>
        <w:rPr>
          <w:rFonts w:ascii="Arial" w:cs="Arial" w:eastAsia="Arial" w:hAnsi="Arial"/>
          <w:sz w:val="17"/>
          <w:szCs w:val="17"/>
          <w:color w:val="auto"/>
        </w:rPr>
        <w:t>.</w:t>
      </w:r>
    </w:p>
    <w:p>
      <w:pPr>
        <w:spacing w:after="0" w:line="229" w:lineRule="exact"/>
        <w:rPr>
          <w:rFonts w:ascii="Arial" w:cs="Arial" w:eastAsia="Arial" w:hAnsi="Arial"/>
          <w:sz w:val="17"/>
          <w:szCs w:val="17"/>
          <w:color w:val="auto"/>
        </w:rPr>
      </w:pPr>
    </w:p>
    <w:p>
      <w:pPr>
        <w:ind w:left="900" w:right="20" w:hanging="446"/>
        <w:spacing w:after="0" w:line="234" w:lineRule="auto"/>
        <w:tabs>
          <w:tab w:leader="none" w:pos="900" w:val="left"/>
        </w:tabs>
        <w:numPr>
          <w:ilvl w:val="1"/>
          <w:numId w:val="83"/>
        </w:numPr>
        <w:rPr>
          <w:rFonts w:ascii="Arial" w:cs="Arial" w:eastAsia="Arial" w:hAnsi="Arial"/>
          <w:sz w:val="17"/>
          <w:szCs w:val="17"/>
          <w:color w:val="auto"/>
        </w:rPr>
      </w:pPr>
      <w:r>
        <w:rPr>
          <w:rFonts w:ascii="Arial" w:cs="Arial" w:eastAsia="Arial" w:hAnsi="Arial"/>
          <w:sz w:val="17"/>
          <w:szCs w:val="17"/>
          <w:color w:val="auto"/>
        </w:rPr>
        <w:t>To the extent applicable, it is intended that this Plan and any grants made hereunder comply with the provisions of Section 409A of the Code. This Plan and any grants made hereunder shall be administrated in a manner consistent with this intent, and any provision that would cause this Plan or any grant made hereunder to fail to satisfy Section 409A of the Code shall have no force and effect until amended to comply with Section 409A of the Code (which amendment may be retroactive to the extent permitted by Section 409A of the Code and may be made by the Corporation without the consent of Participants). Any reference in this Plan to Section 409A of the Code will also include any proposed, temporary or final regulations, or any other guidance, promulgated with respect to such Section by the U.S. Department of the Treasury or the Internal Revenue Service.</w:t>
      </w:r>
    </w:p>
    <w:p>
      <w:pPr>
        <w:spacing w:after="0" w:line="205" w:lineRule="exact"/>
        <w:rPr>
          <w:rFonts w:ascii="Arial" w:cs="Arial" w:eastAsia="Arial" w:hAnsi="Arial"/>
          <w:sz w:val="17"/>
          <w:szCs w:val="17"/>
          <w:color w:val="auto"/>
        </w:rPr>
      </w:pPr>
    </w:p>
    <w:p>
      <w:pPr>
        <w:ind w:left="900" w:right="40" w:hanging="446"/>
        <w:spacing w:after="0" w:line="234" w:lineRule="auto"/>
        <w:tabs>
          <w:tab w:leader="none" w:pos="900" w:val="left"/>
        </w:tabs>
        <w:numPr>
          <w:ilvl w:val="1"/>
          <w:numId w:val="83"/>
        </w:numPr>
        <w:rPr>
          <w:rFonts w:ascii="Arial" w:cs="Arial" w:eastAsia="Arial" w:hAnsi="Arial"/>
          <w:sz w:val="17"/>
          <w:szCs w:val="17"/>
          <w:color w:val="auto"/>
        </w:rPr>
      </w:pPr>
      <w:r>
        <w:rPr>
          <w:rFonts w:ascii="Arial" w:cs="Arial" w:eastAsia="Arial" w:hAnsi="Arial"/>
          <w:sz w:val="17"/>
          <w:szCs w:val="17"/>
          <w:color w:val="auto"/>
        </w:rPr>
        <w:t>If, at the time of a Participant’s separation from service (within the meaning of Section 409A of the Code), (i) such Participant is a specified employee (within the meaning of Section 409A of the Code and using the identification methodology selected by the Corporation from time to time) and (ii) the Corporation makes a good faith determination that an amount payable hereunder constitutes deferred compensation (within the meaning of Section 409A of the Code) the payment of which is required to be delayed pursuant to the six-month delay rule set forth in Section 409A of the Code in order to avoid taxes or penalties under Section 409A of the Code, then the Corporation shall not pay such amount on the otherwise scheduled payment date but shall instead pay it, without interest, on the first business day of the seventh month after the Participant’s separation from service.</w:t>
      </w:r>
    </w:p>
    <w:p>
      <w:pPr>
        <w:spacing w:after="0" w:line="205" w:lineRule="exact"/>
        <w:rPr>
          <w:rFonts w:ascii="Arial" w:cs="Arial" w:eastAsia="Arial" w:hAnsi="Arial"/>
          <w:sz w:val="17"/>
          <w:szCs w:val="17"/>
          <w:color w:val="auto"/>
        </w:rPr>
      </w:pPr>
    </w:p>
    <w:p>
      <w:pPr>
        <w:ind w:left="900" w:right="180" w:hanging="446"/>
        <w:spacing w:after="0" w:line="235" w:lineRule="auto"/>
        <w:tabs>
          <w:tab w:leader="none" w:pos="900" w:val="left"/>
        </w:tabs>
        <w:numPr>
          <w:ilvl w:val="1"/>
          <w:numId w:val="83"/>
        </w:numPr>
        <w:rPr>
          <w:rFonts w:ascii="Arial" w:cs="Arial" w:eastAsia="Arial" w:hAnsi="Arial"/>
          <w:sz w:val="17"/>
          <w:szCs w:val="17"/>
          <w:color w:val="auto"/>
        </w:rPr>
      </w:pPr>
      <w:r>
        <w:rPr>
          <w:rFonts w:ascii="Arial" w:cs="Arial" w:eastAsia="Arial" w:hAnsi="Arial"/>
          <w:sz w:val="17"/>
          <w:szCs w:val="17"/>
          <w:color w:val="auto"/>
        </w:rPr>
        <w:t>Neither a Participant nor any of a Participant’s creditors or beneficiaries shall have the right to subject any deferred compensation (within the meaning of Section 409A of the Code) payable under this Plan and grants hereunder to any anticipation, alienation, sale, transfer, assignment, pledge, encumbrance, attachment or garnishment. Except as permitted under Section 409A of the Code, any deferred compensation (within the meaning of Section 409A of the Code) payable to a Participant or for a Participant’s benefit under this Plan and grants hereunder may not be reduced by, or offset against, any amount owing by a Participant to the Corporation or any of its affiliates.</w:t>
      </w:r>
    </w:p>
    <w:p>
      <w:pPr>
        <w:spacing w:after="0" w:line="204" w:lineRule="exact"/>
        <w:rPr>
          <w:rFonts w:ascii="Arial" w:cs="Arial" w:eastAsia="Arial" w:hAnsi="Arial"/>
          <w:sz w:val="17"/>
          <w:szCs w:val="17"/>
          <w:color w:val="auto"/>
        </w:rPr>
      </w:pPr>
    </w:p>
    <w:p>
      <w:pPr>
        <w:ind w:left="900" w:right="80" w:hanging="446"/>
        <w:spacing w:after="0" w:line="234" w:lineRule="auto"/>
        <w:tabs>
          <w:tab w:leader="none" w:pos="900" w:val="left"/>
        </w:tabs>
        <w:numPr>
          <w:ilvl w:val="1"/>
          <w:numId w:val="83"/>
        </w:numPr>
        <w:rPr>
          <w:rFonts w:ascii="Arial" w:cs="Arial" w:eastAsia="Arial" w:hAnsi="Arial"/>
          <w:sz w:val="17"/>
          <w:szCs w:val="17"/>
          <w:color w:val="auto"/>
        </w:rPr>
      </w:pPr>
      <w:r>
        <w:rPr>
          <w:rFonts w:ascii="Arial" w:cs="Arial" w:eastAsia="Arial" w:hAnsi="Arial"/>
          <w:sz w:val="17"/>
          <w:szCs w:val="17"/>
          <w:color w:val="auto"/>
        </w:rPr>
        <w:t>Notwithstanding any provision of this Plan and grants hereunder to the contrary, in light of the uncertainty with respect to the proper application of Section 409A of the Code, the Corporation reserves the right to make amendments to this Plan and grants hereunder as the Corporation deems necessary or desirable to avoid the imposition of taxes or penalties under Section 409A of the Code. In any case, a Participant will be solely responsible and liable for the satisfaction of all taxes and penalties that may be imposed on a Participant or for a Participant’s account in connection with this Plan and grants hereunder (including any taxes and penalties under Section 409A of the Code), and neither the Corporation nor any of its affiliates will have any obligation to indemnify or otherwise hold a Participant harmless from any or all of such taxes or penalties.</w:t>
      </w:r>
    </w:p>
    <w:p>
      <w:pPr>
        <w:spacing w:after="0" w:line="149" w:lineRule="exact"/>
        <w:rPr>
          <w:sz w:val="20"/>
          <w:szCs w:val="20"/>
          <w:color w:val="auto"/>
        </w:rPr>
      </w:pPr>
    </w:p>
    <w:p>
      <w:pPr>
        <w:ind w:left="11040"/>
        <w:spacing w:after="0"/>
        <w:rPr>
          <w:sz w:val="20"/>
          <w:szCs w:val="20"/>
          <w:color w:val="auto"/>
        </w:rPr>
      </w:pPr>
      <w:r>
        <w:rPr>
          <w:rFonts w:ascii="Arial" w:cs="Arial" w:eastAsia="Arial" w:hAnsi="Arial"/>
          <w:sz w:val="14"/>
          <w:szCs w:val="14"/>
          <w:color w:val="auto"/>
        </w:rPr>
        <w:t>A-19</w:t>
      </w:r>
    </w:p>
    <w:p>
      <w:pPr>
        <w:sectPr>
          <w:pgSz w:w="11900" w:h="16838" w:orient="portrait"/>
          <w:cols w:equalWidth="0" w:num="1">
            <w:col w:w="11400"/>
          </w:cols>
          <w:pgMar w:left="240" w:top="459" w:right="259" w:bottom="1440" w:gutter="0" w:footer="0" w:header="0"/>
        </w:sectPr>
      </w:pPr>
    </w:p>
    <w:bookmarkStart w:id="107" w:name="page108"/>
    <w:bookmarkEnd w:id="10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277">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3109595</wp:posOffset>
            </wp:positionH>
            <wp:positionV relativeFrom="paragraph">
              <wp:posOffset>205740</wp:posOffset>
            </wp:positionV>
            <wp:extent cx="1046480" cy="205740"/>
            <wp:wrapNone/>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278">
                      <a:extLst>
                        <a:ext uri="{28A0092B-C50C-407E-A947-70E740481C1C}"/>
                      </a:extLst>
                    </a:blip>
                    <a:srcRect/>
                    <a:stretch>
                      <a:fillRect/>
                    </a:stretch>
                  </pic:blipFill>
                  <pic:spPr bwMode="auto">
                    <a:xfrm>
                      <a:off x="0" y="0"/>
                      <a:ext cx="1046480" cy="20574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7" w:lineRule="exact"/>
        <w:rPr>
          <w:sz w:val="20"/>
          <w:szCs w:val="20"/>
          <w:color w:val="auto"/>
        </w:rPr>
      </w:pPr>
    </w:p>
    <w:p>
      <w:pPr>
        <w:ind w:left="460" w:right="40" w:hanging="452"/>
        <w:spacing w:after="0" w:line="268" w:lineRule="auto"/>
        <w:tabs>
          <w:tab w:leader="none" w:pos="460" w:val="left"/>
        </w:tabs>
        <w:numPr>
          <w:ilvl w:val="0"/>
          <w:numId w:val="84"/>
        </w:numPr>
        <w:rPr>
          <w:rFonts w:ascii="Arial" w:cs="Arial" w:eastAsia="Arial" w:hAnsi="Arial"/>
          <w:sz w:val="17"/>
          <w:szCs w:val="17"/>
          <w:color w:val="auto"/>
        </w:rPr>
      </w:pPr>
      <w:r>
        <w:rPr>
          <w:rFonts w:ascii="Arial" w:cs="Arial" w:eastAsia="Arial" w:hAnsi="Arial"/>
          <w:sz w:val="17"/>
          <w:szCs w:val="17"/>
          <w:b w:val="1"/>
          <w:bCs w:val="1"/>
          <w:color w:val="auto"/>
        </w:rPr>
        <w:t>Stock-Based Awards in Substitution for Option Rights or Awards Granted by Other Company</w:t>
      </w:r>
      <w:r>
        <w:rPr>
          <w:rFonts w:ascii="Arial" w:cs="Arial" w:eastAsia="Arial" w:hAnsi="Arial"/>
          <w:sz w:val="17"/>
          <w:szCs w:val="17"/>
          <w:color w:val="auto"/>
        </w:rPr>
        <w:t>. Notwithstanding anything in this Plan to the</w:t>
      </w:r>
      <w:r>
        <w:rPr>
          <w:rFonts w:ascii="Arial" w:cs="Arial" w:eastAsia="Arial" w:hAnsi="Arial"/>
          <w:sz w:val="17"/>
          <w:szCs w:val="17"/>
          <w:b w:val="1"/>
          <w:bCs w:val="1"/>
          <w:color w:val="auto"/>
        </w:rPr>
        <w:t xml:space="preserve"> </w:t>
      </w:r>
      <w:r>
        <w:rPr>
          <w:rFonts w:ascii="Arial" w:cs="Arial" w:eastAsia="Arial" w:hAnsi="Arial"/>
          <w:sz w:val="17"/>
          <w:szCs w:val="17"/>
          <w:color w:val="auto"/>
        </w:rPr>
        <w:t>contrary:</w:t>
      </w:r>
    </w:p>
    <w:p>
      <w:pPr>
        <w:spacing w:after="0" w:line="177" w:lineRule="exact"/>
        <w:rPr>
          <w:rFonts w:ascii="Arial" w:cs="Arial" w:eastAsia="Arial" w:hAnsi="Arial"/>
          <w:sz w:val="17"/>
          <w:szCs w:val="17"/>
          <w:color w:val="auto"/>
        </w:rPr>
      </w:pPr>
    </w:p>
    <w:p>
      <w:pPr>
        <w:ind w:left="900" w:hanging="446"/>
        <w:spacing w:after="0" w:line="234" w:lineRule="auto"/>
        <w:tabs>
          <w:tab w:leader="none" w:pos="900" w:val="left"/>
        </w:tabs>
        <w:numPr>
          <w:ilvl w:val="1"/>
          <w:numId w:val="84"/>
        </w:numPr>
        <w:rPr>
          <w:rFonts w:ascii="Arial" w:cs="Arial" w:eastAsia="Arial" w:hAnsi="Arial"/>
          <w:sz w:val="17"/>
          <w:szCs w:val="17"/>
          <w:color w:val="auto"/>
        </w:rPr>
      </w:pPr>
      <w:r>
        <w:rPr>
          <w:rFonts w:ascii="Arial" w:cs="Arial" w:eastAsia="Arial" w:hAnsi="Arial"/>
          <w:sz w:val="17"/>
          <w:szCs w:val="17"/>
          <w:color w:val="auto"/>
        </w:rPr>
        <w:t>Awards may be granted under this Plan in substitution for or in conversion of, or in connection with an assumption of, stock options, stock appreciation rights, restricted stock, restricted stock units or other stock or stock-based awards held by awardees of an entity engaging in a corporate acquisition or merger transaction with the Corporation or any of its Subsidiaries. Any conversion, substitution or assumption will be effective as of the close of the merger or acquisition, and, to the extent applicable, will be conducted in a manner that complies with Section 409A of the Code. The awards so granted may reflect the original terms of the awards being assumed or substituted or converted for and need not comply with other specific terms of this Plan, and may account for Common Shares substituted for the securities covered by the original awards and the number of shares subject to the original awards, as well as any exercise or purchase prices applicable to the original awards, adjusted to account for differences in stock prices in connection with the transaction.</w:t>
      </w:r>
    </w:p>
    <w:p>
      <w:pPr>
        <w:spacing w:after="0" w:line="203" w:lineRule="exact"/>
        <w:rPr>
          <w:rFonts w:ascii="Arial" w:cs="Arial" w:eastAsia="Arial" w:hAnsi="Arial"/>
          <w:sz w:val="17"/>
          <w:szCs w:val="17"/>
          <w:color w:val="auto"/>
        </w:rPr>
      </w:pPr>
    </w:p>
    <w:p>
      <w:pPr>
        <w:ind w:left="900" w:right="20" w:hanging="446"/>
        <w:spacing w:after="0" w:line="234" w:lineRule="auto"/>
        <w:tabs>
          <w:tab w:leader="none" w:pos="900" w:val="left"/>
        </w:tabs>
        <w:numPr>
          <w:ilvl w:val="1"/>
          <w:numId w:val="84"/>
        </w:numPr>
        <w:rPr>
          <w:rFonts w:ascii="Arial" w:cs="Arial" w:eastAsia="Arial" w:hAnsi="Arial"/>
          <w:sz w:val="17"/>
          <w:szCs w:val="17"/>
          <w:color w:val="auto"/>
        </w:rPr>
      </w:pPr>
      <w:r>
        <w:rPr>
          <w:rFonts w:ascii="Arial" w:cs="Arial" w:eastAsia="Arial" w:hAnsi="Arial"/>
          <w:sz w:val="17"/>
          <w:szCs w:val="17"/>
          <w:color w:val="auto"/>
        </w:rPr>
        <w:t>In the event that a company acquired by the Corporation or any of its Subsidiaries or with which the Corporation or any of its Subsidiaries merges has shares available under a pre-existing plan previously approved by stockholders and not adopted in contemplation of such acquisition or merger, the shares available for grant pursuant to the terms of such plan (as adjusted, to the extent appropriate, to reflect such acquisition or merger) may be used for awards made after such acquisition or merger under this Plan; provided, however, that awards using such available shares may not be made after the date awards or grants could have been made under the terms of the pre-existing plan absent the acquisition or merger, and may only be made to individuals who were not employees or directors of the Corporation or any of its Subsidiaries prior to such acquisition or merger.</w:t>
      </w:r>
    </w:p>
    <w:p>
      <w:pPr>
        <w:spacing w:after="0" w:line="205" w:lineRule="exact"/>
        <w:rPr>
          <w:rFonts w:ascii="Arial" w:cs="Arial" w:eastAsia="Arial" w:hAnsi="Arial"/>
          <w:sz w:val="17"/>
          <w:szCs w:val="17"/>
          <w:color w:val="auto"/>
        </w:rPr>
      </w:pPr>
    </w:p>
    <w:p>
      <w:pPr>
        <w:jc w:val="both"/>
        <w:ind w:left="900" w:right="100" w:hanging="446"/>
        <w:spacing w:after="0" w:line="235" w:lineRule="auto"/>
        <w:tabs>
          <w:tab w:leader="none" w:pos="900" w:val="left"/>
        </w:tabs>
        <w:numPr>
          <w:ilvl w:val="1"/>
          <w:numId w:val="84"/>
        </w:numPr>
        <w:rPr>
          <w:rFonts w:ascii="Arial" w:cs="Arial" w:eastAsia="Arial" w:hAnsi="Arial"/>
          <w:sz w:val="17"/>
          <w:szCs w:val="17"/>
          <w:color w:val="auto"/>
        </w:rPr>
      </w:pPr>
      <w:r>
        <w:rPr>
          <w:rFonts w:ascii="Arial" w:cs="Arial" w:eastAsia="Arial" w:hAnsi="Arial"/>
          <w:sz w:val="17"/>
          <w:szCs w:val="17"/>
          <w:color w:val="auto"/>
        </w:rPr>
        <w:t xml:space="preserve">Any Common Shares that are issued or transferred by, or that are subject to any awards that are granted by, or become obligations of, the Corporation under </w:t>
      </w:r>
      <w:r>
        <w:rPr>
          <w:rFonts w:ascii="Arial" w:cs="Arial" w:eastAsia="Arial" w:hAnsi="Arial"/>
          <w:sz w:val="17"/>
          <w:szCs w:val="17"/>
          <w:b w:val="1"/>
          <w:bCs w:val="1"/>
          <w:u w:val="single" w:color="auto"/>
          <w:color w:val="auto"/>
        </w:rPr>
        <w:t>Sections 23(a)</w:t>
      </w:r>
      <w:r>
        <w:rPr>
          <w:rFonts w:ascii="Arial" w:cs="Arial" w:eastAsia="Arial" w:hAnsi="Arial"/>
          <w:sz w:val="17"/>
          <w:szCs w:val="17"/>
          <w:color w:val="auto"/>
        </w:rPr>
        <w:t xml:space="preserve"> or </w:t>
      </w:r>
      <w:r>
        <w:rPr>
          <w:rFonts w:ascii="Arial" w:cs="Arial" w:eastAsia="Arial" w:hAnsi="Arial"/>
          <w:sz w:val="17"/>
          <w:szCs w:val="17"/>
          <w:b w:val="1"/>
          <w:bCs w:val="1"/>
          <w:u w:val="single" w:color="auto"/>
          <w:color w:val="auto"/>
        </w:rPr>
        <w:t>23(b)</w:t>
      </w:r>
      <w:r>
        <w:rPr>
          <w:rFonts w:ascii="Arial" w:cs="Arial" w:eastAsia="Arial" w:hAnsi="Arial"/>
          <w:sz w:val="17"/>
          <w:szCs w:val="17"/>
          <w:color w:val="auto"/>
        </w:rPr>
        <w:t xml:space="preserve"> above will not reduce the Common Shares available for issuance or transfer under this Plan or otherwise count against the limits contained in </w:t>
      </w:r>
      <w:r>
        <w:rPr>
          <w:rFonts w:ascii="Arial" w:cs="Arial" w:eastAsia="Arial" w:hAnsi="Arial"/>
          <w:sz w:val="17"/>
          <w:szCs w:val="17"/>
          <w:b w:val="1"/>
          <w:bCs w:val="1"/>
          <w:u w:val="single" w:color="auto"/>
          <w:color w:val="auto"/>
        </w:rPr>
        <w:t>Section 3</w:t>
      </w:r>
      <w:r>
        <w:rPr>
          <w:rFonts w:ascii="Arial" w:cs="Arial" w:eastAsia="Arial" w:hAnsi="Arial"/>
          <w:sz w:val="17"/>
          <w:szCs w:val="17"/>
          <w:color w:val="auto"/>
        </w:rPr>
        <w:t xml:space="preserve"> of this Plan. In addition, no Common Shares that are issued or transferred by, or that are subject to any awards that are granted by, or become obligations of, the Corporation under </w:t>
      </w:r>
      <w:r>
        <w:rPr>
          <w:rFonts w:ascii="Arial" w:cs="Arial" w:eastAsia="Arial" w:hAnsi="Arial"/>
          <w:sz w:val="17"/>
          <w:szCs w:val="17"/>
          <w:b w:val="1"/>
          <w:bCs w:val="1"/>
          <w:u w:val="single" w:color="auto"/>
          <w:color w:val="auto"/>
        </w:rPr>
        <w:t>Sections 23(a)</w:t>
      </w:r>
      <w:r>
        <w:rPr>
          <w:rFonts w:ascii="Arial" w:cs="Arial" w:eastAsia="Arial" w:hAnsi="Arial"/>
          <w:sz w:val="17"/>
          <w:szCs w:val="17"/>
          <w:color w:val="auto"/>
        </w:rPr>
        <w:t xml:space="preserve"> or </w:t>
      </w:r>
      <w:r>
        <w:rPr>
          <w:rFonts w:ascii="Arial" w:cs="Arial" w:eastAsia="Arial" w:hAnsi="Arial"/>
          <w:sz w:val="17"/>
          <w:szCs w:val="17"/>
          <w:b w:val="1"/>
          <w:bCs w:val="1"/>
          <w:u w:val="single" w:color="auto"/>
          <w:color w:val="auto"/>
        </w:rPr>
        <w:t>23(b)</w:t>
      </w:r>
      <w:r>
        <w:rPr>
          <w:rFonts w:ascii="Arial" w:cs="Arial" w:eastAsia="Arial" w:hAnsi="Arial"/>
          <w:sz w:val="17"/>
          <w:szCs w:val="17"/>
          <w:color w:val="auto"/>
        </w:rPr>
        <w:t xml:space="preserve"> above will be added to the aggregate plan limit contained in </w:t>
      </w:r>
      <w:r>
        <w:rPr>
          <w:rFonts w:ascii="Arial" w:cs="Arial" w:eastAsia="Arial" w:hAnsi="Arial"/>
          <w:sz w:val="17"/>
          <w:szCs w:val="17"/>
          <w:b w:val="1"/>
          <w:bCs w:val="1"/>
          <w:u w:val="single" w:color="auto"/>
          <w:color w:val="auto"/>
        </w:rPr>
        <w:t>Section 3</w:t>
      </w:r>
      <w:r>
        <w:rPr>
          <w:rFonts w:ascii="Arial" w:cs="Arial" w:eastAsia="Arial" w:hAnsi="Arial"/>
          <w:sz w:val="17"/>
          <w:szCs w:val="17"/>
          <w:color w:val="auto"/>
        </w:rPr>
        <w:t xml:space="preserve"> of this Plan.</w:t>
      </w:r>
    </w:p>
    <w:p>
      <w:pPr>
        <w:spacing w:after="0" w:line="184" w:lineRule="exact"/>
        <w:rPr>
          <w:rFonts w:ascii="Arial" w:cs="Arial" w:eastAsia="Arial" w:hAnsi="Arial"/>
          <w:sz w:val="17"/>
          <w:szCs w:val="17"/>
          <w:color w:val="auto"/>
        </w:rPr>
      </w:pPr>
    </w:p>
    <w:p>
      <w:pPr>
        <w:ind w:left="460" w:right="260" w:hanging="452"/>
        <w:spacing w:after="0" w:line="250" w:lineRule="auto"/>
        <w:tabs>
          <w:tab w:leader="none" w:pos="460" w:val="left"/>
        </w:tabs>
        <w:numPr>
          <w:ilvl w:val="0"/>
          <w:numId w:val="84"/>
        </w:numPr>
        <w:rPr>
          <w:rFonts w:ascii="Arial" w:cs="Arial" w:eastAsia="Arial" w:hAnsi="Arial"/>
          <w:sz w:val="17"/>
          <w:szCs w:val="17"/>
          <w:color w:val="auto"/>
        </w:rPr>
      </w:pPr>
      <w:r>
        <w:rPr>
          <w:rFonts w:ascii="Arial" w:cs="Arial" w:eastAsia="Arial" w:hAnsi="Arial"/>
          <w:sz w:val="17"/>
          <w:szCs w:val="17"/>
          <w:b w:val="1"/>
          <w:bCs w:val="1"/>
          <w:color w:val="auto"/>
        </w:rPr>
        <w:t>Effective Date/Termination</w:t>
      </w:r>
      <w:r>
        <w:rPr>
          <w:rFonts w:ascii="Arial" w:cs="Arial" w:eastAsia="Arial" w:hAnsi="Arial"/>
          <w:sz w:val="17"/>
          <w:szCs w:val="17"/>
          <w:color w:val="auto"/>
        </w:rPr>
        <w:t>. This Plan shall be effective as of the Effective Date. No grant shall be made under this Plan more than ten years</w:t>
      </w:r>
      <w:r>
        <w:rPr>
          <w:rFonts w:ascii="Arial" w:cs="Arial" w:eastAsia="Arial" w:hAnsi="Arial"/>
          <w:sz w:val="17"/>
          <w:szCs w:val="17"/>
          <w:b w:val="1"/>
          <w:bCs w:val="1"/>
          <w:color w:val="auto"/>
        </w:rPr>
        <w:t xml:space="preserve"> </w:t>
      </w:r>
      <w:r>
        <w:rPr>
          <w:rFonts w:ascii="Arial" w:cs="Arial" w:eastAsia="Arial" w:hAnsi="Arial"/>
          <w:sz w:val="17"/>
          <w:szCs w:val="17"/>
          <w:color w:val="auto"/>
        </w:rPr>
        <w:t>after the Effective Date, but all grants made on or prior to such date shall continue in effect thereafter subject to the terms thereof and of this Plan.</w:t>
      </w:r>
    </w:p>
    <w:p>
      <w:pPr>
        <w:spacing w:after="0" w:line="172" w:lineRule="exact"/>
        <w:rPr>
          <w:rFonts w:ascii="Arial" w:cs="Arial" w:eastAsia="Arial" w:hAnsi="Arial"/>
          <w:sz w:val="17"/>
          <w:szCs w:val="17"/>
          <w:color w:val="auto"/>
        </w:rPr>
      </w:pPr>
    </w:p>
    <w:p>
      <w:pPr>
        <w:ind w:left="460" w:right="140" w:hanging="452"/>
        <w:spacing w:after="0" w:line="250" w:lineRule="auto"/>
        <w:tabs>
          <w:tab w:leader="none" w:pos="460" w:val="left"/>
        </w:tabs>
        <w:numPr>
          <w:ilvl w:val="0"/>
          <w:numId w:val="84"/>
        </w:numPr>
        <w:rPr>
          <w:rFonts w:ascii="Arial" w:cs="Arial" w:eastAsia="Arial" w:hAnsi="Arial"/>
          <w:sz w:val="17"/>
          <w:szCs w:val="17"/>
          <w:color w:val="auto"/>
        </w:rPr>
      </w:pPr>
      <w:r>
        <w:rPr>
          <w:rFonts w:ascii="Arial" w:cs="Arial" w:eastAsia="Arial" w:hAnsi="Arial"/>
          <w:sz w:val="17"/>
          <w:szCs w:val="17"/>
          <w:b w:val="1"/>
          <w:bCs w:val="1"/>
          <w:color w:val="auto"/>
        </w:rPr>
        <w:t>No Right to Employment</w:t>
      </w:r>
      <w:r>
        <w:rPr>
          <w:rFonts w:ascii="Arial" w:cs="Arial" w:eastAsia="Arial" w:hAnsi="Arial"/>
          <w:sz w:val="17"/>
          <w:szCs w:val="17"/>
          <w:color w:val="auto"/>
        </w:rPr>
        <w:t>. This Plan shall not confer upon any Participant any right with respect to continuance of employment or other service</w:t>
      </w:r>
      <w:r>
        <w:rPr>
          <w:rFonts w:ascii="Arial" w:cs="Arial" w:eastAsia="Arial" w:hAnsi="Arial"/>
          <w:sz w:val="17"/>
          <w:szCs w:val="17"/>
          <w:b w:val="1"/>
          <w:bCs w:val="1"/>
          <w:color w:val="auto"/>
        </w:rPr>
        <w:t xml:space="preserve"> </w:t>
      </w:r>
      <w:r>
        <w:rPr>
          <w:rFonts w:ascii="Arial" w:cs="Arial" w:eastAsia="Arial" w:hAnsi="Arial"/>
          <w:sz w:val="17"/>
          <w:szCs w:val="17"/>
          <w:color w:val="auto"/>
        </w:rPr>
        <w:t>with the Corporation or its Subsidiaries, and shall not interfere in any way with any right that the Corporation or any of its Subsidiaries would otherwise have to terminate any Participant’s employment or other service at any time.</w:t>
      </w:r>
    </w:p>
    <w:p>
      <w:pPr>
        <w:spacing w:after="0" w:line="172" w:lineRule="exact"/>
        <w:rPr>
          <w:rFonts w:ascii="Arial" w:cs="Arial" w:eastAsia="Arial" w:hAnsi="Arial"/>
          <w:sz w:val="17"/>
          <w:szCs w:val="17"/>
          <w:color w:val="auto"/>
        </w:rPr>
      </w:pPr>
    </w:p>
    <w:p>
      <w:pPr>
        <w:ind w:left="460" w:right="160" w:hanging="452"/>
        <w:spacing w:after="0" w:line="268" w:lineRule="auto"/>
        <w:tabs>
          <w:tab w:leader="none" w:pos="460" w:val="left"/>
        </w:tabs>
        <w:numPr>
          <w:ilvl w:val="0"/>
          <w:numId w:val="84"/>
        </w:numPr>
        <w:rPr>
          <w:rFonts w:ascii="Arial" w:cs="Arial" w:eastAsia="Arial" w:hAnsi="Arial"/>
          <w:sz w:val="17"/>
          <w:szCs w:val="17"/>
          <w:color w:val="auto"/>
        </w:rPr>
      </w:pPr>
      <w:r>
        <w:rPr>
          <w:rFonts w:ascii="Arial" w:cs="Arial" w:eastAsia="Arial" w:hAnsi="Arial"/>
          <w:sz w:val="17"/>
          <w:szCs w:val="17"/>
          <w:b w:val="1"/>
          <w:bCs w:val="1"/>
          <w:color w:val="auto"/>
        </w:rPr>
        <w:t>Governing Law</w:t>
      </w:r>
      <w:r>
        <w:rPr>
          <w:rFonts w:ascii="Arial" w:cs="Arial" w:eastAsia="Arial" w:hAnsi="Arial"/>
          <w:sz w:val="17"/>
          <w:szCs w:val="17"/>
          <w:color w:val="auto"/>
        </w:rPr>
        <w:t>. This Plan and all grants and awards and actions taken thereunder shall be governed by and construed in accordance with the</w:t>
      </w:r>
      <w:r>
        <w:rPr>
          <w:rFonts w:ascii="Arial" w:cs="Arial" w:eastAsia="Arial" w:hAnsi="Arial"/>
          <w:sz w:val="17"/>
          <w:szCs w:val="17"/>
          <w:b w:val="1"/>
          <w:bCs w:val="1"/>
          <w:color w:val="auto"/>
        </w:rPr>
        <w:t xml:space="preserve"> </w:t>
      </w:r>
      <w:r>
        <w:rPr>
          <w:rFonts w:ascii="Arial" w:cs="Arial" w:eastAsia="Arial" w:hAnsi="Arial"/>
          <w:sz w:val="17"/>
          <w:szCs w:val="17"/>
          <w:color w:val="auto"/>
        </w:rPr>
        <w:t>internal substantive laws of the State of Ohio.</w:t>
      </w:r>
    </w:p>
    <w:p>
      <w:pPr>
        <w:spacing w:after="0" w:line="121" w:lineRule="exact"/>
        <w:rPr>
          <w:sz w:val="20"/>
          <w:szCs w:val="20"/>
          <w:color w:val="auto"/>
        </w:rPr>
      </w:pPr>
    </w:p>
    <w:p>
      <w:pPr>
        <w:spacing w:after="0"/>
        <w:rPr>
          <w:sz w:val="20"/>
          <w:szCs w:val="20"/>
          <w:color w:val="auto"/>
        </w:rPr>
      </w:pPr>
      <w:r>
        <w:rPr>
          <w:rFonts w:ascii="Arial" w:cs="Arial" w:eastAsia="Arial" w:hAnsi="Arial"/>
          <w:sz w:val="14"/>
          <w:szCs w:val="14"/>
          <w:color w:val="auto"/>
        </w:rPr>
        <w:t>A-20</w:t>
      </w:r>
    </w:p>
    <w:p>
      <w:pPr>
        <w:sectPr>
          <w:pgSz w:w="11900" w:h="16838" w:orient="portrait"/>
          <w:cols w:equalWidth="0" w:num="1">
            <w:col w:w="11420"/>
          </w:cols>
          <w:pgMar w:left="240" w:top="459" w:right="239" w:bottom="1440" w:gutter="0" w:footer="0" w:header="0"/>
        </w:sectPr>
      </w:pPr>
    </w:p>
    <w:bookmarkStart w:id="108" w:name="page109"/>
    <w:bookmarkEnd w:id="108"/>
    <w:p>
      <w:pPr>
        <w:spacing w:after="0"/>
        <w:rPr>
          <w:rFonts w:ascii="Arial" w:cs="Arial" w:eastAsia="Arial" w:hAnsi="Arial"/>
          <w:sz w:val="16"/>
          <w:szCs w:val="16"/>
          <w:b w:val="1"/>
          <w:bCs w:val="1"/>
          <w:u w:val="single" w:color="auto"/>
          <w:color w:val="0000EE"/>
        </w:rPr>
      </w:pPr>
      <w:r>
        <w:rPr>
          <w:rFonts w:ascii="Arial" w:cs="Arial" w:eastAsia="Arial" w:hAnsi="Arial"/>
          <w:sz w:val="16"/>
          <w:szCs w:val="16"/>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279">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4">
        <w:r>
          <w:rPr>
            <w:rFonts w:ascii="Arial" w:cs="Arial" w:eastAsia="Arial" w:hAnsi="Arial"/>
            <w:sz w:val="16"/>
            <w:szCs w:val="16"/>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4498975</wp:posOffset>
            </wp:positionH>
            <wp:positionV relativeFrom="paragraph">
              <wp:posOffset>254635</wp:posOffset>
            </wp:positionV>
            <wp:extent cx="2752725" cy="8890"/>
            <wp:wrapNone/>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280">
                      <a:extLst>
                        <a:ext uri="{28A0092B-C50C-407E-A947-70E740481C1C}"/>
                      </a:extLst>
                    </a:blip>
                    <a:srcRect/>
                    <a:stretch>
                      <a:fillRect/>
                    </a:stretch>
                  </pic:blipFill>
                  <pic:spPr bwMode="auto">
                    <a:xfrm>
                      <a:off x="0" y="0"/>
                      <a:ext cx="2752725" cy="8890"/>
                    </a:xfrm>
                    <a:prstGeom prst="rect">
                      <a:avLst/>
                    </a:prstGeom>
                    <a:noFill/>
                  </pic:spPr>
                </pic:pic>
              </a:graphicData>
            </a:graphic>
          </wp:anchor>
        </w:drawing>
      </w:r>
    </w:p>
    <w:p>
      <w:pPr>
        <w:sectPr>
          <w:pgSz w:w="11900" w:h="16838" w:orient="portrait"/>
          <w:cols w:equalWidth="0" w:num="1">
            <w:col w:w="11440"/>
          </w:cols>
          <w:pgMar w:left="240" w:top="459" w:right="219" w:bottom="1117"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84" w:lineRule="exact"/>
        <w:rPr>
          <w:sz w:val="20"/>
          <w:szCs w:val="20"/>
          <w:color w:val="auto"/>
        </w:rPr>
      </w:pPr>
    </w:p>
    <w:p>
      <w:pPr>
        <w:ind w:left="3340"/>
        <w:spacing w:after="0"/>
        <w:rPr>
          <w:sz w:val="20"/>
          <w:szCs w:val="20"/>
          <w:color w:val="auto"/>
        </w:rPr>
      </w:pPr>
      <w:r>
        <w:rPr>
          <w:rFonts w:ascii="Arial" w:cs="Arial" w:eastAsia="Arial" w:hAnsi="Arial"/>
          <w:sz w:val="16"/>
          <w:szCs w:val="16"/>
          <w:color w:val="auto"/>
        </w:rPr>
        <w:t>c/o Corporate Election Services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176530</wp:posOffset>
            </wp:positionH>
            <wp:positionV relativeFrom="paragraph">
              <wp:posOffset>-107315</wp:posOffset>
            </wp:positionV>
            <wp:extent cx="1672590" cy="240030"/>
            <wp:wrapNone/>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281">
                      <a:extLst>
                        <a:ext uri="{28A0092B-C50C-407E-A947-70E740481C1C}"/>
                      </a:extLst>
                    </a:blip>
                    <a:srcRect/>
                    <a:stretch>
                      <a:fillRect/>
                    </a:stretch>
                  </pic:blipFill>
                  <pic:spPr bwMode="auto">
                    <a:xfrm>
                      <a:off x="0" y="0"/>
                      <a:ext cx="1672590" cy="240030"/>
                    </a:xfrm>
                    <a:prstGeom prst="rect">
                      <a:avLst/>
                    </a:prstGeom>
                    <a:noFill/>
                  </pic:spPr>
                </pic:pic>
              </a:graphicData>
            </a:graphic>
          </wp:anchor>
        </w:drawing>
      </w:r>
    </w:p>
    <w:p>
      <w:pPr>
        <w:spacing w:after="0" w:line="26" w:lineRule="exact"/>
        <w:rPr>
          <w:sz w:val="20"/>
          <w:szCs w:val="20"/>
          <w:color w:val="auto"/>
        </w:rPr>
      </w:pPr>
    </w:p>
    <w:p>
      <w:pPr>
        <w:ind w:left="3340"/>
        <w:spacing w:after="0"/>
        <w:rPr>
          <w:sz w:val="20"/>
          <w:szCs w:val="20"/>
          <w:color w:val="auto"/>
        </w:rPr>
      </w:pPr>
      <w:r>
        <w:rPr>
          <w:rFonts w:ascii="Arial" w:cs="Arial" w:eastAsia="Arial" w:hAnsi="Arial"/>
          <w:sz w:val="18"/>
          <w:szCs w:val="18"/>
          <w:color w:val="auto"/>
        </w:rPr>
        <w:t>P. O. Box 3200</w:t>
      </w:r>
    </w:p>
    <w:p>
      <w:pPr>
        <w:spacing w:after="0" w:line="9" w:lineRule="exact"/>
        <w:rPr>
          <w:sz w:val="20"/>
          <w:szCs w:val="20"/>
          <w:color w:val="auto"/>
        </w:rPr>
      </w:pPr>
    </w:p>
    <w:p>
      <w:pPr>
        <w:ind w:left="3340"/>
        <w:spacing w:after="0"/>
        <w:rPr>
          <w:sz w:val="20"/>
          <w:szCs w:val="20"/>
          <w:color w:val="auto"/>
        </w:rPr>
      </w:pPr>
      <w:r>
        <w:rPr>
          <w:rFonts w:ascii="Arial" w:cs="Arial" w:eastAsia="Arial" w:hAnsi="Arial"/>
          <w:sz w:val="18"/>
          <w:szCs w:val="18"/>
          <w:color w:val="auto"/>
        </w:rPr>
        <w:t>Pittsburgh, PA 15230</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17"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V</w:t>
      </w:r>
      <w:r>
        <w:rPr>
          <w:rFonts w:ascii="Arial" w:cs="Arial" w:eastAsia="Arial" w:hAnsi="Arial"/>
          <w:sz w:val="15"/>
          <w:szCs w:val="15"/>
          <w:b w:val="1"/>
          <w:bCs w:val="1"/>
          <w:color w:val="auto"/>
        </w:rPr>
        <w:t>OTE BY</w:t>
      </w:r>
      <w:r>
        <w:rPr>
          <w:rFonts w:ascii="Arial" w:cs="Arial" w:eastAsia="Arial" w:hAnsi="Arial"/>
          <w:sz w:val="18"/>
          <w:szCs w:val="18"/>
          <w:b w:val="1"/>
          <w:bCs w:val="1"/>
          <w:color w:val="auto"/>
        </w:rPr>
        <w:t xml:space="preserve"> T</w:t>
      </w:r>
      <w:r>
        <w:rPr>
          <w:rFonts w:ascii="Arial" w:cs="Arial" w:eastAsia="Arial" w:hAnsi="Arial"/>
          <w:sz w:val="15"/>
          <w:szCs w:val="15"/>
          <w:b w:val="1"/>
          <w:bCs w:val="1"/>
          <w:color w:val="auto"/>
        </w:rPr>
        <w:t>ELEPHONE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17145</wp:posOffset>
            </wp:positionV>
            <wp:extent cx="2752725" cy="8890"/>
            <wp:wrapNone/>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282">
                      <a:extLst>
                        <a:ext uri="{28A0092B-C50C-407E-A947-70E740481C1C}"/>
                      </a:extLst>
                    </a:blip>
                    <a:srcRect/>
                    <a:stretch>
                      <a:fillRect/>
                    </a:stretch>
                  </pic:blipFill>
                  <pic:spPr bwMode="auto">
                    <a:xfrm>
                      <a:off x="0" y="0"/>
                      <a:ext cx="2752725" cy="8890"/>
                    </a:xfrm>
                    <a:prstGeom prst="rect">
                      <a:avLst/>
                    </a:prstGeom>
                    <a:noFill/>
                  </pic:spPr>
                </pic:pic>
              </a:graphicData>
            </a:graphic>
          </wp:anchor>
        </w:drawing>
      </w:r>
    </w:p>
    <w:p>
      <w:pPr>
        <w:spacing w:after="0" w:line="97" w:lineRule="exact"/>
        <w:rPr>
          <w:sz w:val="20"/>
          <w:szCs w:val="20"/>
          <w:color w:val="auto"/>
        </w:rPr>
      </w:pPr>
    </w:p>
    <w:p>
      <w:pPr>
        <w:ind w:right="20"/>
        <w:spacing w:after="0" w:line="289" w:lineRule="auto"/>
        <w:rPr>
          <w:sz w:val="20"/>
          <w:szCs w:val="20"/>
          <w:color w:val="auto"/>
        </w:rPr>
      </w:pPr>
      <w:r>
        <w:rPr>
          <w:rFonts w:ascii="Arial" w:cs="Arial" w:eastAsia="Arial" w:hAnsi="Arial"/>
          <w:sz w:val="17"/>
          <w:szCs w:val="17"/>
          <w:color w:val="auto"/>
        </w:rPr>
        <w:t xml:space="preserve">Have your proxy card available when you call the </w:t>
      </w:r>
      <w:r>
        <w:rPr>
          <w:rFonts w:ascii="Arial" w:cs="Arial" w:eastAsia="Arial" w:hAnsi="Arial"/>
          <w:sz w:val="17"/>
          <w:szCs w:val="17"/>
          <w:b w:val="1"/>
          <w:bCs w:val="1"/>
          <w:color w:val="auto"/>
        </w:rPr>
        <w:t>Toll-Free</w:t>
      </w:r>
      <w:r>
        <w:rPr>
          <w:rFonts w:ascii="Arial" w:cs="Arial" w:eastAsia="Arial" w:hAnsi="Arial"/>
          <w:sz w:val="17"/>
          <w:szCs w:val="17"/>
          <w:color w:val="auto"/>
        </w:rPr>
        <w:t xml:space="preserve"> </w:t>
      </w:r>
      <w:r>
        <w:rPr>
          <w:rFonts w:ascii="Arial" w:cs="Arial" w:eastAsia="Arial" w:hAnsi="Arial"/>
          <w:sz w:val="17"/>
          <w:szCs w:val="17"/>
          <w:b w:val="1"/>
          <w:bCs w:val="1"/>
          <w:color w:val="auto"/>
        </w:rPr>
        <w:t xml:space="preserve">number 1-888-693-8683 </w:t>
      </w:r>
      <w:r>
        <w:rPr>
          <w:rFonts w:ascii="Arial" w:cs="Arial" w:eastAsia="Arial" w:hAnsi="Arial"/>
          <w:sz w:val="17"/>
          <w:szCs w:val="17"/>
          <w:color w:val="auto"/>
        </w:rPr>
        <w:t>using a touch-tone phone, and</w:t>
      </w:r>
      <w:r>
        <w:rPr>
          <w:rFonts w:ascii="Arial" w:cs="Arial" w:eastAsia="Arial" w:hAnsi="Arial"/>
          <w:sz w:val="17"/>
          <w:szCs w:val="17"/>
          <w:b w:val="1"/>
          <w:bCs w:val="1"/>
          <w:color w:val="auto"/>
        </w:rPr>
        <w:t xml:space="preserve"> </w:t>
      </w:r>
      <w:r>
        <w:rPr>
          <w:rFonts w:ascii="Arial" w:cs="Arial" w:eastAsia="Arial" w:hAnsi="Arial"/>
          <w:sz w:val="17"/>
          <w:szCs w:val="17"/>
          <w:color w:val="auto"/>
        </w:rPr>
        <w:t>follow the simple instructions to record your vote.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69215</wp:posOffset>
            </wp:positionV>
            <wp:extent cx="2752725" cy="8890"/>
            <wp:wrapNone/>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283">
                      <a:extLst>
                        <a:ext uri="{28A0092B-C50C-407E-A947-70E740481C1C}"/>
                      </a:extLst>
                    </a:blip>
                    <a:srcRect/>
                    <a:stretch>
                      <a:fillRect/>
                    </a:stretch>
                  </pic:blipFill>
                  <pic:spPr bwMode="auto">
                    <a:xfrm>
                      <a:off x="0" y="0"/>
                      <a:ext cx="2752725" cy="8890"/>
                    </a:xfrm>
                    <a:prstGeom prst="rect">
                      <a:avLst/>
                    </a:prstGeom>
                    <a:noFill/>
                  </pic:spPr>
                </pic:pic>
              </a:graphicData>
            </a:graphic>
          </wp:anchor>
        </w:drawing>
      </w:r>
    </w:p>
    <w:p>
      <w:pPr>
        <w:spacing w:after="0" w:line="125" w:lineRule="exact"/>
        <w:rPr>
          <w:sz w:val="20"/>
          <w:szCs w:val="20"/>
          <w:color w:val="auto"/>
        </w:rPr>
      </w:pPr>
    </w:p>
    <w:p>
      <w:pPr>
        <w:ind w:left="1400"/>
        <w:spacing w:after="0"/>
        <w:rPr>
          <w:sz w:val="20"/>
          <w:szCs w:val="20"/>
          <w:color w:val="auto"/>
        </w:rPr>
      </w:pPr>
      <w:r>
        <w:rPr>
          <w:rFonts w:ascii="Arial" w:cs="Arial" w:eastAsia="Arial" w:hAnsi="Arial"/>
          <w:sz w:val="18"/>
          <w:szCs w:val="18"/>
          <w:b w:val="1"/>
          <w:bCs w:val="1"/>
          <w:color w:val="auto"/>
        </w:rPr>
        <w:t>V</w:t>
      </w:r>
      <w:r>
        <w:rPr>
          <w:rFonts w:ascii="Arial" w:cs="Arial" w:eastAsia="Arial" w:hAnsi="Arial"/>
          <w:sz w:val="15"/>
          <w:szCs w:val="15"/>
          <w:b w:val="1"/>
          <w:bCs w:val="1"/>
          <w:color w:val="auto"/>
        </w:rPr>
        <w:t>OTE BY</w:t>
      </w:r>
      <w:r>
        <w:rPr>
          <w:rFonts w:ascii="Arial" w:cs="Arial" w:eastAsia="Arial" w:hAnsi="Arial"/>
          <w:sz w:val="18"/>
          <w:szCs w:val="18"/>
          <w:b w:val="1"/>
          <w:bCs w:val="1"/>
          <w:color w:val="auto"/>
        </w:rPr>
        <w:t xml:space="preserve"> I</w:t>
      </w:r>
      <w:r>
        <w:rPr>
          <w:rFonts w:ascii="Arial" w:cs="Arial" w:eastAsia="Arial" w:hAnsi="Arial"/>
          <w:sz w:val="15"/>
          <w:szCs w:val="15"/>
          <w:b w:val="1"/>
          <w:bCs w:val="1"/>
          <w:color w:val="auto"/>
        </w:rPr>
        <w:t>NTERNET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17145</wp:posOffset>
            </wp:positionV>
            <wp:extent cx="2752725" cy="8890"/>
            <wp:wrapNone/>
            <wp:docPr id="277"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284">
                      <a:extLst>
                        <a:ext uri="{28A0092B-C50C-407E-A947-70E740481C1C}"/>
                      </a:extLst>
                    </a:blip>
                    <a:srcRect/>
                    <a:stretch>
                      <a:fillRect/>
                    </a:stretch>
                  </pic:blipFill>
                  <pic:spPr bwMode="auto">
                    <a:xfrm>
                      <a:off x="0" y="0"/>
                      <a:ext cx="2752725" cy="8890"/>
                    </a:xfrm>
                    <a:prstGeom prst="rect">
                      <a:avLst/>
                    </a:prstGeom>
                    <a:noFill/>
                  </pic:spPr>
                </pic:pic>
              </a:graphicData>
            </a:graphic>
          </wp:anchor>
        </w:drawing>
      </w:r>
    </w:p>
    <w:p>
      <w:pPr>
        <w:spacing w:after="0" w:line="101" w:lineRule="exact"/>
        <w:rPr>
          <w:sz w:val="20"/>
          <w:szCs w:val="20"/>
          <w:color w:val="auto"/>
        </w:rPr>
      </w:pPr>
    </w:p>
    <w:p>
      <w:pPr>
        <w:ind w:right="560"/>
        <w:spacing w:after="0" w:line="286" w:lineRule="auto"/>
        <w:rPr>
          <w:sz w:val="20"/>
          <w:szCs w:val="20"/>
          <w:color w:val="auto"/>
        </w:rPr>
      </w:pPr>
      <w:r>
        <w:rPr>
          <w:rFonts w:ascii="Arial" w:cs="Arial" w:eastAsia="Arial" w:hAnsi="Arial"/>
          <w:sz w:val="17"/>
          <w:szCs w:val="17"/>
          <w:color w:val="auto"/>
        </w:rPr>
        <w:t xml:space="preserve">Have your proxy card available when you access the website </w:t>
      </w:r>
      <w:r>
        <w:rPr>
          <w:rFonts w:ascii="Arial" w:cs="Arial" w:eastAsia="Arial" w:hAnsi="Arial"/>
          <w:sz w:val="17"/>
          <w:szCs w:val="17"/>
          <w:b w:val="1"/>
          <w:bCs w:val="1"/>
          <w:color w:val="auto"/>
        </w:rPr>
        <w:t>www.cesvote.com</w:t>
      </w:r>
      <w:r>
        <w:rPr>
          <w:rFonts w:ascii="Arial" w:cs="Arial" w:eastAsia="Arial" w:hAnsi="Arial"/>
          <w:sz w:val="17"/>
          <w:szCs w:val="17"/>
          <w:color w:val="auto"/>
        </w:rPr>
        <w:t xml:space="preserve"> and follow the simple instructions to record your vote.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71120</wp:posOffset>
            </wp:positionV>
            <wp:extent cx="2752725" cy="8890"/>
            <wp:wrapNone/>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285">
                      <a:extLst>
                        <a:ext uri="{28A0092B-C50C-407E-A947-70E740481C1C}"/>
                      </a:extLst>
                    </a:blip>
                    <a:srcRect/>
                    <a:stretch>
                      <a:fillRect/>
                    </a:stretch>
                  </pic:blipFill>
                  <pic:spPr bwMode="auto">
                    <a:xfrm>
                      <a:off x="0" y="0"/>
                      <a:ext cx="2752725" cy="8890"/>
                    </a:xfrm>
                    <a:prstGeom prst="rect">
                      <a:avLst/>
                    </a:prstGeom>
                    <a:noFill/>
                  </pic:spPr>
                </pic:pic>
              </a:graphicData>
            </a:graphic>
          </wp:anchor>
        </w:drawing>
      </w:r>
    </w:p>
    <w:p>
      <w:pPr>
        <w:spacing w:after="0" w:line="128"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V</w:t>
      </w:r>
      <w:r>
        <w:rPr>
          <w:rFonts w:ascii="Arial" w:cs="Arial" w:eastAsia="Arial" w:hAnsi="Arial"/>
          <w:sz w:val="15"/>
          <w:szCs w:val="15"/>
          <w:b w:val="1"/>
          <w:bCs w:val="1"/>
          <w:color w:val="auto"/>
        </w:rPr>
        <w:t>OTE BY</w:t>
      </w:r>
      <w:r>
        <w:rPr>
          <w:rFonts w:ascii="Arial" w:cs="Arial" w:eastAsia="Arial" w:hAnsi="Arial"/>
          <w:sz w:val="18"/>
          <w:szCs w:val="18"/>
          <w:b w:val="1"/>
          <w:bCs w:val="1"/>
          <w:color w:val="auto"/>
        </w:rPr>
        <w:t xml:space="preserve"> M</w:t>
      </w:r>
      <w:r>
        <w:rPr>
          <w:rFonts w:ascii="Arial" w:cs="Arial" w:eastAsia="Arial" w:hAnsi="Arial"/>
          <w:sz w:val="15"/>
          <w:szCs w:val="15"/>
          <w:b w:val="1"/>
          <w:bCs w:val="1"/>
          <w:color w:val="auto"/>
        </w:rPr>
        <w:t>AIL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17145</wp:posOffset>
            </wp:positionV>
            <wp:extent cx="2752725" cy="8890"/>
            <wp:wrapNone/>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286">
                      <a:extLst>
                        <a:ext uri="{28A0092B-C50C-407E-A947-70E740481C1C}"/>
                      </a:extLst>
                    </a:blip>
                    <a:srcRect/>
                    <a:stretch>
                      <a:fillRect/>
                    </a:stretch>
                  </pic:blipFill>
                  <pic:spPr bwMode="auto">
                    <a:xfrm>
                      <a:off x="0" y="0"/>
                      <a:ext cx="2752725" cy="8890"/>
                    </a:xfrm>
                    <a:prstGeom prst="rect">
                      <a:avLst/>
                    </a:prstGeom>
                    <a:noFill/>
                  </pic:spPr>
                </pic:pic>
              </a:graphicData>
            </a:graphic>
          </wp:anchor>
        </w:drawing>
      </w:r>
    </w:p>
    <w:p>
      <w:pPr>
        <w:spacing w:after="0" w:line="101" w:lineRule="exact"/>
        <w:rPr>
          <w:sz w:val="20"/>
          <w:szCs w:val="20"/>
          <w:color w:val="auto"/>
        </w:rPr>
      </w:pPr>
    </w:p>
    <w:p>
      <w:pPr>
        <w:ind w:right="60"/>
        <w:spacing w:after="0" w:line="259" w:lineRule="auto"/>
        <w:rPr>
          <w:sz w:val="20"/>
          <w:szCs w:val="20"/>
          <w:color w:val="auto"/>
        </w:rPr>
      </w:pPr>
      <w:r>
        <w:rPr>
          <w:rFonts w:ascii="Arial" w:cs="Arial" w:eastAsia="Arial" w:hAnsi="Arial"/>
          <w:sz w:val="18"/>
          <w:szCs w:val="18"/>
          <w:color w:val="auto"/>
        </w:rPr>
        <w:t xml:space="preserve">Please mark, sign and date your proxy card and return it in the </w:t>
      </w:r>
      <w:r>
        <w:rPr>
          <w:rFonts w:ascii="Arial" w:cs="Arial" w:eastAsia="Arial" w:hAnsi="Arial"/>
          <w:sz w:val="18"/>
          <w:szCs w:val="18"/>
          <w:b w:val="1"/>
          <w:bCs w:val="1"/>
          <w:color w:val="auto"/>
        </w:rPr>
        <w:t>postage-paid envelope</w:t>
      </w:r>
      <w:r>
        <w:rPr>
          <w:rFonts w:ascii="Arial" w:cs="Arial" w:eastAsia="Arial" w:hAnsi="Arial"/>
          <w:sz w:val="18"/>
          <w:szCs w:val="18"/>
          <w:color w:val="auto"/>
        </w:rPr>
        <w:t xml:space="preserve"> provided or return it to: Corporate Election Services, P.O. Box 3200, Pittsburgh, PA 15230.</w:t>
      </w:r>
    </w:p>
    <w:p>
      <w:pPr>
        <w:spacing w:after="0" w:line="141" w:lineRule="exact"/>
        <w:rPr>
          <w:sz w:val="20"/>
          <w:szCs w:val="20"/>
          <w:color w:val="auto"/>
        </w:rPr>
      </w:pPr>
    </w:p>
    <w:p>
      <w:pPr>
        <w:sectPr>
          <w:pgSz w:w="11900" w:h="16838" w:orient="portrait"/>
          <w:cols w:equalWidth="0" w:num="2">
            <w:col w:w="6360" w:space="720"/>
            <w:col w:w="4360"/>
          </w:cols>
          <w:pgMar w:left="240" w:top="459" w:right="219" w:bottom="1117" w:gutter="0" w:footer="0" w:header="0"/>
          <w:type w:val="continuous"/>
        </w:sectPr>
      </w:pPr>
    </w:p>
    <w:tbl>
      <w:tblPr>
        <w:tblLayout w:type="fixed"/>
        <w:tblInd w:w="10" w:type="dxa"/>
        <w:tblCellMar>
          <w:top w:w="0" w:type="dxa"/>
          <w:left w:w="0" w:type="dxa"/>
          <w:bottom w:w="0" w:type="dxa"/>
          <w:right w:w="0" w:type="dxa"/>
        </w:tblCellMar>
      </w:tblPr>
      <w:tr>
        <w:trPr>
          <w:trHeight w:val="252"/>
        </w:trPr>
        <w:tc>
          <w:tcPr>
            <w:tcW w:w="3780" w:type="dxa"/>
            <w:vAlign w:val="bottom"/>
            <w:tcBorders>
              <w:top w:val="single" w:sz="8" w:color="auto"/>
              <w:left w:val="single" w:sz="8" w:color="auto"/>
              <w:right w:val="single" w:sz="8" w:color="auto"/>
            </w:tcBorders>
          </w:tcPr>
          <w:p>
            <w:pPr>
              <w:jc w:val="center"/>
              <w:ind w:left="50"/>
              <w:spacing w:after="0"/>
              <w:rPr>
                <w:sz w:val="20"/>
                <w:szCs w:val="20"/>
                <w:color w:val="auto"/>
              </w:rPr>
            </w:pPr>
            <w:r>
              <w:rPr>
                <w:rFonts w:ascii="Arial" w:cs="Arial" w:eastAsia="Arial" w:hAnsi="Arial"/>
                <w:sz w:val="18"/>
                <w:szCs w:val="18"/>
                <w:b w:val="1"/>
                <w:bCs w:val="1"/>
                <w:color w:val="auto"/>
                <w:w w:val="87"/>
              </w:rPr>
              <w:t>Vote by Telephone</w:t>
            </w:r>
          </w:p>
        </w:tc>
        <w:tc>
          <w:tcPr>
            <w:tcW w:w="440" w:type="dxa"/>
            <w:vAlign w:val="bottom"/>
            <w:tcBorders>
              <w:right w:val="single" w:sz="8" w:color="auto"/>
            </w:tcBorders>
          </w:tcPr>
          <w:p>
            <w:pPr>
              <w:spacing w:after="0"/>
              <w:rPr>
                <w:sz w:val="21"/>
                <w:szCs w:val="21"/>
                <w:color w:val="auto"/>
              </w:rPr>
            </w:pPr>
          </w:p>
        </w:tc>
        <w:tc>
          <w:tcPr>
            <w:tcW w:w="3420" w:type="dxa"/>
            <w:vAlign w:val="bottom"/>
            <w:tcBorders>
              <w:top w:val="single" w:sz="8" w:color="auto"/>
              <w:right w:val="single" w:sz="8" w:color="auto"/>
            </w:tcBorders>
          </w:tcPr>
          <w:p>
            <w:pPr>
              <w:jc w:val="center"/>
              <w:spacing w:after="0"/>
              <w:rPr>
                <w:sz w:val="20"/>
                <w:szCs w:val="20"/>
                <w:color w:val="auto"/>
              </w:rPr>
            </w:pPr>
            <w:r>
              <w:rPr>
                <w:rFonts w:ascii="Arial" w:cs="Arial" w:eastAsia="Arial" w:hAnsi="Arial"/>
                <w:sz w:val="18"/>
                <w:szCs w:val="18"/>
                <w:b w:val="1"/>
                <w:bCs w:val="1"/>
                <w:color w:val="auto"/>
                <w:w w:val="92"/>
              </w:rPr>
              <w:t>Vote by Internet</w:t>
            </w:r>
          </w:p>
        </w:tc>
        <w:tc>
          <w:tcPr>
            <w:tcW w:w="460" w:type="dxa"/>
            <w:vAlign w:val="bottom"/>
            <w:tcBorders>
              <w:right w:val="single" w:sz="8" w:color="auto"/>
            </w:tcBorders>
          </w:tcPr>
          <w:p>
            <w:pPr>
              <w:spacing w:after="0"/>
              <w:rPr>
                <w:sz w:val="21"/>
                <w:szCs w:val="21"/>
                <w:color w:val="auto"/>
              </w:rPr>
            </w:pPr>
          </w:p>
        </w:tc>
        <w:tc>
          <w:tcPr>
            <w:tcW w:w="3340" w:type="dxa"/>
            <w:vAlign w:val="bottom"/>
            <w:tcBorders>
              <w:top w:val="single" w:sz="8" w:color="auto"/>
              <w:right w:val="single" w:sz="8" w:color="auto"/>
            </w:tcBorders>
          </w:tcPr>
          <w:p>
            <w:pPr>
              <w:jc w:val="center"/>
              <w:spacing w:after="0"/>
              <w:rPr>
                <w:sz w:val="20"/>
                <w:szCs w:val="20"/>
                <w:color w:val="auto"/>
              </w:rPr>
            </w:pPr>
            <w:r>
              <w:rPr>
                <w:rFonts w:ascii="Arial" w:cs="Arial" w:eastAsia="Arial" w:hAnsi="Arial"/>
                <w:sz w:val="18"/>
                <w:szCs w:val="18"/>
                <w:b w:val="1"/>
                <w:bCs w:val="1"/>
                <w:color w:val="auto"/>
                <w:w w:val="93"/>
              </w:rPr>
              <w:t>Vote by Mail</w:t>
            </w:r>
          </w:p>
        </w:tc>
      </w:tr>
      <w:tr>
        <w:trPr>
          <w:trHeight w:val="216"/>
        </w:trPr>
        <w:tc>
          <w:tcPr>
            <w:tcW w:w="3780" w:type="dxa"/>
            <w:vAlign w:val="bottom"/>
            <w:tcBorders>
              <w:left w:val="single" w:sz="8" w:color="auto"/>
              <w:right w:val="single" w:sz="8" w:color="auto"/>
            </w:tcBorders>
          </w:tcPr>
          <w:p>
            <w:pPr>
              <w:jc w:val="center"/>
              <w:ind w:left="50"/>
              <w:spacing w:after="0"/>
              <w:rPr>
                <w:sz w:val="20"/>
                <w:szCs w:val="20"/>
                <w:color w:val="auto"/>
              </w:rPr>
            </w:pPr>
            <w:r>
              <w:rPr>
                <w:rFonts w:ascii="Arial" w:cs="Arial" w:eastAsia="Arial" w:hAnsi="Arial"/>
                <w:sz w:val="18"/>
                <w:szCs w:val="18"/>
                <w:color w:val="auto"/>
                <w:w w:val="91"/>
              </w:rPr>
              <w:t xml:space="preserve">Call </w:t>
            </w:r>
            <w:r>
              <w:rPr>
                <w:rFonts w:ascii="Arial" w:cs="Arial" w:eastAsia="Arial" w:hAnsi="Arial"/>
                <w:sz w:val="18"/>
                <w:szCs w:val="18"/>
                <w:b w:val="1"/>
                <w:bCs w:val="1"/>
                <w:color w:val="auto"/>
                <w:w w:val="91"/>
              </w:rPr>
              <w:t>Toll-Free</w:t>
            </w:r>
            <w:r>
              <w:rPr>
                <w:rFonts w:ascii="Arial" w:cs="Arial" w:eastAsia="Arial" w:hAnsi="Arial"/>
                <w:sz w:val="18"/>
                <w:szCs w:val="18"/>
                <w:color w:val="auto"/>
                <w:w w:val="91"/>
              </w:rPr>
              <w:t xml:space="preserve"> using a</w:t>
            </w:r>
          </w:p>
        </w:tc>
        <w:tc>
          <w:tcPr>
            <w:tcW w:w="440" w:type="dxa"/>
            <w:vAlign w:val="bottom"/>
            <w:tcBorders>
              <w:right w:val="single" w:sz="8" w:color="auto"/>
            </w:tcBorders>
          </w:tcPr>
          <w:p>
            <w:pPr>
              <w:spacing w:after="0"/>
              <w:rPr>
                <w:sz w:val="18"/>
                <w:szCs w:val="18"/>
                <w:color w:val="auto"/>
              </w:rPr>
            </w:pPr>
          </w:p>
        </w:tc>
        <w:tc>
          <w:tcPr>
            <w:tcW w:w="342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88"/>
              </w:rPr>
              <w:t xml:space="preserve">Access the </w:t>
            </w:r>
            <w:r>
              <w:rPr>
                <w:rFonts w:ascii="Arial" w:cs="Arial" w:eastAsia="Arial" w:hAnsi="Arial"/>
                <w:sz w:val="18"/>
                <w:szCs w:val="18"/>
                <w:b w:val="1"/>
                <w:bCs w:val="1"/>
                <w:color w:val="auto"/>
                <w:w w:val="88"/>
              </w:rPr>
              <w:t>Website</w:t>
            </w:r>
            <w:r>
              <w:rPr>
                <w:rFonts w:ascii="Arial" w:cs="Arial" w:eastAsia="Arial" w:hAnsi="Arial"/>
                <w:sz w:val="18"/>
                <w:szCs w:val="18"/>
                <w:color w:val="auto"/>
                <w:w w:val="88"/>
              </w:rPr>
              <w:t xml:space="preserve"> and</w:t>
            </w:r>
          </w:p>
        </w:tc>
        <w:tc>
          <w:tcPr>
            <w:tcW w:w="460" w:type="dxa"/>
            <w:vAlign w:val="bottom"/>
            <w:tcBorders>
              <w:right w:val="single" w:sz="8" w:color="auto"/>
            </w:tcBorders>
          </w:tcPr>
          <w:p>
            <w:pPr>
              <w:spacing w:after="0"/>
              <w:rPr>
                <w:sz w:val="18"/>
                <w:szCs w:val="18"/>
                <w:color w:val="auto"/>
              </w:rPr>
            </w:pPr>
          </w:p>
        </w:tc>
        <w:tc>
          <w:tcPr>
            <w:tcW w:w="334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1"/>
              </w:rPr>
              <w:t>Return your proxy card</w:t>
            </w:r>
          </w:p>
        </w:tc>
      </w:tr>
      <w:tr>
        <w:trPr>
          <w:trHeight w:val="216"/>
        </w:trPr>
        <w:tc>
          <w:tcPr>
            <w:tcW w:w="3780" w:type="dxa"/>
            <w:vAlign w:val="bottom"/>
            <w:tcBorders>
              <w:left w:val="single" w:sz="8" w:color="auto"/>
              <w:right w:val="single" w:sz="8" w:color="auto"/>
            </w:tcBorders>
          </w:tcPr>
          <w:p>
            <w:pPr>
              <w:jc w:val="center"/>
              <w:ind w:left="50"/>
              <w:spacing w:after="0"/>
              <w:rPr>
                <w:sz w:val="20"/>
                <w:szCs w:val="20"/>
                <w:color w:val="auto"/>
              </w:rPr>
            </w:pPr>
            <w:r>
              <w:rPr>
                <w:rFonts w:ascii="Arial" w:cs="Arial" w:eastAsia="Arial" w:hAnsi="Arial"/>
                <w:sz w:val="18"/>
                <w:szCs w:val="18"/>
                <w:color w:val="auto"/>
                <w:w w:val="89"/>
              </w:rPr>
              <w:t>Touch-Tone phone:</w:t>
            </w:r>
          </w:p>
        </w:tc>
        <w:tc>
          <w:tcPr>
            <w:tcW w:w="440" w:type="dxa"/>
            <w:vAlign w:val="bottom"/>
            <w:tcBorders>
              <w:right w:val="single" w:sz="8" w:color="auto"/>
            </w:tcBorders>
          </w:tcPr>
          <w:p>
            <w:pPr>
              <w:spacing w:after="0"/>
              <w:rPr>
                <w:sz w:val="18"/>
                <w:szCs w:val="18"/>
                <w:color w:val="auto"/>
              </w:rPr>
            </w:pPr>
          </w:p>
        </w:tc>
        <w:tc>
          <w:tcPr>
            <w:tcW w:w="342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0"/>
              </w:rPr>
              <w:t>Cast your vote:</w:t>
            </w:r>
          </w:p>
        </w:tc>
        <w:tc>
          <w:tcPr>
            <w:tcW w:w="460" w:type="dxa"/>
            <w:vAlign w:val="bottom"/>
            <w:tcBorders>
              <w:right w:val="single" w:sz="8" w:color="auto"/>
            </w:tcBorders>
          </w:tcPr>
          <w:p>
            <w:pPr>
              <w:spacing w:after="0"/>
              <w:rPr>
                <w:sz w:val="18"/>
                <w:szCs w:val="18"/>
                <w:color w:val="auto"/>
              </w:rPr>
            </w:pPr>
          </w:p>
        </w:tc>
        <w:tc>
          <w:tcPr>
            <w:tcW w:w="334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89"/>
              </w:rPr>
              <w:t xml:space="preserve">in the </w:t>
            </w:r>
            <w:r>
              <w:rPr>
                <w:rFonts w:ascii="Arial" w:cs="Arial" w:eastAsia="Arial" w:hAnsi="Arial"/>
                <w:sz w:val="18"/>
                <w:szCs w:val="18"/>
                <w:b w:val="1"/>
                <w:bCs w:val="1"/>
                <w:color w:val="auto"/>
                <w:w w:val="89"/>
              </w:rPr>
              <w:t>Postage-Paid</w:t>
            </w:r>
          </w:p>
        </w:tc>
      </w:tr>
      <w:tr>
        <w:trPr>
          <w:trHeight w:val="234"/>
        </w:trPr>
        <w:tc>
          <w:tcPr>
            <w:tcW w:w="3780" w:type="dxa"/>
            <w:vAlign w:val="bottom"/>
            <w:tcBorders>
              <w:left w:val="single" w:sz="8" w:color="auto"/>
              <w:right w:val="single" w:sz="8" w:color="auto"/>
            </w:tcBorders>
          </w:tcPr>
          <w:p>
            <w:pPr>
              <w:jc w:val="center"/>
              <w:ind w:left="50"/>
              <w:spacing w:after="0"/>
              <w:rPr>
                <w:sz w:val="20"/>
                <w:szCs w:val="20"/>
                <w:color w:val="auto"/>
              </w:rPr>
            </w:pPr>
            <w:r>
              <w:rPr>
                <w:rFonts w:ascii="Arial" w:cs="Arial" w:eastAsia="Arial" w:hAnsi="Arial"/>
                <w:sz w:val="18"/>
                <w:szCs w:val="18"/>
                <w:b w:val="1"/>
                <w:bCs w:val="1"/>
                <w:color w:val="auto"/>
                <w:w w:val="90"/>
              </w:rPr>
              <w:t>1-888-693-8683</w:t>
            </w:r>
          </w:p>
        </w:tc>
        <w:tc>
          <w:tcPr>
            <w:tcW w:w="440" w:type="dxa"/>
            <w:vAlign w:val="bottom"/>
            <w:tcBorders>
              <w:right w:val="single" w:sz="8" w:color="auto"/>
            </w:tcBorders>
          </w:tcPr>
          <w:p>
            <w:pPr>
              <w:spacing w:after="0"/>
              <w:rPr>
                <w:sz w:val="20"/>
                <w:szCs w:val="20"/>
                <w:color w:val="auto"/>
              </w:rPr>
            </w:pPr>
          </w:p>
        </w:tc>
        <w:tc>
          <w:tcPr>
            <w:tcW w:w="3420" w:type="dxa"/>
            <w:vAlign w:val="bottom"/>
            <w:tcBorders>
              <w:right w:val="single" w:sz="8" w:color="auto"/>
            </w:tcBorders>
          </w:tcPr>
          <w:p>
            <w:pPr>
              <w:jc w:val="center"/>
              <w:spacing w:after="0"/>
              <w:rPr>
                <w:sz w:val="20"/>
                <w:szCs w:val="20"/>
                <w:color w:val="auto"/>
              </w:rPr>
            </w:pPr>
            <w:r>
              <w:rPr>
                <w:rFonts w:ascii="Arial" w:cs="Arial" w:eastAsia="Arial" w:hAnsi="Arial"/>
                <w:sz w:val="18"/>
                <w:szCs w:val="18"/>
                <w:b w:val="1"/>
                <w:bCs w:val="1"/>
                <w:color w:val="auto"/>
                <w:w w:val="85"/>
              </w:rPr>
              <w:t>www.cesvote.com</w:t>
            </w:r>
          </w:p>
        </w:tc>
        <w:tc>
          <w:tcPr>
            <w:tcW w:w="460" w:type="dxa"/>
            <w:vAlign w:val="bottom"/>
            <w:tcBorders>
              <w:right w:val="single" w:sz="8" w:color="auto"/>
            </w:tcBorders>
          </w:tcPr>
          <w:p>
            <w:pPr>
              <w:spacing w:after="0"/>
              <w:rPr>
                <w:sz w:val="20"/>
                <w:szCs w:val="20"/>
                <w:color w:val="auto"/>
              </w:rPr>
            </w:pPr>
          </w:p>
        </w:tc>
        <w:tc>
          <w:tcPr>
            <w:tcW w:w="334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1"/>
              </w:rPr>
              <w:t>envelope provided</w:t>
            </w:r>
          </w:p>
        </w:tc>
      </w:tr>
      <w:tr>
        <w:trPr>
          <w:trHeight w:val="54"/>
        </w:trPr>
        <w:tc>
          <w:tcPr>
            <w:tcW w:w="3780" w:type="dxa"/>
            <w:vAlign w:val="bottom"/>
            <w:tcBorders>
              <w:left w:val="single" w:sz="8" w:color="auto"/>
              <w:bottom w:val="single" w:sz="8" w:color="auto"/>
              <w:right w:val="single" w:sz="8" w:color="auto"/>
            </w:tcBorders>
          </w:tcPr>
          <w:p>
            <w:pPr>
              <w:spacing w:after="0"/>
              <w:rPr>
                <w:sz w:val="4"/>
                <w:szCs w:val="4"/>
                <w:color w:val="auto"/>
              </w:rPr>
            </w:pPr>
          </w:p>
        </w:tc>
        <w:tc>
          <w:tcPr>
            <w:tcW w:w="440" w:type="dxa"/>
            <w:vAlign w:val="bottom"/>
            <w:tcBorders>
              <w:right w:val="single" w:sz="8" w:color="auto"/>
            </w:tcBorders>
          </w:tcPr>
          <w:p>
            <w:pPr>
              <w:spacing w:after="0"/>
              <w:rPr>
                <w:sz w:val="4"/>
                <w:szCs w:val="4"/>
                <w:color w:val="auto"/>
              </w:rPr>
            </w:pPr>
          </w:p>
        </w:tc>
        <w:tc>
          <w:tcPr>
            <w:tcW w:w="3420" w:type="dxa"/>
            <w:vAlign w:val="bottom"/>
            <w:tcBorders>
              <w:bottom w:val="single" w:sz="8" w:color="auto"/>
              <w:right w:val="single" w:sz="8" w:color="auto"/>
            </w:tcBorders>
          </w:tcPr>
          <w:p>
            <w:pPr>
              <w:spacing w:after="0"/>
              <w:rPr>
                <w:sz w:val="4"/>
                <w:szCs w:val="4"/>
                <w:color w:val="auto"/>
              </w:rPr>
            </w:pPr>
          </w:p>
        </w:tc>
        <w:tc>
          <w:tcPr>
            <w:tcW w:w="460" w:type="dxa"/>
            <w:vAlign w:val="bottom"/>
            <w:tcBorders>
              <w:right w:val="single" w:sz="8" w:color="auto"/>
            </w:tcBorders>
          </w:tcPr>
          <w:p>
            <w:pPr>
              <w:spacing w:after="0"/>
              <w:rPr>
                <w:sz w:val="4"/>
                <w:szCs w:val="4"/>
                <w:color w:val="auto"/>
              </w:rPr>
            </w:pPr>
          </w:p>
        </w:tc>
        <w:tc>
          <w:tcPr>
            <w:tcW w:w="3340" w:type="dxa"/>
            <w:vAlign w:val="bottom"/>
            <w:tcBorders>
              <w:bottom w:val="single" w:sz="8" w:color="auto"/>
              <w:right w:val="single" w:sz="8" w:color="auto"/>
            </w:tcBorders>
          </w:tcPr>
          <w:p>
            <w:pPr>
              <w:spacing w:after="0"/>
              <w:rPr>
                <w:sz w:val="4"/>
                <w:szCs w:val="4"/>
                <w:color w:val="auto"/>
              </w:rPr>
            </w:pPr>
          </w:p>
        </w:tc>
      </w:tr>
    </w:tbl>
    <w:p>
      <w:pPr>
        <w:spacing w:after="0" w:line="198"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Vote 24 hours a day, 7 days a week!</w:t>
      </w:r>
    </w:p>
    <w:p>
      <w:pPr>
        <w:spacing w:after="0" w:line="27"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If you vote by telephone or Internet, please do not send your proxy by mail.</w:t>
      </w:r>
    </w:p>
    <w:p>
      <w:pPr>
        <w:spacing w:after="0" w:line="207" w:lineRule="exact"/>
        <w:rPr>
          <w:sz w:val="20"/>
          <w:szCs w:val="20"/>
          <w:color w:val="auto"/>
        </w:rPr>
      </w:pPr>
    </w:p>
    <w:p>
      <w:pPr>
        <w:ind w:right="220"/>
        <w:spacing w:after="0" w:line="266" w:lineRule="auto"/>
        <w:rPr>
          <w:sz w:val="20"/>
          <w:szCs w:val="20"/>
          <w:color w:val="auto"/>
        </w:rPr>
      </w:pPr>
      <w:r>
        <w:rPr>
          <w:rFonts w:ascii="Arial" w:cs="Arial" w:eastAsia="Arial" w:hAnsi="Arial"/>
          <w:sz w:val="18"/>
          <w:szCs w:val="18"/>
          <w:b w:val="1"/>
          <w:bCs w:val="1"/>
          <w:color w:val="auto"/>
        </w:rPr>
        <w:t>In order to be counted in the final tabulation, if you are a participant in one of the employee savings plans sponsored by TimkenSteel Corporation, your vote must be received by 6:00 a.m. EDT on April 26, 2016 and, if you are a registered shareholder, your telephone or internet vote must be received by 6:00 a.m. EDT on April 28, 2016.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2646680</wp:posOffset>
            </wp:positionH>
            <wp:positionV relativeFrom="paragraph">
              <wp:posOffset>140335</wp:posOffset>
            </wp:positionV>
            <wp:extent cx="1964055" cy="317500"/>
            <wp:wrapNone/>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287">
                      <a:extLst>
                        <a:ext uri="{28A0092B-C50C-407E-A947-70E740481C1C}"/>
                      </a:extLst>
                    </a:blip>
                    <a:srcRect/>
                    <a:stretch>
                      <a:fillRect/>
                    </a:stretch>
                  </pic:blipFill>
                  <pic:spPr bwMode="auto">
                    <a:xfrm>
                      <a:off x="0" y="0"/>
                      <a:ext cx="1964055" cy="31750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9"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Proxy must be signed and dated below.</w:t>
      </w:r>
    </w:p>
    <w:p>
      <w:pPr>
        <w:spacing w:after="0" w:line="27" w:lineRule="exact"/>
        <w:rPr>
          <w:sz w:val="20"/>
          <w:szCs w:val="20"/>
          <w:color w:val="auto"/>
        </w:rPr>
      </w:pPr>
    </w:p>
    <w:p>
      <w:pPr>
        <w:jc w:val="center"/>
        <w:ind w:right="20"/>
        <w:spacing w:after="0"/>
        <w:rPr>
          <w:sz w:val="20"/>
          <w:szCs w:val="20"/>
          <w:color w:val="auto"/>
        </w:rPr>
      </w:pPr>
      <w:r>
        <w:rPr>
          <w:rFonts w:ascii="Arial" w:cs="Arial" w:eastAsia="Arial" w:hAnsi="Arial"/>
          <w:sz w:val="18"/>
          <w:szCs w:val="18"/>
          <w:color w:val="auto"/>
        </w:rPr>
        <w:t xml:space="preserve">ê </w:t>
      </w:r>
      <w:r>
        <w:rPr>
          <w:rFonts w:ascii="Arial" w:cs="Arial" w:eastAsia="Arial" w:hAnsi="Arial"/>
          <w:sz w:val="18"/>
          <w:szCs w:val="18"/>
          <w:b w:val="1"/>
          <w:bCs w:val="1"/>
          <w:color w:val="auto"/>
        </w:rPr>
        <w:t>Please fold and detach card at perforation before mailing.</w:t>
      </w:r>
      <w:r>
        <w:rPr>
          <w:rFonts w:ascii="Arial" w:cs="Arial" w:eastAsia="Arial" w:hAnsi="Arial"/>
          <w:sz w:val="18"/>
          <w:szCs w:val="18"/>
          <w:color w:val="auto"/>
        </w:rPr>
        <w:t xml:space="preserve"> ê</w:t>
      </w:r>
    </w:p>
    <w:p>
      <w:pPr>
        <w:spacing w:after="0" w:line="220" w:lineRule="exact"/>
        <w:rPr>
          <w:sz w:val="20"/>
          <w:szCs w:val="20"/>
          <w:color w:val="auto"/>
        </w:rPr>
      </w:pPr>
    </w:p>
    <w:p>
      <w:pPr>
        <w:spacing w:after="0"/>
        <w:tabs>
          <w:tab w:leader="none" w:pos="8020" w:val="left"/>
        </w:tabs>
        <w:rPr>
          <w:sz w:val="20"/>
          <w:szCs w:val="20"/>
          <w:color w:val="auto"/>
        </w:rPr>
      </w:pPr>
      <w:r>
        <w:rPr>
          <w:rFonts w:ascii="Arial" w:cs="Arial" w:eastAsia="Arial" w:hAnsi="Arial"/>
          <w:sz w:val="18"/>
          <w:szCs w:val="18"/>
          <w:b w:val="1"/>
          <w:bCs w:val="1"/>
          <w:color w:val="auto"/>
        </w:rPr>
        <w:t>TIMKENSTEEL CORPORATION</w:t>
      </w:r>
      <w:r>
        <w:rPr>
          <w:sz w:val="20"/>
          <w:szCs w:val="20"/>
          <w:color w:val="auto"/>
        </w:rPr>
        <w:tab/>
      </w:r>
      <w:r>
        <w:rPr>
          <w:rFonts w:ascii="Arial" w:cs="Arial" w:eastAsia="Arial" w:hAnsi="Arial"/>
          <w:sz w:val="18"/>
          <w:szCs w:val="18"/>
          <w:b w:val="1"/>
          <w:bCs w:val="1"/>
          <w:color w:val="auto"/>
        </w:rPr>
        <w:t>PROXY / VOTING INSTRUCTION CARD</w:t>
      </w:r>
    </w:p>
    <w:p>
      <w:pPr>
        <w:spacing w:after="0" w:line="225"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THIS PROXY IS SOLICITED ON BEHALF OF THE BOARD OF DIRECTORS.</w:t>
      </w:r>
    </w:p>
    <w:p>
      <w:pPr>
        <w:spacing w:after="0" w:line="229" w:lineRule="exact"/>
        <w:rPr>
          <w:sz w:val="20"/>
          <w:szCs w:val="20"/>
          <w:color w:val="auto"/>
        </w:rPr>
      </w:pPr>
    </w:p>
    <w:p>
      <w:pPr>
        <w:ind w:right="20"/>
        <w:spacing w:after="0" w:line="302" w:lineRule="auto"/>
        <w:rPr>
          <w:sz w:val="20"/>
          <w:szCs w:val="20"/>
          <w:color w:val="auto"/>
        </w:rPr>
      </w:pPr>
      <w:r>
        <w:rPr>
          <w:rFonts w:ascii="Arial" w:cs="Arial" w:eastAsia="Arial" w:hAnsi="Arial"/>
          <w:sz w:val="16"/>
          <w:szCs w:val="16"/>
          <w:color w:val="auto"/>
        </w:rPr>
        <w:t>The undersigned appoints Frank A. DiPiero, Christopher J. Holding and Kristine C. Syrvalin, and each of them, as true and lawful proxies, with full power of substitution, to vote and act for the undersigned as specified on the reverse hereof at the Annual Meeting of Shareholders of TimkenSteel Corporation to be held at 1835 Dueber Avenue, S.W., Canton, Ohio, on April 28, 2016, at 10:00 a.m., and at any adjournment thereof, as fully as the undersigned could vote and act if personally present on the matters set forth on the reverse hereof, and, in their discretion on such other matters as may properly come before the meeting.</w:t>
      </w:r>
    </w:p>
    <w:p>
      <w:pPr>
        <w:spacing w:after="0" w:line="154" w:lineRule="exact"/>
        <w:rPr>
          <w:sz w:val="20"/>
          <w:szCs w:val="20"/>
          <w:color w:val="auto"/>
        </w:rPr>
      </w:pPr>
    </w:p>
    <w:p>
      <w:pPr>
        <w:ind w:right="40"/>
        <w:spacing w:after="0" w:line="312" w:lineRule="auto"/>
        <w:rPr>
          <w:sz w:val="20"/>
          <w:szCs w:val="20"/>
          <w:color w:val="auto"/>
        </w:rPr>
      </w:pPr>
      <w:r>
        <w:rPr>
          <w:rFonts w:ascii="Arial" w:cs="Arial" w:eastAsia="Arial" w:hAnsi="Arial"/>
          <w:sz w:val="16"/>
          <w:szCs w:val="16"/>
          <w:color w:val="auto"/>
        </w:rPr>
        <w:t>This card also serves as voting instructions to the trustee of each employee savings plan sponsored by TimkenSteel Corporation, its subsidiaries or affiliates, with respect to TimkenSteel common shares held by the undersigned under any such plan. Your voting instructions must be received by 6:00 a.m. on April 26, 2016, or the trustee will vote your plan shares in the same proportion as those plan shares for which instructions have been timely received.</w:t>
      </w:r>
    </w:p>
    <w:p>
      <w:pPr>
        <w:spacing w:after="0" w:line="147" w:lineRule="exact"/>
        <w:rPr>
          <w:sz w:val="20"/>
          <w:szCs w:val="20"/>
          <w:color w:val="auto"/>
        </w:rPr>
      </w:pPr>
    </w:p>
    <w:p>
      <w:pPr>
        <w:ind w:right="660"/>
        <w:spacing w:after="0" w:line="277" w:lineRule="auto"/>
        <w:rPr>
          <w:sz w:val="20"/>
          <w:szCs w:val="20"/>
          <w:color w:val="auto"/>
        </w:rPr>
      </w:pPr>
      <w:r>
        <w:rPr>
          <w:rFonts w:ascii="Arial" w:cs="Arial" w:eastAsia="Arial" w:hAnsi="Arial"/>
          <w:sz w:val="18"/>
          <w:szCs w:val="18"/>
          <w:color w:val="auto"/>
        </w:rPr>
        <w:t>If properly signed, dated and returned, this proxy will be voted as specified on the reverse side or, if no choice is specified, this proxy will be voted in accordance with the recommendations of the Board of Directors.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4207510</wp:posOffset>
            </wp:positionH>
            <wp:positionV relativeFrom="paragraph">
              <wp:posOffset>271780</wp:posOffset>
            </wp:positionV>
            <wp:extent cx="3044190" cy="8890"/>
            <wp:wrapNone/>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288">
                      <a:extLst>
                        <a:ext uri="{28A0092B-C50C-407E-A947-70E740481C1C}"/>
                      </a:extLst>
                    </a:blip>
                    <a:srcRect/>
                    <a:stretch>
                      <a:fillRect/>
                    </a:stretch>
                  </pic:blipFill>
                  <pic:spPr bwMode="auto">
                    <a:xfrm>
                      <a:off x="0" y="0"/>
                      <a:ext cx="3044190" cy="8890"/>
                    </a:xfrm>
                    <a:prstGeom prst="rect">
                      <a:avLst/>
                    </a:prstGeom>
                    <a:noFill/>
                  </pic:spPr>
                </pic:pic>
              </a:graphicData>
            </a:graphic>
          </wp:anchor>
        </w:drawing>
      </w:r>
    </w:p>
    <w:p>
      <w:pPr>
        <w:spacing w:after="0" w:line="200" w:lineRule="exact"/>
        <w:rPr>
          <w:sz w:val="20"/>
          <w:szCs w:val="20"/>
          <w:color w:val="auto"/>
        </w:rPr>
      </w:pPr>
    </w:p>
    <w:p>
      <w:pPr>
        <w:spacing w:after="0" w:line="221" w:lineRule="exact"/>
        <w:rPr>
          <w:sz w:val="20"/>
          <w:szCs w:val="20"/>
          <w:color w:val="auto"/>
        </w:rPr>
      </w:pPr>
    </w:p>
    <w:p>
      <w:pPr>
        <w:ind w:left="6620"/>
        <w:spacing w:after="0"/>
        <w:rPr>
          <w:sz w:val="20"/>
          <w:szCs w:val="20"/>
          <w:color w:val="auto"/>
        </w:rPr>
      </w:pPr>
      <w:r>
        <w:rPr>
          <w:rFonts w:ascii="Arial" w:cs="Arial" w:eastAsia="Arial" w:hAnsi="Arial"/>
          <w:sz w:val="18"/>
          <w:szCs w:val="18"/>
          <w:color w:val="auto"/>
        </w:rPr>
        <w:t>Signature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4207510</wp:posOffset>
            </wp:positionH>
            <wp:positionV relativeFrom="paragraph">
              <wp:posOffset>289560</wp:posOffset>
            </wp:positionV>
            <wp:extent cx="3044190" cy="8890"/>
            <wp:wrapNone/>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289">
                      <a:extLst>
                        <a:ext uri="{28A0092B-C50C-407E-A947-70E740481C1C}"/>
                      </a:extLst>
                    </a:blip>
                    <a:srcRect/>
                    <a:stretch>
                      <a:fillRect/>
                    </a:stretch>
                  </pic:blipFill>
                  <pic:spPr bwMode="auto">
                    <a:xfrm>
                      <a:off x="0" y="0"/>
                      <a:ext cx="3044190" cy="8890"/>
                    </a:xfrm>
                    <a:prstGeom prst="rect">
                      <a:avLst/>
                    </a:prstGeom>
                    <a:noFill/>
                  </pic:spPr>
                </pic:pic>
              </a:graphicData>
            </a:graphic>
          </wp:anchor>
        </w:drawing>
      </w:r>
    </w:p>
    <w:p>
      <w:pPr>
        <w:spacing w:after="0" w:line="200" w:lineRule="exact"/>
        <w:rPr>
          <w:sz w:val="20"/>
          <w:szCs w:val="20"/>
          <w:color w:val="auto"/>
        </w:rPr>
      </w:pPr>
    </w:p>
    <w:p>
      <w:pPr>
        <w:spacing w:after="0" w:line="248" w:lineRule="exact"/>
        <w:rPr>
          <w:sz w:val="20"/>
          <w:szCs w:val="20"/>
          <w:color w:val="auto"/>
        </w:rPr>
      </w:pPr>
    </w:p>
    <w:p>
      <w:pPr>
        <w:ind w:left="6620"/>
        <w:spacing w:after="0"/>
        <w:rPr>
          <w:sz w:val="20"/>
          <w:szCs w:val="20"/>
          <w:color w:val="auto"/>
        </w:rPr>
      </w:pPr>
      <w:r>
        <w:rPr>
          <w:rFonts w:ascii="Arial" w:cs="Arial" w:eastAsia="Arial" w:hAnsi="Arial"/>
          <w:sz w:val="18"/>
          <w:szCs w:val="18"/>
          <w:color w:val="auto"/>
        </w:rPr>
        <w:t>Signature (if jointly held)</w:t>
      </w:r>
    </w:p>
    <w:p>
      <w:pPr>
        <w:spacing w:after="0" w:line="225" w:lineRule="exact"/>
        <w:rPr>
          <w:sz w:val="20"/>
          <w:szCs w:val="20"/>
          <w:color w:val="auto"/>
        </w:rPr>
      </w:pPr>
    </w:p>
    <w:p>
      <w:pPr>
        <w:ind w:left="6620"/>
        <w:spacing w:after="0"/>
        <w:rPr>
          <w:sz w:val="20"/>
          <w:szCs w:val="20"/>
          <w:color w:val="auto"/>
        </w:rPr>
      </w:pPr>
      <w:r>
        <w:rPr>
          <w:rFonts w:ascii="Arial" w:cs="Arial" w:eastAsia="Arial" w:hAnsi="Arial"/>
          <w:sz w:val="18"/>
          <w:szCs w:val="18"/>
          <w:color w:val="auto"/>
        </w:rPr>
        <w:t>Date: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4524375</wp:posOffset>
            </wp:positionH>
            <wp:positionV relativeFrom="paragraph">
              <wp:posOffset>14605</wp:posOffset>
            </wp:positionV>
            <wp:extent cx="2727325" cy="8890"/>
            <wp:wrapNone/>
            <wp:docPr id="283"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290">
                      <a:extLst>
                        <a:ext uri="{28A0092B-C50C-407E-A947-70E740481C1C}"/>
                      </a:extLst>
                    </a:blip>
                    <a:srcRect/>
                    <a:stretch>
                      <a:fillRect/>
                    </a:stretch>
                  </pic:blipFill>
                  <pic:spPr bwMode="auto">
                    <a:xfrm>
                      <a:off x="0" y="0"/>
                      <a:ext cx="2727325" cy="8890"/>
                    </a:xfrm>
                    <a:prstGeom prst="rect">
                      <a:avLst/>
                    </a:prstGeom>
                    <a:noFill/>
                  </pic:spPr>
                </pic:pic>
              </a:graphicData>
            </a:graphic>
          </wp:anchor>
        </w:drawing>
      </w:r>
    </w:p>
    <w:p>
      <w:pPr>
        <w:spacing w:after="0" w:line="97" w:lineRule="exact"/>
        <w:rPr>
          <w:sz w:val="20"/>
          <w:szCs w:val="20"/>
          <w:color w:val="auto"/>
        </w:rPr>
      </w:pPr>
    </w:p>
    <w:p>
      <w:pPr>
        <w:ind w:left="6620"/>
        <w:spacing w:after="0"/>
        <w:rPr>
          <w:sz w:val="20"/>
          <w:szCs w:val="20"/>
          <w:color w:val="auto"/>
        </w:rPr>
      </w:pPr>
      <w:r>
        <w:rPr>
          <w:rFonts w:ascii="Arial" w:cs="Arial" w:eastAsia="Arial" w:hAnsi="Arial"/>
          <w:sz w:val="17"/>
          <w:szCs w:val="17"/>
          <w:color w:val="auto"/>
        </w:rPr>
        <w:t>Please sign exactly as the name appears hereon. Joint owners</w:t>
      </w:r>
    </w:p>
    <w:p>
      <w:pPr>
        <w:spacing w:after="0" w:line="35" w:lineRule="exact"/>
        <w:rPr>
          <w:sz w:val="20"/>
          <w:szCs w:val="20"/>
          <w:color w:val="auto"/>
        </w:rPr>
      </w:pPr>
    </w:p>
    <w:p>
      <w:pPr>
        <w:ind w:left="6620"/>
        <w:spacing w:after="0"/>
        <w:rPr>
          <w:sz w:val="20"/>
          <w:szCs w:val="20"/>
          <w:color w:val="auto"/>
        </w:rPr>
      </w:pPr>
      <w:r>
        <w:rPr>
          <w:rFonts w:ascii="Arial" w:cs="Arial" w:eastAsia="Arial" w:hAnsi="Arial"/>
          <w:sz w:val="18"/>
          <w:szCs w:val="18"/>
          <w:color w:val="auto"/>
        </w:rPr>
        <w:t>should each sign. When signing as an attorney, executor,</w:t>
      </w:r>
    </w:p>
    <w:p>
      <w:pPr>
        <w:spacing w:after="0" w:line="9" w:lineRule="exact"/>
        <w:rPr>
          <w:sz w:val="20"/>
          <w:szCs w:val="20"/>
          <w:color w:val="auto"/>
        </w:rPr>
      </w:pPr>
    </w:p>
    <w:p>
      <w:pPr>
        <w:ind w:left="6620"/>
        <w:spacing w:after="0"/>
        <w:rPr>
          <w:sz w:val="20"/>
          <w:szCs w:val="20"/>
          <w:color w:val="auto"/>
        </w:rPr>
      </w:pPr>
      <w:r>
        <w:rPr>
          <w:rFonts w:ascii="Arial" w:cs="Arial" w:eastAsia="Arial" w:hAnsi="Arial"/>
          <w:sz w:val="18"/>
          <w:szCs w:val="18"/>
          <w:color w:val="auto"/>
        </w:rPr>
        <w:t>administrator, trust or guardian, please give full title as such.</w:t>
      </w:r>
    </w:p>
    <w:p>
      <w:pPr>
        <w:spacing w:after="0" w:line="220"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PLEASE SIGN AND RETURN AS SOON AS POSSIBLE</w:t>
      </w:r>
    </w:p>
    <w:p>
      <w:pPr>
        <w:sectPr>
          <w:pgSz w:w="11900" w:h="16838" w:orient="portrait"/>
          <w:cols w:equalWidth="0" w:num="1">
            <w:col w:w="11440"/>
          </w:cols>
          <w:pgMar w:left="240" w:top="459" w:right="219" w:bottom="1117" w:gutter="0" w:footer="0" w:header="0"/>
          <w:type w:val="continuous"/>
        </w:sectPr>
      </w:pPr>
    </w:p>
    <w:bookmarkStart w:id="109" w:name="page110"/>
    <w:bookmarkEnd w:id="10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284"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291">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2406650</wp:posOffset>
            </wp:positionH>
            <wp:positionV relativeFrom="paragraph">
              <wp:posOffset>205740</wp:posOffset>
            </wp:positionV>
            <wp:extent cx="2444115" cy="334645"/>
            <wp:wrapNone/>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292">
                      <a:extLst>
                        <a:ext uri="{28A0092B-C50C-407E-A947-70E740481C1C}"/>
                      </a:extLst>
                    </a:blip>
                    <a:srcRect/>
                    <a:stretch>
                      <a:fillRect/>
                    </a:stretch>
                  </pic:blipFill>
                  <pic:spPr bwMode="auto">
                    <a:xfrm>
                      <a:off x="0" y="0"/>
                      <a:ext cx="2444115" cy="3346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8"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w:t>
      </w:r>
      <w:r>
        <w:rPr>
          <w:rFonts w:ascii="Arial" w:cs="Arial" w:eastAsia="Arial" w:hAnsi="Arial"/>
          <w:sz w:val="15"/>
          <w:szCs w:val="15"/>
          <w:b w:val="1"/>
          <w:bCs w:val="1"/>
          <w:color w:val="auto"/>
        </w:rPr>
        <w:t>OTICE</w:t>
      </w:r>
      <w:r>
        <w:rPr>
          <w:rFonts w:ascii="Arial" w:cs="Arial" w:eastAsia="Arial" w:hAnsi="Arial"/>
          <w:sz w:val="18"/>
          <w:szCs w:val="18"/>
          <w:b w:val="1"/>
          <w:bCs w:val="1"/>
          <w:color w:val="auto"/>
        </w:rPr>
        <w:t xml:space="preserve"> O</w:t>
      </w:r>
      <w:r>
        <w:rPr>
          <w:rFonts w:ascii="Arial" w:cs="Arial" w:eastAsia="Arial" w:hAnsi="Arial"/>
          <w:sz w:val="15"/>
          <w:szCs w:val="15"/>
          <w:b w:val="1"/>
          <w:bCs w:val="1"/>
          <w:color w:val="auto"/>
        </w:rPr>
        <w:t>F</w:t>
      </w:r>
      <w:r>
        <w:rPr>
          <w:rFonts w:ascii="Arial" w:cs="Arial" w:eastAsia="Arial" w:hAnsi="Arial"/>
          <w:sz w:val="18"/>
          <w:szCs w:val="18"/>
          <w:b w:val="1"/>
          <w:bCs w:val="1"/>
          <w:color w:val="auto"/>
        </w:rPr>
        <w:t xml:space="preserve"> A</w:t>
      </w:r>
      <w:r>
        <w:rPr>
          <w:rFonts w:ascii="Arial" w:cs="Arial" w:eastAsia="Arial" w:hAnsi="Arial"/>
          <w:sz w:val="15"/>
          <w:szCs w:val="15"/>
          <w:b w:val="1"/>
          <w:bCs w:val="1"/>
          <w:color w:val="auto"/>
        </w:rPr>
        <w:t>NNUAL</w:t>
      </w:r>
      <w:r>
        <w:rPr>
          <w:rFonts w:ascii="Arial" w:cs="Arial" w:eastAsia="Arial" w:hAnsi="Arial"/>
          <w:sz w:val="18"/>
          <w:szCs w:val="18"/>
          <w:b w:val="1"/>
          <w:bCs w:val="1"/>
          <w:color w:val="auto"/>
        </w:rPr>
        <w:t xml:space="preserve"> M</w:t>
      </w:r>
      <w:r>
        <w:rPr>
          <w:rFonts w:ascii="Arial" w:cs="Arial" w:eastAsia="Arial" w:hAnsi="Arial"/>
          <w:sz w:val="15"/>
          <w:szCs w:val="15"/>
          <w:b w:val="1"/>
          <w:bCs w:val="1"/>
          <w:color w:val="auto"/>
        </w:rPr>
        <w:t>EETING</w:t>
      </w:r>
      <w:r>
        <w:rPr>
          <w:rFonts w:ascii="Arial" w:cs="Arial" w:eastAsia="Arial" w:hAnsi="Arial"/>
          <w:sz w:val="18"/>
          <w:szCs w:val="18"/>
          <w:b w:val="1"/>
          <w:bCs w:val="1"/>
          <w:color w:val="auto"/>
        </w:rPr>
        <w:t xml:space="preserve"> O</w:t>
      </w:r>
      <w:r>
        <w:rPr>
          <w:rFonts w:ascii="Arial" w:cs="Arial" w:eastAsia="Arial" w:hAnsi="Arial"/>
          <w:sz w:val="15"/>
          <w:szCs w:val="15"/>
          <w:b w:val="1"/>
          <w:bCs w:val="1"/>
          <w:color w:val="auto"/>
        </w:rPr>
        <w:t>F</w:t>
      </w:r>
      <w:r>
        <w:rPr>
          <w:rFonts w:ascii="Arial" w:cs="Arial" w:eastAsia="Arial" w:hAnsi="Arial"/>
          <w:sz w:val="18"/>
          <w:szCs w:val="18"/>
          <w:b w:val="1"/>
          <w:bCs w:val="1"/>
          <w:color w:val="auto"/>
        </w:rPr>
        <w:t xml:space="preserve"> S</w:t>
      </w:r>
      <w:r>
        <w:rPr>
          <w:rFonts w:ascii="Arial" w:cs="Arial" w:eastAsia="Arial" w:hAnsi="Arial"/>
          <w:sz w:val="15"/>
          <w:szCs w:val="15"/>
          <w:b w:val="1"/>
          <w:bCs w:val="1"/>
          <w:color w:val="auto"/>
        </w:rPr>
        <w:t>HAREHOLDERS</w:t>
      </w:r>
    </w:p>
    <w:p>
      <w:pPr>
        <w:sectPr>
          <w:pgSz w:w="11900" w:h="16838" w:orient="portrait"/>
          <w:cols w:equalWidth="0" w:num="1">
            <w:col w:w="11420"/>
          </w:cols>
          <w:pgMar w:left="240" w:top="459" w:right="239" w:bottom="1440" w:gutter="0" w:footer="0" w:header="0"/>
        </w:sectPr>
      </w:pPr>
    </w:p>
    <w:p>
      <w:pPr>
        <w:spacing w:after="0" w:line="256" w:lineRule="exact"/>
        <w:rPr>
          <w:sz w:val="20"/>
          <w:szCs w:val="20"/>
          <w:color w:val="auto"/>
        </w:rPr>
      </w:pPr>
    </w:p>
    <w:p>
      <w:pPr>
        <w:ind w:left="460"/>
        <w:spacing w:after="0"/>
        <w:rPr>
          <w:sz w:val="20"/>
          <w:szCs w:val="20"/>
          <w:color w:val="auto"/>
        </w:rPr>
      </w:pPr>
      <w:r>
        <w:rPr>
          <w:rFonts w:ascii="Arial" w:cs="Arial" w:eastAsia="Arial" w:hAnsi="Arial"/>
          <w:sz w:val="17"/>
          <w:szCs w:val="17"/>
          <w:color w:val="auto"/>
        </w:rPr>
        <w:t>April 28, 2016 at 10:00 a.m.</w:t>
      </w:r>
    </w:p>
    <w:p>
      <w:pPr>
        <w:spacing w:after="0" w:line="35" w:lineRule="exact"/>
        <w:rPr>
          <w:sz w:val="20"/>
          <w:szCs w:val="20"/>
          <w:color w:val="auto"/>
        </w:rPr>
      </w:pPr>
    </w:p>
    <w:p>
      <w:pPr>
        <w:ind w:left="460"/>
        <w:spacing w:after="0"/>
        <w:rPr>
          <w:sz w:val="20"/>
          <w:szCs w:val="20"/>
          <w:color w:val="auto"/>
        </w:rPr>
      </w:pPr>
      <w:r>
        <w:rPr>
          <w:rFonts w:ascii="Arial" w:cs="Arial" w:eastAsia="Arial" w:hAnsi="Arial"/>
          <w:sz w:val="16"/>
          <w:szCs w:val="16"/>
          <w:color w:val="auto"/>
        </w:rPr>
        <w:t>Corporate Auditorium (C1G)</w:t>
      </w:r>
    </w:p>
    <w:p>
      <w:pPr>
        <w:spacing w:after="0" w:line="32" w:lineRule="exact"/>
        <w:rPr>
          <w:sz w:val="20"/>
          <w:szCs w:val="20"/>
          <w:color w:val="auto"/>
        </w:rPr>
      </w:pPr>
    </w:p>
    <w:p>
      <w:pPr>
        <w:ind w:left="460"/>
        <w:spacing w:after="0"/>
        <w:rPr>
          <w:sz w:val="20"/>
          <w:szCs w:val="20"/>
          <w:color w:val="auto"/>
        </w:rPr>
      </w:pPr>
      <w:r>
        <w:rPr>
          <w:rFonts w:ascii="Arial" w:cs="Arial" w:eastAsia="Arial" w:hAnsi="Arial"/>
          <w:sz w:val="18"/>
          <w:szCs w:val="18"/>
          <w:color w:val="auto"/>
        </w:rPr>
        <w:t>TimkenSteel Corporation</w:t>
      </w:r>
    </w:p>
    <w:p>
      <w:pPr>
        <w:spacing w:after="0" w:line="9" w:lineRule="exact"/>
        <w:rPr>
          <w:sz w:val="20"/>
          <w:szCs w:val="20"/>
          <w:color w:val="auto"/>
        </w:rPr>
      </w:pPr>
    </w:p>
    <w:p>
      <w:pPr>
        <w:ind w:left="460"/>
        <w:spacing w:after="0"/>
        <w:rPr>
          <w:sz w:val="20"/>
          <w:szCs w:val="20"/>
          <w:color w:val="auto"/>
        </w:rPr>
      </w:pPr>
      <w:r>
        <w:rPr>
          <w:rFonts w:ascii="Arial" w:cs="Arial" w:eastAsia="Arial" w:hAnsi="Arial"/>
          <w:sz w:val="17"/>
          <w:szCs w:val="17"/>
          <w:color w:val="auto"/>
        </w:rPr>
        <w:t>1835 Dueber Avenue, S.W.</w:t>
      </w:r>
    </w:p>
    <w:p>
      <w:pPr>
        <w:spacing w:after="0" w:line="34" w:lineRule="exact"/>
        <w:rPr>
          <w:sz w:val="20"/>
          <w:szCs w:val="20"/>
          <w:color w:val="auto"/>
        </w:rPr>
      </w:pPr>
    </w:p>
    <w:p>
      <w:pPr>
        <w:ind w:left="460"/>
        <w:spacing w:after="0"/>
        <w:rPr>
          <w:sz w:val="20"/>
          <w:szCs w:val="20"/>
          <w:color w:val="auto"/>
        </w:rPr>
      </w:pPr>
      <w:r>
        <w:rPr>
          <w:rFonts w:ascii="Arial" w:cs="Arial" w:eastAsia="Arial" w:hAnsi="Arial"/>
          <w:sz w:val="18"/>
          <w:szCs w:val="18"/>
          <w:color w:val="auto"/>
        </w:rPr>
        <w:t>Canton, OH 44706-2798</w:t>
      </w:r>
    </w:p>
    <w:p>
      <w:pPr>
        <w:spacing w:after="0" w:line="9" w:lineRule="exact"/>
        <w:rPr>
          <w:sz w:val="20"/>
          <w:szCs w:val="20"/>
          <w:color w:val="auto"/>
        </w:rPr>
      </w:pPr>
    </w:p>
    <w:p>
      <w:pPr>
        <w:ind w:left="460"/>
        <w:spacing w:after="0"/>
        <w:rPr>
          <w:sz w:val="20"/>
          <w:szCs w:val="20"/>
          <w:color w:val="auto"/>
        </w:rPr>
      </w:pPr>
      <w:r>
        <w:rPr>
          <w:rFonts w:ascii="Arial" w:cs="Arial" w:eastAsia="Arial" w:hAnsi="Arial"/>
          <w:sz w:val="17"/>
          <w:szCs w:val="17"/>
          <w:color w:val="auto"/>
        </w:rPr>
        <w:t>Telephone: (330)-471-7000</w:t>
      </w:r>
    </w:p>
    <w:p>
      <w:pPr>
        <w:spacing w:after="0" w:line="20" w:lineRule="exact"/>
        <w:rPr>
          <w:sz w:val="20"/>
          <w:szCs w:val="20"/>
          <w:color w:val="auto"/>
        </w:rPr>
      </w:pPr>
      <w:r>
        <w:rPr>
          <w:sz w:val="20"/>
          <w:szCs w:val="20"/>
          <w:color w:val="auto"/>
        </w:rPr>
        <w:br w:type="column"/>
      </w:r>
    </w:p>
    <w:p>
      <w:pPr>
        <w:spacing w:after="0" w:line="232"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 xml:space="preserve">Parking: </w:t>
      </w:r>
      <w:r>
        <w:rPr>
          <w:rFonts w:ascii="Arial" w:cs="Arial" w:eastAsia="Arial" w:hAnsi="Arial"/>
          <w:sz w:val="16"/>
          <w:szCs w:val="16"/>
          <w:color w:val="auto"/>
        </w:rPr>
        <w:t>Shareholders attending the meeting may park</w:t>
      </w:r>
    </w:p>
    <w:p>
      <w:pPr>
        <w:spacing w:after="0" w:line="50" w:lineRule="exact"/>
        <w:rPr>
          <w:sz w:val="20"/>
          <w:szCs w:val="20"/>
          <w:color w:val="auto"/>
        </w:rPr>
      </w:pPr>
    </w:p>
    <w:p>
      <w:pPr>
        <w:spacing w:after="0"/>
        <w:rPr>
          <w:sz w:val="20"/>
          <w:szCs w:val="20"/>
          <w:color w:val="auto"/>
        </w:rPr>
      </w:pPr>
      <w:r>
        <w:rPr>
          <w:rFonts w:ascii="Arial" w:cs="Arial" w:eastAsia="Arial" w:hAnsi="Arial"/>
          <w:sz w:val="17"/>
          <w:szCs w:val="17"/>
          <w:color w:val="auto"/>
        </w:rPr>
        <w:t>in the visitor lot behind the Corporate Office building.</w:t>
      </w:r>
    </w:p>
    <w:p>
      <w:pPr>
        <w:spacing w:after="0" w:line="200" w:lineRule="exact"/>
        <w:rPr>
          <w:sz w:val="20"/>
          <w:szCs w:val="20"/>
          <w:color w:val="auto"/>
        </w:rPr>
      </w:pPr>
    </w:p>
    <w:p>
      <w:pPr>
        <w:spacing w:after="0" w:line="248"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 xml:space="preserve">Note: </w:t>
      </w:r>
      <w:r>
        <w:rPr>
          <w:rFonts w:ascii="Arial" w:cs="Arial" w:eastAsia="Arial" w:hAnsi="Arial"/>
          <w:sz w:val="17"/>
          <w:szCs w:val="17"/>
          <w:color w:val="auto"/>
        </w:rPr>
        <w:t>If your shares are held in street name, please</w:t>
      </w:r>
    </w:p>
    <w:p>
      <w:pPr>
        <w:spacing w:after="0" w:line="39" w:lineRule="exact"/>
        <w:rPr>
          <w:sz w:val="20"/>
          <w:szCs w:val="20"/>
          <w:color w:val="auto"/>
        </w:rPr>
      </w:pPr>
    </w:p>
    <w:p>
      <w:pPr>
        <w:spacing w:after="0"/>
        <w:rPr>
          <w:sz w:val="20"/>
          <w:szCs w:val="20"/>
          <w:color w:val="auto"/>
        </w:rPr>
      </w:pPr>
      <w:r>
        <w:rPr>
          <w:rFonts w:ascii="Arial" w:cs="Arial" w:eastAsia="Arial" w:hAnsi="Arial"/>
          <w:sz w:val="16"/>
          <w:szCs w:val="16"/>
          <w:color w:val="auto"/>
        </w:rPr>
        <w:t>bring a letter with you from your broker stating as such</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to the Annual Meeting.</w:t>
      </w:r>
    </w:p>
    <w:p>
      <w:pPr>
        <w:spacing w:after="0" w:line="200" w:lineRule="exact"/>
        <w:rPr>
          <w:sz w:val="20"/>
          <w:szCs w:val="20"/>
          <w:color w:val="auto"/>
        </w:rPr>
      </w:pPr>
    </w:p>
    <w:p>
      <w:pPr>
        <w:sectPr>
          <w:pgSz w:w="11900" w:h="16838" w:orient="portrait"/>
          <w:cols w:equalWidth="0" w:num="2">
            <w:col w:w="6140" w:space="720"/>
            <w:col w:w="4560"/>
          </w:cols>
          <w:pgMar w:left="240" w:top="459" w:right="239" w:bottom="1440" w:gutter="0" w:footer="0" w:header="0"/>
          <w:type w:val="continuous"/>
        </w:sectPr>
      </w:pPr>
    </w:p>
    <w:p>
      <w:pPr>
        <w:spacing w:after="0" w:line="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For directions to the Annual Meeting, please refer to the investor page on our website at</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http://investors.timkensteel.com.</w:t>
      </w:r>
    </w:p>
    <w:p>
      <w:pPr>
        <w:spacing w:after="0" w:line="200" w:lineRule="exact"/>
        <w:rPr>
          <w:sz w:val="20"/>
          <w:szCs w:val="20"/>
          <w:color w:val="auto"/>
        </w:rPr>
      </w:pPr>
    </w:p>
    <w:p>
      <w:pPr>
        <w:spacing w:after="0" w:line="223"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ELECTRONIC ACCESS TO FUTURE DOCUMENTS NOW AVAILABLE</w:t>
      </w:r>
    </w:p>
    <w:p>
      <w:pPr>
        <w:spacing w:after="0" w:line="229"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If you are a registered holder of shares, you have the option to access future shareholder communications (e.g., annual reports, proxy statements, related proxy materials) over the Internet instead of receiving those documents in print. Participation is completely voluntary. If you give your consent, in the future, when our material is available over the Internet, you will receive notification which will contain the Internet location where the material is available. Our material will be presented in PDF format. There is no cost to you for this service other than any charges you may incur from your Internet provider, telephone and/or cable company. Once you give your consent, it will remain in effect until you inform us otherwise. You may revoke your consent at any time by notifying the Company in writing. To give your consent, follow the prompts when you vote by telephone or over the Internet or check the appropriate box located at the bottom of the attached proxy card when you vote by mail.</w:t>
      </w:r>
    </w:p>
    <w:p>
      <w:pPr>
        <w:spacing w:after="0" w:line="174" w:lineRule="exact"/>
        <w:rPr>
          <w:sz w:val="20"/>
          <w:szCs w:val="20"/>
          <w:color w:val="auto"/>
        </w:rPr>
      </w:pPr>
    </w:p>
    <w:p>
      <w:pPr>
        <w:jc w:val="center"/>
        <w:spacing w:after="0"/>
        <w:tabs>
          <w:tab w:leader="none" w:pos="160" w:val="left"/>
          <w:tab w:leader="none" w:pos="160" w:val="left"/>
        </w:tabs>
        <w:rPr>
          <w:sz w:val="20"/>
          <w:szCs w:val="20"/>
          <w:color w:val="auto"/>
        </w:rPr>
      </w:pPr>
      <w:r>
        <w:rPr>
          <w:rFonts w:ascii="Arial" w:cs="Arial" w:eastAsia="Arial" w:hAnsi="Arial"/>
          <w:sz w:val="18"/>
          <w:szCs w:val="18"/>
          <w:color w:val="auto"/>
        </w:rPr>
        <w:t>ê</w:t>
      </w:r>
      <w:r>
        <w:rPr>
          <w:sz w:val="20"/>
          <w:szCs w:val="20"/>
          <w:color w:val="auto"/>
        </w:rPr>
        <w:tab/>
      </w:r>
      <w:r>
        <w:rPr>
          <w:rFonts w:ascii="Arial" w:cs="Arial" w:eastAsia="Arial" w:hAnsi="Arial"/>
          <w:sz w:val="17"/>
          <w:szCs w:val="17"/>
          <w:b w:val="1"/>
          <w:bCs w:val="1"/>
          <w:color w:val="auto"/>
        </w:rPr>
        <w:t>Please fold and detach card at perforation before mailing.</w:t>
      </w:r>
      <w:r>
        <w:rPr>
          <w:sz w:val="20"/>
          <w:szCs w:val="20"/>
          <w:color w:val="auto"/>
        </w:rPr>
        <w:tab/>
      </w:r>
      <w:r>
        <w:rPr>
          <w:rFonts w:ascii="Arial" w:cs="Arial" w:eastAsia="Arial" w:hAnsi="Arial"/>
          <w:sz w:val="14"/>
          <w:szCs w:val="14"/>
          <w:color w:val="auto"/>
        </w:rPr>
        <w:t>ê</w:t>
      </w:r>
    </w:p>
    <w:p>
      <w:pPr>
        <w:spacing w:after="0" w:line="239" w:lineRule="exact"/>
        <w:rPr>
          <w:sz w:val="20"/>
          <w:szCs w:val="20"/>
          <w:color w:val="auto"/>
        </w:rPr>
      </w:pPr>
    </w:p>
    <w:p>
      <w:pPr>
        <w:spacing w:after="0"/>
        <w:tabs>
          <w:tab w:leader="none" w:pos="8020" w:val="left"/>
        </w:tabs>
        <w:rPr>
          <w:sz w:val="20"/>
          <w:szCs w:val="20"/>
          <w:color w:val="auto"/>
        </w:rPr>
      </w:pPr>
      <w:r>
        <w:rPr>
          <w:rFonts w:ascii="Arial" w:cs="Arial" w:eastAsia="Arial" w:hAnsi="Arial"/>
          <w:sz w:val="18"/>
          <w:szCs w:val="18"/>
          <w:b w:val="1"/>
          <w:bCs w:val="1"/>
          <w:color w:val="auto"/>
        </w:rPr>
        <w:t>TIMKENSTEEL CORPORATION</w:t>
      </w:r>
      <w:r>
        <w:rPr>
          <w:sz w:val="20"/>
          <w:szCs w:val="20"/>
          <w:color w:val="auto"/>
        </w:rPr>
        <w:tab/>
      </w:r>
      <w:r>
        <w:rPr>
          <w:rFonts w:ascii="Arial" w:cs="Arial" w:eastAsia="Arial" w:hAnsi="Arial"/>
          <w:sz w:val="18"/>
          <w:szCs w:val="18"/>
          <w:b w:val="1"/>
          <w:bCs w:val="1"/>
          <w:color w:val="auto"/>
        </w:rPr>
        <w:t>PROXY / VOTING INSTRUCTION CARD</w:t>
      </w:r>
    </w:p>
    <w:p>
      <w:pPr>
        <w:spacing w:after="0" w:line="117" w:lineRule="exact"/>
        <w:rPr>
          <w:sz w:val="20"/>
          <w:szCs w:val="20"/>
          <w:color w:val="auto"/>
        </w:rPr>
      </w:pPr>
    </w:p>
    <w:p>
      <w:pPr>
        <w:ind w:right="340"/>
        <w:spacing w:after="0" w:line="282" w:lineRule="auto"/>
        <w:rPr>
          <w:sz w:val="20"/>
          <w:szCs w:val="20"/>
          <w:color w:val="auto"/>
        </w:rPr>
      </w:pPr>
      <w:r>
        <w:rPr>
          <w:rFonts w:ascii="Arial" w:cs="Arial" w:eastAsia="Arial" w:hAnsi="Arial"/>
          <w:sz w:val="18"/>
          <w:szCs w:val="18"/>
          <w:b w:val="1"/>
          <w:bCs w:val="1"/>
          <w:color w:val="auto"/>
        </w:rPr>
        <w:t xml:space="preserve">The shares represented by this proxy will be voted as recommended by the Board of Directors unless otherwise specified. The Board of Directors recommends a vote </w:t>
      </w:r>
      <w:r>
        <w:rPr>
          <w:rFonts w:ascii="Arial" w:cs="Arial" w:eastAsia="Arial" w:hAnsi="Arial"/>
          <w:sz w:val="18"/>
          <w:szCs w:val="18"/>
          <w:b w:val="1"/>
          <w:bCs w:val="1"/>
          <w:u w:val="single" w:color="auto"/>
          <w:color w:val="auto"/>
        </w:rPr>
        <w:t>FOR</w:t>
      </w:r>
      <w:r>
        <w:rPr>
          <w:rFonts w:ascii="Arial" w:cs="Arial" w:eastAsia="Arial" w:hAnsi="Arial"/>
          <w:sz w:val="18"/>
          <w:szCs w:val="18"/>
          <w:b w:val="1"/>
          <w:bCs w:val="1"/>
          <w:color w:val="auto"/>
        </w:rPr>
        <w:t xml:space="preserve"> all nominees listed in proposal 1 and </w:t>
      </w:r>
      <w:r>
        <w:rPr>
          <w:rFonts w:ascii="Arial" w:cs="Arial" w:eastAsia="Arial" w:hAnsi="Arial"/>
          <w:sz w:val="18"/>
          <w:szCs w:val="18"/>
          <w:b w:val="1"/>
          <w:bCs w:val="1"/>
          <w:u w:val="single" w:color="auto"/>
          <w:color w:val="auto"/>
        </w:rPr>
        <w:t>FOR</w:t>
      </w:r>
      <w:r>
        <w:rPr>
          <w:rFonts w:ascii="Arial" w:cs="Arial" w:eastAsia="Arial" w:hAnsi="Arial"/>
          <w:sz w:val="18"/>
          <w:szCs w:val="18"/>
          <w:b w:val="1"/>
          <w:bCs w:val="1"/>
          <w:color w:val="auto"/>
        </w:rPr>
        <w:t xml:space="preserve"> proposals 2, 3 and 4.</w:t>
      </w:r>
    </w:p>
    <w:p>
      <w:pPr>
        <w:spacing w:after="0" w:line="71" w:lineRule="exact"/>
        <w:rPr>
          <w:sz w:val="20"/>
          <w:szCs w:val="20"/>
          <w:color w:val="auto"/>
        </w:rPr>
      </w:pPr>
    </w:p>
    <w:p>
      <w:pPr>
        <w:jc w:val="center"/>
        <w:ind w:right="4040"/>
        <w:spacing w:after="0"/>
        <w:rPr>
          <w:sz w:val="20"/>
          <w:szCs w:val="20"/>
          <w:color w:val="auto"/>
        </w:rPr>
      </w:pPr>
      <w:r>
        <w:rPr>
          <w:rFonts w:ascii="Arial" w:cs="Arial" w:eastAsia="Arial" w:hAnsi="Arial"/>
          <w:sz w:val="16"/>
          <w:szCs w:val="16"/>
          <w:color w:val="auto"/>
        </w:rPr>
        <w:t>1. Election of the following Directors to serve a three-year term expiring at the 2019 Annual Meeting:</w:t>
      </w:r>
    </w:p>
    <w:p>
      <w:pPr>
        <w:spacing w:after="0" w:line="154" w:lineRule="exact"/>
        <w:rPr>
          <w:sz w:val="20"/>
          <w:szCs w:val="20"/>
          <w:color w:val="auto"/>
        </w:rPr>
      </w:pPr>
    </w:p>
    <w:p>
      <w:pPr>
        <w:ind w:left="360"/>
        <w:spacing w:after="0"/>
        <w:tabs>
          <w:tab w:leader="none" w:pos="3460" w:val="left"/>
          <w:tab w:leader="none" w:pos="5720" w:val="left"/>
        </w:tabs>
        <w:rPr>
          <w:sz w:val="20"/>
          <w:szCs w:val="20"/>
          <w:color w:val="auto"/>
        </w:rPr>
      </w:pPr>
      <w:r>
        <w:rPr>
          <w:rFonts w:ascii="Arial" w:cs="Arial" w:eastAsia="Arial" w:hAnsi="Arial"/>
          <w:sz w:val="18"/>
          <w:szCs w:val="18"/>
          <w:color w:val="auto"/>
        </w:rPr>
        <w:t>Nominees:  1. Diane C. Creel</w:t>
      </w:r>
      <w:r>
        <w:rPr>
          <w:sz w:val="20"/>
          <w:szCs w:val="20"/>
          <w:color w:val="auto"/>
        </w:rPr>
        <w:tab/>
      </w:r>
      <w:r>
        <w:rPr>
          <w:rFonts w:ascii="Arial" w:cs="Arial" w:eastAsia="Arial" w:hAnsi="Arial"/>
          <w:sz w:val="18"/>
          <w:szCs w:val="18"/>
          <w:color w:val="auto"/>
        </w:rPr>
        <w:t>2. Donald T. Misheff</w:t>
      </w:r>
      <w:r>
        <w:rPr>
          <w:sz w:val="20"/>
          <w:szCs w:val="20"/>
          <w:color w:val="auto"/>
        </w:rPr>
        <w:tab/>
      </w:r>
      <w:r>
        <w:rPr>
          <w:rFonts w:ascii="Arial" w:cs="Arial" w:eastAsia="Arial" w:hAnsi="Arial"/>
          <w:sz w:val="17"/>
          <w:szCs w:val="17"/>
          <w:color w:val="auto"/>
        </w:rPr>
        <w:t>3. Ronald A. Rice</w:t>
      </w:r>
    </w:p>
    <w:p>
      <w:pPr>
        <w:spacing w:after="0" w:line="98" w:lineRule="exact"/>
        <w:rPr>
          <w:sz w:val="20"/>
          <w:szCs w:val="20"/>
          <w:color w:val="auto"/>
        </w:rPr>
      </w:pPr>
    </w:p>
    <w:p>
      <w:pPr>
        <w:ind w:left="1500"/>
        <w:spacing w:after="0" w:line="207" w:lineRule="exact"/>
        <w:tabs>
          <w:tab w:leader="none" w:pos="5060" w:val="left"/>
        </w:tabs>
        <w:rPr>
          <w:sz w:val="20"/>
          <w:szCs w:val="20"/>
          <w:color w:val="auto"/>
        </w:rPr>
      </w:pPr>
      <w:r>
        <w:rPr>
          <w:rFonts w:ascii="MS PGothic" w:cs="MS PGothic" w:eastAsia="MS PGothic" w:hAnsi="MS PGothic"/>
          <w:sz w:val="18"/>
          <w:szCs w:val="18"/>
          <w:color w:val="auto"/>
        </w:rPr>
        <w:t>☐</w:t>
      </w:r>
      <w:r>
        <w:rPr>
          <w:rFonts w:ascii="Arial" w:cs="Arial" w:eastAsia="Arial" w:hAnsi="Arial"/>
          <w:sz w:val="18"/>
          <w:szCs w:val="18"/>
          <w:b w:val="1"/>
          <w:bCs w:val="1"/>
          <w:color w:val="auto"/>
        </w:rPr>
        <w:t xml:space="preserve"> FOR </w:t>
      </w:r>
      <w:r>
        <w:rPr>
          <w:rFonts w:ascii="Arial" w:cs="Arial" w:eastAsia="Arial" w:hAnsi="Arial"/>
          <w:sz w:val="18"/>
          <w:szCs w:val="18"/>
          <w:color w:val="auto"/>
        </w:rPr>
        <w:t>all nominees listed above</w:t>
      </w:r>
      <w:r>
        <w:rPr>
          <w:sz w:val="20"/>
          <w:szCs w:val="20"/>
          <w:color w:val="auto"/>
        </w:rPr>
        <w:tab/>
      </w:r>
      <w:r>
        <w:rPr>
          <w:rFonts w:ascii="MS PGothic" w:cs="MS PGothic" w:eastAsia="MS PGothic" w:hAnsi="MS PGothic"/>
          <w:sz w:val="17"/>
          <w:szCs w:val="17"/>
          <w:color w:val="auto"/>
        </w:rPr>
        <w:t xml:space="preserve">☐ </w:t>
      </w:r>
      <w:r>
        <w:rPr>
          <w:rFonts w:ascii="Arial" w:cs="Arial" w:eastAsia="Arial" w:hAnsi="Arial"/>
          <w:sz w:val="17"/>
          <w:szCs w:val="17"/>
          <w:b w:val="1"/>
          <w:bCs w:val="1"/>
          <w:color w:val="auto"/>
        </w:rPr>
        <w:t>WITHHOLD AUTHORITY</w:t>
      </w:r>
      <w:r>
        <w:rPr>
          <w:rFonts w:ascii="MS PGothic" w:cs="MS PGothic" w:eastAsia="MS PGothic" w:hAnsi="MS PGothic"/>
          <w:sz w:val="17"/>
          <w:szCs w:val="17"/>
          <w:color w:val="auto"/>
        </w:rPr>
        <w:t xml:space="preserve"> </w:t>
      </w:r>
      <w:r>
        <w:rPr>
          <w:rFonts w:ascii="Arial" w:cs="Arial" w:eastAsia="Arial" w:hAnsi="Arial"/>
          <w:sz w:val="17"/>
          <w:szCs w:val="17"/>
          <w:color w:val="auto"/>
        </w:rPr>
        <w:t>to vote for all nominees listed above</w:t>
      </w:r>
    </w:p>
    <w:p>
      <w:pPr>
        <w:spacing w:after="0" w:line="155" w:lineRule="exact"/>
        <w:rPr>
          <w:sz w:val="20"/>
          <w:szCs w:val="20"/>
          <w:color w:val="auto"/>
        </w:rPr>
      </w:pPr>
    </w:p>
    <w:p>
      <w:pPr>
        <w:ind w:left="1760"/>
        <w:spacing w:after="0"/>
        <w:rPr>
          <w:sz w:val="20"/>
          <w:szCs w:val="20"/>
          <w:color w:val="auto"/>
        </w:rPr>
      </w:pPr>
      <w:r>
        <w:rPr>
          <w:rFonts w:ascii="Arial" w:cs="Arial" w:eastAsia="Arial" w:hAnsi="Arial"/>
          <w:sz w:val="14"/>
          <w:szCs w:val="14"/>
          <w:b w:val="1"/>
          <w:bCs w:val="1"/>
          <w:color w:val="auto"/>
        </w:rPr>
        <w:t>To withhold authority to vote for any individual nominee, write the nominee’s name or number on the line below.</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1094105</wp:posOffset>
            </wp:positionH>
            <wp:positionV relativeFrom="paragraph">
              <wp:posOffset>169545</wp:posOffset>
            </wp:positionV>
            <wp:extent cx="4416425" cy="8890"/>
            <wp:wrapNone/>
            <wp:docPr id="286"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293">
                      <a:extLst>
                        <a:ext uri="{28A0092B-C50C-407E-A947-70E740481C1C}"/>
                      </a:extLst>
                    </a:blip>
                    <a:srcRect/>
                    <a:stretch>
                      <a:fillRect/>
                    </a:stretch>
                  </pic:blipFill>
                  <pic:spPr bwMode="auto">
                    <a:xfrm>
                      <a:off x="0" y="0"/>
                      <a:ext cx="4416425" cy="8890"/>
                    </a:xfrm>
                    <a:prstGeom prst="rect">
                      <a:avLst/>
                    </a:prstGeom>
                    <a:noFill/>
                  </pic:spPr>
                </pic:pic>
              </a:graphicData>
            </a:graphic>
          </wp:anchor>
        </w:drawing>
      </w:r>
    </w:p>
    <w:p>
      <w:pPr>
        <w:spacing w:after="0" w:line="381" w:lineRule="exact"/>
        <w:rPr>
          <w:sz w:val="20"/>
          <w:szCs w:val="20"/>
          <w:color w:val="auto"/>
        </w:rPr>
      </w:pPr>
    </w:p>
    <w:p>
      <w:pPr>
        <w:spacing w:after="0"/>
        <w:rPr>
          <w:sz w:val="20"/>
          <w:szCs w:val="20"/>
          <w:color w:val="auto"/>
        </w:rPr>
      </w:pPr>
      <w:r>
        <w:rPr>
          <w:rFonts w:ascii="Arial" w:cs="Arial" w:eastAsia="Arial" w:hAnsi="Arial"/>
          <w:sz w:val="18"/>
          <w:szCs w:val="18"/>
          <w:color w:val="auto"/>
        </w:rPr>
        <w:t>2. Ratification of the selection of Ernst &amp; Young LLP as the Company’s independent auditor for the fiscal year ending December 31, 2016.</w:t>
      </w:r>
    </w:p>
    <w:p>
      <w:pPr>
        <w:spacing w:after="0" w:line="98" w:lineRule="exact"/>
        <w:rPr>
          <w:sz w:val="20"/>
          <w:szCs w:val="20"/>
          <w:color w:val="auto"/>
        </w:rPr>
      </w:pPr>
    </w:p>
    <w:p>
      <w:pPr>
        <w:ind w:left="1500"/>
        <w:spacing w:after="0" w:line="207" w:lineRule="exact"/>
        <w:tabs>
          <w:tab w:leader="none" w:pos="1820" w:val="left"/>
          <w:tab w:leader="none" w:pos="3300" w:val="left"/>
          <w:tab w:leader="none" w:pos="5560" w:val="left"/>
        </w:tabs>
        <w:rPr>
          <w:sz w:val="20"/>
          <w:szCs w:val="20"/>
          <w:color w:val="auto"/>
        </w:rPr>
      </w:pPr>
      <w:r>
        <w:rPr>
          <w:rFonts w:ascii="MS PGothic" w:cs="MS PGothic" w:eastAsia="MS PGothic" w:hAnsi="MS PGothic"/>
          <w:sz w:val="18"/>
          <w:szCs w:val="18"/>
          <w:color w:val="auto"/>
        </w:rPr>
        <w:t>☐</w:t>
      </w:r>
      <w:r>
        <w:rPr>
          <w:rFonts w:ascii="Arial" w:cs="Arial" w:eastAsia="Arial" w:hAnsi="Arial"/>
          <w:sz w:val="18"/>
          <w:szCs w:val="18"/>
          <w:b w:val="1"/>
          <w:bCs w:val="1"/>
          <w:color w:val="auto"/>
        </w:rPr>
        <w:tab/>
        <w:t>FOR</w:t>
      </w:r>
      <w:r>
        <w:rPr>
          <w:sz w:val="20"/>
          <w:szCs w:val="20"/>
          <w:color w:val="auto"/>
        </w:rPr>
        <w:tab/>
      </w:r>
      <w:r>
        <w:rPr>
          <w:rFonts w:ascii="MS PGothic" w:cs="MS PGothic" w:eastAsia="MS PGothic" w:hAnsi="MS PGothic"/>
          <w:sz w:val="18"/>
          <w:szCs w:val="18"/>
          <w:color w:val="auto"/>
        </w:rPr>
        <w:t xml:space="preserve">☐  </w:t>
      </w:r>
      <w:r>
        <w:rPr>
          <w:rFonts w:ascii="Arial" w:cs="Arial" w:eastAsia="Arial" w:hAnsi="Arial"/>
          <w:sz w:val="18"/>
          <w:szCs w:val="18"/>
          <w:b w:val="1"/>
          <w:bCs w:val="1"/>
          <w:color w:val="auto"/>
        </w:rPr>
        <w:t>AGAINST</w:t>
      </w:r>
      <w:r>
        <w:rPr>
          <w:sz w:val="20"/>
          <w:szCs w:val="20"/>
          <w:color w:val="auto"/>
        </w:rPr>
        <w:tab/>
      </w:r>
      <w:r>
        <w:rPr>
          <w:rFonts w:ascii="MS PGothic" w:cs="MS PGothic" w:eastAsia="MS PGothic" w:hAnsi="MS PGothic"/>
          <w:sz w:val="18"/>
          <w:szCs w:val="18"/>
          <w:color w:val="auto"/>
        </w:rPr>
        <w:t xml:space="preserve">☐  </w:t>
      </w:r>
      <w:r>
        <w:rPr>
          <w:rFonts w:ascii="Arial" w:cs="Arial" w:eastAsia="Arial" w:hAnsi="Arial"/>
          <w:sz w:val="18"/>
          <w:szCs w:val="18"/>
          <w:b w:val="1"/>
          <w:bCs w:val="1"/>
          <w:color w:val="auto"/>
        </w:rPr>
        <w:t>ABSTAIN</w:t>
      </w:r>
    </w:p>
    <w:p>
      <w:pPr>
        <w:spacing w:after="0" w:line="163" w:lineRule="exact"/>
        <w:rPr>
          <w:sz w:val="20"/>
          <w:szCs w:val="20"/>
          <w:color w:val="auto"/>
        </w:rPr>
      </w:pPr>
    </w:p>
    <w:p>
      <w:pPr>
        <w:spacing w:after="0"/>
        <w:rPr>
          <w:sz w:val="20"/>
          <w:szCs w:val="20"/>
          <w:color w:val="auto"/>
        </w:rPr>
      </w:pPr>
      <w:r>
        <w:rPr>
          <w:rFonts w:ascii="Arial" w:cs="Arial" w:eastAsia="Arial" w:hAnsi="Arial"/>
          <w:sz w:val="18"/>
          <w:szCs w:val="18"/>
          <w:color w:val="auto"/>
        </w:rPr>
        <w:t>3. Approval, on an advisory basis, of the compensation of the Company’s named executive officers.</w:t>
      </w:r>
    </w:p>
    <w:p>
      <w:pPr>
        <w:spacing w:after="0" w:line="98" w:lineRule="exact"/>
        <w:rPr>
          <w:sz w:val="20"/>
          <w:szCs w:val="20"/>
          <w:color w:val="auto"/>
        </w:rPr>
      </w:pPr>
    </w:p>
    <w:p>
      <w:pPr>
        <w:ind w:left="1500"/>
        <w:spacing w:after="0" w:line="207" w:lineRule="exact"/>
        <w:tabs>
          <w:tab w:leader="none" w:pos="1820" w:val="left"/>
          <w:tab w:leader="none" w:pos="3300" w:val="left"/>
          <w:tab w:leader="none" w:pos="5560" w:val="left"/>
        </w:tabs>
        <w:rPr>
          <w:sz w:val="20"/>
          <w:szCs w:val="20"/>
          <w:color w:val="auto"/>
        </w:rPr>
      </w:pPr>
      <w:r>
        <w:rPr>
          <w:rFonts w:ascii="MS PGothic" w:cs="MS PGothic" w:eastAsia="MS PGothic" w:hAnsi="MS PGothic"/>
          <w:sz w:val="18"/>
          <w:szCs w:val="18"/>
          <w:color w:val="auto"/>
        </w:rPr>
        <w:t>☐</w:t>
      </w:r>
      <w:r>
        <w:rPr>
          <w:rFonts w:ascii="Arial" w:cs="Arial" w:eastAsia="Arial" w:hAnsi="Arial"/>
          <w:sz w:val="18"/>
          <w:szCs w:val="18"/>
          <w:b w:val="1"/>
          <w:bCs w:val="1"/>
          <w:color w:val="auto"/>
        </w:rPr>
        <w:tab/>
        <w:t>FOR</w:t>
      </w:r>
      <w:r>
        <w:rPr>
          <w:sz w:val="20"/>
          <w:szCs w:val="20"/>
          <w:color w:val="auto"/>
        </w:rPr>
        <w:tab/>
      </w:r>
      <w:r>
        <w:rPr>
          <w:rFonts w:ascii="MS PGothic" w:cs="MS PGothic" w:eastAsia="MS PGothic" w:hAnsi="MS PGothic"/>
          <w:sz w:val="18"/>
          <w:szCs w:val="18"/>
          <w:color w:val="auto"/>
        </w:rPr>
        <w:t xml:space="preserve">☐  </w:t>
      </w:r>
      <w:r>
        <w:rPr>
          <w:rFonts w:ascii="Arial" w:cs="Arial" w:eastAsia="Arial" w:hAnsi="Arial"/>
          <w:sz w:val="18"/>
          <w:szCs w:val="18"/>
          <w:b w:val="1"/>
          <w:bCs w:val="1"/>
          <w:color w:val="auto"/>
        </w:rPr>
        <w:t>AGAINST</w:t>
      </w:r>
      <w:r>
        <w:rPr>
          <w:sz w:val="20"/>
          <w:szCs w:val="20"/>
          <w:color w:val="auto"/>
        </w:rPr>
        <w:tab/>
      </w:r>
      <w:r>
        <w:rPr>
          <w:rFonts w:ascii="MS PGothic" w:cs="MS PGothic" w:eastAsia="MS PGothic" w:hAnsi="MS PGothic"/>
          <w:sz w:val="18"/>
          <w:szCs w:val="18"/>
          <w:color w:val="auto"/>
        </w:rPr>
        <w:t xml:space="preserve">☐  </w:t>
      </w:r>
      <w:r>
        <w:rPr>
          <w:rFonts w:ascii="Arial" w:cs="Arial" w:eastAsia="Arial" w:hAnsi="Arial"/>
          <w:sz w:val="18"/>
          <w:szCs w:val="18"/>
          <w:b w:val="1"/>
          <w:bCs w:val="1"/>
          <w:color w:val="auto"/>
        </w:rPr>
        <w:t>ABSTAIN</w:t>
      </w:r>
    </w:p>
    <w:p>
      <w:pPr>
        <w:spacing w:after="0" w:line="163" w:lineRule="exact"/>
        <w:rPr>
          <w:sz w:val="20"/>
          <w:szCs w:val="20"/>
          <w:color w:val="auto"/>
        </w:rPr>
      </w:pPr>
    </w:p>
    <w:p>
      <w:pPr>
        <w:spacing w:after="0"/>
        <w:rPr>
          <w:sz w:val="20"/>
          <w:szCs w:val="20"/>
          <w:color w:val="auto"/>
        </w:rPr>
      </w:pPr>
      <w:r>
        <w:rPr>
          <w:rFonts w:ascii="Arial" w:cs="Arial" w:eastAsia="Arial" w:hAnsi="Arial"/>
          <w:sz w:val="18"/>
          <w:szCs w:val="18"/>
          <w:color w:val="auto"/>
        </w:rPr>
        <w:t>4. Approval of the TimkenSteel Corporation Amended and Restated 2014 Equity and Incentive Compensation Plan.</w:t>
      </w:r>
    </w:p>
    <w:p>
      <w:pPr>
        <w:spacing w:after="0" w:line="98" w:lineRule="exact"/>
        <w:rPr>
          <w:sz w:val="20"/>
          <w:szCs w:val="20"/>
          <w:color w:val="auto"/>
        </w:rPr>
      </w:pPr>
    </w:p>
    <w:p>
      <w:pPr>
        <w:ind w:left="1500"/>
        <w:spacing w:after="0" w:line="207" w:lineRule="exact"/>
        <w:tabs>
          <w:tab w:leader="none" w:pos="1820" w:val="left"/>
          <w:tab w:leader="none" w:pos="3300" w:val="left"/>
          <w:tab w:leader="none" w:pos="5560" w:val="left"/>
        </w:tabs>
        <w:rPr>
          <w:sz w:val="20"/>
          <w:szCs w:val="20"/>
          <w:color w:val="auto"/>
        </w:rPr>
      </w:pPr>
      <w:r>
        <w:rPr>
          <w:rFonts w:ascii="MS PGothic" w:cs="MS PGothic" w:eastAsia="MS PGothic" w:hAnsi="MS PGothic"/>
          <w:sz w:val="18"/>
          <w:szCs w:val="18"/>
          <w:color w:val="auto"/>
        </w:rPr>
        <w:t>☐</w:t>
      </w:r>
      <w:r>
        <w:rPr>
          <w:rFonts w:ascii="Arial" w:cs="Arial" w:eastAsia="Arial" w:hAnsi="Arial"/>
          <w:sz w:val="18"/>
          <w:szCs w:val="18"/>
          <w:b w:val="1"/>
          <w:bCs w:val="1"/>
          <w:color w:val="auto"/>
        </w:rPr>
        <w:tab/>
        <w:t>FOR</w:t>
      </w:r>
      <w:r>
        <w:rPr>
          <w:sz w:val="20"/>
          <w:szCs w:val="20"/>
          <w:color w:val="auto"/>
        </w:rPr>
        <w:tab/>
      </w:r>
      <w:r>
        <w:rPr>
          <w:rFonts w:ascii="MS PGothic" w:cs="MS PGothic" w:eastAsia="MS PGothic" w:hAnsi="MS PGothic"/>
          <w:sz w:val="18"/>
          <w:szCs w:val="18"/>
          <w:color w:val="auto"/>
        </w:rPr>
        <w:t xml:space="preserve">☐  </w:t>
      </w:r>
      <w:r>
        <w:rPr>
          <w:rFonts w:ascii="Arial" w:cs="Arial" w:eastAsia="Arial" w:hAnsi="Arial"/>
          <w:sz w:val="18"/>
          <w:szCs w:val="18"/>
          <w:b w:val="1"/>
          <w:bCs w:val="1"/>
          <w:color w:val="auto"/>
        </w:rPr>
        <w:t>AGAINST</w:t>
      </w:r>
      <w:r>
        <w:rPr>
          <w:sz w:val="20"/>
          <w:szCs w:val="20"/>
          <w:color w:val="auto"/>
        </w:rPr>
        <w:tab/>
      </w:r>
      <w:r>
        <w:rPr>
          <w:rFonts w:ascii="MS PGothic" w:cs="MS PGothic" w:eastAsia="MS PGothic" w:hAnsi="MS PGothic"/>
          <w:sz w:val="18"/>
          <w:szCs w:val="18"/>
          <w:color w:val="auto"/>
        </w:rPr>
        <w:t xml:space="preserve">☐  </w:t>
      </w:r>
      <w:r>
        <w:rPr>
          <w:rFonts w:ascii="Arial" w:cs="Arial" w:eastAsia="Arial" w:hAnsi="Arial"/>
          <w:sz w:val="18"/>
          <w:szCs w:val="18"/>
          <w:b w:val="1"/>
          <w:bCs w:val="1"/>
          <w:color w:val="auto"/>
        </w:rPr>
        <w:t>ABSTAIN</w:t>
      </w:r>
    </w:p>
    <w:p>
      <w:pPr>
        <w:spacing w:after="0" w:line="150" w:lineRule="exact"/>
        <w:rPr>
          <w:sz w:val="20"/>
          <w:szCs w:val="20"/>
          <w:color w:val="auto"/>
        </w:rPr>
      </w:pPr>
    </w:p>
    <w:p>
      <w:pPr>
        <w:spacing w:after="0"/>
        <w:rPr>
          <w:sz w:val="20"/>
          <w:szCs w:val="20"/>
          <w:color w:val="auto"/>
        </w:rPr>
      </w:pPr>
      <w:r>
        <w:rPr>
          <w:rFonts w:ascii="Arial" w:cs="Arial" w:eastAsia="Arial" w:hAnsi="Arial"/>
          <w:sz w:val="18"/>
          <w:szCs w:val="18"/>
          <w:color w:val="auto"/>
        </w:rPr>
        <w:t>In their discretion, the proxies are authorized to vote upon such other business as may properly come before the meeting.</w:t>
      </w:r>
    </w:p>
    <w:p>
      <w:pPr>
        <w:spacing w:after="0" w:line="131" w:lineRule="exact"/>
        <w:rPr>
          <w:sz w:val="20"/>
          <w:szCs w:val="20"/>
          <w:color w:val="auto"/>
        </w:rPr>
      </w:pPr>
    </w:p>
    <w:p>
      <w:pPr>
        <w:ind w:left="460" w:right="160" w:hanging="452"/>
        <w:spacing w:after="0" w:line="277" w:lineRule="auto"/>
        <w:tabs>
          <w:tab w:leader="none" w:pos="460" w:val="left"/>
        </w:tabs>
        <w:numPr>
          <w:ilvl w:val="0"/>
          <w:numId w:val="85"/>
        </w:numPr>
        <w:rPr>
          <w:rFonts w:ascii="MS PGothic" w:cs="MS PGothic" w:eastAsia="MS PGothic" w:hAnsi="MS PGothic"/>
          <w:sz w:val="18"/>
          <w:szCs w:val="18"/>
          <w:color w:val="auto"/>
        </w:rPr>
      </w:pPr>
      <w:r>
        <w:rPr>
          <w:rFonts w:ascii="Arial" w:cs="Arial" w:eastAsia="Arial" w:hAnsi="Arial"/>
          <w:sz w:val="18"/>
          <w:szCs w:val="18"/>
          <w:color w:val="auto"/>
        </w:rPr>
        <w:t>PLEASE CHECK THIS BOX IF YOU CONSENT TO ACCESS FUTURE ANNUAL REPORTS AND PROXY MATERIAL VIA THE INTERNET ONLY.</w:t>
      </w:r>
    </w:p>
    <w:p>
      <w:pPr>
        <w:spacing w:after="0" w:line="166"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CONTINUED AND TO BE SIGNED ON THE REVERSE SIDE.</w:t>
      </w:r>
    </w:p>
    <w:p>
      <w:pPr>
        <w:sectPr>
          <w:pgSz w:w="11900" w:h="16838" w:orient="portrait"/>
          <w:cols w:equalWidth="0" w:num="1">
            <w:col w:w="11420"/>
          </w:cols>
          <w:pgMar w:left="240" w:top="459" w:right="239" w:bottom="1440" w:gutter="0" w:footer="0" w:header="0"/>
          <w:type w:val="continuous"/>
        </w:sectPr>
      </w:pPr>
    </w:p>
    <w:bookmarkStart w:id="110" w:name="page111"/>
    <w:bookmarkEnd w:id="11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287"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294">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4">
        <w:r>
          <w:rPr>
            <w:rFonts w:ascii="Arial" w:cs="Arial" w:eastAsia="Arial" w:hAnsi="Arial"/>
            <w:sz w:val="18"/>
            <w:szCs w:val="18"/>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2406650</wp:posOffset>
            </wp:positionH>
            <wp:positionV relativeFrom="paragraph">
              <wp:posOffset>205740</wp:posOffset>
            </wp:positionV>
            <wp:extent cx="2444115" cy="342900"/>
            <wp:wrapNone/>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295">
                      <a:extLst>
                        <a:ext uri="{28A0092B-C50C-407E-A947-70E740481C1C}"/>
                      </a:extLst>
                    </a:blip>
                    <a:srcRect/>
                    <a:stretch>
                      <a:fillRect/>
                    </a:stretch>
                  </pic:blipFill>
                  <pic:spPr bwMode="auto">
                    <a:xfrm>
                      <a:off x="0" y="0"/>
                      <a:ext cx="2444115" cy="34290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2"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IMPORTANT NOTICE REGARDING THE AVAILABILITY OF PROXY MATERIALS FOR</w:t>
      </w:r>
    </w:p>
    <w:p>
      <w:pPr>
        <w:spacing w:after="0" w:line="27"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TIMKENSTEEL CORPORATION</w:t>
      </w:r>
    </w:p>
    <w:p>
      <w:pPr>
        <w:spacing w:after="0" w:line="9"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ANNUAL MEETING OF SHAREHOLDERS TO BE HELD ON APRIL 28, 2016</w:t>
      </w:r>
    </w:p>
    <w:p>
      <w:pPr>
        <w:spacing w:after="0" w:line="207" w:lineRule="exact"/>
        <w:rPr>
          <w:sz w:val="20"/>
          <w:szCs w:val="20"/>
          <w:color w:val="auto"/>
        </w:rPr>
      </w:pPr>
    </w:p>
    <w:p>
      <w:pPr>
        <w:ind w:left="4100"/>
        <w:spacing w:after="0"/>
        <w:rPr>
          <w:sz w:val="20"/>
          <w:szCs w:val="20"/>
          <w:color w:val="auto"/>
        </w:rPr>
      </w:pPr>
      <w:r>
        <w:rPr>
          <w:rFonts w:ascii="Arial" w:cs="Arial" w:eastAsia="Arial" w:hAnsi="Arial"/>
          <w:sz w:val="18"/>
          <w:szCs w:val="18"/>
          <w:b w:val="1"/>
          <w:bCs w:val="1"/>
          <w:color w:val="auto"/>
        </w:rPr>
        <w:t>Notice of Annual Meeting of Shareholders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WHEN AND WHERE IS THE SHAREHOLDER MEETING?</w:t>
      </w:r>
    </w:p>
    <w:p>
      <w:pPr>
        <w:spacing w:after="0" w:line="121" w:lineRule="exact"/>
        <w:rPr>
          <w:sz w:val="20"/>
          <w:szCs w:val="20"/>
          <w:color w:val="auto"/>
        </w:rPr>
      </w:pPr>
    </w:p>
    <w:p>
      <w:pPr>
        <w:ind w:right="80"/>
        <w:spacing w:after="0" w:line="277" w:lineRule="auto"/>
        <w:rPr>
          <w:sz w:val="20"/>
          <w:szCs w:val="20"/>
          <w:color w:val="auto"/>
        </w:rPr>
      </w:pPr>
      <w:r>
        <w:rPr>
          <w:rFonts w:ascii="Arial" w:cs="Arial" w:eastAsia="Arial" w:hAnsi="Arial"/>
          <w:sz w:val="18"/>
          <w:szCs w:val="18"/>
          <w:color w:val="auto"/>
        </w:rPr>
        <w:t>The 2016 Annual Meeting of Shareholders of TimkenSteel Corporation will be held on Thursday, April 28, 2016, at 10:00 a.m., at the Corporate Auditorium of TimkenSteel Corporation at 1835 Dueber Avenue, S.W., Canton, Ohio.</w:t>
      </w:r>
    </w:p>
    <w:p>
      <w:pPr>
        <w:spacing w:after="0" w:line="170" w:lineRule="exact"/>
        <w:rPr>
          <w:sz w:val="20"/>
          <w:szCs w:val="20"/>
          <w:color w:val="auto"/>
        </w:rPr>
      </w:pPr>
    </w:p>
    <w:p>
      <w:pPr>
        <w:ind w:right="340"/>
        <w:spacing w:after="0" w:line="277" w:lineRule="auto"/>
        <w:rPr>
          <w:sz w:val="20"/>
          <w:szCs w:val="20"/>
          <w:color w:val="auto"/>
        </w:rPr>
      </w:pPr>
      <w:r>
        <w:rPr>
          <w:rFonts w:ascii="Arial" w:cs="Arial" w:eastAsia="Arial" w:hAnsi="Arial"/>
          <w:sz w:val="18"/>
          <w:szCs w:val="18"/>
          <w:color w:val="auto"/>
        </w:rPr>
        <w:t xml:space="preserve">For admission to the Annual Meeting, please bring this notice or a letter from your broker if your shares are held in street name. Directions to the Annual Meeting may be found on the investor page of our website at </w:t>
      </w:r>
      <w:r>
        <w:rPr>
          <w:rFonts w:ascii="Arial" w:cs="Arial" w:eastAsia="Arial" w:hAnsi="Arial"/>
          <w:sz w:val="18"/>
          <w:szCs w:val="18"/>
          <w:u w:val="single" w:color="auto"/>
          <w:color w:val="auto"/>
        </w:rPr>
        <w:t>http://investors.timkensteel.com</w:t>
      </w:r>
      <w:r>
        <w:rPr>
          <w:rFonts w:ascii="Arial" w:cs="Arial" w:eastAsia="Arial" w:hAnsi="Arial"/>
          <w:sz w:val="18"/>
          <w:szCs w:val="18"/>
          <w:color w:val="auto"/>
        </w:rPr>
        <w:t>.</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WHAT IS BEING VOTED ON AT THE SHAREHOLDER MEETING?</w:t>
      </w:r>
    </w:p>
    <w:p>
      <w:pPr>
        <w:spacing w:after="0" w:line="135" w:lineRule="exact"/>
        <w:rPr>
          <w:sz w:val="20"/>
          <w:szCs w:val="20"/>
          <w:color w:val="auto"/>
        </w:rPr>
      </w:pPr>
    </w:p>
    <w:p>
      <w:pPr>
        <w:ind w:left="900" w:right="480" w:hanging="446"/>
        <w:spacing w:after="0" w:line="277" w:lineRule="auto"/>
        <w:tabs>
          <w:tab w:leader="none" w:pos="900" w:val="left"/>
        </w:tabs>
        <w:numPr>
          <w:ilvl w:val="0"/>
          <w:numId w:val="86"/>
        </w:numPr>
        <w:rPr>
          <w:rFonts w:ascii="Arial" w:cs="Arial" w:eastAsia="Arial" w:hAnsi="Arial"/>
          <w:sz w:val="18"/>
          <w:szCs w:val="18"/>
          <w:color w:val="auto"/>
        </w:rPr>
      </w:pPr>
      <w:r>
        <w:rPr>
          <w:rFonts w:ascii="Arial" w:cs="Arial" w:eastAsia="Arial" w:hAnsi="Arial"/>
          <w:sz w:val="18"/>
          <w:szCs w:val="18"/>
          <w:color w:val="auto"/>
        </w:rPr>
        <w:t>Election of the following Directors to serve a three-year term expiring at the 2019 Annual Meeting: Diane C. Creel, Donald T. Misheff and Ronald A. Rice.</w:t>
      </w:r>
    </w:p>
    <w:p>
      <w:pPr>
        <w:spacing w:after="0" w:line="75" w:lineRule="exact"/>
        <w:rPr>
          <w:rFonts w:ascii="Arial" w:cs="Arial" w:eastAsia="Arial" w:hAnsi="Arial"/>
          <w:sz w:val="18"/>
          <w:szCs w:val="18"/>
          <w:color w:val="auto"/>
        </w:rPr>
      </w:pPr>
    </w:p>
    <w:p>
      <w:pPr>
        <w:ind w:left="900" w:hanging="446"/>
        <w:spacing w:after="0"/>
        <w:tabs>
          <w:tab w:leader="none" w:pos="900" w:val="left"/>
        </w:tabs>
        <w:numPr>
          <w:ilvl w:val="0"/>
          <w:numId w:val="86"/>
        </w:numPr>
        <w:rPr>
          <w:rFonts w:ascii="Arial" w:cs="Arial" w:eastAsia="Arial" w:hAnsi="Arial"/>
          <w:sz w:val="17"/>
          <w:szCs w:val="17"/>
          <w:color w:val="auto"/>
        </w:rPr>
      </w:pPr>
      <w:r>
        <w:rPr>
          <w:rFonts w:ascii="Arial" w:cs="Arial" w:eastAsia="Arial" w:hAnsi="Arial"/>
          <w:sz w:val="17"/>
          <w:szCs w:val="17"/>
          <w:color w:val="auto"/>
        </w:rPr>
        <w:t>Ratification of the selection of Ernst &amp; Young LLP as the Company’s independent auditor for the fiscal year ending December 31, 2016.</w:t>
      </w:r>
    </w:p>
    <w:p>
      <w:pPr>
        <w:spacing w:after="0" w:line="142" w:lineRule="exact"/>
        <w:rPr>
          <w:rFonts w:ascii="Arial" w:cs="Arial" w:eastAsia="Arial" w:hAnsi="Arial"/>
          <w:sz w:val="17"/>
          <w:szCs w:val="17"/>
          <w:color w:val="auto"/>
        </w:rPr>
      </w:pPr>
    </w:p>
    <w:p>
      <w:pPr>
        <w:ind w:left="900" w:hanging="446"/>
        <w:spacing w:after="0"/>
        <w:tabs>
          <w:tab w:leader="none" w:pos="900" w:val="left"/>
        </w:tabs>
        <w:numPr>
          <w:ilvl w:val="0"/>
          <w:numId w:val="86"/>
        </w:numPr>
        <w:rPr>
          <w:rFonts w:ascii="Arial" w:cs="Arial" w:eastAsia="Arial" w:hAnsi="Arial"/>
          <w:sz w:val="18"/>
          <w:szCs w:val="18"/>
          <w:color w:val="auto"/>
        </w:rPr>
      </w:pPr>
      <w:r>
        <w:rPr>
          <w:rFonts w:ascii="Arial" w:cs="Arial" w:eastAsia="Arial" w:hAnsi="Arial"/>
          <w:sz w:val="18"/>
          <w:szCs w:val="18"/>
          <w:color w:val="auto"/>
        </w:rPr>
        <w:t>Approval, on an advisory basis, of the compensation of the Company’s named executive officers.</w:t>
      </w:r>
    </w:p>
    <w:p>
      <w:pPr>
        <w:spacing w:after="0" w:line="130" w:lineRule="exact"/>
        <w:rPr>
          <w:rFonts w:ascii="Arial" w:cs="Arial" w:eastAsia="Arial" w:hAnsi="Arial"/>
          <w:sz w:val="18"/>
          <w:szCs w:val="18"/>
          <w:color w:val="auto"/>
        </w:rPr>
      </w:pPr>
    </w:p>
    <w:p>
      <w:pPr>
        <w:ind w:left="900" w:hanging="446"/>
        <w:spacing w:after="0"/>
        <w:tabs>
          <w:tab w:leader="none" w:pos="900" w:val="left"/>
        </w:tabs>
        <w:numPr>
          <w:ilvl w:val="0"/>
          <w:numId w:val="86"/>
        </w:numPr>
        <w:rPr>
          <w:rFonts w:ascii="Arial" w:cs="Arial" w:eastAsia="Arial" w:hAnsi="Arial"/>
          <w:sz w:val="18"/>
          <w:szCs w:val="18"/>
          <w:color w:val="auto"/>
        </w:rPr>
      </w:pPr>
      <w:r>
        <w:rPr>
          <w:rFonts w:ascii="Arial" w:cs="Arial" w:eastAsia="Arial" w:hAnsi="Arial"/>
          <w:sz w:val="18"/>
          <w:szCs w:val="18"/>
          <w:color w:val="auto"/>
        </w:rPr>
        <w:t>Approval of the TimkenSteel Corporation Amended and Restated 2014 Equity and Incentive Compensation Plan.</w:t>
      </w:r>
    </w:p>
    <w:p>
      <w:pPr>
        <w:spacing w:after="0" w:line="32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WHAT DOES THE BOARD OF DIRECTORS RECOMMEND?</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color w:val="auto"/>
        </w:rPr>
        <w:t xml:space="preserve">The Board of Directors recommends that shareholders vote </w:t>
      </w:r>
      <w:r>
        <w:rPr>
          <w:rFonts w:ascii="Arial" w:cs="Arial" w:eastAsia="Arial" w:hAnsi="Arial"/>
          <w:sz w:val="18"/>
          <w:szCs w:val="18"/>
          <w:u w:val="single" w:color="auto"/>
          <w:color w:val="auto"/>
        </w:rPr>
        <w:t>FOR</w:t>
      </w:r>
      <w:r>
        <w:rPr>
          <w:rFonts w:ascii="Arial" w:cs="Arial" w:eastAsia="Arial" w:hAnsi="Arial"/>
          <w:sz w:val="18"/>
          <w:szCs w:val="18"/>
          <w:color w:val="auto"/>
        </w:rPr>
        <w:t xml:space="preserve"> all nominees listed in proposal 1 and </w:t>
      </w:r>
      <w:r>
        <w:rPr>
          <w:rFonts w:ascii="Arial" w:cs="Arial" w:eastAsia="Arial" w:hAnsi="Arial"/>
          <w:sz w:val="18"/>
          <w:szCs w:val="18"/>
          <w:u w:val="single" w:color="auto"/>
          <w:color w:val="auto"/>
        </w:rPr>
        <w:t>FOR</w:t>
      </w:r>
      <w:r>
        <w:rPr>
          <w:rFonts w:ascii="Arial" w:cs="Arial" w:eastAsia="Arial" w:hAnsi="Arial"/>
          <w:sz w:val="18"/>
          <w:szCs w:val="18"/>
          <w:color w:val="auto"/>
        </w:rPr>
        <w:t xml:space="preserve"> proposals 2, 3 and 4.</w:t>
      </w:r>
    </w:p>
    <w:p>
      <w:pPr>
        <w:spacing w:after="0" w:line="32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HOW CAN I GET A COMPLETE SET OF PROXY MATERIALS?</w:t>
      </w:r>
    </w:p>
    <w:p>
      <w:pPr>
        <w:spacing w:after="0" w:line="121" w:lineRule="exact"/>
        <w:rPr>
          <w:sz w:val="20"/>
          <w:szCs w:val="20"/>
          <w:color w:val="auto"/>
        </w:rPr>
      </w:pPr>
    </w:p>
    <w:p>
      <w:pPr>
        <w:ind w:right="180"/>
        <w:spacing w:after="0" w:line="277" w:lineRule="auto"/>
        <w:rPr>
          <w:sz w:val="20"/>
          <w:szCs w:val="20"/>
          <w:color w:val="auto"/>
        </w:rPr>
      </w:pPr>
      <w:r>
        <w:rPr>
          <w:rFonts w:ascii="Arial" w:cs="Arial" w:eastAsia="Arial" w:hAnsi="Arial"/>
          <w:sz w:val="18"/>
          <w:szCs w:val="18"/>
          <w:b w:val="1"/>
          <w:bCs w:val="1"/>
          <w:i w:val="1"/>
          <w:iCs w:val="1"/>
          <w:u w:val="single" w:color="auto"/>
          <w:color w:val="auto"/>
        </w:rPr>
        <w:t>This is not a proxy card. If you wish to cast your vote on a traditional proxy card, you must request a paper copy of the proxy materials by following the instructions below.</w:t>
      </w:r>
    </w:p>
    <w:p>
      <w:pPr>
        <w:spacing w:after="0" w:line="166" w:lineRule="exact"/>
        <w:rPr>
          <w:sz w:val="20"/>
          <w:szCs w:val="20"/>
          <w:color w:val="auto"/>
        </w:rPr>
      </w:pPr>
    </w:p>
    <w:p>
      <w:pPr>
        <w:ind w:right="60"/>
        <w:spacing w:after="0" w:line="282" w:lineRule="auto"/>
        <w:rPr>
          <w:sz w:val="20"/>
          <w:szCs w:val="20"/>
          <w:color w:val="auto"/>
        </w:rPr>
      </w:pPr>
      <w:r>
        <w:rPr>
          <w:rFonts w:ascii="Arial" w:cs="Arial" w:eastAsia="Arial" w:hAnsi="Arial"/>
          <w:sz w:val="18"/>
          <w:szCs w:val="18"/>
          <w:b w:val="1"/>
          <w:bCs w:val="1"/>
          <w:color w:val="auto"/>
        </w:rPr>
        <w:t>This communication presents only an overview of the more complete proxy materials that are available to you on the Internet. We encourage you to access and review all of the important information contained in the proxy materials before voting.</w:t>
      </w:r>
    </w:p>
    <w:p>
      <w:pPr>
        <w:spacing w:after="0" w:line="16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The following documents can be viewed at: </w:t>
      </w:r>
      <w:r>
        <w:rPr>
          <w:rFonts w:ascii="Arial" w:cs="Arial" w:eastAsia="Arial" w:hAnsi="Arial"/>
          <w:sz w:val="18"/>
          <w:szCs w:val="18"/>
          <w:b w:val="1"/>
          <w:bCs w:val="1"/>
          <w:u w:val="single" w:color="auto"/>
          <w:color w:val="auto"/>
        </w:rPr>
        <w:t>www.ViewMaterial.com/TMST</w:t>
      </w:r>
    </w:p>
    <w:p>
      <w:pPr>
        <w:spacing w:after="0" w:line="131" w:lineRule="exact"/>
        <w:rPr>
          <w:sz w:val="20"/>
          <w:szCs w:val="20"/>
          <w:color w:val="auto"/>
        </w:rPr>
      </w:pPr>
    </w:p>
    <w:p>
      <w:pPr>
        <w:ind w:left="900" w:hanging="446"/>
        <w:spacing w:after="0"/>
        <w:tabs>
          <w:tab w:leader="none" w:pos="900" w:val="left"/>
        </w:tabs>
        <w:numPr>
          <w:ilvl w:val="0"/>
          <w:numId w:val="87"/>
        </w:numPr>
        <w:rPr>
          <w:rFonts w:ascii="Arial" w:cs="Arial" w:eastAsia="Arial" w:hAnsi="Arial"/>
          <w:sz w:val="18"/>
          <w:szCs w:val="18"/>
          <w:b w:val="1"/>
          <w:bCs w:val="1"/>
          <w:color w:val="auto"/>
        </w:rPr>
      </w:pPr>
      <w:r>
        <w:rPr>
          <w:rFonts w:ascii="Arial" w:cs="Arial" w:eastAsia="Arial" w:hAnsi="Arial"/>
          <w:sz w:val="18"/>
          <w:szCs w:val="18"/>
          <w:b w:val="1"/>
          <w:bCs w:val="1"/>
          <w:color w:val="auto"/>
        </w:rPr>
        <w:t>2015 Annual Report and Form 10-K</w:t>
      </w:r>
    </w:p>
    <w:p>
      <w:pPr>
        <w:spacing w:after="0" w:line="130" w:lineRule="exact"/>
        <w:rPr>
          <w:rFonts w:ascii="Arial" w:cs="Arial" w:eastAsia="Arial" w:hAnsi="Arial"/>
          <w:sz w:val="18"/>
          <w:szCs w:val="18"/>
          <w:b w:val="1"/>
          <w:bCs w:val="1"/>
          <w:color w:val="auto"/>
        </w:rPr>
      </w:pPr>
    </w:p>
    <w:p>
      <w:pPr>
        <w:ind w:left="900" w:hanging="446"/>
        <w:spacing w:after="0"/>
        <w:tabs>
          <w:tab w:leader="none" w:pos="900" w:val="left"/>
        </w:tabs>
        <w:numPr>
          <w:ilvl w:val="0"/>
          <w:numId w:val="87"/>
        </w:numPr>
        <w:rPr>
          <w:rFonts w:ascii="Arial" w:cs="Arial" w:eastAsia="Arial" w:hAnsi="Arial"/>
          <w:sz w:val="18"/>
          <w:szCs w:val="18"/>
          <w:b w:val="1"/>
          <w:bCs w:val="1"/>
          <w:color w:val="auto"/>
        </w:rPr>
      </w:pPr>
      <w:r>
        <w:rPr>
          <w:rFonts w:ascii="Arial" w:cs="Arial" w:eastAsia="Arial" w:hAnsi="Arial"/>
          <w:sz w:val="18"/>
          <w:szCs w:val="18"/>
          <w:b w:val="1"/>
          <w:bCs w:val="1"/>
          <w:color w:val="auto"/>
        </w:rPr>
        <w:t>2016 Proxy Statement</w:t>
      </w:r>
    </w:p>
    <w:p>
      <w:pPr>
        <w:spacing w:after="0" w:line="225" w:lineRule="exact"/>
        <w:rPr>
          <w:sz w:val="20"/>
          <w:szCs w:val="20"/>
          <w:color w:val="auto"/>
        </w:rPr>
      </w:pPr>
    </w:p>
    <w:p>
      <w:pPr>
        <w:spacing w:after="0" w:line="282" w:lineRule="auto"/>
        <w:rPr>
          <w:sz w:val="20"/>
          <w:szCs w:val="20"/>
          <w:color w:val="auto"/>
        </w:rPr>
      </w:pPr>
      <w:r>
        <w:rPr>
          <w:rFonts w:ascii="Arial" w:cs="Arial" w:eastAsia="Arial" w:hAnsi="Arial"/>
          <w:sz w:val="18"/>
          <w:szCs w:val="18"/>
          <w:b w:val="1"/>
          <w:bCs w:val="1"/>
          <w:color w:val="auto"/>
        </w:rPr>
        <w:t>If you want to receive a paper or e-mail copy of these documents, you must request one. There is no charge to you for requesting a copy. Please make your request for a copy as instructed below on or before April 14, 2016 to facilitate timely delivery.</w:t>
      </w:r>
    </w:p>
    <w:p>
      <w:pPr>
        <w:spacing w:after="0" w:line="166" w:lineRule="exact"/>
        <w:rPr>
          <w:sz w:val="20"/>
          <w:szCs w:val="20"/>
          <w:color w:val="auto"/>
        </w:rPr>
      </w:pPr>
    </w:p>
    <w:p>
      <w:pPr>
        <w:ind w:right="140"/>
        <w:spacing w:after="0" w:line="277" w:lineRule="auto"/>
        <w:rPr>
          <w:sz w:val="20"/>
          <w:szCs w:val="20"/>
          <w:color w:val="auto"/>
        </w:rPr>
      </w:pPr>
      <w:r>
        <w:rPr>
          <w:rFonts w:ascii="Arial" w:cs="Arial" w:eastAsia="Arial" w:hAnsi="Arial"/>
          <w:sz w:val="18"/>
          <w:szCs w:val="18"/>
          <w:color w:val="auto"/>
        </w:rPr>
        <w:t>You may request a paper or email copy of the proxy materials by following the instructions below. You will be asked to provide the control number (located by the arrow in the box below).</w:t>
      </w:r>
    </w:p>
    <w:p>
      <w:pPr>
        <w:spacing w:after="0" w:line="76" w:lineRule="exact"/>
        <w:rPr>
          <w:sz w:val="20"/>
          <w:szCs w:val="20"/>
          <w:color w:val="auto"/>
        </w:rPr>
      </w:pPr>
    </w:p>
    <w:p>
      <w:pPr>
        <w:ind w:left="900" w:hanging="446"/>
        <w:spacing w:after="0"/>
        <w:tabs>
          <w:tab w:leader="none" w:pos="900" w:val="left"/>
        </w:tabs>
        <w:numPr>
          <w:ilvl w:val="0"/>
          <w:numId w:val="88"/>
        </w:numPr>
        <w:rPr>
          <w:rFonts w:ascii="Arial" w:cs="Arial" w:eastAsia="Arial" w:hAnsi="Arial"/>
          <w:sz w:val="18"/>
          <w:szCs w:val="18"/>
          <w:color w:val="auto"/>
        </w:rPr>
      </w:pPr>
      <w:r>
        <w:rPr>
          <w:rFonts w:ascii="Arial" w:cs="Arial" w:eastAsia="Arial" w:hAnsi="Arial"/>
          <w:sz w:val="18"/>
          <w:szCs w:val="18"/>
          <w:color w:val="auto"/>
        </w:rPr>
        <w:t>Call the toll-free telephone number 1-800-516-1564 and follow the instructions provided, or</w:t>
      </w:r>
    </w:p>
    <w:p>
      <w:pPr>
        <w:spacing w:after="0" w:line="130" w:lineRule="exact"/>
        <w:rPr>
          <w:rFonts w:ascii="Arial" w:cs="Arial" w:eastAsia="Arial" w:hAnsi="Arial"/>
          <w:sz w:val="18"/>
          <w:szCs w:val="18"/>
          <w:color w:val="auto"/>
        </w:rPr>
      </w:pPr>
    </w:p>
    <w:p>
      <w:pPr>
        <w:ind w:left="900" w:hanging="446"/>
        <w:spacing w:after="0"/>
        <w:tabs>
          <w:tab w:leader="none" w:pos="900" w:val="left"/>
        </w:tabs>
        <w:numPr>
          <w:ilvl w:val="0"/>
          <w:numId w:val="88"/>
        </w:numPr>
        <w:rPr>
          <w:rFonts w:ascii="Arial" w:cs="Arial" w:eastAsia="Arial" w:hAnsi="Arial"/>
          <w:sz w:val="18"/>
          <w:szCs w:val="18"/>
          <w:color w:val="auto"/>
        </w:rPr>
      </w:pPr>
      <w:r>
        <w:rPr>
          <w:rFonts w:ascii="Arial" w:cs="Arial" w:eastAsia="Arial" w:hAnsi="Arial"/>
          <w:sz w:val="18"/>
          <w:szCs w:val="18"/>
          <w:color w:val="auto"/>
        </w:rPr>
        <w:t xml:space="preserve">Access the website, </w:t>
      </w:r>
      <w:r>
        <w:rPr>
          <w:rFonts w:ascii="Arial" w:cs="Arial" w:eastAsia="Arial" w:hAnsi="Arial"/>
          <w:sz w:val="18"/>
          <w:szCs w:val="18"/>
          <w:u w:val="single" w:color="auto"/>
          <w:color w:val="auto"/>
        </w:rPr>
        <w:t>www.SendMaterial.com</w:t>
      </w:r>
      <w:r>
        <w:rPr>
          <w:rFonts w:ascii="Arial" w:cs="Arial" w:eastAsia="Arial" w:hAnsi="Arial"/>
          <w:sz w:val="18"/>
          <w:szCs w:val="18"/>
          <w:color w:val="auto"/>
        </w:rPr>
        <w:t xml:space="preserve"> and follow the instructions provided, or</w:t>
      </w:r>
    </w:p>
    <w:p>
      <w:pPr>
        <w:spacing w:after="0" w:line="130" w:lineRule="exact"/>
        <w:rPr>
          <w:rFonts w:ascii="Arial" w:cs="Arial" w:eastAsia="Arial" w:hAnsi="Arial"/>
          <w:sz w:val="18"/>
          <w:szCs w:val="18"/>
          <w:color w:val="auto"/>
        </w:rPr>
      </w:pPr>
    </w:p>
    <w:p>
      <w:pPr>
        <w:ind w:left="900" w:right="60" w:hanging="446"/>
        <w:spacing w:after="0" w:line="277" w:lineRule="auto"/>
        <w:tabs>
          <w:tab w:leader="none" w:pos="900" w:val="left"/>
        </w:tabs>
        <w:numPr>
          <w:ilvl w:val="0"/>
          <w:numId w:val="88"/>
        </w:numPr>
        <w:rPr>
          <w:rFonts w:ascii="Arial" w:cs="Arial" w:eastAsia="Arial" w:hAnsi="Arial"/>
          <w:sz w:val="18"/>
          <w:szCs w:val="18"/>
          <w:color w:val="auto"/>
        </w:rPr>
      </w:pPr>
      <w:r>
        <w:rPr>
          <w:rFonts w:ascii="Arial" w:cs="Arial" w:eastAsia="Arial" w:hAnsi="Arial"/>
          <w:sz w:val="18"/>
          <w:szCs w:val="18"/>
          <w:color w:val="auto"/>
        </w:rPr>
        <w:t xml:space="preserve">Send us an e-mail at </w:t>
      </w:r>
      <w:r>
        <w:rPr>
          <w:rFonts w:ascii="Arial" w:cs="Arial" w:eastAsia="Arial" w:hAnsi="Arial"/>
          <w:sz w:val="18"/>
          <w:szCs w:val="18"/>
          <w:u w:val="single" w:color="auto"/>
          <w:color w:val="auto"/>
        </w:rPr>
        <w:t>papercopy@SendMaterial.com</w:t>
      </w:r>
      <w:r>
        <w:rPr>
          <w:rFonts w:ascii="Arial" w:cs="Arial" w:eastAsia="Arial" w:hAnsi="Arial"/>
          <w:sz w:val="18"/>
          <w:szCs w:val="18"/>
          <w:color w:val="auto"/>
        </w:rPr>
        <w:t xml:space="preserve"> with your control number in the subject line. Unless you instruct us otherwise, we will reply to your email with a copy of the proxy materials in PDF format for this meeting only.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5236210</wp:posOffset>
            </wp:positionH>
            <wp:positionV relativeFrom="paragraph">
              <wp:posOffset>134620</wp:posOffset>
            </wp:positionV>
            <wp:extent cx="1672590" cy="308610"/>
            <wp:wrapNone/>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296">
                      <a:extLst>
                        <a:ext uri="{28A0092B-C50C-407E-A947-70E740481C1C}"/>
                      </a:extLst>
                    </a:blip>
                    <a:srcRect/>
                    <a:stretch>
                      <a:fillRect/>
                    </a:stretch>
                  </pic:blipFill>
                  <pic:spPr bwMode="auto">
                    <a:xfrm>
                      <a:off x="0" y="0"/>
                      <a:ext cx="1672590" cy="308610"/>
                    </a:xfrm>
                    <a:prstGeom prst="rect">
                      <a:avLst/>
                    </a:prstGeom>
                    <a:noFill/>
                  </pic:spPr>
                </pic:pic>
              </a:graphicData>
            </a:graphic>
          </wp:anchor>
        </w:drawing>
      </w:r>
    </w:p>
    <w:p>
      <w:pPr>
        <w:spacing w:after="0" w:line="278" w:lineRule="exact"/>
        <w:rPr>
          <w:sz w:val="20"/>
          <w:szCs w:val="20"/>
          <w:color w:val="auto"/>
        </w:rPr>
      </w:pPr>
    </w:p>
    <w:p>
      <w:pPr>
        <w:ind w:left="8360"/>
        <w:spacing w:after="0"/>
        <w:rPr>
          <w:sz w:val="20"/>
          <w:szCs w:val="20"/>
          <w:color w:val="auto"/>
        </w:rPr>
      </w:pPr>
      <w:r>
        <w:rPr>
          <w:rFonts w:ascii="Arial" w:cs="Arial" w:eastAsia="Arial" w:hAnsi="Arial"/>
          <w:sz w:val="22"/>
          <w:szCs w:val="22"/>
          <w:color w:val="auto"/>
        </w:rPr>
        <w:t>è</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2899410</wp:posOffset>
            </wp:positionH>
            <wp:positionV relativeFrom="paragraph">
              <wp:posOffset>234950</wp:posOffset>
            </wp:positionV>
            <wp:extent cx="4373245" cy="1766570"/>
            <wp:wrapNone/>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297">
                      <a:extLst>
                        <a:ext uri="{28A0092B-C50C-407E-A947-70E740481C1C}"/>
                      </a:extLst>
                    </a:blip>
                    <a:srcRect/>
                    <a:stretch>
                      <a:fillRect/>
                    </a:stretch>
                  </pic:blipFill>
                  <pic:spPr bwMode="auto">
                    <a:xfrm>
                      <a:off x="0" y="0"/>
                      <a:ext cx="4373245" cy="1766570"/>
                    </a:xfrm>
                    <a:prstGeom prst="rect">
                      <a:avLst/>
                    </a:prstGeom>
                    <a:noFill/>
                  </pic:spPr>
                </pic:pic>
              </a:graphicData>
            </a:graphic>
          </wp:anchor>
        </w:drawing>
      </w:r>
    </w:p>
    <w:p>
      <w:pPr>
        <w:spacing w:after="0" w:line="200" w:lineRule="exact"/>
        <w:rPr>
          <w:sz w:val="20"/>
          <w:szCs w:val="20"/>
          <w:color w:val="auto"/>
        </w:rPr>
      </w:pPr>
    </w:p>
    <w:p>
      <w:pPr>
        <w:spacing w:after="0" w:line="286" w:lineRule="exact"/>
        <w:rPr>
          <w:sz w:val="20"/>
          <w:szCs w:val="20"/>
          <w:color w:val="auto"/>
        </w:rPr>
      </w:pPr>
    </w:p>
    <w:p>
      <w:pPr>
        <w:ind w:left="4700"/>
        <w:spacing w:after="0"/>
        <w:rPr>
          <w:sz w:val="20"/>
          <w:szCs w:val="20"/>
          <w:color w:val="auto"/>
        </w:rPr>
      </w:pPr>
      <w:r>
        <w:rPr>
          <w:rFonts w:ascii="Arial" w:cs="Arial" w:eastAsia="Arial" w:hAnsi="Arial"/>
          <w:sz w:val="16"/>
          <w:szCs w:val="16"/>
          <w:b w:val="1"/>
          <w:bCs w:val="1"/>
          <w:color w:val="auto"/>
        </w:rPr>
        <w:t>To vote your TimkenSteel Corporation shares, you can attend the Annual Meeting of</w:t>
      </w:r>
    </w:p>
    <w:p>
      <w:pPr>
        <w:spacing w:after="0" w:line="50" w:lineRule="exact"/>
        <w:rPr>
          <w:sz w:val="20"/>
          <w:szCs w:val="20"/>
          <w:color w:val="auto"/>
        </w:rPr>
      </w:pPr>
    </w:p>
    <w:p>
      <w:pPr>
        <w:ind w:left="4700"/>
        <w:spacing w:after="0"/>
        <w:rPr>
          <w:sz w:val="20"/>
          <w:szCs w:val="20"/>
          <w:color w:val="auto"/>
        </w:rPr>
      </w:pPr>
      <w:r>
        <w:rPr>
          <w:rFonts w:ascii="Arial" w:cs="Arial" w:eastAsia="Arial" w:hAnsi="Arial"/>
          <w:sz w:val="18"/>
          <w:szCs w:val="18"/>
          <w:b w:val="1"/>
          <w:bCs w:val="1"/>
          <w:color w:val="auto"/>
        </w:rPr>
        <w:t>Shareholders and vote in person or you can:</w:t>
      </w:r>
    </w:p>
    <w:p>
      <w:pPr>
        <w:spacing w:after="0" w:line="112" w:lineRule="exact"/>
        <w:rPr>
          <w:sz w:val="20"/>
          <w:szCs w:val="20"/>
          <w:color w:val="auto"/>
        </w:rPr>
      </w:pPr>
    </w:p>
    <w:p>
      <w:pPr>
        <w:ind w:left="5100" w:hanging="406"/>
        <w:spacing w:after="0"/>
        <w:tabs>
          <w:tab w:leader="none" w:pos="5100" w:val="left"/>
        </w:tabs>
        <w:numPr>
          <w:ilvl w:val="0"/>
          <w:numId w:val="89"/>
        </w:numPr>
        <w:rPr>
          <w:rFonts w:ascii="Arial" w:cs="Arial" w:eastAsia="Arial" w:hAnsi="Arial"/>
          <w:sz w:val="18"/>
          <w:szCs w:val="18"/>
          <w:b w:val="1"/>
          <w:bCs w:val="1"/>
          <w:color w:val="auto"/>
        </w:rPr>
      </w:pPr>
      <w:r>
        <w:rPr>
          <w:rFonts w:ascii="Arial" w:cs="Arial" w:eastAsia="Arial" w:hAnsi="Arial"/>
          <w:sz w:val="18"/>
          <w:szCs w:val="18"/>
          <w:b w:val="1"/>
          <w:bCs w:val="1"/>
          <w:color w:val="auto"/>
        </w:rPr>
        <w:t>Go to www.ViewMaterial.com/TMST</w:t>
      </w:r>
    </w:p>
    <w:p>
      <w:pPr>
        <w:spacing w:after="0" w:line="130" w:lineRule="exact"/>
        <w:rPr>
          <w:rFonts w:ascii="Arial" w:cs="Arial" w:eastAsia="Arial" w:hAnsi="Arial"/>
          <w:sz w:val="18"/>
          <w:szCs w:val="18"/>
          <w:b w:val="1"/>
          <w:bCs w:val="1"/>
          <w:color w:val="auto"/>
        </w:rPr>
      </w:pPr>
    </w:p>
    <w:p>
      <w:pPr>
        <w:ind w:left="5100" w:hanging="406"/>
        <w:spacing w:after="0"/>
        <w:tabs>
          <w:tab w:leader="none" w:pos="5100" w:val="left"/>
        </w:tabs>
        <w:numPr>
          <w:ilvl w:val="0"/>
          <w:numId w:val="89"/>
        </w:numPr>
        <w:rPr>
          <w:rFonts w:ascii="Arial" w:cs="Arial" w:eastAsia="Arial" w:hAnsi="Arial"/>
          <w:sz w:val="18"/>
          <w:szCs w:val="18"/>
          <w:b w:val="1"/>
          <w:bCs w:val="1"/>
          <w:color w:val="auto"/>
        </w:rPr>
      </w:pPr>
      <w:r>
        <w:rPr>
          <w:rFonts w:ascii="Arial" w:cs="Arial" w:eastAsia="Arial" w:hAnsi="Arial"/>
          <w:sz w:val="18"/>
          <w:szCs w:val="18"/>
          <w:b w:val="1"/>
          <w:bCs w:val="1"/>
          <w:color w:val="auto"/>
        </w:rPr>
        <w:t>Click on the icon to vote your shares.</w:t>
      </w:r>
    </w:p>
    <w:p>
      <w:pPr>
        <w:spacing w:after="0" w:line="130" w:lineRule="exact"/>
        <w:rPr>
          <w:rFonts w:ascii="Arial" w:cs="Arial" w:eastAsia="Arial" w:hAnsi="Arial"/>
          <w:sz w:val="18"/>
          <w:szCs w:val="18"/>
          <w:b w:val="1"/>
          <w:bCs w:val="1"/>
          <w:color w:val="auto"/>
        </w:rPr>
      </w:pPr>
    </w:p>
    <w:p>
      <w:pPr>
        <w:ind w:left="5100" w:hanging="406"/>
        <w:spacing w:after="0"/>
        <w:tabs>
          <w:tab w:leader="none" w:pos="5100" w:val="left"/>
        </w:tabs>
        <w:numPr>
          <w:ilvl w:val="0"/>
          <w:numId w:val="89"/>
        </w:numPr>
        <w:rPr>
          <w:rFonts w:ascii="Arial" w:cs="Arial" w:eastAsia="Arial" w:hAnsi="Arial"/>
          <w:sz w:val="17"/>
          <w:szCs w:val="17"/>
          <w:b w:val="1"/>
          <w:bCs w:val="1"/>
          <w:color w:val="auto"/>
        </w:rPr>
      </w:pPr>
      <w:r>
        <w:rPr>
          <w:rFonts w:ascii="Arial" w:cs="Arial" w:eastAsia="Arial" w:hAnsi="Arial"/>
          <w:sz w:val="17"/>
          <w:szCs w:val="17"/>
          <w:b w:val="1"/>
          <w:bCs w:val="1"/>
          <w:color w:val="auto"/>
        </w:rPr>
        <w:t>Enter the 11-digit Control Number (located by the arrow in the box above).</w:t>
      </w:r>
    </w:p>
    <w:p>
      <w:pPr>
        <w:spacing w:after="0" w:line="142" w:lineRule="exact"/>
        <w:rPr>
          <w:rFonts w:ascii="Arial" w:cs="Arial" w:eastAsia="Arial" w:hAnsi="Arial"/>
          <w:sz w:val="17"/>
          <w:szCs w:val="17"/>
          <w:b w:val="1"/>
          <w:bCs w:val="1"/>
          <w:color w:val="auto"/>
        </w:rPr>
      </w:pPr>
    </w:p>
    <w:p>
      <w:pPr>
        <w:ind w:left="5100" w:hanging="406"/>
        <w:spacing w:after="0"/>
        <w:tabs>
          <w:tab w:leader="none" w:pos="5100" w:val="left"/>
        </w:tabs>
        <w:numPr>
          <w:ilvl w:val="0"/>
          <w:numId w:val="89"/>
        </w:numPr>
        <w:rPr>
          <w:rFonts w:ascii="Arial" w:cs="Arial" w:eastAsia="Arial" w:hAnsi="Arial"/>
          <w:sz w:val="18"/>
          <w:szCs w:val="18"/>
          <w:b w:val="1"/>
          <w:bCs w:val="1"/>
          <w:color w:val="auto"/>
        </w:rPr>
      </w:pPr>
      <w:r>
        <w:rPr>
          <w:rFonts w:ascii="Arial" w:cs="Arial" w:eastAsia="Arial" w:hAnsi="Arial"/>
          <w:sz w:val="18"/>
          <w:szCs w:val="18"/>
          <w:b w:val="1"/>
          <w:bCs w:val="1"/>
          <w:color w:val="auto"/>
        </w:rPr>
        <w:t>Follow the instructions to record your vote.</w:t>
      </w:r>
    </w:p>
    <w:p>
      <w:pPr>
        <w:spacing w:after="0" w:line="252" w:lineRule="exact"/>
        <w:rPr>
          <w:sz w:val="20"/>
          <w:szCs w:val="20"/>
          <w:color w:val="auto"/>
        </w:rPr>
      </w:pPr>
    </w:p>
    <w:p>
      <w:pPr>
        <w:jc w:val="center"/>
        <w:ind w:left="4540"/>
        <w:spacing w:after="0"/>
        <w:rPr>
          <w:sz w:val="20"/>
          <w:szCs w:val="20"/>
          <w:color w:val="auto"/>
        </w:rPr>
      </w:pPr>
      <w:r>
        <w:rPr>
          <w:rFonts w:ascii="Arial" w:cs="Arial" w:eastAsia="Arial" w:hAnsi="Arial"/>
          <w:sz w:val="18"/>
          <w:szCs w:val="18"/>
          <w:b w:val="1"/>
          <w:bCs w:val="1"/>
          <w:color w:val="auto"/>
        </w:rPr>
        <w:t>You will be able to vote until 6:00 a.m. on</w:t>
      </w:r>
    </w:p>
    <w:p>
      <w:pPr>
        <w:spacing w:after="0" w:line="27" w:lineRule="exact"/>
        <w:rPr>
          <w:sz w:val="20"/>
          <w:szCs w:val="20"/>
          <w:color w:val="auto"/>
        </w:rPr>
      </w:pPr>
    </w:p>
    <w:p>
      <w:pPr>
        <w:jc w:val="center"/>
        <w:ind w:left="4540"/>
        <w:spacing w:after="0"/>
        <w:rPr>
          <w:sz w:val="20"/>
          <w:szCs w:val="20"/>
          <w:color w:val="auto"/>
        </w:rPr>
      </w:pPr>
      <w:r>
        <w:rPr>
          <w:rFonts w:ascii="Arial" w:cs="Arial" w:eastAsia="Arial" w:hAnsi="Arial"/>
          <w:sz w:val="18"/>
          <w:szCs w:val="18"/>
          <w:b w:val="1"/>
          <w:bCs w:val="1"/>
          <w:color w:val="auto"/>
        </w:rPr>
        <w:t>April 28, 2016.</w:t>
      </w:r>
    </w:p>
    <w:sectPr>
      <w:pgSz w:w="11900" w:h="16838" w:orient="portrait"/>
      <w:cols w:equalWidth="0" w:num="1">
        <w:col w:w="11380"/>
      </w:cols>
      <w:pgMar w:left="240" w:top="459" w:right="279" w:bottom="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57E4CCAF"/>
    <w:multiLevelType w:val="hybridMultilevel"/>
    <w:lvl w:ilvl="0">
      <w:lvlJc w:val="left"/>
      <w:lvlText w:val="☐"/>
      <w:numFmt w:val="bullet"/>
      <w:start w:val="1"/>
    </w:lvl>
  </w:abstractNum>
  <w:abstractNum w:abstractNumId="1">
    <w:nsid w:val="7A6D8D3C"/>
    <w:multiLevelType w:val="hybridMultilevel"/>
    <w:lvl w:ilvl="0">
      <w:lvlJc w:val="left"/>
      <w:lvlText w:val="☑"/>
      <w:numFmt w:val="bullet"/>
      <w:start w:val="1"/>
    </w:lvl>
  </w:abstractNum>
  <w:abstractNum w:abstractNumId="2">
    <w:nsid w:val="4B588F54"/>
    <w:multiLevelType w:val="hybridMultilevel"/>
    <w:lvl w:ilvl="0">
      <w:lvlJc w:val="left"/>
      <w:lvlText w:val="☐"/>
      <w:numFmt w:val="bullet"/>
      <w:start w:val="1"/>
    </w:lvl>
    <w:lvl w:ilvl="1">
      <w:lvlJc w:val="left"/>
      <w:lvlText w:val="(%2)"/>
      <w:numFmt w:val="decimal"/>
      <w:start w:val="1"/>
    </w:lvl>
  </w:abstractNum>
  <w:abstractNum w:abstractNumId="3">
    <w:nsid w:val="542289EC"/>
    <w:multiLevelType w:val="hybridMultilevel"/>
    <w:lvl w:ilvl="0">
      <w:lvlJc w:val="left"/>
      <w:lvlText w:val="(%1)"/>
      <w:numFmt w:val="decimal"/>
      <w:start w:val="4"/>
    </w:lvl>
  </w:abstractNum>
  <w:abstractNum w:abstractNumId="4">
    <w:nsid w:val="6DE91B18"/>
    <w:multiLevelType w:val="hybridMultilevel"/>
    <w:lvl w:ilvl="0">
      <w:lvlJc w:val="left"/>
      <w:lvlText w:val="%1."/>
      <w:numFmt w:val="decimal"/>
      <w:start w:val="1"/>
    </w:lvl>
  </w:abstractNum>
  <w:abstractNum w:abstractNumId="5">
    <w:nsid w:val="38437FDB"/>
    <w:multiLevelType w:val="hybridMultilevel"/>
    <w:lvl w:ilvl="0">
      <w:lvlJc w:val="left"/>
      <w:lvlText w:val="%1."/>
      <w:numFmt w:val="decimal"/>
      <w:start w:val="4"/>
    </w:lvl>
  </w:abstractNum>
  <w:abstractNum w:abstractNumId="6">
    <w:nsid w:val="7644A45C"/>
    <w:multiLevelType w:val="hybridMultilevel"/>
    <w:lvl w:ilvl="0">
      <w:lvlJc w:val="left"/>
      <w:lvlText w:val="•"/>
      <w:numFmt w:val="bullet"/>
      <w:start w:val="1"/>
    </w:lvl>
  </w:abstractNum>
  <w:abstractNum w:abstractNumId="7">
    <w:nsid w:val="32FFF902"/>
    <w:multiLevelType w:val="hybridMultilevel"/>
    <w:lvl w:ilvl="0">
      <w:lvlJc w:val="left"/>
      <w:lvlText w:val="(%1)"/>
      <w:numFmt w:val="decimal"/>
      <w:start w:val="1"/>
    </w:lvl>
  </w:abstractNum>
  <w:abstractNum w:abstractNumId="8">
    <w:nsid w:val="684A481A"/>
    <w:multiLevelType w:val="hybridMultilevel"/>
    <w:lvl w:ilvl="0">
      <w:lvlJc w:val="left"/>
      <w:lvlText w:val="•"/>
      <w:numFmt w:val="bullet"/>
      <w:start w:val="1"/>
    </w:lvl>
  </w:abstractNum>
  <w:abstractNum w:abstractNumId="9">
    <w:nsid w:val="579478FE"/>
    <w:multiLevelType w:val="hybridMultilevel"/>
    <w:lvl w:ilvl="0">
      <w:lvlJc w:val="left"/>
      <w:lvlText w:val="•"/>
      <w:numFmt w:val="bullet"/>
      <w:start w:val="1"/>
    </w:lvl>
  </w:abstractNum>
  <w:abstractNum w:abstractNumId="10">
    <w:nsid w:val="749ABB43"/>
    <w:multiLevelType w:val="hybridMultilevel"/>
    <w:lvl w:ilvl="0">
      <w:lvlJc w:val="left"/>
      <w:lvlText w:val="ü"/>
      <w:numFmt w:val="bullet"/>
      <w:start w:val="1"/>
    </w:lvl>
  </w:abstractNum>
  <w:abstractNum w:abstractNumId="11">
    <w:nsid w:val="3DC240FB"/>
    <w:multiLevelType w:val="hybridMultilevel"/>
    <w:lvl w:ilvl="0">
      <w:lvlJc w:val="left"/>
      <w:lvlText w:val="ü"/>
      <w:numFmt w:val="bullet"/>
      <w:start w:val="1"/>
    </w:lvl>
  </w:abstractNum>
  <w:abstractNum w:abstractNumId="12">
    <w:nsid w:val="1BA026FA"/>
    <w:multiLevelType w:val="hybridMultilevel"/>
    <w:lvl w:ilvl="0">
      <w:lvlJc w:val="left"/>
      <w:lvlText w:val="ü"/>
      <w:numFmt w:val="bullet"/>
      <w:start w:val="1"/>
    </w:lvl>
  </w:abstractNum>
  <w:abstractNum w:abstractNumId="13">
    <w:nsid w:val="79A1DEAA"/>
    <w:multiLevelType w:val="hybridMultilevel"/>
    <w:lvl w:ilvl="0">
      <w:lvlJc w:val="left"/>
      <w:lvlText w:val="•"/>
      <w:numFmt w:val="bullet"/>
      <w:start w:val="1"/>
    </w:lvl>
  </w:abstractNum>
  <w:abstractNum w:abstractNumId="14">
    <w:nsid w:val="75C6C33A"/>
    <w:multiLevelType w:val="hybridMultilevel"/>
    <w:lvl w:ilvl="0">
      <w:lvlJc w:val="left"/>
      <w:lvlText w:val="•"/>
      <w:numFmt w:val="bullet"/>
      <w:start w:val="1"/>
    </w:lvl>
  </w:abstractNum>
  <w:abstractNum w:abstractNumId="15">
    <w:nsid w:val="12E685FB"/>
    <w:multiLevelType w:val="hybridMultilevel"/>
    <w:lvl w:ilvl="0">
      <w:lvlJc w:val="left"/>
      <w:lvlText w:val="•"/>
      <w:numFmt w:val="bullet"/>
      <w:start w:val="1"/>
    </w:lvl>
  </w:abstractNum>
  <w:abstractNum w:abstractNumId="16">
    <w:nsid w:val="70C6A529"/>
    <w:multiLevelType w:val="hybridMultilevel"/>
    <w:lvl w:ilvl="0">
      <w:lvlJc w:val="left"/>
      <w:lvlText w:val="*"/>
      <w:numFmt w:val="bullet"/>
      <w:start w:val="1"/>
    </w:lvl>
  </w:abstractNum>
  <w:abstractNum w:abstractNumId="17">
    <w:nsid w:val="520EEDD1"/>
    <w:multiLevelType w:val="hybridMultilevel"/>
    <w:lvl w:ilvl="0">
      <w:lvlJc w:val="left"/>
      <w:lvlText w:val="**"/>
      <w:numFmt w:val="bullet"/>
      <w:start w:val="1"/>
    </w:lvl>
  </w:abstractNum>
  <w:abstractNum w:abstractNumId="18">
    <w:nsid w:val="374A3FE6"/>
    <w:multiLevelType w:val="hybridMultilevel"/>
    <w:lvl w:ilvl="0">
      <w:lvlJc w:val="left"/>
      <w:lvlText w:val="•"/>
      <w:numFmt w:val="bullet"/>
      <w:start w:val="1"/>
    </w:lvl>
  </w:abstractNum>
  <w:abstractNum w:abstractNumId="19">
    <w:nsid w:val="4F4EF005"/>
    <w:multiLevelType w:val="hybridMultilevel"/>
    <w:lvl w:ilvl="0">
      <w:lvlJc w:val="left"/>
      <w:lvlText w:val="•"/>
      <w:numFmt w:val="bullet"/>
      <w:start w:val="1"/>
    </w:lvl>
  </w:abstractNum>
  <w:abstractNum w:abstractNumId="20">
    <w:nsid w:val="23F9C13C"/>
    <w:multiLevelType w:val="hybridMultilevel"/>
    <w:lvl w:ilvl="0">
      <w:lvlJc w:val="left"/>
      <w:lvlText w:val="•"/>
      <w:numFmt w:val="bullet"/>
      <w:start w:val="1"/>
    </w:lvl>
  </w:abstractNum>
  <w:abstractNum w:abstractNumId="21">
    <w:nsid w:val="649BB77C"/>
    <w:multiLevelType w:val="hybridMultilevel"/>
    <w:lvl w:ilvl="0">
      <w:lvlJc w:val="left"/>
      <w:lvlText w:val="•"/>
      <w:numFmt w:val="bullet"/>
      <w:start w:val="1"/>
    </w:lvl>
  </w:abstractNum>
  <w:abstractNum w:abstractNumId="22">
    <w:nsid w:val="275AC794"/>
    <w:multiLevelType w:val="hybridMultilevel"/>
    <w:lvl w:ilvl="0">
      <w:lvlJc w:val="left"/>
      <w:lvlText w:val="(%1)"/>
      <w:numFmt w:val="decimal"/>
      <w:start w:val="1"/>
    </w:lvl>
  </w:abstractNum>
  <w:abstractNum w:abstractNumId="23">
    <w:nsid w:val="39386575"/>
    <w:multiLevelType w:val="hybridMultilevel"/>
    <w:lvl w:ilvl="0">
      <w:lvlJc w:val="left"/>
      <w:lvlText w:val="(%1)"/>
      <w:numFmt w:val="decimal"/>
      <w:start w:val="4"/>
    </w:lvl>
  </w:abstractNum>
  <w:abstractNum w:abstractNumId="24">
    <w:nsid w:val="1CF10FD8"/>
    <w:multiLevelType w:val="hybridMultilevel"/>
    <w:lvl w:ilvl="0">
      <w:lvlJc w:val="left"/>
      <w:lvlText w:val="(%1)"/>
      <w:numFmt w:val="lowerLetter"/>
      <w:start w:val="1"/>
    </w:lvl>
  </w:abstractNum>
  <w:abstractNum w:abstractNumId="25">
    <w:nsid w:val="180115BE"/>
    <w:multiLevelType w:val="hybridMultilevel"/>
    <w:lvl w:ilvl="0">
      <w:lvlJc w:val="left"/>
      <w:lvlText w:val="(%1)"/>
      <w:numFmt w:val="lowerLetter"/>
      <w:start w:val="4"/>
    </w:lvl>
  </w:abstractNum>
  <w:abstractNum w:abstractNumId="26">
    <w:nsid w:val="235BA861"/>
    <w:multiLevelType w:val="hybridMultilevel"/>
    <w:lvl w:ilvl="0">
      <w:lvlJc w:val="left"/>
      <w:lvlText w:val="(%1)"/>
      <w:numFmt w:val="decimal"/>
      <w:start w:val="6"/>
    </w:lvl>
  </w:abstractNum>
  <w:abstractNum w:abstractNumId="27">
    <w:nsid w:val="47398C89"/>
    <w:multiLevelType w:val="hybridMultilevel"/>
    <w:lvl w:ilvl="0">
      <w:lvlJc w:val="left"/>
      <w:lvlText w:val="(%1)"/>
      <w:numFmt w:val="decimal"/>
      <w:start w:val="1"/>
    </w:lvl>
  </w:abstractNum>
  <w:abstractNum w:abstractNumId="28">
    <w:nsid w:val="354FE9F9"/>
    <w:multiLevelType w:val="hybridMultilevel"/>
    <w:lvl w:ilvl="0">
      <w:lvlJc w:val="left"/>
      <w:lvlText w:val="(%1)"/>
      <w:numFmt w:val="decimal"/>
      <w:start w:val="1"/>
    </w:lvl>
  </w:abstractNum>
  <w:abstractNum w:abstractNumId="29">
    <w:nsid w:val="15B5AF5C"/>
    <w:multiLevelType w:val="hybridMultilevel"/>
    <w:lvl w:ilvl="0">
      <w:lvlJc w:val="left"/>
      <w:lvlText w:val="(%1)"/>
      <w:numFmt w:val="decimal"/>
      <w:start w:val="1"/>
    </w:lvl>
    <w:lvl w:ilvl="1">
      <w:lvlJc w:val="left"/>
      <w:lvlText w:val="\endash "/>
      <w:numFmt w:val="bullet"/>
      <w:start w:val="1"/>
    </w:lvl>
  </w:abstractNum>
  <w:abstractNum w:abstractNumId="30">
    <w:nsid w:val="741226BB"/>
    <w:multiLevelType w:val="hybridMultilevel"/>
    <w:lvl w:ilvl="0">
      <w:lvlJc w:val="left"/>
      <w:lvlText w:val="•"/>
      <w:numFmt w:val="bullet"/>
      <w:start w:val="1"/>
    </w:lvl>
  </w:abstractNum>
  <w:abstractNum w:abstractNumId="31">
    <w:nsid w:val="D34B6A8"/>
    <w:multiLevelType w:val="hybridMultilevel"/>
    <w:lvl w:ilvl="0">
      <w:lvlJc w:val="left"/>
      <w:lvlText w:val="(%1)"/>
      <w:numFmt w:val="decimal"/>
      <w:start w:val="1"/>
    </w:lvl>
  </w:abstractNum>
  <w:abstractNum w:abstractNumId="32">
    <w:nsid w:val="10233C99"/>
    <w:multiLevelType w:val="hybridMultilevel"/>
    <w:lvl w:ilvl="0">
      <w:lvlJc w:val="left"/>
      <w:lvlText w:val="(%1)"/>
      <w:numFmt w:val="decimal"/>
      <w:start w:val="1"/>
    </w:lvl>
  </w:abstractNum>
  <w:abstractNum w:abstractNumId="33">
    <w:nsid w:val="3F6AB60F"/>
    <w:multiLevelType w:val="hybridMultilevel"/>
    <w:lvl w:ilvl="0">
      <w:lvlJc w:val="left"/>
      <w:lvlText w:val="(%1)"/>
      <w:numFmt w:val="decimal"/>
      <w:start w:val="1"/>
    </w:lvl>
  </w:abstractNum>
  <w:abstractNum w:abstractNumId="34">
    <w:nsid w:val="61574095"/>
    <w:multiLevelType w:val="hybridMultilevel"/>
    <w:lvl w:ilvl="0">
      <w:lvlJc w:val="left"/>
      <w:lvlText w:val="(%1)"/>
      <w:numFmt w:val="decimal"/>
      <w:start w:val="3"/>
    </w:lvl>
  </w:abstractNum>
  <w:abstractNum w:abstractNumId="35">
    <w:nsid w:val="7E0C57B1"/>
    <w:multiLevelType w:val="hybridMultilevel"/>
    <w:lvl w:ilvl="0">
      <w:lvlJc w:val="left"/>
      <w:lvlText w:val="(%1)"/>
      <w:numFmt w:val="lowerLetter"/>
      <w:start w:val="1"/>
    </w:lvl>
  </w:abstractNum>
  <w:abstractNum w:abstractNumId="36">
    <w:nsid w:val="77AE35EB"/>
    <w:multiLevelType w:val="hybridMultilevel"/>
    <w:lvl w:ilvl="0">
      <w:lvlJc w:val="left"/>
      <w:lvlText w:val="•"/>
      <w:numFmt w:val="bullet"/>
      <w:start w:val="1"/>
    </w:lvl>
  </w:abstractNum>
  <w:abstractNum w:abstractNumId="37">
    <w:nsid w:val="579BE4F1"/>
    <w:multiLevelType w:val="hybridMultilevel"/>
    <w:lvl w:ilvl="0">
      <w:lvlJc w:val="left"/>
      <w:lvlText w:val="•"/>
      <w:numFmt w:val="bullet"/>
      <w:start w:val="1"/>
    </w:lvl>
  </w:abstractNum>
  <w:abstractNum w:abstractNumId="38">
    <w:nsid w:val="310C50B3"/>
    <w:multiLevelType w:val="hybridMultilevel"/>
    <w:lvl w:ilvl="0">
      <w:lvlJc w:val="left"/>
      <w:lvlText w:val="ü"/>
      <w:numFmt w:val="bullet"/>
      <w:start w:val="1"/>
    </w:lvl>
  </w:abstractNum>
  <w:abstractNum w:abstractNumId="39">
    <w:nsid w:val="5FF87E05"/>
    <w:multiLevelType w:val="hybridMultilevel"/>
    <w:lvl w:ilvl="0">
      <w:lvlJc w:val="left"/>
      <w:lvlText w:val="x"/>
      <w:numFmt w:val="bullet"/>
      <w:start w:val="1"/>
    </w:lvl>
  </w:abstractNum>
  <w:abstractNum w:abstractNumId="40">
    <w:nsid w:val="2F305DEF"/>
    <w:multiLevelType w:val="hybridMultilevel"/>
    <w:lvl w:ilvl="0">
      <w:lvlJc w:val="left"/>
      <w:lvlText w:val="(%1)"/>
      <w:numFmt w:val="lowerRoman"/>
      <w:start w:val="3"/>
    </w:lvl>
  </w:abstractNum>
  <w:abstractNum w:abstractNumId="41">
    <w:nsid w:val="25A70BF7"/>
    <w:multiLevelType w:val="hybridMultilevel"/>
    <w:lvl w:ilvl="0">
      <w:lvlJc w:val="left"/>
      <w:lvlText w:val="•"/>
      <w:numFmt w:val="bullet"/>
      <w:start w:val="1"/>
    </w:lvl>
  </w:abstractNum>
  <w:abstractNum w:abstractNumId="42">
    <w:nsid w:val="1DBABF00"/>
    <w:multiLevelType w:val="hybridMultilevel"/>
    <w:lvl w:ilvl="0">
      <w:lvlJc w:val="left"/>
      <w:lvlText w:val="•"/>
      <w:numFmt w:val="bullet"/>
      <w:start w:val="1"/>
    </w:lvl>
  </w:abstractNum>
  <w:abstractNum w:abstractNumId="43">
    <w:nsid w:val="4AD084E9"/>
    <w:multiLevelType w:val="hybridMultilevel"/>
    <w:lvl w:ilvl="0">
      <w:lvlJc w:val="left"/>
      <w:lvlText w:val="•"/>
      <w:numFmt w:val="bullet"/>
      <w:start w:val="1"/>
    </w:lvl>
  </w:abstractNum>
  <w:abstractNum w:abstractNumId="44">
    <w:nsid w:val="1F48EAA1"/>
    <w:multiLevelType w:val="hybridMultilevel"/>
    <w:lvl w:ilvl="0">
      <w:lvlJc w:val="left"/>
      <w:lvlText w:val="(%1)"/>
      <w:numFmt w:val="lowerLetter"/>
      <w:start w:val="25"/>
    </w:lvl>
  </w:abstractNum>
  <w:abstractNum w:abstractNumId="45">
    <w:nsid w:val="1381823A"/>
    <w:multiLevelType w:val="hybridMultilevel"/>
    <w:lvl w:ilvl="0">
      <w:lvlJc w:val="left"/>
      <w:lvlText w:val="(%1)"/>
      <w:numFmt w:val="lowerRoman"/>
      <w:start w:val="4"/>
    </w:lvl>
  </w:abstractNum>
  <w:abstractNum w:abstractNumId="46">
    <w:nsid w:val="5DB70AE5"/>
    <w:multiLevelType w:val="hybridMultilevel"/>
    <w:lvl w:ilvl="0">
      <w:lvlJc w:val="left"/>
      <w:lvlText w:val="(%1)"/>
      <w:numFmt w:val="decimal"/>
      <w:start w:val="1"/>
    </w:lvl>
  </w:abstractNum>
  <w:abstractNum w:abstractNumId="47">
    <w:nsid w:val="100F8FCA"/>
    <w:multiLevelType w:val="hybridMultilevel"/>
    <w:lvl w:ilvl="0">
      <w:lvlJc w:val="left"/>
      <w:lvlText w:val="*"/>
      <w:numFmt w:val="bullet"/>
      <w:start w:val="1"/>
    </w:lvl>
  </w:abstractNum>
  <w:abstractNum w:abstractNumId="48">
    <w:nsid w:val="6590700B"/>
    <w:multiLevelType w:val="hybridMultilevel"/>
    <w:lvl w:ilvl="0">
      <w:lvlJc w:val="left"/>
      <w:lvlText w:val="(%1)"/>
      <w:numFmt w:val="decimal"/>
      <w:start w:val="1"/>
    </w:lvl>
  </w:abstractNum>
  <w:abstractNum w:abstractNumId="49">
    <w:nsid w:val="15014ACB"/>
    <w:multiLevelType w:val="hybridMultilevel"/>
    <w:lvl w:ilvl="0">
      <w:lvlJc w:val="left"/>
      <w:lvlText w:val="(%1)"/>
      <w:numFmt w:val="decimal"/>
      <w:start w:val="2"/>
    </w:lvl>
  </w:abstractNum>
  <w:abstractNum w:abstractNumId="50">
    <w:nsid w:val="5F5E7FD0"/>
    <w:multiLevelType w:val="hybridMultilevel"/>
    <w:lvl w:ilvl="0">
      <w:lvlJc w:val="left"/>
      <w:lvlText w:val="%1"/>
      <w:numFmt w:val="decimal"/>
      <w:start w:val="1"/>
    </w:lvl>
    <w:lvl w:ilvl="1">
      <w:lvlJc w:val="left"/>
      <w:lvlText w:val="(%2)"/>
      <w:numFmt w:val="lowerLetter"/>
      <w:start w:val="1"/>
    </w:lvl>
  </w:abstractNum>
  <w:abstractNum w:abstractNumId="51">
    <w:nsid w:val="98A3148"/>
    <w:multiLevelType w:val="hybridMultilevel"/>
    <w:lvl w:ilvl="0">
      <w:lvlJc w:val="left"/>
      <w:lvlText w:val="(%1)"/>
      <w:numFmt w:val="decimal"/>
      <w:start w:val="3"/>
    </w:lvl>
    <w:lvl w:ilvl="1">
      <w:lvlJc w:val="left"/>
      <w:lvlText w:val="%2"/>
      <w:numFmt w:val="lowerLetter"/>
      <w:start w:val="1"/>
    </w:lvl>
  </w:abstractNum>
  <w:abstractNum w:abstractNumId="52">
    <w:nsid w:val="799D0247"/>
    <w:multiLevelType w:val="hybridMultilevel"/>
    <w:lvl w:ilvl="0">
      <w:lvlJc w:val="left"/>
      <w:lvlText w:val="(%1)"/>
      <w:numFmt w:val="decimal"/>
      <w:start w:val="1"/>
    </w:lvl>
  </w:abstractNum>
  <w:abstractNum w:abstractNumId="53">
    <w:nsid w:val="6B94764"/>
    <w:multiLevelType w:val="hybridMultilevel"/>
    <w:lvl w:ilvl="0">
      <w:lvlJc w:val="left"/>
      <w:lvlText w:val="(%1)"/>
      <w:numFmt w:val="decimal"/>
      <w:start w:val="5"/>
    </w:lvl>
  </w:abstractNum>
  <w:abstractNum w:abstractNumId="54">
    <w:nsid w:val="42C296BD"/>
    <w:multiLevelType w:val="hybridMultilevel"/>
    <w:lvl w:ilvl="0">
      <w:lvlJc w:val="left"/>
      <w:lvlText w:val="%1."/>
      <w:numFmt w:val="decimal"/>
      <w:start w:val="1"/>
    </w:lvl>
    <w:lvl w:ilvl="1">
      <w:lvlJc w:val="left"/>
      <w:lvlText w:val="(%2)"/>
      <w:numFmt w:val="lowerRoman"/>
      <w:start w:val="1"/>
    </w:lvl>
  </w:abstractNum>
  <w:abstractNum w:abstractNumId="55">
    <w:nsid w:val="168E121F"/>
    <w:multiLevelType w:val="hybridMultilevel"/>
    <w:lvl w:ilvl="0">
      <w:lvlJc w:val="left"/>
      <w:lvlText w:val="(%1)"/>
      <w:numFmt w:val="lowerRoman"/>
      <w:start w:val="3"/>
    </w:lvl>
  </w:abstractNum>
  <w:abstractNum w:abstractNumId="56">
    <w:nsid w:val="1EBA5D23"/>
    <w:multiLevelType w:val="hybridMultilevel"/>
    <w:lvl w:ilvl="0">
      <w:lvlJc w:val="left"/>
      <w:lvlText w:val="%1."/>
      <w:numFmt w:val="decimal"/>
      <w:start w:val="3"/>
    </w:lvl>
    <w:lvl w:ilvl="1">
      <w:lvlJc w:val="left"/>
      <w:lvlText w:val="(%2)"/>
      <w:numFmt w:val="lowerLetter"/>
      <w:start w:val="1"/>
    </w:lvl>
    <w:lvl w:ilvl="2">
      <w:lvlJc w:val="left"/>
      <w:lvlText w:val="(%3)"/>
      <w:numFmt w:val="lowerLetter"/>
      <w:start w:val="9"/>
    </w:lvl>
  </w:abstractNum>
  <w:abstractNum w:abstractNumId="57">
    <w:nsid w:val="661E3F1E"/>
    <w:multiLevelType w:val="hybridMultilevel"/>
    <w:lvl w:ilvl="0">
      <w:lvlJc w:val="left"/>
      <w:lvlText w:val="%1"/>
      <w:numFmt w:val="decimal"/>
      <w:start w:val="1"/>
    </w:lvl>
    <w:lvl w:ilvl="1">
      <w:lvlJc w:val="left"/>
      <w:lvlText w:val="%2"/>
      <w:numFmt w:val="lowerLetter"/>
      <w:start w:val="1"/>
    </w:lvl>
    <w:lvl w:ilvl="2">
      <w:lvlJc w:val="left"/>
      <w:lvlText w:val="(%3)"/>
      <w:numFmt w:val="lowerLetter"/>
      <w:start w:val="61"/>
    </w:lvl>
  </w:abstractNum>
  <w:abstractNum w:abstractNumId="58">
    <w:nsid w:val="5DC79EA8"/>
    <w:multiLevelType w:val="hybridMultilevel"/>
    <w:lvl w:ilvl="0">
      <w:lvlJc w:val="left"/>
      <w:lvlText w:val="%1"/>
      <w:numFmt w:val="decimal"/>
      <w:start w:val="1"/>
    </w:lvl>
    <w:lvl w:ilvl="1">
      <w:lvlJc w:val="left"/>
      <w:lvlText w:val="(%2)"/>
      <w:numFmt w:val="lowerLetter"/>
      <w:start w:val="2"/>
    </w:lvl>
    <w:lvl w:ilvl="2">
      <w:lvlJc w:val="left"/>
      <w:lvlText w:val="(%3)"/>
      <w:numFmt w:val="lowerLetter"/>
      <w:start w:val="9"/>
    </w:lvl>
  </w:abstractNum>
  <w:abstractNum w:abstractNumId="59">
    <w:nsid w:val="540A471C"/>
    <w:multiLevelType w:val="hybridMultilevel"/>
    <w:lvl w:ilvl="0">
      <w:lvlJc w:val="left"/>
      <w:lvlText w:val="%1"/>
      <w:numFmt w:val="decimal"/>
      <w:start w:val="1"/>
    </w:lvl>
    <w:lvl w:ilvl="1">
      <w:lvlJc w:val="left"/>
      <w:lvlText w:val="(%2)"/>
      <w:numFmt w:val="lowerLetter"/>
      <w:start w:val="4"/>
    </w:lvl>
    <w:lvl w:ilvl="2">
      <w:lvlJc w:val="left"/>
      <w:lvlText w:val="(%3)"/>
      <w:numFmt w:val="lowerRoman"/>
      <w:start w:val="1"/>
    </w:lvl>
  </w:abstractNum>
  <w:abstractNum w:abstractNumId="60">
    <w:nsid w:val="7BD3EE7B"/>
    <w:multiLevelType w:val="hybridMultilevel"/>
    <w:lvl w:ilvl="0">
      <w:lvlJc w:val="left"/>
      <w:lvlText w:val="%1."/>
      <w:numFmt w:val="decimal"/>
      <w:start w:val="4"/>
    </w:lvl>
    <w:lvl w:ilvl="1">
      <w:lvlJc w:val="left"/>
      <w:lvlText w:val="%2"/>
      <w:numFmt w:val="lowerLetter"/>
      <w:start w:val="1"/>
    </w:lvl>
    <w:lvl w:ilvl="2">
      <w:lvlJc w:val="left"/>
      <w:lvlText w:val="%3"/>
      <w:numFmt w:val="lowerRoman"/>
      <w:start w:val="1"/>
    </w:lvl>
  </w:abstractNum>
  <w:abstractNum w:abstractNumId="61">
    <w:nsid w:val="51D9C564"/>
    <w:multiLevelType w:val="hybridMultilevel"/>
    <w:lvl w:ilvl="0">
      <w:lvlJc w:val="left"/>
      <w:lvlText w:val="(%1)"/>
      <w:numFmt w:val="lowerLetter"/>
      <w:start w:val="1"/>
    </w:lvl>
  </w:abstractNum>
  <w:abstractNum w:abstractNumId="62">
    <w:nsid w:val="613EFDC5"/>
    <w:multiLevelType w:val="hybridMultilevel"/>
    <w:lvl w:ilvl="0">
      <w:lvlJc w:val="left"/>
      <w:lvlText w:val="%1"/>
      <w:numFmt w:val="decimal"/>
      <w:start w:val="1"/>
    </w:lvl>
    <w:lvl w:ilvl="1">
      <w:lvlJc w:val="left"/>
      <w:lvlText w:val="(%2)"/>
      <w:numFmt w:val="lowerLetter"/>
      <w:start w:val="11"/>
    </w:lvl>
  </w:abstractNum>
  <w:abstractNum w:abstractNumId="63">
    <w:nsid w:val="BF72B14"/>
    <w:multiLevelType w:val="hybridMultilevel"/>
    <w:lvl w:ilvl="0">
      <w:lvlJc w:val="left"/>
      <w:lvlText w:val="%1."/>
      <w:numFmt w:val="decimal"/>
      <w:start w:val="5"/>
    </w:lvl>
    <w:lvl w:ilvl="1">
      <w:lvlJc w:val="left"/>
      <w:lvlText w:val="(%2)"/>
      <w:numFmt w:val="lowerLetter"/>
      <w:start w:val="1"/>
    </w:lvl>
  </w:abstractNum>
  <w:abstractNum w:abstractNumId="64">
    <w:nsid w:val="11447B73"/>
    <w:multiLevelType w:val="hybridMultilevel"/>
    <w:lvl w:ilvl="0">
      <w:lvlJc w:val="left"/>
      <w:lvlText w:val="%1"/>
      <w:numFmt w:val="decimal"/>
      <w:start w:val="1"/>
    </w:lvl>
    <w:lvl w:ilvl="1">
      <w:lvlJc w:val="left"/>
      <w:lvlText w:val="(%2)"/>
      <w:numFmt w:val="lowerLetter"/>
      <w:start w:val="8"/>
    </w:lvl>
    <w:lvl w:ilvl="2">
      <w:lvlJc w:val="left"/>
      <w:lvlText w:val="(%3)"/>
      <w:numFmt w:val="lowerRoman"/>
      <w:start w:val="1"/>
    </w:lvl>
  </w:abstractNum>
  <w:abstractNum w:abstractNumId="65">
    <w:nsid w:val="42963E5A"/>
    <w:multiLevelType w:val="hybridMultilevel"/>
    <w:lvl w:ilvl="0">
      <w:lvlJc w:val="left"/>
      <w:lvlText w:val="%1."/>
      <w:numFmt w:val="decimal"/>
      <w:start w:val="6"/>
    </w:lvl>
    <w:lvl w:ilvl="1">
      <w:lvlJc w:val="left"/>
      <w:lvlText w:val="(%2)"/>
      <w:numFmt w:val="lowerLetter"/>
      <w:start w:val="1"/>
    </w:lvl>
    <w:lvl w:ilvl="2">
      <w:lvlJc w:val="left"/>
      <w:lvlText w:val="%3"/>
      <w:numFmt w:val="lowerRoman"/>
      <w:start w:val="1"/>
    </w:lvl>
  </w:abstractNum>
  <w:abstractNum w:abstractNumId="66">
    <w:nsid w:val="A0382C5"/>
    <w:multiLevelType w:val="hybridMultilevel"/>
    <w:lvl w:ilvl="0">
      <w:lvlJc w:val="left"/>
      <w:lvlText w:val="%1"/>
      <w:numFmt w:val="decimal"/>
      <w:start w:val="1"/>
    </w:lvl>
    <w:lvl w:ilvl="1">
      <w:lvlJc w:val="left"/>
      <w:lvlText w:val="(%2)"/>
      <w:numFmt w:val="lowerLetter"/>
      <w:start w:val="6"/>
    </w:lvl>
  </w:abstractNum>
  <w:abstractNum w:abstractNumId="67">
    <w:nsid w:val="8F2B15E"/>
    <w:multiLevelType w:val="hybridMultilevel"/>
    <w:lvl w:ilvl="0">
      <w:lvlJc w:val="left"/>
      <w:lvlText w:val="%1."/>
      <w:numFmt w:val="decimal"/>
      <w:start w:val="7"/>
    </w:lvl>
    <w:lvl w:ilvl="1">
      <w:lvlJc w:val="left"/>
      <w:lvlText w:val="(%2)"/>
      <w:numFmt w:val="lowerLetter"/>
      <w:start w:val="1"/>
    </w:lvl>
  </w:abstractNum>
  <w:abstractNum w:abstractNumId="68">
    <w:nsid w:val="1A32234B"/>
    <w:multiLevelType w:val="hybridMultilevel"/>
    <w:lvl w:ilvl="0">
      <w:lvlJc w:val="left"/>
      <w:lvlText w:val="%1"/>
      <w:numFmt w:val="decimal"/>
      <w:start w:val="1"/>
    </w:lvl>
    <w:lvl w:ilvl="1">
      <w:lvlJc w:val="left"/>
      <w:lvlText w:val="(%2)"/>
      <w:numFmt w:val="lowerLetter"/>
      <w:start w:val="4"/>
    </w:lvl>
  </w:abstractNum>
  <w:abstractNum w:abstractNumId="69">
    <w:nsid w:val="3B0FD379"/>
    <w:multiLevelType w:val="hybridMultilevel"/>
    <w:lvl w:ilvl="0">
      <w:lvlJc w:val="left"/>
      <w:lvlText w:val="%1."/>
      <w:numFmt w:val="decimal"/>
      <w:start w:val="8"/>
    </w:lvl>
    <w:lvl w:ilvl="1">
      <w:lvlJc w:val="left"/>
      <w:lvlText w:val="(%2)"/>
      <w:numFmt w:val="lowerLetter"/>
      <w:start w:val="1"/>
    </w:lvl>
  </w:abstractNum>
  <w:abstractNum w:abstractNumId="70">
    <w:nsid w:val="68EB2F63"/>
    <w:multiLevelType w:val="hybridMultilevel"/>
    <w:lvl w:ilvl="0">
      <w:lvlJc w:val="left"/>
      <w:lvlText w:val="%1"/>
      <w:numFmt w:val="decimal"/>
      <w:start w:val="1"/>
    </w:lvl>
    <w:lvl w:ilvl="1">
      <w:lvlJc w:val="left"/>
      <w:lvlText w:val="(%2)"/>
      <w:numFmt w:val="lowerLetter"/>
      <w:start w:val="5"/>
    </w:lvl>
  </w:abstractNum>
  <w:abstractNum w:abstractNumId="71">
    <w:nsid w:val="4962813B"/>
    <w:multiLevelType w:val="hybridMultilevel"/>
    <w:lvl w:ilvl="0">
      <w:lvlJc w:val="left"/>
      <w:lvlText w:val="%1."/>
      <w:numFmt w:val="decimal"/>
      <w:start w:val="9"/>
    </w:lvl>
    <w:lvl w:ilvl="1">
      <w:lvlJc w:val="left"/>
      <w:lvlText w:val="(%2)"/>
      <w:numFmt w:val="lowerLetter"/>
      <w:start w:val="1"/>
    </w:lvl>
  </w:abstractNum>
  <w:abstractNum w:abstractNumId="72">
    <w:nsid w:val="60B6DF70"/>
    <w:multiLevelType w:val="hybridMultilevel"/>
    <w:lvl w:ilvl="0">
      <w:lvlJc w:val="left"/>
      <w:lvlText w:val="%1"/>
      <w:numFmt w:val="decimal"/>
      <w:start w:val="1"/>
    </w:lvl>
    <w:lvl w:ilvl="1">
      <w:lvlJc w:val="left"/>
      <w:lvlText w:val="(%2)"/>
      <w:numFmt w:val="lowerLetter"/>
      <w:start w:val="4"/>
    </w:lvl>
  </w:abstractNum>
  <w:abstractNum w:abstractNumId="73">
    <w:nsid w:val="6A5EE64"/>
    <w:multiLevelType w:val="hybridMultilevel"/>
    <w:lvl w:ilvl="0">
      <w:lvlJc w:val="left"/>
      <w:lvlText w:val="%1."/>
      <w:numFmt w:val="decimal"/>
      <w:start w:val="10"/>
    </w:lvl>
    <w:lvl w:ilvl="1">
      <w:lvlJc w:val="left"/>
      <w:lvlText w:val="(%2)"/>
      <w:numFmt w:val="lowerLetter"/>
      <w:start w:val="1"/>
    </w:lvl>
  </w:abstractNum>
  <w:abstractNum w:abstractNumId="74">
    <w:nsid w:val="14330624"/>
    <w:multiLevelType w:val="hybridMultilevel"/>
    <w:lvl w:ilvl="0">
      <w:lvlJc w:val="left"/>
      <w:lvlText w:val="%1"/>
      <w:numFmt w:val="decimal"/>
      <w:start w:val="1"/>
    </w:lvl>
    <w:lvl w:ilvl="1">
      <w:lvlJc w:val="left"/>
      <w:lvlText w:val="(%2)"/>
      <w:numFmt w:val="lowerLetter"/>
      <w:start w:val="4"/>
    </w:lvl>
  </w:abstractNum>
  <w:abstractNum w:abstractNumId="75">
    <w:nsid w:val="7FFFCA11"/>
    <w:multiLevelType w:val="hybridMultilevel"/>
    <w:lvl w:ilvl="0">
      <w:lvlJc w:val="left"/>
      <w:lvlText w:val="%1."/>
      <w:numFmt w:val="decimal"/>
      <w:start w:val="11"/>
    </w:lvl>
    <w:lvl w:ilvl="1">
      <w:lvlJc w:val="left"/>
      <w:lvlText w:val="(%2)"/>
      <w:numFmt w:val="lowerLetter"/>
      <w:start w:val="1"/>
    </w:lvl>
  </w:abstractNum>
  <w:abstractNum w:abstractNumId="76">
    <w:nsid w:val="1A27709E"/>
    <w:multiLevelType w:val="hybridMultilevel"/>
    <w:lvl w:ilvl="0">
      <w:lvlJc w:val="left"/>
      <w:lvlText w:val="%1"/>
      <w:numFmt w:val="decimal"/>
      <w:start w:val="1"/>
    </w:lvl>
    <w:lvl w:ilvl="1">
      <w:lvlJc w:val="left"/>
      <w:lvlText w:val="%2"/>
      <w:numFmt w:val="lowerLetter"/>
      <w:start w:val="1"/>
    </w:lvl>
    <w:lvl w:ilvl="2">
      <w:lvlJc w:val="left"/>
      <w:lvlText w:val="(%3)"/>
      <w:numFmt w:val="lowerLetter"/>
      <w:start w:val="35"/>
    </w:lvl>
  </w:abstractNum>
  <w:abstractNum w:abstractNumId="77">
    <w:nsid w:val="71EA1109"/>
    <w:multiLevelType w:val="hybridMultilevel"/>
    <w:lvl w:ilvl="0">
      <w:lvlJc w:val="left"/>
      <w:lvlText w:val="%1"/>
      <w:numFmt w:val="decimal"/>
      <w:start w:val="1"/>
    </w:lvl>
    <w:lvl w:ilvl="1">
      <w:lvlJc w:val="left"/>
      <w:lvlText w:val="(%2)"/>
      <w:numFmt w:val="lowerLetter"/>
      <w:start w:val="2"/>
    </w:lvl>
    <w:lvl w:ilvl="2">
      <w:lvlJc w:val="left"/>
      <w:lvlText w:val="%3"/>
      <w:numFmt w:val="lowerLetter"/>
      <w:start w:val="1"/>
    </w:lvl>
  </w:abstractNum>
  <w:abstractNum w:abstractNumId="78">
    <w:nsid w:val="100F59DC"/>
    <w:multiLevelType w:val="hybridMultilevel"/>
    <w:lvl w:ilvl="0">
      <w:lvlJc w:val="left"/>
      <w:lvlText w:val="%1."/>
      <w:numFmt w:val="decimal"/>
      <w:start w:val="14"/>
    </w:lvl>
    <w:lvl w:ilvl="1">
      <w:lvlJc w:val="left"/>
      <w:lvlText w:val="%2"/>
      <w:numFmt w:val="lowerLetter"/>
      <w:start w:val="1"/>
    </w:lvl>
    <w:lvl w:ilvl="2">
      <w:lvlJc w:val="left"/>
      <w:lvlText w:val="%3"/>
      <w:numFmt w:val="lowerLetter"/>
      <w:start w:val="1"/>
    </w:lvl>
  </w:abstractNum>
  <w:abstractNum w:abstractNumId="79">
    <w:nsid w:val="7FB7E0AA"/>
    <w:multiLevelType w:val="hybridMultilevel"/>
    <w:lvl w:ilvl="0">
      <w:lvlJc w:val="left"/>
      <w:lvlText w:val="%1."/>
      <w:numFmt w:val="decimal"/>
      <w:start w:val="16"/>
    </w:lvl>
  </w:abstractNum>
  <w:abstractNum w:abstractNumId="80">
    <w:nsid w:val="6EB5BD4"/>
    <w:multiLevelType w:val="hybridMultilevel"/>
    <w:lvl w:ilvl="0">
      <w:lvlJc w:val="left"/>
      <w:lvlText w:val="%1."/>
      <w:numFmt w:val="decimal"/>
      <w:start w:val="19"/>
    </w:lvl>
    <w:lvl w:ilvl="1">
      <w:lvlJc w:val="left"/>
      <w:lvlText w:val="(%2)"/>
      <w:numFmt w:val="lowerLetter"/>
      <w:start w:val="1"/>
    </w:lvl>
  </w:abstractNum>
  <w:abstractNum w:abstractNumId="81">
    <w:nsid w:val="6F6DD9AC"/>
    <w:multiLevelType w:val="hybridMultilevel"/>
    <w:lvl w:ilvl="0">
      <w:lvlJc w:val="left"/>
      <w:lvlText w:val="%1."/>
      <w:numFmt w:val="decimal"/>
      <w:start w:val="20"/>
    </w:lvl>
    <w:lvl w:ilvl="1">
      <w:lvlJc w:val="left"/>
      <w:lvlText w:val="(%2)"/>
      <w:numFmt w:val="lowerLetter"/>
      <w:start w:val="1"/>
    </w:lvl>
  </w:abstractNum>
  <w:abstractNum w:abstractNumId="82">
    <w:nsid w:val="94211F2"/>
    <w:multiLevelType w:val="hybridMultilevel"/>
    <w:lvl w:ilvl="0">
      <w:lvlJc w:val="left"/>
      <w:lvlText w:val="%1."/>
      <w:numFmt w:val="decimal"/>
      <w:start w:val="22"/>
    </w:lvl>
    <w:lvl w:ilvl="1">
      <w:lvlJc w:val="left"/>
      <w:lvlText w:val="(%2)"/>
      <w:numFmt w:val="lowerLetter"/>
      <w:start w:val="1"/>
    </w:lvl>
  </w:abstractNum>
  <w:abstractNum w:abstractNumId="83">
    <w:nsid w:val="885E1B"/>
    <w:multiLevelType w:val="hybridMultilevel"/>
    <w:lvl w:ilvl="0">
      <w:lvlJc w:val="left"/>
      <w:lvlText w:val="%1."/>
      <w:numFmt w:val="decimal"/>
      <w:start w:val="23"/>
    </w:lvl>
    <w:lvl w:ilvl="1">
      <w:lvlJc w:val="left"/>
      <w:lvlText w:val="(%2)"/>
      <w:numFmt w:val="lowerLetter"/>
      <w:start w:val="1"/>
    </w:lvl>
  </w:abstractNum>
  <w:abstractNum w:abstractNumId="84">
    <w:nsid w:val="76272110"/>
    <w:multiLevelType w:val="hybridMultilevel"/>
    <w:lvl w:ilvl="0">
      <w:lvlJc w:val="left"/>
      <w:lvlText w:val="☐"/>
      <w:numFmt w:val="bullet"/>
      <w:start w:val="1"/>
    </w:lvl>
  </w:abstractNum>
  <w:abstractNum w:abstractNumId="85">
    <w:nsid w:val="4C04A8AF"/>
    <w:multiLevelType w:val="hybridMultilevel"/>
    <w:lvl w:ilvl="0">
      <w:lvlJc w:val="left"/>
      <w:lvlText w:val="%1."/>
      <w:numFmt w:val="decimal"/>
      <w:start w:val="1"/>
    </w:lvl>
  </w:abstractNum>
  <w:abstractNum w:abstractNumId="86">
    <w:nsid w:val="1716703B"/>
    <w:multiLevelType w:val="hybridMultilevel"/>
    <w:lvl w:ilvl="0">
      <w:lvlJc w:val="left"/>
      <w:lvlText w:val="•"/>
      <w:numFmt w:val="bullet"/>
      <w:start w:val="1"/>
    </w:lvl>
  </w:abstractNum>
  <w:abstractNum w:abstractNumId="87">
    <w:nsid w:val="14E17E33"/>
    <w:multiLevelType w:val="hybridMultilevel"/>
    <w:lvl w:ilvl="0">
      <w:lvlJc w:val="left"/>
      <w:lvlText w:val="%1."/>
      <w:numFmt w:val="decimal"/>
      <w:start w:val="1"/>
    </w:lvl>
  </w:abstractNum>
  <w:abstractNum w:abstractNumId="88">
    <w:nsid w:val="3222E7CD"/>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jpe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jpeg"/><Relationship Id="rId24" Type="http://schemas.openxmlformats.org/officeDocument/2006/relationships/image" Target="media/image17.jpe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jpe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jpe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jpe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jpeg"/><Relationship Id="rId39" Type="http://schemas.openxmlformats.org/officeDocument/2006/relationships/image" Target="media/image32.png"/><Relationship Id="rId40" Type="http://schemas.openxmlformats.org/officeDocument/2006/relationships/image" Target="media/image33.jpeg"/><Relationship Id="rId41" Type="http://schemas.openxmlformats.org/officeDocument/2006/relationships/image" Target="media/image34.png"/><Relationship Id="rId42" Type="http://schemas.openxmlformats.org/officeDocument/2006/relationships/image" Target="media/image35.jpeg"/><Relationship Id="rId43" Type="http://schemas.openxmlformats.org/officeDocument/2006/relationships/image" Target="media/image36.png"/><Relationship Id="rId44" Type="http://schemas.openxmlformats.org/officeDocument/2006/relationships/image" Target="media/image37.jpeg"/><Relationship Id="rId45" Type="http://schemas.openxmlformats.org/officeDocument/2006/relationships/image" Target="media/image38.png"/><Relationship Id="rId46" Type="http://schemas.openxmlformats.org/officeDocument/2006/relationships/image" Target="media/image39.jpeg"/><Relationship Id="rId47" Type="http://schemas.openxmlformats.org/officeDocument/2006/relationships/image" Target="media/image40.png"/><Relationship Id="rId48" Type="http://schemas.openxmlformats.org/officeDocument/2006/relationships/image" Target="media/image41.jpeg"/><Relationship Id="rId49" Type="http://schemas.openxmlformats.org/officeDocument/2006/relationships/image" Target="media/image42.png"/><Relationship Id="rId50" Type="http://schemas.openxmlformats.org/officeDocument/2006/relationships/image" Target="media/image43.jpeg"/><Relationship Id="rId51" Type="http://schemas.openxmlformats.org/officeDocument/2006/relationships/image" Target="media/image44.png"/><Relationship Id="rId52" Type="http://schemas.openxmlformats.org/officeDocument/2006/relationships/image" Target="media/image45.jpeg"/><Relationship Id="rId53" Type="http://schemas.openxmlformats.org/officeDocument/2006/relationships/image" Target="media/image46.png"/><Relationship Id="rId54" Type="http://schemas.openxmlformats.org/officeDocument/2006/relationships/image" Target="media/image47.jpeg"/><Relationship Id="rId55" Type="http://schemas.openxmlformats.org/officeDocument/2006/relationships/image" Target="media/image48.png"/><Relationship Id="rId56" Type="http://schemas.openxmlformats.org/officeDocument/2006/relationships/image" Target="media/image49.jpeg"/><Relationship Id="rId57" Type="http://schemas.openxmlformats.org/officeDocument/2006/relationships/image" Target="media/image50.png"/><Relationship Id="rId58" Type="http://schemas.openxmlformats.org/officeDocument/2006/relationships/image" Target="media/image51.jpeg"/><Relationship Id="rId59" Type="http://schemas.openxmlformats.org/officeDocument/2006/relationships/image" Target="media/image52.png"/><Relationship Id="rId60" Type="http://schemas.openxmlformats.org/officeDocument/2006/relationships/image" Target="media/image53.jpeg"/><Relationship Id="rId61" Type="http://schemas.openxmlformats.org/officeDocument/2006/relationships/image" Target="media/image54.png"/><Relationship Id="rId62" Type="http://schemas.openxmlformats.org/officeDocument/2006/relationships/image" Target="media/image55.jpeg"/><Relationship Id="rId63" Type="http://schemas.openxmlformats.org/officeDocument/2006/relationships/image" Target="media/image56.png"/><Relationship Id="rId64" Type="http://schemas.openxmlformats.org/officeDocument/2006/relationships/image" Target="media/image57.jpeg"/><Relationship Id="rId65" Type="http://schemas.openxmlformats.org/officeDocument/2006/relationships/image" Target="media/image58.png"/><Relationship Id="rId66" Type="http://schemas.openxmlformats.org/officeDocument/2006/relationships/image" Target="media/image59.jpeg"/><Relationship Id="rId67" Type="http://schemas.openxmlformats.org/officeDocument/2006/relationships/image" Target="media/image60.png"/><Relationship Id="rId68" Type="http://schemas.openxmlformats.org/officeDocument/2006/relationships/image" Target="media/image61.jpeg"/><Relationship Id="rId69" Type="http://schemas.openxmlformats.org/officeDocument/2006/relationships/image" Target="media/image62.png"/><Relationship Id="rId70" Type="http://schemas.openxmlformats.org/officeDocument/2006/relationships/image" Target="media/image63.jpeg"/><Relationship Id="rId71" Type="http://schemas.openxmlformats.org/officeDocument/2006/relationships/image" Target="media/image64.png"/><Relationship Id="rId72" Type="http://schemas.openxmlformats.org/officeDocument/2006/relationships/image" Target="media/image65.jpeg"/><Relationship Id="rId73" Type="http://schemas.openxmlformats.org/officeDocument/2006/relationships/image" Target="media/image66.png"/><Relationship Id="rId74" Type="http://schemas.openxmlformats.org/officeDocument/2006/relationships/image" Target="media/image67.jpeg"/><Relationship Id="rId75" Type="http://schemas.openxmlformats.org/officeDocument/2006/relationships/image" Target="media/image68.png"/><Relationship Id="rId76" Type="http://schemas.openxmlformats.org/officeDocument/2006/relationships/image" Target="media/image69.jpeg"/><Relationship Id="rId77" Type="http://schemas.openxmlformats.org/officeDocument/2006/relationships/image" Target="media/image70.png"/><Relationship Id="rId78" Type="http://schemas.openxmlformats.org/officeDocument/2006/relationships/image" Target="media/image71.jpeg"/><Relationship Id="rId79" Type="http://schemas.openxmlformats.org/officeDocument/2006/relationships/image" Target="media/image72.png"/><Relationship Id="rId80" Type="http://schemas.openxmlformats.org/officeDocument/2006/relationships/image" Target="media/image73.png"/><Relationship Id="rId81" Type="http://schemas.openxmlformats.org/officeDocument/2006/relationships/image" Target="media/image74.png"/><Relationship Id="rId82" Type="http://schemas.openxmlformats.org/officeDocument/2006/relationships/image" Target="media/image75.png"/><Relationship Id="rId83" Type="http://schemas.openxmlformats.org/officeDocument/2006/relationships/image" Target="media/image76.png"/><Relationship Id="rId84" Type="http://schemas.openxmlformats.org/officeDocument/2006/relationships/image" Target="media/image77.png"/><Relationship Id="rId85" Type="http://schemas.openxmlformats.org/officeDocument/2006/relationships/image" Target="media/image78.png"/><Relationship Id="rId86" Type="http://schemas.openxmlformats.org/officeDocument/2006/relationships/image" Target="media/image79.png"/><Relationship Id="rId87" Type="http://schemas.openxmlformats.org/officeDocument/2006/relationships/image" Target="media/image80.png"/><Relationship Id="rId88" Type="http://schemas.openxmlformats.org/officeDocument/2006/relationships/image" Target="media/image81.jpeg"/><Relationship Id="rId89" Type="http://schemas.openxmlformats.org/officeDocument/2006/relationships/image" Target="media/image82.png"/><Relationship Id="rId90" Type="http://schemas.openxmlformats.org/officeDocument/2006/relationships/image" Target="media/image83.jpeg"/><Relationship Id="rId91" Type="http://schemas.openxmlformats.org/officeDocument/2006/relationships/image" Target="media/image84.png"/><Relationship Id="rId92" Type="http://schemas.openxmlformats.org/officeDocument/2006/relationships/image" Target="media/image85.jpeg"/><Relationship Id="rId93" Type="http://schemas.openxmlformats.org/officeDocument/2006/relationships/image" Target="media/image86.png"/><Relationship Id="rId94" Type="http://schemas.openxmlformats.org/officeDocument/2006/relationships/image" Target="media/image87.png"/><Relationship Id="rId95" Type="http://schemas.openxmlformats.org/officeDocument/2006/relationships/image" Target="media/image88.png"/><Relationship Id="rId96" Type="http://schemas.openxmlformats.org/officeDocument/2006/relationships/image" Target="media/image89.jpeg"/><Relationship Id="rId97" Type="http://schemas.openxmlformats.org/officeDocument/2006/relationships/image" Target="media/image90.png"/><Relationship Id="rId98" Type="http://schemas.openxmlformats.org/officeDocument/2006/relationships/image" Target="media/image91.jpeg"/><Relationship Id="rId99" Type="http://schemas.openxmlformats.org/officeDocument/2006/relationships/image" Target="media/image92.png"/><Relationship Id="rId100" Type="http://schemas.openxmlformats.org/officeDocument/2006/relationships/image" Target="media/image93.png"/><Relationship Id="rId101" Type="http://schemas.openxmlformats.org/officeDocument/2006/relationships/image" Target="media/image94.png"/><Relationship Id="rId102" Type="http://schemas.openxmlformats.org/officeDocument/2006/relationships/image" Target="media/image95.jpeg"/><Relationship Id="rId103" Type="http://schemas.openxmlformats.org/officeDocument/2006/relationships/image" Target="media/image96.png"/><Relationship Id="rId104" Type="http://schemas.openxmlformats.org/officeDocument/2006/relationships/image" Target="media/image97.png"/><Relationship Id="rId105" Type="http://schemas.openxmlformats.org/officeDocument/2006/relationships/image" Target="media/image98.png"/><Relationship Id="rId106" Type="http://schemas.openxmlformats.org/officeDocument/2006/relationships/image" Target="media/image99.jpeg"/><Relationship Id="rId107" Type="http://schemas.openxmlformats.org/officeDocument/2006/relationships/image" Target="media/image100.png"/><Relationship Id="rId108" Type="http://schemas.openxmlformats.org/officeDocument/2006/relationships/image" Target="media/image101.png"/><Relationship Id="rId109" Type="http://schemas.openxmlformats.org/officeDocument/2006/relationships/image" Target="media/image102.jpeg"/><Relationship Id="rId110" Type="http://schemas.openxmlformats.org/officeDocument/2006/relationships/image" Target="media/image103.png"/><Relationship Id="rId111" Type="http://schemas.openxmlformats.org/officeDocument/2006/relationships/image" Target="media/image104.png"/><Relationship Id="rId112" Type="http://schemas.openxmlformats.org/officeDocument/2006/relationships/image" Target="media/image105.png"/><Relationship Id="rId113" Type="http://schemas.openxmlformats.org/officeDocument/2006/relationships/image" Target="media/image106.png"/><Relationship Id="rId114" Type="http://schemas.openxmlformats.org/officeDocument/2006/relationships/image" Target="media/image107.png"/><Relationship Id="rId115" Type="http://schemas.openxmlformats.org/officeDocument/2006/relationships/image" Target="media/image108.jpeg"/><Relationship Id="rId116" Type="http://schemas.openxmlformats.org/officeDocument/2006/relationships/image" Target="media/image109.png"/><Relationship Id="rId117" Type="http://schemas.openxmlformats.org/officeDocument/2006/relationships/image" Target="media/image110.png"/><Relationship Id="rId118" Type="http://schemas.openxmlformats.org/officeDocument/2006/relationships/image" Target="media/image111.jpeg"/><Relationship Id="rId119" Type="http://schemas.openxmlformats.org/officeDocument/2006/relationships/image" Target="media/image112.png"/><Relationship Id="rId120" Type="http://schemas.openxmlformats.org/officeDocument/2006/relationships/image" Target="media/image113.png"/><Relationship Id="rId121" Type="http://schemas.openxmlformats.org/officeDocument/2006/relationships/image" Target="media/image114.png"/><Relationship Id="rId122" Type="http://schemas.openxmlformats.org/officeDocument/2006/relationships/image" Target="media/image115.jpeg"/><Relationship Id="rId123" Type="http://schemas.openxmlformats.org/officeDocument/2006/relationships/image" Target="media/image116.png"/><Relationship Id="rId124" Type="http://schemas.openxmlformats.org/officeDocument/2006/relationships/image" Target="media/image117.png"/><Relationship Id="rId125" Type="http://schemas.openxmlformats.org/officeDocument/2006/relationships/image" Target="media/image118.png"/><Relationship Id="rId126" Type="http://schemas.openxmlformats.org/officeDocument/2006/relationships/image" Target="media/image119.jpeg"/><Relationship Id="rId127" Type="http://schemas.openxmlformats.org/officeDocument/2006/relationships/image" Target="media/image120.png"/><Relationship Id="rId128" Type="http://schemas.openxmlformats.org/officeDocument/2006/relationships/image" Target="media/image121.png"/><Relationship Id="rId129" Type="http://schemas.openxmlformats.org/officeDocument/2006/relationships/image" Target="media/image122.jpeg"/><Relationship Id="rId130" Type="http://schemas.openxmlformats.org/officeDocument/2006/relationships/image" Target="media/image123.jpeg"/><Relationship Id="rId131" Type="http://schemas.openxmlformats.org/officeDocument/2006/relationships/image" Target="media/image124.png"/><Relationship Id="rId132" Type="http://schemas.openxmlformats.org/officeDocument/2006/relationships/image" Target="media/image125.jpeg"/><Relationship Id="rId133" Type="http://schemas.openxmlformats.org/officeDocument/2006/relationships/image" Target="media/image126.png"/><Relationship Id="rId134" Type="http://schemas.openxmlformats.org/officeDocument/2006/relationships/image" Target="media/image127.png"/><Relationship Id="rId135" Type="http://schemas.openxmlformats.org/officeDocument/2006/relationships/image" Target="media/image128.png"/><Relationship Id="rId136" Type="http://schemas.openxmlformats.org/officeDocument/2006/relationships/image" Target="media/image129.jpeg"/><Relationship Id="rId137" Type="http://schemas.openxmlformats.org/officeDocument/2006/relationships/image" Target="media/image130.png"/><Relationship Id="rId138" Type="http://schemas.openxmlformats.org/officeDocument/2006/relationships/image" Target="media/image131.jpeg"/><Relationship Id="rId139" Type="http://schemas.openxmlformats.org/officeDocument/2006/relationships/image" Target="media/image132.png"/><Relationship Id="rId140" Type="http://schemas.openxmlformats.org/officeDocument/2006/relationships/image" Target="media/image133.jpeg"/><Relationship Id="rId141" Type="http://schemas.openxmlformats.org/officeDocument/2006/relationships/image" Target="media/image134.png"/><Relationship Id="rId142" Type="http://schemas.openxmlformats.org/officeDocument/2006/relationships/image" Target="media/image135.jpeg"/><Relationship Id="rId143" Type="http://schemas.openxmlformats.org/officeDocument/2006/relationships/image" Target="media/image136.png"/><Relationship Id="rId144" Type="http://schemas.openxmlformats.org/officeDocument/2006/relationships/image" Target="media/image137.jpeg"/><Relationship Id="rId145" Type="http://schemas.openxmlformats.org/officeDocument/2006/relationships/image" Target="media/image138.png"/><Relationship Id="rId146" Type="http://schemas.openxmlformats.org/officeDocument/2006/relationships/image" Target="media/image139.png"/><Relationship Id="rId147" Type="http://schemas.openxmlformats.org/officeDocument/2006/relationships/image" Target="media/image140.jpeg"/><Relationship Id="rId148" Type="http://schemas.openxmlformats.org/officeDocument/2006/relationships/image" Target="media/image141.png"/><Relationship Id="rId149" Type="http://schemas.openxmlformats.org/officeDocument/2006/relationships/image" Target="media/image142.png"/><Relationship Id="rId150" Type="http://schemas.openxmlformats.org/officeDocument/2006/relationships/image" Target="media/image143.png"/><Relationship Id="rId151" Type="http://schemas.openxmlformats.org/officeDocument/2006/relationships/image" Target="media/image144.jpeg"/><Relationship Id="rId152" Type="http://schemas.openxmlformats.org/officeDocument/2006/relationships/image" Target="media/image145.png"/><Relationship Id="rId153" Type="http://schemas.openxmlformats.org/officeDocument/2006/relationships/image" Target="media/image146.jpeg"/><Relationship Id="rId154" Type="http://schemas.openxmlformats.org/officeDocument/2006/relationships/image" Target="media/image147.png"/><Relationship Id="rId155" Type="http://schemas.openxmlformats.org/officeDocument/2006/relationships/image" Target="media/image148.jpeg"/><Relationship Id="rId156" Type="http://schemas.openxmlformats.org/officeDocument/2006/relationships/image" Target="media/image149.png"/><Relationship Id="rId157" Type="http://schemas.openxmlformats.org/officeDocument/2006/relationships/image" Target="media/image150.jpeg"/><Relationship Id="rId158" Type="http://schemas.openxmlformats.org/officeDocument/2006/relationships/image" Target="media/image151.png"/><Relationship Id="rId159" Type="http://schemas.openxmlformats.org/officeDocument/2006/relationships/image" Target="media/image152.jpeg"/><Relationship Id="rId160" Type="http://schemas.openxmlformats.org/officeDocument/2006/relationships/image" Target="media/image153.png"/><Relationship Id="rId161" Type="http://schemas.openxmlformats.org/officeDocument/2006/relationships/image" Target="media/image154.jpeg"/><Relationship Id="rId162" Type="http://schemas.openxmlformats.org/officeDocument/2006/relationships/image" Target="media/image155.png"/><Relationship Id="rId163" Type="http://schemas.openxmlformats.org/officeDocument/2006/relationships/image" Target="media/image156.jpeg"/><Relationship Id="rId164" Type="http://schemas.openxmlformats.org/officeDocument/2006/relationships/image" Target="media/image157.png"/><Relationship Id="rId165" Type="http://schemas.openxmlformats.org/officeDocument/2006/relationships/image" Target="media/image158.jpeg"/><Relationship Id="rId166" Type="http://schemas.openxmlformats.org/officeDocument/2006/relationships/image" Target="media/image159.png"/><Relationship Id="rId167" Type="http://schemas.openxmlformats.org/officeDocument/2006/relationships/image" Target="media/image160.jpeg"/><Relationship Id="rId168" Type="http://schemas.openxmlformats.org/officeDocument/2006/relationships/image" Target="media/image161.png"/><Relationship Id="rId169" Type="http://schemas.openxmlformats.org/officeDocument/2006/relationships/image" Target="media/image162.jpeg"/><Relationship Id="rId170" Type="http://schemas.openxmlformats.org/officeDocument/2006/relationships/image" Target="media/image163.png"/><Relationship Id="rId171" Type="http://schemas.openxmlformats.org/officeDocument/2006/relationships/image" Target="media/image164.jpeg"/><Relationship Id="rId172" Type="http://schemas.openxmlformats.org/officeDocument/2006/relationships/image" Target="media/image165.png"/><Relationship Id="rId173" Type="http://schemas.openxmlformats.org/officeDocument/2006/relationships/image" Target="media/image166.jpeg"/><Relationship Id="rId174" Type="http://schemas.openxmlformats.org/officeDocument/2006/relationships/image" Target="media/image167.png"/><Relationship Id="rId175" Type="http://schemas.openxmlformats.org/officeDocument/2006/relationships/image" Target="media/image168.jpeg"/><Relationship Id="rId176" Type="http://schemas.openxmlformats.org/officeDocument/2006/relationships/image" Target="media/image169.png"/><Relationship Id="rId177" Type="http://schemas.openxmlformats.org/officeDocument/2006/relationships/image" Target="media/image170.png"/><Relationship Id="rId178" Type="http://schemas.openxmlformats.org/officeDocument/2006/relationships/image" Target="media/image171.jpeg"/><Relationship Id="rId179" Type="http://schemas.openxmlformats.org/officeDocument/2006/relationships/image" Target="media/image172.png"/><Relationship Id="rId180" Type="http://schemas.openxmlformats.org/officeDocument/2006/relationships/image" Target="media/image173.jpeg"/><Relationship Id="rId181" Type="http://schemas.openxmlformats.org/officeDocument/2006/relationships/image" Target="media/image174.png"/><Relationship Id="rId182" Type="http://schemas.openxmlformats.org/officeDocument/2006/relationships/image" Target="media/image175.jpeg"/><Relationship Id="rId183" Type="http://schemas.openxmlformats.org/officeDocument/2006/relationships/image" Target="media/image176.png"/><Relationship Id="rId184" Type="http://schemas.openxmlformats.org/officeDocument/2006/relationships/image" Target="media/image177.jpeg"/><Relationship Id="rId185" Type="http://schemas.openxmlformats.org/officeDocument/2006/relationships/image" Target="media/image178.png"/><Relationship Id="rId186" Type="http://schemas.openxmlformats.org/officeDocument/2006/relationships/image" Target="media/image179.jpeg"/><Relationship Id="rId187" Type="http://schemas.openxmlformats.org/officeDocument/2006/relationships/image" Target="media/image180.png"/><Relationship Id="rId188" Type="http://schemas.openxmlformats.org/officeDocument/2006/relationships/image" Target="media/image181.jpeg"/><Relationship Id="rId189" Type="http://schemas.openxmlformats.org/officeDocument/2006/relationships/image" Target="media/image182.png"/><Relationship Id="rId190" Type="http://schemas.openxmlformats.org/officeDocument/2006/relationships/image" Target="media/image183.png"/><Relationship Id="rId191" Type="http://schemas.openxmlformats.org/officeDocument/2006/relationships/image" Target="media/image184.png"/><Relationship Id="rId192" Type="http://schemas.openxmlformats.org/officeDocument/2006/relationships/image" Target="media/image185.jpeg"/><Relationship Id="rId193" Type="http://schemas.openxmlformats.org/officeDocument/2006/relationships/image" Target="media/image186.png"/><Relationship Id="rId194" Type="http://schemas.openxmlformats.org/officeDocument/2006/relationships/image" Target="media/image187.jpeg"/><Relationship Id="rId195" Type="http://schemas.openxmlformats.org/officeDocument/2006/relationships/image" Target="media/image188.png"/><Relationship Id="rId196" Type="http://schemas.openxmlformats.org/officeDocument/2006/relationships/image" Target="media/image189.jpeg"/><Relationship Id="rId197" Type="http://schemas.openxmlformats.org/officeDocument/2006/relationships/image" Target="media/image190.png"/><Relationship Id="rId198" Type="http://schemas.openxmlformats.org/officeDocument/2006/relationships/image" Target="media/image191.jpeg"/><Relationship Id="rId199" Type="http://schemas.openxmlformats.org/officeDocument/2006/relationships/image" Target="media/image192.png"/><Relationship Id="rId200" Type="http://schemas.openxmlformats.org/officeDocument/2006/relationships/image" Target="media/image193.jpeg"/><Relationship Id="rId201" Type="http://schemas.openxmlformats.org/officeDocument/2006/relationships/image" Target="media/image194.png"/><Relationship Id="rId202" Type="http://schemas.openxmlformats.org/officeDocument/2006/relationships/image" Target="media/image195.jpeg"/><Relationship Id="rId203" Type="http://schemas.openxmlformats.org/officeDocument/2006/relationships/image" Target="media/image196.png"/><Relationship Id="rId204" Type="http://schemas.openxmlformats.org/officeDocument/2006/relationships/image" Target="media/image197.jpeg"/><Relationship Id="rId205" Type="http://schemas.openxmlformats.org/officeDocument/2006/relationships/image" Target="media/image198.png"/><Relationship Id="rId206" Type="http://schemas.openxmlformats.org/officeDocument/2006/relationships/image" Target="media/image199.jpeg"/><Relationship Id="rId207" Type="http://schemas.openxmlformats.org/officeDocument/2006/relationships/image" Target="media/image200.png"/><Relationship Id="rId208" Type="http://schemas.openxmlformats.org/officeDocument/2006/relationships/image" Target="media/image201.jpeg"/><Relationship Id="rId209" Type="http://schemas.openxmlformats.org/officeDocument/2006/relationships/image" Target="media/image202.png"/><Relationship Id="rId210" Type="http://schemas.openxmlformats.org/officeDocument/2006/relationships/image" Target="media/image203.jpeg"/><Relationship Id="rId211" Type="http://schemas.openxmlformats.org/officeDocument/2006/relationships/image" Target="media/image204.png"/><Relationship Id="rId212" Type="http://schemas.openxmlformats.org/officeDocument/2006/relationships/image" Target="media/image205.jpeg"/><Relationship Id="rId213" Type="http://schemas.openxmlformats.org/officeDocument/2006/relationships/image" Target="media/image206.png"/><Relationship Id="rId214" Type="http://schemas.openxmlformats.org/officeDocument/2006/relationships/image" Target="media/image207.jpeg"/><Relationship Id="rId215" Type="http://schemas.openxmlformats.org/officeDocument/2006/relationships/image" Target="media/image208.png"/><Relationship Id="rId216" Type="http://schemas.openxmlformats.org/officeDocument/2006/relationships/image" Target="media/image209.jpeg"/><Relationship Id="rId217" Type="http://schemas.openxmlformats.org/officeDocument/2006/relationships/image" Target="media/image210.png"/><Relationship Id="rId218" Type="http://schemas.openxmlformats.org/officeDocument/2006/relationships/image" Target="media/image211.jpeg"/><Relationship Id="rId219" Type="http://schemas.openxmlformats.org/officeDocument/2006/relationships/image" Target="media/image212.png"/><Relationship Id="rId220" Type="http://schemas.openxmlformats.org/officeDocument/2006/relationships/image" Target="media/image213.jpeg"/><Relationship Id="rId221" Type="http://schemas.openxmlformats.org/officeDocument/2006/relationships/image" Target="media/image214.png"/><Relationship Id="rId222" Type="http://schemas.openxmlformats.org/officeDocument/2006/relationships/image" Target="media/image215.jpeg"/><Relationship Id="rId223" Type="http://schemas.openxmlformats.org/officeDocument/2006/relationships/image" Target="media/image216.png"/><Relationship Id="rId224" Type="http://schemas.openxmlformats.org/officeDocument/2006/relationships/image" Target="media/image217.png"/><Relationship Id="rId225" Type="http://schemas.openxmlformats.org/officeDocument/2006/relationships/image" Target="media/image218.jpeg"/><Relationship Id="rId226" Type="http://schemas.openxmlformats.org/officeDocument/2006/relationships/image" Target="media/image219.png"/><Relationship Id="rId227" Type="http://schemas.openxmlformats.org/officeDocument/2006/relationships/image" Target="media/image220.jpeg"/><Relationship Id="rId228" Type="http://schemas.openxmlformats.org/officeDocument/2006/relationships/image" Target="media/image221.png"/><Relationship Id="rId229" Type="http://schemas.openxmlformats.org/officeDocument/2006/relationships/image" Target="media/image222.jpeg"/><Relationship Id="rId230" Type="http://schemas.openxmlformats.org/officeDocument/2006/relationships/image" Target="media/image223.png"/><Relationship Id="rId231" Type="http://schemas.openxmlformats.org/officeDocument/2006/relationships/image" Target="media/image224.png"/><Relationship Id="rId232" Type="http://schemas.openxmlformats.org/officeDocument/2006/relationships/image" Target="media/image225.png"/><Relationship Id="rId233" Type="http://schemas.openxmlformats.org/officeDocument/2006/relationships/image" Target="media/image226.png"/><Relationship Id="rId234" Type="http://schemas.openxmlformats.org/officeDocument/2006/relationships/image" Target="media/image227.png"/><Relationship Id="rId235" Type="http://schemas.openxmlformats.org/officeDocument/2006/relationships/image" Target="media/image228.png"/><Relationship Id="rId236" Type="http://schemas.openxmlformats.org/officeDocument/2006/relationships/image" Target="media/image229.jpeg"/><Relationship Id="rId237" Type="http://schemas.openxmlformats.org/officeDocument/2006/relationships/image" Target="media/image230.png"/><Relationship Id="rId238" Type="http://schemas.openxmlformats.org/officeDocument/2006/relationships/image" Target="media/image231.jpeg"/><Relationship Id="rId239" Type="http://schemas.openxmlformats.org/officeDocument/2006/relationships/image" Target="media/image232.png"/><Relationship Id="rId240" Type="http://schemas.openxmlformats.org/officeDocument/2006/relationships/image" Target="media/image233.jpeg"/><Relationship Id="rId241" Type="http://schemas.openxmlformats.org/officeDocument/2006/relationships/image" Target="media/image234.png"/><Relationship Id="rId242" Type="http://schemas.openxmlformats.org/officeDocument/2006/relationships/image" Target="media/image235.jpeg"/><Relationship Id="rId243" Type="http://schemas.openxmlformats.org/officeDocument/2006/relationships/image" Target="media/image236.png"/><Relationship Id="rId244" Type="http://schemas.openxmlformats.org/officeDocument/2006/relationships/image" Target="media/image237.jpeg"/><Relationship Id="rId245" Type="http://schemas.openxmlformats.org/officeDocument/2006/relationships/image" Target="media/image238.png"/><Relationship Id="rId246" Type="http://schemas.openxmlformats.org/officeDocument/2006/relationships/image" Target="media/image239.jpeg"/><Relationship Id="rId247" Type="http://schemas.openxmlformats.org/officeDocument/2006/relationships/image" Target="media/image240.png"/><Relationship Id="rId248" Type="http://schemas.openxmlformats.org/officeDocument/2006/relationships/image" Target="media/image241.jpeg"/><Relationship Id="rId249" Type="http://schemas.openxmlformats.org/officeDocument/2006/relationships/image" Target="media/image242.png"/><Relationship Id="rId250" Type="http://schemas.openxmlformats.org/officeDocument/2006/relationships/image" Target="media/image243.jpeg"/><Relationship Id="rId251" Type="http://schemas.openxmlformats.org/officeDocument/2006/relationships/image" Target="media/image244.png"/><Relationship Id="rId252" Type="http://schemas.openxmlformats.org/officeDocument/2006/relationships/image" Target="media/image245.jpeg"/><Relationship Id="rId253" Type="http://schemas.openxmlformats.org/officeDocument/2006/relationships/image" Target="media/image246.png"/><Relationship Id="rId254" Type="http://schemas.openxmlformats.org/officeDocument/2006/relationships/image" Target="media/image247.jpeg"/><Relationship Id="rId255" Type="http://schemas.openxmlformats.org/officeDocument/2006/relationships/image" Target="media/image248.png"/><Relationship Id="rId256" Type="http://schemas.openxmlformats.org/officeDocument/2006/relationships/image" Target="media/image249.jpeg"/><Relationship Id="rId257" Type="http://schemas.openxmlformats.org/officeDocument/2006/relationships/image" Target="media/image250.png"/><Relationship Id="rId258" Type="http://schemas.openxmlformats.org/officeDocument/2006/relationships/image" Target="media/image251.jpeg"/><Relationship Id="rId259" Type="http://schemas.openxmlformats.org/officeDocument/2006/relationships/image" Target="media/image252.png"/><Relationship Id="rId260" Type="http://schemas.openxmlformats.org/officeDocument/2006/relationships/image" Target="media/image253.jpeg"/><Relationship Id="rId261" Type="http://schemas.openxmlformats.org/officeDocument/2006/relationships/image" Target="media/image254.png"/><Relationship Id="rId262" Type="http://schemas.openxmlformats.org/officeDocument/2006/relationships/image" Target="media/image255.jpeg"/><Relationship Id="rId263" Type="http://schemas.openxmlformats.org/officeDocument/2006/relationships/image" Target="media/image256.png"/><Relationship Id="rId264" Type="http://schemas.openxmlformats.org/officeDocument/2006/relationships/image" Target="media/image257.jpeg"/><Relationship Id="rId265" Type="http://schemas.openxmlformats.org/officeDocument/2006/relationships/image" Target="media/image258.png"/><Relationship Id="rId266" Type="http://schemas.openxmlformats.org/officeDocument/2006/relationships/image" Target="media/image259.jpeg"/><Relationship Id="rId267" Type="http://schemas.openxmlformats.org/officeDocument/2006/relationships/image" Target="media/image260.png"/><Relationship Id="rId268" Type="http://schemas.openxmlformats.org/officeDocument/2006/relationships/image" Target="media/image261.jpeg"/><Relationship Id="rId269" Type="http://schemas.openxmlformats.org/officeDocument/2006/relationships/image" Target="media/image262.png"/><Relationship Id="rId270" Type="http://schemas.openxmlformats.org/officeDocument/2006/relationships/image" Target="media/image263.jpeg"/><Relationship Id="rId271" Type="http://schemas.openxmlformats.org/officeDocument/2006/relationships/image" Target="media/image264.png"/><Relationship Id="rId272" Type="http://schemas.openxmlformats.org/officeDocument/2006/relationships/image" Target="media/image265.jpeg"/><Relationship Id="rId273" Type="http://schemas.openxmlformats.org/officeDocument/2006/relationships/image" Target="media/image266.png"/><Relationship Id="rId274" Type="http://schemas.openxmlformats.org/officeDocument/2006/relationships/image" Target="media/image267.jpeg"/><Relationship Id="rId275" Type="http://schemas.openxmlformats.org/officeDocument/2006/relationships/image" Target="media/image268.png"/><Relationship Id="rId276" Type="http://schemas.openxmlformats.org/officeDocument/2006/relationships/image" Target="media/image269.jpeg"/><Relationship Id="rId277" Type="http://schemas.openxmlformats.org/officeDocument/2006/relationships/image" Target="media/image270.png"/><Relationship Id="rId278" Type="http://schemas.openxmlformats.org/officeDocument/2006/relationships/image" Target="media/image271.jpeg"/><Relationship Id="rId279" Type="http://schemas.openxmlformats.org/officeDocument/2006/relationships/image" Target="media/image272.png"/><Relationship Id="rId280" Type="http://schemas.openxmlformats.org/officeDocument/2006/relationships/image" Target="media/image273.png"/><Relationship Id="rId281" Type="http://schemas.openxmlformats.org/officeDocument/2006/relationships/image" Target="media/image274.jpeg"/><Relationship Id="rId282" Type="http://schemas.openxmlformats.org/officeDocument/2006/relationships/image" Target="media/image275.png"/><Relationship Id="rId283" Type="http://schemas.openxmlformats.org/officeDocument/2006/relationships/image" Target="media/image276.png"/><Relationship Id="rId284" Type="http://schemas.openxmlformats.org/officeDocument/2006/relationships/image" Target="media/image277.png"/><Relationship Id="rId285" Type="http://schemas.openxmlformats.org/officeDocument/2006/relationships/image" Target="media/image278.png"/><Relationship Id="rId286" Type="http://schemas.openxmlformats.org/officeDocument/2006/relationships/image" Target="media/image279.png"/><Relationship Id="rId287" Type="http://schemas.openxmlformats.org/officeDocument/2006/relationships/image" Target="media/image280.jpeg"/><Relationship Id="rId288" Type="http://schemas.openxmlformats.org/officeDocument/2006/relationships/image" Target="media/image281.png"/><Relationship Id="rId289" Type="http://schemas.openxmlformats.org/officeDocument/2006/relationships/image" Target="media/image282.png"/><Relationship Id="rId290" Type="http://schemas.openxmlformats.org/officeDocument/2006/relationships/image" Target="media/image283.png"/><Relationship Id="rId291" Type="http://schemas.openxmlformats.org/officeDocument/2006/relationships/image" Target="media/image284.png"/><Relationship Id="rId292" Type="http://schemas.openxmlformats.org/officeDocument/2006/relationships/image" Target="media/image285.jpeg"/><Relationship Id="rId293" Type="http://schemas.openxmlformats.org/officeDocument/2006/relationships/image" Target="media/image286.png"/><Relationship Id="rId294" Type="http://schemas.openxmlformats.org/officeDocument/2006/relationships/image" Target="media/image287.png"/><Relationship Id="rId295" Type="http://schemas.openxmlformats.org/officeDocument/2006/relationships/image" Target="media/image288.jpeg"/><Relationship Id="rId296" Type="http://schemas.openxmlformats.org/officeDocument/2006/relationships/image" Target="media/image289.png"/><Relationship Id="rId297" Type="http://schemas.openxmlformats.org/officeDocument/2006/relationships/image" Target="media/image290.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2020-01-19T22:18:45Z</dcterms:created>
  <dcterms:modified xsi:type="dcterms:W3CDTF">2020-01-19T22:18:45Z</dcterms:modified>
</cp:coreProperties>
</file>