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1"/>
          <w:szCs w:val="31"/>
          <w:b w:val="1"/>
          <w:bCs w:val="1"/>
          <w:color w:val="auto"/>
        </w:rPr>
        <w:t>UNITED STATES</w:t>
      </w:r>
    </w:p>
    <w:p>
      <w:pPr>
        <w:spacing w:after="0" w:line="5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1"/>
          <w:szCs w:val="31"/>
          <w:b w:val="1"/>
          <w:bCs w:val="1"/>
          <w:color w:val="auto"/>
        </w:rPr>
        <w:t>SECURITIES AND EXCHANGE COMMISSION</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Washington, D.C. 20549</w:t>
      </w:r>
    </w:p>
    <w:p>
      <w:pPr>
        <w:spacing w:after="0" w:line="95" w:lineRule="exact"/>
        <w:rPr>
          <w:sz w:val="24"/>
          <w:szCs w:val="24"/>
          <w:color w:val="auto"/>
        </w:rPr>
      </w:pPr>
    </w:p>
    <w:p>
      <w:pPr>
        <w:ind w:left="3360"/>
        <w:spacing w:after="0"/>
        <w:rPr>
          <w:sz w:val="20"/>
          <w:szCs w:val="20"/>
          <w:color w:val="auto"/>
        </w:rPr>
      </w:pPr>
      <w:r>
        <w:rPr>
          <w:rFonts w:ascii="Times New Roman" w:cs="Times New Roman" w:eastAsia="Times New Roman" w:hAnsi="Times New Roman"/>
          <w:sz w:val="10"/>
          <w:szCs w:val="10"/>
          <w:color w:val="auto"/>
        </w:rPr>
        <w:t>_______________________________________________________________________________________</w:t>
      </w:r>
    </w:p>
    <w:p>
      <w:pPr>
        <w:spacing w:after="0" w:line="1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1"/>
          <w:szCs w:val="31"/>
          <w:b w:val="1"/>
          <w:bCs w:val="1"/>
          <w:color w:val="auto"/>
        </w:rPr>
        <w:t>FORM 8-K</w:t>
      </w:r>
    </w:p>
    <w:p>
      <w:pPr>
        <w:spacing w:after="0" w:line="55" w:lineRule="exact"/>
        <w:rPr>
          <w:sz w:val="24"/>
          <w:szCs w:val="24"/>
          <w:color w:val="auto"/>
        </w:rPr>
      </w:pPr>
    </w:p>
    <w:p>
      <w:pPr>
        <w:ind w:left="3340"/>
        <w:spacing w:after="0"/>
        <w:rPr>
          <w:sz w:val="20"/>
          <w:szCs w:val="20"/>
          <w:color w:val="auto"/>
        </w:rPr>
      </w:pPr>
      <w:r>
        <w:rPr>
          <w:rFonts w:ascii="Times New Roman" w:cs="Times New Roman" w:eastAsia="Times New Roman" w:hAnsi="Times New Roman"/>
          <w:sz w:val="10"/>
          <w:szCs w:val="10"/>
          <w:color w:val="auto"/>
        </w:rPr>
        <w:t>_______________________________________________________________________________________</w:t>
      </w:r>
    </w:p>
    <w:p>
      <w:pPr>
        <w:spacing w:after="0" w:line="19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CURRENT REPORT</w:t>
      </w:r>
    </w:p>
    <w:p>
      <w:pPr>
        <w:spacing w:after="0" w:line="2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Pursuant to Section 13 or 15(d) of</w:t>
      </w:r>
    </w:p>
    <w:p>
      <w:pPr>
        <w:spacing w:after="0" w:line="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 July 21, 2022</w:t>
      </w:r>
    </w:p>
    <w:p>
      <w:pPr>
        <w:spacing w:after="0" w:line="125" w:lineRule="exact"/>
        <w:rPr>
          <w:sz w:val="24"/>
          <w:szCs w:val="24"/>
          <w:color w:val="auto"/>
        </w:rPr>
      </w:pPr>
    </w:p>
    <w:p>
      <w:pPr>
        <w:ind w:left="3360"/>
        <w:spacing w:after="0"/>
        <w:rPr>
          <w:sz w:val="20"/>
          <w:szCs w:val="20"/>
          <w:color w:val="auto"/>
        </w:rPr>
      </w:pPr>
      <w:r>
        <w:rPr>
          <w:rFonts w:ascii="Times New Roman" w:cs="Times New Roman" w:eastAsia="Times New Roman" w:hAnsi="Times New Roman"/>
          <w:sz w:val="10"/>
          <w:szCs w:val="10"/>
          <w:color w:val="auto"/>
        </w:rPr>
        <w:t>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2824480</wp:posOffset>
            </wp:positionH>
            <wp:positionV relativeFrom="paragraph">
              <wp:posOffset>18415</wp:posOffset>
            </wp:positionV>
            <wp:extent cx="1493520" cy="614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93520" cy="614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Tri Pointe Homes, Inc.</w:t>
      </w:r>
    </w:p>
    <w:p>
      <w:pPr>
        <w:spacing w:after="0" w:line="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(Exact name of registrant as specified in its charter)</w:t>
      </w:r>
    </w:p>
    <w:p>
      <w:pPr>
        <w:spacing w:after="0" w:line="86" w:lineRule="exact"/>
        <w:rPr>
          <w:sz w:val="24"/>
          <w:szCs w:val="24"/>
          <w:color w:val="auto"/>
        </w:rPr>
      </w:pPr>
    </w:p>
    <w:p>
      <w:pPr>
        <w:ind w:left="3360"/>
        <w:spacing w:after="0"/>
        <w:rPr>
          <w:sz w:val="20"/>
          <w:szCs w:val="20"/>
          <w:color w:val="auto"/>
        </w:rPr>
      </w:pPr>
      <w:r>
        <w:rPr>
          <w:rFonts w:ascii="Times New Roman" w:cs="Times New Roman" w:eastAsia="Times New Roman" w:hAnsi="Times New Roman"/>
          <w:sz w:val="10"/>
          <w:szCs w:val="10"/>
          <w:color w:val="auto"/>
        </w:rPr>
        <w:t>_______________________________________________________________________________________</w:t>
      </w:r>
    </w:p>
    <w:p>
      <w:pPr>
        <w:spacing w:after="0" w:line="131" w:lineRule="exact"/>
        <w:rPr>
          <w:sz w:val="24"/>
          <w:szCs w:val="24"/>
          <w:color w:val="auto"/>
        </w:rPr>
      </w:pPr>
    </w:p>
    <w:tbl>
      <w:tblPr>
        <w:tblLayout w:type="fixed"/>
        <w:tblInd w:w="840" w:type="dxa"/>
        <w:tblCellMar>
          <w:top w:w="0" w:type="dxa"/>
          <w:left w:w="0" w:type="dxa"/>
          <w:bottom w:w="0" w:type="dxa"/>
          <w:right w:w="0" w:type="dxa"/>
        </w:tblCellMar>
      </w:tblPr>
      <w:tr>
        <w:trPr>
          <w:trHeight w:val="206"/>
        </w:trPr>
        <w:tc>
          <w:tcPr>
            <w:tcW w:w="2140" w:type="dxa"/>
            <w:vAlign w:val="bottom"/>
          </w:tcPr>
          <w:p>
            <w:pPr>
              <w:jc w:val="center"/>
              <w:ind w:right="262"/>
              <w:spacing w:after="0"/>
              <w:rPr>
                <w:sz w:val="20"/>
                <w:szCs w:val="20"/>
                <w:color w:val="auto"/>
              </w:rPr>
            </w:pPr>
            <w:r>
              <w:rPr>
                <w:rFonts w:ascii="Times New Roman" w:cs="Times New Roman" w:eastAsia="Times New Roman" w:hAnsi="Times New Roman"/>
                <w:sz w:val="16"/>
                <w:szCs w:val="16"/>
                <w:b w:val="1"/>
                <w:bCs w:val="1"/>
                <w:color w:val="auto"/>
                <w:w w:val="98"/>
              </w:rPr>
              <w:t>Delaware</w:t>
            </w:r>
          </w:p>
        </w:tc>
        <w:tc>
          <w:tcPr>
            <w:tcW w:w="5400" w:type="dxa"/>
            <w:vAlign w:val="bottom"/>
          </w:tcPr>
          <w:p>
            <w:pPr>
              <w:jc w:val="right"/>
              <w:ind w:right="2424"/>
              <w:spacing w:after="0"/>
              <w:rPr>
                <w:sz w:val="20"/>
                <w:szCs w:val="20"/>
                <w:color w:val="auto"/>
              </w:rPr>
            </w:pPr>
            <w:r>
              <w:rPr>
                <w:rFonts w:ascii="Times New Roman" w:cs="Times New Roman" w:eastAsia="Times New Roman" w:hAnsi="Times New Roman"/>
                <w:sz w:val="16"/>
                <w:szCs w:val="16"/>
                <w:b w:val="1"/>
                <w:bCs w:val="1"/>
                <w:color w:val="auto"/>
              </w:rPr>
              <w:t>1-35796</w:t>
            </w:r>
          </w:p>
        </w:tc>
        <w:tc>
          <w:tcPr>
            <w:tcW w:w="1720" w:type="dxa"/>
            <w:vAlign w:val="bottom"/>
          </w:tcPr>
          <w:p>
            <w:pPr>
              <w:jc w:val="center"/>
              <w:ind w:left="402"/>
              <w:spacing w:after="0"/>
              <w:rPr>
                <w:sz w:val="20"/>
                <w:szCs w:val="20"/>
                <w:color w:val="auto"/>
              </w:rPr>
            </w:pPr>
            <w:r>
              <w:rPr>
                <w:rFonts w:ascii="Times New Roman" w:cs="Times New Roman" w:eastAsia="Times New Roman" w:hAnsi="Times New Roman"/>
                <w:sz w:val="16"/>
                <w:szCs w:val="16"/>
                <w:b w:val="1"/>
                <w:bCs w:val="1"/>
                <w:color w:val="auto"/>
                <w:w w:val="98"/>
              </w:rPr>
              <w:t>61-1763235</w:t>
            </w:r>
          </w:p>
        </w:tc>
      </w:tr>
      <w:tr>
        <w:trPr>
          <w:trHeight w:val="163"/>
        </w:trPr>
        <w:tc>
          <w:tcPr>
            <w:tcW w:w="2140" w:type="dxa"/>
            <w:vAlign w:val="bottom"/>
          </w:tcPr>
          <w:p>
            <w:pPr>
              <w:jc w:val="center"/>
              <w:ind w:right="262"/>
              <w:spacing w:after="0" w:line="163" w:lineRule="exact"/>
              <w:rPr>
                <w:sz w:val="20"/>
                <w:szCs w:val="20"/>
                <w:color w:val="auto"/>
              </w:rPr>
            </w:pPr>
            <w:r>
              <w:rPr>
                <w:rFonts w:ascii="Times New Roman" w:cs="Times New Roman" w:eastAsia="Times New Roman" w:hAnsi="Times New Roman"/>
                <w:sz w:val="16"/>
                <w:szCs w:val="16"/>
                <w:b w:val="1"/>
                <w:bCs w:val="1"/>
                <w:color w:val="auto"/>
                <w:w w:val="98"/>
              </w:rPr>
              <w:t>(State or other jurisdiction</w:t>
            </w:r>
          </w:p>
        </w:tc>
        <w:tc>
          <w:tcPr>
            <w:tcW w:w="5400" w:type="dxa"/>
            <w:vAlign w:val="bottom"/>
          </w:tcPr>
          <w:p>
            <w:pPr>
              <w:jc w:val="center"/>
              <w:ind w:right="44"/>
              <w:spacing w:after="0" w:line="163" w:lineRule="exact"/>
              <w:rPr>
                <w:sz w:val="20"/>
                <w:szCs w:val="20"/>
                <w:color w:val="auto"/>
              </w:rPr>
            </w:pPr>
            <w:r>
              <w:rPr>
                <w:rFonts w:ascii="Times New Roman" w:cs="Times New Roman" w:eastAsia="Times New Roman" w:hAnsi="Times New Roman"/>
                <w:sz w:val="16"/>
                <w:szCs w:val="16"/>
                <w:b w:val="1"/>
                <w:bCs w:val="1"/>
                <w:color w:val="auto"/>
                <w:w w:val="97"/>
              </w:rPr>
              <w:t>(Commission</w:t>
            </w:r>
          </w:p>
        </w:tc>
        <w:tc>
          <w:tcPr>
            <w:tcW w:w="1720" w:type="dxa"/>
            <w:vAlign w:val="bottom"/>
          </w:tcPr>
          <w:p>
            <w:pPr>
              <w:jc w:val="center"/>
              <w:ind w:left="402"/>
              <w:spacing w:after="0" w:line="163" w:lineRule="exact"/>
              <w:rPr>
                <w:sz w:val="20"/>
                <w:szCs w:val="20"/>
                <w:color w:val="auto"/>
              </w:rPr>
            </w:pPr>
            <w:r>
              <w:rPr>
                <w:rFonts w:ascii="Times New Roman" w:cs="Times New Roman" w:eastAsia="Times New Roman" w:hAnsi="Times New Roman"/>
                <w:sz w:val="16"/>
                <w:szCs w:val="16"/>
                <w:b w:val="1"/>
                <w:bCs w:val="1"/>
                <w:color w:val="auto"/>
                <w:w w:val="96"/>
              </w:rPr>
              <w:t>(IRS Employer</w:t>
            </w:r>
          </w:p>
        </w:tc>
      </w:tr>
      <w:tr>
        <w:trPr>
          <w:trHeight w:val="206"/>
        </w:trPr>
        <w:tc>
          <w:tcPr>
            <w:tcW w:w="2140" w:type="dxa"/>
            <w:vAlign w:val="bottom"/>
          </w:tcPr>
          <w:p>
            <w:pPr>
              <w:jc w:val="center"/>
              <w:ind w:right="262"/>
              <w:spacing w:after="0"/>
              <w:rPr>
                <w:sz w:val="20"/>
                <w:szCs w:val="20"/>
                <w:color w:val="auto"/>
              </w:rPr>
            </w:pPr>
            <w:r>
              <w:rPr>
                <w:rFonts w:ascii="Times New Roman" w:cs="Times New Roman" w:eastAsia="Times New Roman" w:hAnsi="Times New Roman"/>
                <w:sz w:val="16"/>
                <w:szCs w:val="16"/>
                <w:b w:val="1"/>
                <w:bCs w:val="1"/>
                <w:color w:val="auto"/>
                <w:w w:val="99"/>
              </w:rPr>
              <w:t>of incorporation)</w:t>
            </w:r>
          </w:p>
        </w:tc>
        <w:tc>
          <w:tcPr>
            <w:tcW w:w="5400" w:type="dxa"/>
            <w:vAlign w:val="bottom"/>
          </w:tcPr>
          <w:p>
            <w:pPr>
              <w:jc w:val="center"/>
              <w:ind w:right="64"/>
              <w:spacing w:after="0"/>
              <w:rPr>
                <w:sz w:val="20"/>
                <w:szCs w:val="20"/>
                <w:color w:val="auto"/>
              </w:rPr>
            </w:pPr>
            <w:r>
              <w:rPr>
                <w:rFonts w:ascii="Times New Roman" w:cs="Times New Roman" w:eastAsia="Times New Roman" w:hAnsi="Times New Roman"/>
                <w:sz w:val="16"/>
                <w:szCs w:val="16"/>
                <w:b w:val="1"/>
                <w:bCs w:val="1"/>
                <w:color w:val="auto"/>
                <w:w w:val="97"/>
              </w:rPr>
              <w:t>File Number)</w:t>
            </w:r>
          </w:p>
        </w:tc>
        <w:tc>
          <w:tcPr>
            <w:tcW w:w="1720" w:type="dxa"/>
            <w:vAlign w:val="bottom"/>
          </w:tcPr>
          <w:p>
            <w:pPr>
              <w:jc w:val="center"/>
              <w:ind w:left="402"/>
              <w:spacing w:after="0"/>
              <w:rPr>
                <w:sz w:val="20"/>
                <w:szCs w:val="20"/>
                <w:color w:val="auto"/>
              </w:rPr>
            </w:pPr>
            <w:r>
              <w:rPr>
                <w:rFonts w:ascii="Times New Roman" w:cs="Times New Roman" w:eastAsia="Times New Roman" w:hAnsi="Times New Roman"/>
                <w:sz w:val="16"/>
                <w:szCs w:val="16"/>
                <w:b w:val="1"/>
                <w:bCs w:val="1"/>
                <w:color w:val="auto"/>
                <w:w w:val="98"/>
              </w:rPr>
              <w:t>Identification No.)</w:t>
            </w:r>
          </w:p>
        </w:tc>
      </w:tr>
      <w:tr>
        <w:trPr>
          <w:trHeight w:val="575"/>
        </w:trPr>
        <w:tc>
          <w:tcPr>
            <w:tcW w:w="2140" w:type="dxa"/>
            <w:vAlign w:val="bottom"/>
          </w:tcPr>
          <w:p>
            <w:pPr>
              <w:spacing w:after="0"/>
              <w:rPr>
                <w:sz w:val="24"/>
                <w:szCs w:val="24"/>
                <w:color w:val="auto"/>
              </w:rPr>
            </w:pPr>
          </w:p>
        </w:tc>
        <w:tc>
          <w:tcPr>
            <w:tcW w:w="5400" w:type="dxa"/>
            <w:vAlign w:val="bottom"/>
          </w:tcPr>
          <w:p>
            <w:pPr>
              <w:jc w:val="center"/>
              <w:ind w:right="44"/>
              <w:spacing w:after="0"/>
              <w:rPr>
                <w:sz w:val="20"/>
                <w:szCs w:val="20"/>
                <w:color w:val="auto"/>
              </w:rPr>
            </w:pPr>
            <w:r>
              <w:rPr>
                <w:rFonts w:ascii="Times New Roman" w:cs="Times New Roman" w:eastAsia="Times New Roman" w:hAnsi="Times New Roman"/>
                <w:sz w:val="16"/>
                <w:szCs w:val="16"/>
                <w:b w:val="1"/>
                <w:bCs w:val="1"/>
                <w:color w:val="auto"/>
                <w:w w:val="98"/>
              </w:rPr>
              <w:t>940 Southwood Blvd, Suite 200</w:t>
            </w:r>
          </w:p>
        </w:tc>
        <w:tc>
          <w:tcPr>
            <w:tcW w:w="1720" w:type="dxa"/>
            <w:vAlign w:val="bottom"/>
          </w:tcPr>
          <w:p>
            <w:pPr>
              <w:spacing w:after="0"/>
              <w:rPr>
                <w:sz w:val="24"/>
                <w:szCs w:val="24"/>
                <w:color w:val="auto"/>
              </w:rPr>
            </w:pPr>
          </w:p>
        </w:tc>
      </w:tr>
      <w:tr>
        <w:trPr>
          <w:trHeight w:val="196"/>
        </w:trPr>
        <w:tc>
          <w:tcPr>
            <w:tcW w:w="2140" w:type="dxa"/>
            <w:vAlign w:val="bottom"/>
          </w:tcPr>
          <w:p>
            <w:pPr>
              <w:spacing w:after="0"/>
              <w:rPr>
                <w:sz w:val="17"/>
                <w:szCs w:val="17"/>
                <w:color w:val="auto"/>
              </w:rPr>
            </w:pPr>
          </w:p>
        </w:tc>
        <w:tc>
          <w:tcPr>
            <w:tcW w:w="5400" w:type="dxa"/>
            <w:vAlign w:val="bottom"/>
          </w:tcPr>
          <w:p>
            <w:pPr>
              <w:jc w:val="center"/>
              <w:ind w:right="24"/>
              <w:spacing w:after="0"/>
              <w:rPr>
                <w:sz w:val="20"/>
                <w:szCs w:val="20"/>
                <w:color w:val="auto"/>
              </w:rPr>
            </w:pPr>
            <w:r>
              <w:rPr>
                <w:rFonts w:ascii="Times New Roman" w:cs="Times New Roman" w:eastAsia="Times New Roman" w:hAnsi="Times New Roman"/>
                <w:sz w:val="16"/>
                <w:szCs w:val="16"/>
                <w:b w:val="1"/>
                <w:bCs w:val="1"/>
                <w:color w:val="auto"/>
                <w:w w:val="97"/>
              </w:rPr>
              <w:t>Incline Village, Nevada 89451</w:t>
            </w:r>
          </w:p>
        </w:tc>
        <w:tc>
          <w:tcPr>
            <w:tcW w:w="1720" w:type="dxa"/>
            <w:vAlign w:val="bottom"/>
          </w:tcPr>
          <w:p>
            <w:pPr>
              <w:spacing w:after="0"/>
              <w:rPr>
                <w:sz w:val="17"/>
                <w:szCs w:val="17"/>
                <w:color w:val="auto"/>
              </w:rPr>
            </w:pPr>
          </w:p>
        </w:tc>
      </w:tr>
      <w:tr>
        <w:trPr>
          <w:trHeight w:val="206"/>
        </w:trPr>
        <w:tc>
          <w:tcPr>
            <w:tcW w:w="2140" w:type="dxa"/>
            <w:vAlign w:val="bottom"/>
          </w:tcPr>
          <w:p>
            <w:pPr>
              <w:spacing w:after="0"/>
              <w:rPr>
                <w:sz w:val="17"/>
                <w:szCs w:val="17"/>
                <w:color w:val="auto"/>
              </w:rPr>
            </w:pPr>
          </w:p>
        </w:tc>
        <w:tc>
          <w:tcPr>
            <w:tcW w:w="5400" w:type="dxa"/>
            <w:vAlign w:val="bottom"/>
          </w:tcPr>
          <w:p>
            <w:pPr>
              <w:jc w:val="center"/>
              <w:ind w:right="44"/>
              <w:spacing w:after="0"/>
              <w:rPr>
                <w:sz w:val="20"/>
                <w:szCs w:val="20"/>
                <w:color w:val="auto"/>
              </w:rPr>
            </w:pPr>
            <w:r>
              <w:rPr>
                <w:rFonts w:ascii="Times New Roman" w:cs="Times New Roman" w:eastAsia="Times New Roman" w:hAnsi="Times New Roman"/>
                <w:sz w:val="16"/>
                <w:szCs w:val="16"/>
                <w:b w:val="1"/>
                <w:bCs w:val="1"/>
                <w:color w:val="auto"/>
                <w:w w:val="97"/>
              </w:rPr>
              <w:t>(Address of principal executive offices) (Zip Code)</w:t>
            </w:r>
          </w:p>
        </w:tc>
        <w:tc>
          <w:tcPr>
            <w:tcW w:w="1720" w:type="dxa"/>
            <w:vAlign w:val="bottom"/>
          </w:tcPr>
          <w:p>
            <w:pPr>
              <w:spacing w:after="0"/>
              <w:rPr>
                <w:sz w:val="17"/>
                <w:szCs w:val="17"/>
                <w:color w:val="auto"/>
              </w:rPr>
            </w:pPr>
          </w:p>
        </w:tc>
      </w:tr>
      <w:tr>
        <w:trPr>
          <w:trHeight w:val="340"/>
        </w:trPr>
        <w:tc>
          <w:tcPr>
            <w:tcW w:w="2140" w:type="dxa"/>
            <w:vAlign w:val="bottom"/>
          </w:tcPr>
          <w:p>
            <w:pPr>
              <w:spacing w:after="0"/>
              <w:rPr>
                <w:sz w:val="24"/>
                <w:szCs w:val="24"/>
                <w:color w:val="auto"/>
              </w:rPr>
            </w:pPr>
          </w:p>
        </w:tc>
        <w:tc>
          <w:tcPr>
            <w:tcW w:w="5400" w:type="dxa"/>
            <w:vAlign w:val="bottom"/>
          </w:tcPr>
          <w:p>
            <w:pPr>
              <w:jc w:val="center"/>
              <w:ind w:right="24"/>
              <w:spacing w:after="0"/>
              <w:rPr>
                <w:sz w:val="20"/>
                <w:szCs w:val="20"/>
                <w:color w:val="auto"/>
              </w:rPr>
            </w:pPr>
            <w:r>
              <w:rPr>
                <w:rFonts w:ascii="Times New Roman" w:cs="Times New Roman" w:eastAsia="Times New Roman" w:hAnsi="Times New Roman"/>
                <w:sz w:val="16"/>
                <w:szCs w:val="16"/>
                <w:b w:val="1"/>
                <w:bCs w:val="1"/>
                <w:color w:val="auto"/>
                <w:w w:val="97"/>
              </w:rPr>
              <w:t>Registrant’s telephone number, including area code (775) 413-1030</w:t>
            </w:r>
          </w:p>
        </w:tc>
        <w:tc>
          <w:tcPr>
            <w:tcW w:w="1720" w:type="dxa"/>
            <w:vAlign w:val="bottom"/>
          </w:tcPr>
          <w:p>
            <w:pPr>
              <w:spacing w:after="0"/>
              <w:rPr>
                <w:sz w:val="24"/>
                <w:szCs w:val="24"/>
                <w:color w:val="auto"/>
              </w:rPr>
            </w:pPr>
          </w:p>
        </w:tc>
      </w:tr>
      <w:tr>
        <w:trPr>
          <w:trHeight w:val="330"/>
        </w:trPr>
        <w:tc>
          <w:tcPr>
            <w:tcW w:w="2140" w:type="dxa"/>
            <w:vAlign w:val="bottom"/>
          </w:tcPr>
          <w:p>
            <w:pPr>
              <w:spacing w:after="0"/>
              <w:rPr>
                <w:sz w:val="24"/>
                <w:szCs w:val="24"/>
                <w:color w:val="auto"/>
              </w:rPr>
            </w:pPr>
          </w:p>
        </w:tc>
        <w:tc>
          <w:tcPr>
            <w:tcW w:w="5400" w:type="dxa"/>
            <w:vAlign w:val="bottom"/>
          </w:tcPr>
          <w:p>
            <w:pPr>
              <w:jc w:val="center"/>
              <w:ind w:right="44"/>
              <w:spacing w:after="0"/>
              <w:rPr>
                <w:sz w:val="20"/>
                <w:szCs w:val="20"/>
                <w:color w:val="auto"/>
              </w:rPr>
            </w:pPr>
            <w:r>
              <w:rPr>
                <w:rFonts w:ascii="Times New Roman" w:cs="Times New Roman" w:eastAsia="Times New Roman" w:hAnsi="Times New Roman"/>
                <w:sz w:val="16"/>
                <w:szCs w:val="16"/>
                <w:b w:val="1"/>
                <w:bCs w:val="1"/>
                <w:color w:val="auto"/>
                <w:w w:val="97"/>
              </w:rPr>
              <w:t>Not Applicable</w:t>
            </w:r>
          </w:p>
        </w:tc>
        <w:tc>
          <w:tcPr>
            <w:tcW w:w="1720" w:type="dxa"/>
            <w:vAlign w:val="bottom"/>
          </w:tcPr>
          <w:p>
            <w:pPr>
              <w:spacing w:after="0"/>
              <w:rPr>
                <w:sz w:val="24"/>
                <w:szCs w:val="24"/>
                <w:color w:val="auto"/>
              </w:rPr>
            </w:pPr>
          </w:p>
        </w:tc>
      </w:tr>
      <w:tr>
        <w:trPr>
          <w:trHeight w:val="206"/>
        </w:trPr>
        <w:tc>
          <w:tcPr>
            <w:tcW w:w="2140" w:type="dxa"/>
            <w:vAlign w:val="bottom"/>
          </w:tcPr>
          <w:p>
            <w:pPr>
              <w:spacing w:after="0"/>
              <w:rPr>
                <w:sz w:val="17"/>
                <w:szCs w:val="17"/>
                <w:color w:val="auto"/>
              </w:rPr>
            </w:pPr>
          </w:p>
        </w:tc>
        <w:tc>
          <w:tcPr>
            <w:tcW w:w="5400" w:type="dxa"/>
            <w:vAlign w:val="bottom"/>
          </w:tcPr>
          <w:p>
            <w:pPr>
              <w:jc w:val="center"/>
              <w:ind w:right="24"/>
              <w:spacing w:after="0"/>
              <w:rPr>
                <w:sz w:val="20"/>
                <w:szCs w:val="20"/>
                <w:color w:val="auto"/>
              </w:rPr>
            </w:pPr>
            <w:r>
              <w:rPr>
                <w:rFonts w:ascii="Times New Roman" w:cs="Times New Roman" w:eastAsia="Times New Roman" w:hAnsi="Times New Roman"/>
                <w:sz w:val="16"/>
                <w:szCs w:val="16"/>
                <w:b w:val="1"/>
                <w:bCs w:val="1"/>
                <w:color w:val="auto"/>
                <w:w w:val="97"/>
              </w:rPr>
              <w:t>(Former name or former address, if changed since last report.)</w:t>
            </w:r>
          </w:p>
        </w:tc>
        <w:tc>
          <w:tcPr>
            <w:tcW w:w="1720" w:type="dxa"/>
            <w:vAlign w:val="bottom"/>
          </w:tcPr>
          <w:p>
            <w:pPr>
              <w:spacing w:after="0"/>
              <w:rPr>
                <w:sz w:val="17"/>
                <w:szCs w:val="17"/>
                <w:color w:val="auto"/>
              </w:rPr>
            </w:pPr>
          </w:p>
        </w:tc>
      </w:tr>
      <w:tr>
        <w:trPr>
          <w:trHeight w:val="219"/>
        </w:trPr>
        <w:tc>
          <w:tcPr>
            <w:tcW w:w="2140" w:type="dxa"/>
            <w:vAlign w:val="bottom"/>
          </w:tcPr>
          <w:p>
            <w:pPr>
              <w:spacing w:after="0"/>
              <w:rPr>
                <w:sz w:val="19"/>
                <w:szCs w:val="19"/>
                <w:color w:val="auto"/>
              </w:rPr>
            </w:pPr>
          </w:p>
        </w:tc>
        <w:tc>
          <w:tcPr>
            <w:tcW w:w="5400" w:type="dxa"/>
            <w:vAlign w:val="bottom"/>
          </w:tcPr>
          <w:p>
            <w:pPr>
              <w:jc w:val="right"/>
              <w:ind w:right="424"/>
              <w:spacing w:after="0"/>
              <w:rPr>
                <w:sz w:val="20"/>
                <w:szCs w:val="20"/>
                <w:color w:val="auto"/>
              </w:rPr>
            </w:pPr>
            <w:r>
              <w:rPr>
                <w:rFonts w:ascii="Times New Roman" w:cs="Times New Roman" w:eastAsia="Times New Roman" w:hAnsi="Times New Roman"/>
                <w:sz w:val="10"/>
                <w:szCs w:val="10"/>
                <w:color w:val="auto"/>
              </w:rPr>
              <w:t>_______________________________________________________________________________________</w:t>
            </w:r>
          </w:p>
        </w:tc>
        <w:tc>
          <w:tcPr>
            <w:tcW w:w="1720" w:type="dxa"/>
            <w:vAlign w:val="bottom"/>
          </w:tcPr>
          <w:p>
            <w:pPr>
              <w:spacing w:after="0"/>
              <w:rPr>
                <w:sz w:val="19"/>
                <w:szCs w:val="19"/>
                <w:color w:val="auto"/>
              </w:rPr>
            </w:pPr>
          </w:p>
        </w:tc>
      </w:tr>
    </w:tbl>
    <w:p>
      <w:pPr>
        <w:spacing w:after="0" w:line="204"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Check the appropriate box below if the Form 8-K filing is intended to simultaneously satisfy the filing obligation of the registrant under any of the following provisions:</w:t>
      </w:r>
    </w:p>
    <w:p>
      <w:pPr>
        <w:spacing w:after="0" w:line="130" w:lineRule="exact"/>
        <w:rPr>
          <w:sz w:val="24"/>
          <w:szCs w:val="24"/>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Written communications pursuant to Rule 425 under the Securities Act (17 CFR 230.425)</w:t>
      </w:r>
    </w:p>
    <w:p>
      <w:pPr>
        <w:spacing w:after="0" w:line="129" w:lineRule="exact"/>
        <w:rPr>
          <w:rFonts w:ascii="MS PGothic" w:cs="MS PGothic" w:eastAsia="MS PGothic" w:hAnsi="MS PGothic"/>
          <w:sz w:val="16"/>
          <w:szCs w:val="16"/>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Soliciting material pursuant to Rule 14a-12 under the Exchange Act (17 CFR 240.14a-12)</w:t>
      </w:r>
    </w:p>
    <w:p>
      <w:pPr>
        <w:spacing w:after="0" w:line="142" w:lineRule="exact"/>
        <w:rPr>
          <w:rFonts w:ascii="MS PGothic" w:cs="MS PGothic" w:eastAsia="MS PGothic" w:hAnsi="MS PGothic"/>
          <w:sz w:val="16"/>
          <w:szCs w:val="16"/>
          <w:color w:val="auto"/>
        </w:rPr>
      </w:pPr>
    </w:p>
    <w:p>
      <w:pPr>
        <w:ind w:left="340" w:hanging="318"/>
        <w:spacing w:after="0"/>
        <w:tabs>
          <w:tab w:leader="none" w:pos="340"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Pre-commencement communications pursuant to Rule 14d-2(b) under the Exchange Act (17 CFR 240.14d-2(b))</w:t>
      </w:r>
    </w:p>
    <w:p>
      <w:pPr>
        <w:spacing w:after="0" w:line="142" w:lineRule="exact"/>
        <w:rPr>
          <w:rFonts w:ascii="MS PGothic" w:cs="MS PGothic" w:eastAsia="MS PGothic" w:hAnsi="MS PGothic"/>
          <w:sz w:val="16"/>
          <w:szCs w:val="16"/>
          <w:color w:val="auto"/>
        </w:rPr>
      </w:pPr>
    </w:p>
    <w:p>
      <w:pPr>
        <w:ind w:right="3880" w:firstLine="22"/>
        <w:spacing w:after="0" w:line="382" w:lineRule="auto"/>
        <w:tabs>
          <w:tab w:leader="none" w:pos="344"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Pre-commencement communications pursuant to Rule 13e-4(c) under the Exchange Act (17 CFR 240.13e-4(c)) Securities registered pursuant to Section 12(b) of the Act:</w:t>
      </w:r>
    </w:p>
    <w:tbl>
      <w:tblPr>
        <w:tblLayout w:type="fixed"/>
        <w:tblInd w:w="0" w:type="dxa"/>
        <w:tblCellMar>
          <w:top w:w="0" w:type="dxa"/>
          <w:left w:w="0" w:type="dxa"/>
          <w:bottom w:w="0" w:type="dxa"/>
          <w:right w:w="0" w:type="dxa"/>
        </w:tblCellMar>
      </w:tblPr>
      <w:tr>
        <w:trPr>
          <w:trHeight w:val="209"/>
        </w:trPr>
        <w:tc>
          <w:tcPr>
            <w:tcW w:w="444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7"/>
              </w:rPr>
              <w:t>Title of each class</w:t>
            </w:r>
          </w:p>
        </w:tc>
        <w:tc>
          <w:tcPr>
            <w:tcW w:w="198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6"/>
              </w:rPr>
              <w:t>Trading Symbol(s)</w:t>
            </w:r>
          </w:p>
        </w:tc>
        <w:tc>
          <w:tcPr>
            <w:tcW w:w="482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Name of each exchange on which registered</w:t>
            </w:r>
          </w:p>
        </w:tc>
      </w:tr>
      <w:tr>
        <w:trPr>
          <w:trHeight w:val="200"/>
        </w:trPr>
        <w:tc>
          <w:tcPr>
            <w:tcW w:w="43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Common Stock, par value $0.01 per share</w:t>
            </w:r>
          </w:p>
        </w:tc>
        <w:tc>
          <w:tcPr>
            <w:tcW w:w="100" w:type="dxa"/>
            <w:vAlign w:val="bottom"/>
          </w:tcPr>
          <w:p>
            <w:pPr>
              <w:spacing w:after="0"/>
              <w:rPr>
                <w:sz w:val="17"/>
                <w:szCs w:val="17"/>
                <w:color w:val="auto"/>
              </w:rPr>
            </w:pPr>
          </w:p>
        </w:tc>
        <w:tc>
          <w:tcPr>
            <w:tcW w:w="1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TPH</w:t>
            </w:r>
          </w:p>
        </w:tc>
        <w:tc>
          <w:tcPr>
            <w:tcW w:w="100" w:type="dxa"/>
            <w:vAlign w:val="bottom"/>
          </w:tcPr>
          <w:p>
            <w:pPr>
              <w:spacing w:after="0"/>
              <w:rPr>
                <w:sz w:val="17"/>
                <w:szCs w:val="17"/>
                <w:color w:val="auto"/>
              </w:rPr>
            </w:pPr>
          </w:p>
        </w:tc>
        <w:tc>
          <w:tcPr>
            <w:tcW w:w="48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7"/>
              </w:rPr>
              <w:t>New York Stock Exchange</w:t>
            </w:r>
          </w:p>
        </w:tc>
      </w:tr>
    </w:tbl>
    <w:p>
      <w:pPr>
        <w:spacing w:after="0" w:line="318" w:lineRule="exact"/>
        <w:rPr>
          <w:sz w:val="24"/>
          <w:szCs w:val="24"/>
          <w:color w:val="auto"/>
        </w:rPr>
      </w:pPr>
    </w:p>
    <w:p>
      <w:pPr>
        <w:ind w:right="20"/>
        <w:spacing w:after="0" w:line="264" w:lineRule="auto"/>
        <w:rPr>
          <w:sz w:val="20"/>
          <w:szCs w:val="20"/>
          <w:color w:val="auto"/>
        </w:rPr>
      </w:pPr>
      <w:r>
        <w:rPr>
          <w:rFonts w:ascii="Times New Roman" w:cs="Times New Roman" w:eastAsia="Times New Roman" w:hAnsi="Times New Roman"/>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 w:lineRule="exact"/>
        <w:rPr>
          <w:sz w:val="24"/>
          <w:szCs w:val="24"/>
          <w:color w:val="auto"/>
        </w:rPr>
      </w:pPr>
    </w:p>
    <w:p>
      <w:pPr>
        <w:spacing w:after="0" w:line="184" w:lineRule="exact"/>
        <w:rPr>
          <w:sz w:val="20"/>
          <w:szCs w:val="20"/>
          <w:color w:val="auto"/>
        </w:rPr>
      </w:pPr>
      <w:r>
        <w:rPr>
          <w:rFonts w:ascii="Times New Roman" w:cs="Times New Roman" w:eastAsia="Times New Roman" w:hAnsi="Times New Roman"/>
          <w:sz w:val="16"/>
          <w:szCs w:val="16"/>
          <w:color w:val="auto"/>
        </w:rPr>
        <w:t xml:space="preserve">Emerging growth company </w:t>
      </w:r>
      <w:r>
        <w:rPr>
          <w:rFonts w:ascii="MS PGothic" w:cs="MS PGothic" w:eastAsia="MS PGothic" w:hAnsi="MS PGothic"/>
          <w:sz w:val="16"/>
          <w:szCs w:val="16"/>
          <w:color w:val="auto"/>
        </w:rPr>
        <w:t>☐</w:t>
      </w:r>
    </w:p>
    <w:p>
      <w:pPr>
        <w:spacing w:after="0" w:line="75" w:lineRule="exact"/>
        <w:rPr>
          <w:sz w:val="24"/>
          <w:szCs w:val="24"/>
          <w:color w:val="auto"/>
        </w:rPr>
      </w:pPr>
    </w:p>
    <w:p>
      <w:pPr>
        <w:ind w:right="340"/>
        <w:spacing w:after="0" w:line="209"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511175</wp:posOffset>
            </wp:positionV>
            <wp:extent cx="7162165"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0" w:right="339" w:bottom="1440" w:gutter="0" w:footer="0" w:header="0"/>
        </w:sectPr>
      </w:pPr>
    </w:p>
    <w:bookmarkStart w:id="1" w:name="page2"/>
    <w:bookmarkEnd w:id="1"/>
    <w:p>
      <w:pPr>
        <w:spacing w:after="0"/>
        <w:tabs>
          <w:tab w:leader="none" w:pos="900" w:val="left"/>
        </w:tabs>
        <w:rPr>
          <w:sz w:val="20"/>
          <w:szCs w:val="20"/>
          <w:color w:val="auto"/>
        </w:rPr>
      </w:pPr>
      <w:r>
        <w:rPr>
          <w:rFonts w:ascii="Times New Roman" w:cs="Times New Roman" w:eastAsia="Times New Roman" w:hAnsi="Times New Roman"/>
          <w:sz w:val="17"/>
          <w:szCs w:val="17"/>
          <w:b w:val="1"/>
          <w:bCs w:val="1"/>
          <w:color w:val="auto"/>
        </w:rPr>
        <w:t>Item 2.02</w:t>
        <w:tab/>
        <w:t>Results of Operations and Financial Condition</w:t>
      </w:r>
    </w:p>
    <w:p>
      <w:pPr>
        <w:spacing w:after="0" w:line="225" w:lineRule="exact"/>
        <w:rPr>
          <w:sz w:val="20"/>
          <w:szCs w:val="20"/>
          <w:color w:val="auto"/>
        </w:rPr>
      </w:pPr>
    </w:p>
    <w:p>
      <w:pPr>
        <w:jc w:val="both"/>
        <w:spacing w:after="0" w:line="295" w:lineRule="auto"/>
        <w:rPr>
          <w:sz w:val="20"/>
          <w:szCs w:val="20"/>
          <w:color w:val="auto"/>
        </w:rPr>
      </w:pPr>
      <w:r>
        <w:rPr>
          <w:rFonts w:ascii="Times New Roman" w:cs="Times New Roman" w:eastAsia="Times New Roman" w:hAnsi="Times New Roman"/>
          <w:sz w:val="17"/>
          <w:szCs w:val="17"/>
          <w:color w:val="auto"/>
        </w:rPr>
        <w:t>On July 21, 2022, Tri Pointe Homes, Inc., a Delaware corporation (the “Company”), announced in a press release its financial results for the quarter ended June 30, 2022. A copy of the Company’s press release announcing these financial results is attached as Exhibit 99.1 to this Current Report on Form 8-K.</w:t>
      </w:r>
    </w:p>
    <w:p>
      <w:pPr>
        <w:spacing w:after="0" w:line="147"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7"/>
          <w:szCs w:val="17"/>
          <w:color w:val="auto"/>
        </w:rPr>
        <w:t>The information furnished pursuant to this Item 2.02, including the exhibits attached hereto, shall not be deemed to be filed for purposes of Section 18 of the Securities Exchange Act of 1934, as amended (“Exchange Act”), or otherwise subject to the liabilities of that section, nor shall it be incorporated by reference into any filings under the Securities Act of 1933, as amended, or the Exchange Act, except as expressly set forth in such filing. In addition, the press release furnished as an exhibit to this report includes “forward-looking statements” within the meaning of the Private Securities Litigation Reform Act of 1995.</w:t>
      </w:r>
    </w:p>
    <w:p>
      <w:pPr>
        <w:spacing w:after="0" w:line="193"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17"/>
          <w:szCs w:val="17"/>
          <w:b w:val="1"/>
          <w:bCs w:val="1"/>
          <w:color w:val="auto"/>
        </w:rPr>
        <w:t>Item 9.01</w:t>
        <w:tab/>
        <w:t>Financial Statements and Exhibits</w:t>
      </w:r>
    </w:p>
    <w:p>
      <w:pPr>
        <w:spacing w:after="0" w:line="251" w:lineRule="exact"/>
        <w:rPr>
          <w:sz w:val="20"/>
          <w:szCs w:val="20"/>
          <w:color w:val="auto"/>
        </w:rPr>
      </w:pPr>
    </w:p>
    <w:p>
      <w:pPr>
        <w:ind w:left="1720" w:hanging="618"/>
        <w:spacing w:after="0"/>
        <w:tabs>
          <w:tab w:leader="none" w:pos="1720" w:val="left"/>
        </w:tabs>
        <w:numPr>
          <w:ilvl w:val="0"/>
          <w:numId w:val="2"/>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Exhibits</w:t>
      </w:r>
    </w:p>
    <w:p>
      <w:pPr>
        <w:spacing w:after="0" w:line="31" w:lineRule="exact"/>
        <w:rPr>
          <w:rFonts w:ascii="Times New Roman" w:cs="Times New Roman" w:eastAsia="Times New Roman" w:hAnsi="Times New Roman"/>
          <w:sz w:val="17"/>
          <w:szCs w:val="17"/>
          <w:b w:val="1"/>
          <w:bCs w:val="1"/>
          <w:color w:val="auto"/>
        </w:rPr>
      </w:pPr>
    </w:p>
    <w:p>
      <w:pPr>
        <w:ind w:left="1720"/>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99.1</w:t>
      </w:r>
      <w:r>
        <w:rPr>
          <w:rFonts w:ascii="Times New Roman" w:cs="Times New Roman" w:eastAsia="Times New Roman" w:hAnsi="Times New Roman"/>
          <w:sz w:val="17"/>
          <w:szCs w:val="17"/>
          <w:u w:val="single" w:color="auto"/>
          <w:color w:val="0000FF"/>
        </w:rPr>
        <w:t>Press Release dated July 21, 2022</w:t>
      </w:r>
    </w:p>
    <w:p>
      <w:pPr>
        <w:spacing w:after="0" w:line="13" w:lineRule="exact"/>
        <w:rPr>
          <w:rFonts w:ascii="Times New Roman" w:cs="Times New Roman" w:eastAsia="Times New Roman" w:hAnsi="Times New Roman"/>
          <w:sz w:val="17"/>
          <w:szCs w:val="17"/>
          <w:b w:val="1"/>
          <w:bCs w:val="1"/>
          <w:color w:val="auto"/>
        </w:rPr>
      </w:pPr>
    </w:p>
    <w:p>
      <w:pPr>
        <w:ind w:left="1720"/>
        <w:spacing w:after="0"/>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104Cover Page Interactive Data File, formatted in Inline XBRL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74295</wp:posOffset>
            </wp:positionV>
            <wp:extent cx="716216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73"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SIGNATURES</w:t>
      </w:r>
    </w:p>
    <w:p>
      <w:pPr>
        <w:spacing w:after="0" w:line="225" w:lineRule="exact"/>
        <w:rPr>
          <w:sz w:val="20"/>
          <w:szCs w:val="20"/>
          <w:color w:val="auto"/>
        </w:rPr>
      </w:pPr>
    </w:p>
    <w:p>
      <w:pPr>
        <w:spacing w:after="0" w:line="295" w:lineRule="auto"/>
        <w:rPr>
          <w:sz w:val="20"/>
          <w:szCs w:val="20"/>
          <w:color w:val="auto"/>
        </w:rPr>
      </w:pPr>
      <w:r>
        <w:rPr>
          <w:rFonts w:ascii="Times New Roman" w:cs="Times New Roman" w:eastAsia="Times New Roman" w:hAnsi="Times New Roman"/>
          <w:sz w:val="17"/>
          <w:szCs w:val="17"/>
          <w:color w:val="auto"/>
        </w:rPr>
        <w:t>Pursuant to the requirements of the Securities Exchange Act of 1934, as amended, the registrant has duly caused this report to be signed on its behalf by the undersigned hereunto duly authorized.</w:t>
      </w:r>
    </w:p>
    <w:p>
      <w:pPr>
        <w:spacing w:after="0" w:line="317"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7"/>
          <w:szCs w:val="17"/>
          <w:color w:val="auto"/>
        </w:rPr>
        <w:t>Tri Pointe Homes, Inc.</w:t>
      </w:r>
    </w:p>
    <w:p>
      <w:pPr>
        <w:spacing w:after="0" w:line="249" w:lineRule="exact"/>
        <w:rPr>
          <w:sz w:val="20"/>
          <w:szCs w:val="20"/>
          <w:color w:val="auto"/>
        </w:rPr>
      </w:pPr>
    </w:p>
    <w:p>
      <w:pPr>
        <w:ind w:left="20"/>
        <w:spacing w:after="0"/>
        <w:tabs>
          <w:tab w:leader="none" w:pos="5800" w:val="left"/>
          <w:tab w:leader="none" w:pos="6260" w:val="left"/>
        </w:tabs>
        <w:rPr>
          <w:sz w:val="20"/>
          <w:szCs w:val="20"/>
          <w:color w:val="auto"/>
        </w:rPr>
      </w:pPr>
      <w:r>
        <w:rPr>
          <w:rFonts w:ascii="Times New Roman" w:cs="Times New Roman" w:eastAsia="Times New Roman" w:hAnsi="Times New Roman"/>
          <w:sz w:val="17"/>
          <w:szCs w:val="17"/>
          <w:color w:val="auto"/>
        </w:rPr>
        <w:t>Date: July 21, 2022</w:t>
      </w:r>
      <w:r>
        <w:rPr>
          <w:sz w:val="20"/>
          <w:szCs w:val="20"/>
          <w:color w:val="auto"/>
        </w:rPr>
        <w:tab/>
      </w:r>
      <w:r>
        <w:rPr>
          <w:rFonts w:ascii="Times New Roman" w:cs="Times New Roman" w:eastAsia="Times New Roman" w:hAnsi="Times New Roman"/>
          <w:sz w:val="17"/>
          <w:szCs w:val="17"/>
          <w:color w:val="auto"/>
        </w:rPr>
        <w:t>By:</w:t>
        <w:tab/>
        <w:t>/s/ Glenn J. Keeler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3977640</wp:posOffset>
            </wp:positionH>
            <wp:positionV relativeFrom="paragraph">
              <wp:posOffset>20320</wp:posOffset>
            </wp:positionV>
            <wp:extent cx="31369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36900" cy="8255"/>
                    </a:xfrm>
                    <a:prstGeom prst="rect">
                      <a:avLst/>
                    </a:prstGeom>
                    <a:noFill/>
                  </pic:spPr>
                </pic:pic>
              </a:graphicData>
            </a:graphic>
          </wp:anchor>
        </w:drawing>
      </w:r>
    </w:p>
    <w:p>
      <w:pPr>
        <w:spacing w:after="0" w:line="14"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7"/>
          <w:szCs w:val="17"/>
          <w:color w:val="auto"/>
        </w:rPr>
        <w:t>Glenn J. Keeler,</w:t>
      </w:r>
    </w:p>
    <w:p>
      <w:pPr>
        <w:ind w:left="6280"/>
        <w:spacing w:after="0"/>
        <w:rPr>
          <w:sz w:val="20"/>
          <w:szCs w:val="20"/>
          <w:color w:val="auto"/>
        </w:rPr>
      </w:pPr>
      <w:r>
        <w:rPr>
          <w:rFonts w:ascii="Times New Roman" w:cs="Times New Roman" w:eastAsia="Times New Roman" w:hAnsi="Times New Roman"/>
          <w:sz w:val="17"/>
          <w:szCs w:val="17"/>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3</w:t>
      </w:r>
    </w:p>
    <w:p>
      <w:pPr>
        <w:sectPr>
          <w:pgSz w:w="11900" w:h="16838" w:orient="portrait"/>
          <w:cols w:equalWidth="0" w:num="1">
            <w:col w:w="11240"/>
          </w:cols>
          <w:pgMar w:left="320" w:top="864"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2907665</wp:posOffset>
            </wp:positionH>
            <wp:positionV relativeFrom="paragraph">
              <wp:posOffset>21590</wp:posOffset>
            </wp:positionV>
            <wp:extent cx="1336040" cy="5308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TRI POINTE HOMES, INC. REPORTS 2022 SECOND QUARTER RESULTS</w:t>
      </w:r>
    </w:p>
    <w:p>
      <w:pPr>
        <w:spacing w:after="0" w:line="2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-Diluted Earnings Per Share of $1.33-</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-Homebuilding Gross Margin Percentage of 27.2%-</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-Monthly Absorption Rate of 3.7-</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-Backlog Dollar Value up 18% Year-Over-Year-</w:t>
      </w:r>
    </w:p>
    <w:p>
      <w:pPr>
        <w:spacing w:after="0" w:line="200" w:lineRule="exact"/>
        <w:rPr>
          <w:sz w:val="20"/>
          <w:szCs w:val="20"/>
          <w:color w:val="auto"/>
        </w:rPr>
      </w:pPr>
    </w:p>
    <w:p>
      <w:pPr>
        <w:spacing w:after="0" w:line="201" w:lineRule="exact"/>
        <w:rPr>
          <w:sz w:val="20"/>
          <w:szCs w:val="20"/>
          <w:color w:val="auto"/>
        </w:rPr>
      </w:pPr>
    </w:p>
    <w:p>
      <w:pPr>
        <w:ind w:right="580"/>
        <w:spacing w:after="0" w:line="295" w:lineRule="auto"/>
        <w:rPr>
          <w:sz w:val="20"/>
          <w:szCs w:val="20"/>
          <w:color w:val="auto"/>
        </w:rPr>
      </w:pPr>
      <w:r>
        <w:rPr>
          <w:rFonts w:ascii="Times New Roman" w:cs="Times New Roman" w:eastAsia="Times New Roman" w:hAnsi="Times New Roman"/>
          <w:sz w:val="17"/>
          <w:szCs w:val="17"/>
          <w:color w:val="auto"/>
        </w:rPr>
        <w:t>INCLINE VILLAGE, Nev., July 21, 2022 / Tri Pointe Homes, Inc. (the “Company”) (NYSE:TPH) today announced results for the second quarter ended June 30, 2022.</w:t>
      </w:r>
    </w:p>
    <w:p>
      <w:pPr>
        <w:spacing w:after="0" w:line="9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7"/>
          <w:szCs w:val="17"/>
          <w:color w:val="auto"/>
        </w:rPr>
        <w:t>“Tri Pointe Homes delivered another quarter of strong top- and bottom-line results for the second quarter of 2022,” said Doug Bauer, Tri Pointe Homes Chief Executive Officer. “Home sales revenue eclipsed the $1 billion mark for the quarter thanks to our operating teams who once again did an outstanding job managing backlog, overcoming labor and supply chain issues and delivering homes in a timely manner. Home sales gross margin percentage was 27.2% for the quarter, a record for our company, while SG&amp;A as a percentage of home sales revenue was 9.5%. This strong margin performance was the primary driver behind the 33% year-over-year increase in our fully diluted earnings per share to $1.33.”</w:t>
      </w:r>
    </w:p>
    <w:p>
      <w:pPr>
        <w:spacing w:after="0" w:line="119"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7"/>
          <w:szCs w:val="17"/>
          <w:color w:val="auto"/>
        </w:rPr>
        <w:t>Mr. Bauer continued, “We generated 1,356 net new home orders during the quarter on a sales pace of 3.7 homes per community per month. While this pace is consistent with our company’s pre-pandemic order performance for a second quarter, we experienced softening in order activity as the quarter progressed, as the combination of higher mortgage interest rates and lower consumer confidence began to impact demand. We believe there will likely be a period of adjustment as buyers adapt to this new reality, however, we believe the favorable fundamentals of demographic trends and undersupply of housing in our markets remain in place and we are confident in the long-term health of our industry.”</w:t>
      </w:r>
    </w:p>
    <w:p>
      <w:pPr>
        <w:spacing w:after="0" w:line="119" w:lineRule="exact"/>
        <w:rPr>
          <w:sz w:val="20"/>
          <w:szCs w:val="20"/>
          <w:color w:val="auto"/>
        </w:rPr>
      </w:pPr>
    </w:p>
    <w:p>
      <w:pPr>
        <w:ind w:right="60"/>
        <w:spacing w:after="0" w:line="269" w:lineRule="auto"/>
        <w:rPr>
          <w:sz w:val="20"/>
          <w:szCs w:val="20"/>
          <w:color w:val="auto"/>
        </w:rPr>
      </w:pPr>
      <w:r>
        <w:rPr>
          <w:rFonts w:ascii="Times New Roman" w:cs="Times New Roman" w:eastAsia="Times New Roman" w:hAnsi="Times New Roman"/>
          <w:sz w:val="17"/>
          <w:szCs w:val="17"/>
          <w:color w:val="auto"/>
        </w:rPr>
        <w:t>Mr. Bauer concluded, “Our balance sheet remained in excellent condition, as we ended the quarter with total liquidity of $938 million, including cash and cash equivalents of $270 million and $668 million available under our unsecured revolving credit facility. The company’s debt-to-capital ratio was 35.0% and our net debt-to-net capital ratio was 30.1%*. We believe this combination of low leverage and ample liquidity will allow us to make smart, rational decisions from a position of financial strength going forward and that Tri Pointe is well prepared for what comes next.”</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Results and Operational Data for Second Quarter 2022 and Comparisons to Second Quarter 2021</w:t>
      </w:r>
    </w:p>
    <w:p>
      <w:pPr>
        <w:spacing w:after="0" w:line="225" w:lineRule="exact"/>
        <w:rPr>
          <w:sz w:val="20"/>
          <w:szCs w:val="20"/>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Net income available to common stockholders was $136.4 million, or $1.33 per diluted share, compared to $117.9 million, or $1.00 per diluted share</w:t>
      </w:r>
    </w:p>
    <w:p>
      <w:pPr>
        <w:spacing w:after="0" w:line="118" w:lineRule="exact"/>
        <w:rPr>
          <w:rFonts w:ascii="Times New Roman" w:cs="Times New Roman" w:eastAsia="Times New Roman" w:hAnsi="Times New Roman"/>
          <w:sz w:val="17"/>
          <w:szCs w:val="17"/>
          <w:b w:val="1"/>
          <w:bCs w:val="1"/>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Home sales revenue of $1.0 billion for both periods</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1"/>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New home deliveries of 1,485 homes compared to 1,545 homes, a decrease of 4%</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1"/>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Average sales price of homes delivered of $677,000 compared to $653,000, an increase of 4%</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Homebuilding gross margin percentage of 27.2% compared to 24.6%, an increase of 260 basis points</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1"/>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Excluding interest and impairments and lot option abandonments, adjusted homebuilding gross margin percentage was 29.8%*</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SG&amp;A expense as a percentage of homes sales revenue of 9.5% compared to 9.6%, a decrease of 10 basis points</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Net new home orders of 1,356 compared to 1,622, a decrease of 16%</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Active selling communities averaged 121.8 compared to 114.5, an increase of 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1</w:t>
      </w:r>
    </w:p>
    <w:p>
      <w:pPr>
        <w:sectPr>
          <w:pgSz w:w="11900" w:h="16838" w:orient="portrait"/>
          <w:cols w:equalWidth="0" w:num="1">
            <w:col w:w="11240"/>
          </w:cols>
          <w:pgMar w:left="320" w:top="119" w:right="339" w:bottom="1440" w:gutter="0" w:footer="0" w:header="0"/>
        </w:sectPr>
      </w:pPr>
    </w:p>
    <w:bookmarkStart w:id="4" w:name="page5"/>
    <w:bookmarkEnd w:id="4"/>
    <w:p>
      <w:pPr>
        <w:spacing w:after="0" w:line="19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ind w:left="1260" w:hanging="315"/>
        <w:spacing w:after="0"/>
        <w:tabs>
          <w:tab w:leader="none" w:pos="1260" w:val="left"/>
        </w:tabs>
        <w:numPr>
          <w:ilvl w:val="2"/>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Net new home orders per average selling community were 11.1 orders (3.7 monthly) compared to 14.2 orders (4.7 monthly)</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2"/>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Cancellation rate of 16% compared to 7%</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Backlog units at quarter end of 3,826 homes compared to 3,902, a decrease of 2%</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2"/>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Dollar value of backlog at quarter end of $3.0 billion compared to $2.5 billion, an increase of 18%</w:t>
      </w:r>
    </w:p>
    <w:p>
      <w:pPr>
        <w:spacing w:after="0" w:line="118" w:lineRule="exact"/>
        <w:rPr>
          <w:rFonts w:ascii="Times New Roman" w:cs="Times New Roman" w:eastAsia="Times New Roman" w:hAnsi="Times New Roman"/>
          <w:sz w:val="17"/>
          <w:szCs w:val="17"/>
          <w:color w:val="auto"/>
        </w:rPr>
      </w:pPr>
    </w:p>
    <w:p>
      <w:pPr>
        <w:ind w:left="1260" w:hanging="315"/>
        <w:spacing w:after="0"/>
        <w:tabs>
          <w:tab w:leader="none" w:pos="1260" w:val="left"/>
        </w:tabs>
        <w:numPr>
          <w:ilvl w:val="2"/>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Average sales price of homes in backlog at quarter end of $779,000 compared to $647,000, an increase of 20%</w:t>
      </w:r>
    </w:p>
    <w:p>
      <w:pPr>
        <w:spacing w:after="0" w:line="118" w:lineRule="exact"/>
        <w:rPr>
          <w:rFonts w:ascii="Times New Roman" w:cs="Times New Roman" w:eastAsia="Times New Roman" w:hAnsi="Times New Roman"/>
          <w:sz w:val="17"/>
          <w:szCs w:val="17"/>
          <w:color w:val="auto"/>
        </w:rPr>
      </w:pPr>
    </w:p>
    <w:p>
      <w:pPr>
        <w:ind w:left="620" w:hanging="302"/>
        <w:spacing w:after="0"/>
        <w:tabs>
          <w:tab w:leader="none" w:pos="62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Ratios of debt-to-capital and net debt-to-net capital of 35.0% and 30.1%*, respectively, as of June 30, 2022</w:t>
      </w:r>
    </w:p>
    <w:p>
      <w:pPr>
        <w:spacing w:after="0" w:line="105" w:lineRule="exact"/>
        <w:rPr>
          <w:rFonts w:ascii="Times New Roman" w:cs="Times New Roman" w:eastAsia="Times New Roman" w:hAnsi="Times New Roman"/>
          <w:sz w:val="17"/>
          <w:szCs w:val="17"/>
          <w:color w:val="auto"/>
        </w:rPr>
      </w:pPr>
    </w:p>
    <w:p>
      <w:pPr>
        <w:ind w:left="640" w:hanging="322"/>
        <w:spacing w:after="0" w:line="263" w:lineRule="auto"/>
        <w:tabs>
          <w:tab w:leader="none" w:pos="636"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Repurchased 3,152,234 shares of common stock at a weighted average price per share of $19.92 for an aggregate dollar amount of $62.8 million in the three months ended June 30, 2022</w:t>
      </w:r>
    </w:p>
    <w:p>
      <w:pPr>
        <w:spacing w:after="0" w:line="28" w:lineRule="exact"/>
        <w:rPr>
          <w:rFonts w:ascii="Times New Roman" w:cs="Times New Roman" w:eastAsia="Times New Roman" w:hAnsi="Times New Roman"/>
          <w:sz w:val="17"/>
          <w:szCs w:val="17"/>
          <w:color w:val="auto"/>
        </w:rPr>
      </w:pPr>
    </w:p>
    <w:p>
      <w:pPr>
        <w:ind w:left="640" w:hanging="322"/>
        <w:spacing w:after="0" w:line="263" w:lineRule="auto"/>
        <w:tabs>
          <w:tab w:leader="none" w:pos="636"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Increased the maximum amount of our revolving credit facility from $650 million to $750 million and extended the maturity date of our revolving credit facility and term loan facility to June 2027</w:t>
      </w:r>
    </w:p>
    <w:p>
      <w:pPr>
        <w:spacing w:after="0" w:line="55" w:lineRule="exact"/>
        <w:rPr>
          <w:rFonts w:ascii="Times New Roman" w:cs="Times New Roman" w:eastAsia="Times New Roman" w:hAnsi="Times New Roman"/>
          <w:sz w:val="17"/>
          <w:szCs w:val="17"/>
          <w:color w:val="auto"/>
        </w:rPr>
      </w:pPr>
    </w:p>
    <w:p>
      <w:pPr>
        <w:ind w:left="640" w:hanging="322"/>
        <w:spacing w:after="0" w:line="295" w:lineRule="auto"/>
        <w:tabs>
          <w:tab w:leader="none" w:pos="636"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Ended the second quarter of 2022 with total liquidity of $937.7 million, including cash and cash equivalents of $270.1 million and $667.5 million of availability under our revolving credit facility</w:t>
      </w:r>
    </w:p>
    <w:p>
      <w:pPr>
        <w:spacing w:after="0" w:line="185" w:lineRule="exact"/>
        <w:rPr>
          <w:rFonts w:ascii="Times New Roman" w:cs="Times New Roman" w:eastAsia="Times New Roman" w:hAnsi="Times New Roman"/>
          <w:sz w:val="17"/>
          <w:szCs w:val="17"/>
          <w:color w:val="auto"/>
        </w:rPr>
      </w:pPr>
    </w:p>
    <w:p>
      <w:pPr>
        <w:ind w:left="34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See “Reconciliation of Non-GAAP Financial Measures”</w:t>
      </w:r>
    </w:p>
    <w:p>
      <w:pPr>
        <w:spacing w:after="0" w:line="262" w:lineRule="exact"/>
        <w:rPr>
          <w:sz w:val="20"/>
          <w:szCs w:val="20"/>
          <w:color w:val="auto"/>
        </w:rPr>
      </w:pPr>
    </w:p>
    <w:p>
      <w:pPr>
        <w:ind w:right="80"/>
        <w:spacing w:after="0" w:line="264" w:lineRule="auto"/>
        <w:rPr>
          <w:sz w:val="20"/>
          <w:szCs w:val="20"/>
          <w:color w:val="auto"/>
        </w:rPr>
      </w:pPr>
      <w:r>
        <w:rPr>
          <w:rFonts w:ascii="Times New Roman" w:cs="Times New Roman" w:eastAsia="Times New Roman" w:hAnsi="Times New Roman"/>
          <w:sz w:val="17"/>
          <w:szCs w:val="17"/>
          <w:color w:val="auto"/>
        </w:rPr>
        <w:t>“Tri Pointe ended the second quarter with a record sold backlog of nearly $3 billion, putting us in an excellent position to continue delivering strong top- and bottom-line results for the remainder of the year,” said Tri Pointe Homes President and Chief Operating Officer Tom Mitchell. “We believe that our approach of acquiring land in prime locations close to employment and transportation centers and other lifestyle amenities that homebuyers value, combined with our innovative, premium homes, gives us a distinct selling advantage in a challenging market. We also have strong leadership teams at both the local and national levels who have successfully navigated prior housing cycles and are skilled at operating through such times. Given these positives, we remain as confident as ever in the long-term outlook for Tri Pointe Homes.”</w:t>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Outlook</w:t>
      </w:r>
    </w:p>
    <w:p>
      <w:pPr>
        <w:spacing w:after="0" w:line="186" w:lineRule="exact"/>
        <w:rPr>
          <w:sz w:val="20"/>
          <w:szCs w:val="20"/>
          <w:color w:val="auto"/>
        </w:rPr>
      </w:pPr>
    </w:p>
    <w:p>
      <w:pPr>
        <w:ind w:right="340"/>
        <w:spacing w:after="0" w:line="269" w:lineRule="auto"/>
        <w:rPr>
          <w:sz w:val="20"/>
          <w:szCs w:val="20"/>
          <w:color w:val="auto"/>
        </w:rPr>
      </w:pPr>
      <w:r>
        <w:rPr>
          <w:rFonts w:ascii="Times New Roman" w:cs="Times New Roman" w:eastAsia="Times New Roman" w:hAnsi="Times New Roman"/>
          <w:sz w:val="17"/>
          <w:szCs w:val="17"/>
          <w:color w:val="auto"/>
        </w:rPr>
        <w:t>For the third quarter, the Company anticipates delivering between 1,300 and 1,500 homes at an average sales price between $700,000 and $715,000. The Company expects homebuilding gross margin percentage to be in the range of 26.0% to 27.0% for the third quarter and anticipates its SG&amp;A expense as a percentage of home sales revenue will be in the range of 10.0% to 11.0%. Finally, the Company expects its effective tax rate for the third quarter to be in the range of 25.0% to 26.0%.</w:t>
      </w:r>
    </w:p>
    <w:p>
      <w:pPr>
        <w:spacing w:after="0" w:line="143" w:lineRule="exact"/>
        <w:rPr>
          <w:sz w:val="20"/>
          <w:szCs w:val="20"/>
          <w:color w:val="auto"/>
        </w:rPr>
      </w:pPr>
    </w:p>
    <w:p>
      <w:pPr>
        <w:ind w:right="140"/>
        <w:spacing w:after="0" w:line="295" w:lineRule="auto"/>
        <w:rPr>
          <w:sz w:val="20"/>
          <w:szCs w:val="20"/>
          <w:color w:val="auto"/>
        </w:rPr>
      </w:pPr>
      <w:r>
        <w:rPr>
          <w:rFonts w:ascii="Times New Roman" w:cs="Times New Roman" w:eastAsia="Times New Roman" w:hAnsi="Times New Roman"/>
          <w:sz w:val="17"/>
          <w:szCs w:val="17"/>
          <w:color w:val="auto"/>
        </w:rPr>
        <w:t>Due to quickly changing market conditions and significant uncertainty related to the broader economy, the Company is providing guidance for the third quarter and is not providing updated guidance for the full year at this time.</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Earnings Conference Call</w:t>
      </w:r>
    </w:p>
    <w:p>
      <w:pPr>
        <w:spacing w:after="0" w:line="186" w:lineRule="exact"/>
        <w:rPr>
          <w:sz w:val="20"/>
          <w:szCs w:val="20"/>
          <w:color w:val="auto"/>
        </w:rPr>
      </w:pPr>
    </w:p>
    <w:p>
      <w:pPr>
        <w:ind w:right="80"/>
        <w:spacing w:after="0" w:line="262" w:lineRule="auto"/>
        <w:rPr>
          <w:sz w:val="20"/>
          <w:szCs w:val="20"/>
          <w:color w:val="auto"/>
        </w:rPr>
      </w:pPr>
      <w:r>
        <w:rPr>
          <w:rFonts w:ascii="Times New Roman" w:cs="Times New Roman" w:eastAsia="Times New Roman" w:hAnsi="Times New Roman"/>
          <w:sz w:val="17"/>
          <w:szCs w:val="17"/>
          <w:color w:val="auto"/>
        </w:rPr>
        <w:t xml:space="preserve">The Company will host a conference call via live webcast for investors and other interested parties beginning at 10:00 a.m. Eastern Time on Thursday, July 21, 2022. The call will be hosted by Doug Bauer, Chief Executive Officer, Tom Mitchell, President and Chief Operating Officer, and Glenn Keeler, Chief Financial Officer. Interested parties can listen to the call live and view the related slides on the Internet under the Events &amp; Presentations heading in the Investors section of the Company’s website at </w:t>
      </w:r>
      <w:r>
        <w:rPr>
          <w:rFonts w:ascii="Times New Roman" w:cs="Times New Roman" w:eastAsia="Times New Roman" w:hAnsi="Times New Roman"/>
          <w:sz w:val="17"/>
          <w:szCs w:val="17"/>
          <w:u w:val="single" w:color="auto"/>
          <w:color w:val="auto"/>
        </w:rPr>
        <w:t>www.TriPointeHomes.com</w:t>
      </w:r>
      <w:r>
        <w:rPr>
          <w:rFonts w:ascii="Times New Roman" w:cs="Times New Roman" w:eastAsia="Times New Roman" w:hAnsi="Times New Roman"/>
          <w:sz w:val="17"/>
          <w:szCs w:val="17"/>
          <w:color w:val="auto"/>
          <w:highlight w:val="white"/>
        </w:rPr>
        <w:t>. Listeners should go to the website at least fifteen minutes prior to the call to download and install any</w:t>
      </w:r>
      <w:r>
        <w:rPr>
          <w:rFonts w:ascii="Times New Roman" w:cs="Times New Roman" w:eastAsia="Times New Roman" w:hAnsi="Times New Roman"/>
          <w:sz w:val="17"/>
          <w:szCs w:val="17"/>
          <w:color w:val="auto"/>
        </w:rPr>
        <w:t xml:space="preserve"> necessary audio software. The call can also be accessed toll free at (877) 407-3982, or (201) 493-6780 for international participants. Participants should ask for the Tri Pointe Homes Second Quarter 2022 Earnings Conference Call. Those dialing in should do so at least ten minutes prior to the start of the call. A replay of the call will be available for two weeks following the call toll free at (844) 512-2921, or (412) 317-6671 for international participants, using the reference number 13730783. An archive of the webcast will also be available on the Company’s website for a limited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2</w:t>
      </w:r>
    </w:p>
    <w:p>
      <w:pPr>
        <w:sectPr>
          <w:pgSz w:w="11900" w:h="16838" w:orient="portrait"/>
          <w:cols w:equalWidth="0" w:num="1">
            <w:col w:w="11240"/>
          </w:cols>
          <w:pgMar w:left="320" w:top="1440" w:right="339" w:bottom="1440" w:gutter="0" w:footer="0" w:header="0"/>
        </w:sectPr>
      </w:pPr>
    </w:p>
    <w:bookmarkStart w:id="5" w:name="page6"/>
    <w:bookmarkEnd w:id="5"/>
    <w:p>
      <w:pPr>
        <w:spacing w:after="0" w:line="26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7"/>
          <w:szCs w:val="17"/>
          <w:b w:val="1"/>
          <w:bCs w:val="1"/>
          <w:color w:val="auto"/>
        </w:rPr>
        <w:t>About Tri Pointe Homes, Inc.</w:t>
      </w:r>
    </w:p>
    <w:p>
      <w:pPr>
        <w:spacing w:after="0" w:line="199"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7"/>
          <w:szCs w:val="17"/>
          <w:color w:val="auto"/>
        </w:rPr>
        <w:t>One of the largest homebuilders in the U.S., Tri Pointe Homes, Inc. (NYSE: TPH) is a publicly traded company and a recognized leader in customer experience, innovative design, and environmentally responsible business practices. The company builds premium homes and communities in 10 states, with deep ties to the communities it serves—some for as long as a century. Tri Pointe Homes combines the financial resources, technology platforms and proven leadership of a national organization with the regional insights, longstanding community connections and agility of empowered local teams. Tri Pointe has won multiple Builder of the Year awards, most recently in 2019, and made Fortune magazine’s 2017 100 Fastest-Growing Companies list. Named one of the Best Places to Work by the Orange County Business Journal for four consecutive years, Tri Pointe Homes was also named a Great Place to Work-Certified</w:t>
      </w:r>
      <w:r>
        <w:rPr>
          <w:rFonts w:ascii="Times New Roman" w:cs="Times New Roman" w:eastAsia="Times New Roman" w:hAnsi="Times New Roman"/>
          <w:sz w:val="22"/>
          <w:szCs w:val="22"/>
          <w:color w:val="auto"/>
          <w:vertAlign w:val="superscript"/>
        </w:rPr>
        <w:t>TM</w:t>
      </w:r>
      <w:r>
        <w:rPr>
          <w:rFonts w:ascii="Times New Roman" w:cs="Times New Roman" w:eastAsia="Times New Roman" w:hAnsi="Times New Roman"/>
          <w:sz w:val="17"/>
          <w:szCs w:val="17"/>
          <w:color w:val="auto"/>
        </w:rPr>
        <w:t xml:space="preserve"> company in both 2021 and 2022. For more information, please visit </w:t>
      </w:r>
      <w:r>
        <w:rPr>
          <w:rFonts w:ascii="Times New Roman" w:cs="Times New Roman" w:eastAsia="Times New Roman" w:hAnsi="Times New Roman"/>
          <w:sz w:val="17"/>
          <w:szCs w:val="17"/>
          <w:u w:val="single" w:color="auto"/>
          <w:color w:val="auto"/>
        </w:rPr>
        <w:t>TriPointeHomes.com</w:t>
      </w:r>
      <w:r>
        <w:rPr>
          <w:rFonts w:ascii="Times New Roman" w:cs="Times New Roman" w:eastAsia="Times New Roman" w:hAnsi="Times New Roman"/>
          <w:sz w:val="17"/>
          <w:szCs w:val="17"/>
          <w:color w:val="auto"/>
          <w:highlight w:val="white"/>
        </w:rPr>
        <w:t>.</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Forward-Looking Statements</w:t>
      </w:r>
    </w:p>
    <w:p>
      <w:pPr>
        <w:spacing w:after="0" w:line="184"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7"/>
          <w:szCs w:val="17"/>
          <w:i w:val="1"/>
          <w:iCs w:val="1"/>
          <w:color w:val="auto"/>
        </w:rPr>
        <w:t>Various statements contained in this press release, including those that express a belief, expectation or intention, as well as those that are not statements of historical fact, are forward-looking statements. These forward-looking statements may include, but are not limited to, statements regarding our strategy, projections and estimates concerning the timing and success of specific projects and our future production, land and lot sales, operational and financial results, including our estimates for growth, financial condition, sales prices, prospects, and capital spending. Forward-looking statements that are included in this press release are generally accompanied by words such as “anticipate,” “believe,” “could,” “estimate,” “expect,” “future,” “goal,” “guidance,” “intend,” “likely,” “may,” “might,” “outlook,” “plan,” “potential,” “predict,” “project,” “should,” “strategy,” “target,” “will,” “would,” or other words that convey future events or outcomes. The forward-looking statements in this press release speak only as of the date of this press release, and we disclaim any obligation to update these statements unless required by law, and we caution you not to rely on them unduly. These forward-looking statements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 the effects of the ongoing COVID-19 pandemic, which are highly uncertain and subject to rapid change, cannot be predicted and will depend upon future developments, including the emergence and spread of new strains or variants of COVID-19, the severity and the duration of the outbreak, the duration of existing and future social distancing and shelter-in-place orders, further mitigation strategies taken by applicable government authorities, the availability and acceptance of effective vaccines, adequate testing and treatments and the prevalence of widespread immunity to COVID-19; the impacts on our supply chain, the health of our employees, service providers and trade partners, and the reactions of U.S. and global markets and their effects on consumer confidence and spending; the effects of general economic conditions, including employment rates, housing starts, interest rate levels, availability of financing for home mortgages and strength of the U.S. dollar; market demand for our products, which is related to the strength of the various U.S. business segments and U.S. and international economic conditions; the availability of desirable and reasonably priced land and our ability to control, purchase, hold and develop such parcels; access to adequate capital on acceptable terms; geographic concentration of our operations, particularly within California; levels of competition; the successful execution of our internal performance plans, including restructuring and cost reduction initiatives; the prices and availability of supply chain inputs, including raw materials and labor; oil and other energy prices; the effects of U.S. trade policies, including the imposition of tariffs and duties on homebuilding products and retaliatory measures taken by other countries; the effects of weather, including the occurrence of drought conditions in California; the risk of loss from earthquakes, volcanoes, fires, floods, droughts, windstorms, hurricanes, pest infestations and other natural disasters, and the risk of delays, reduced consumer demand, and shortages and price increases in labor or materials associated with such natural disasters; the risk of loss from acts of war, terrorism, civil unrest or outbreaks of contagious diseases, such as COVID-19; transportation costs; federal and state tax policies; the effects of land use, environment and other governmental laws and regulations; legal proceedings or disputes and the adequacy of reserves; risks relating to any unforeseen changes to or effects on liabilities, future capital expenditures, revenues, expenses, earnings, synergies, indebtedness, financial condition, losses and future prospects; changes in accounting principles; risks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Page 3</w:t>
      </w:r>
    </w:p>
    <w:p>
      <w:pPr>
        <w:sectPr>
          <w:pgSz w:w="11900" w:h="16838" w:orient="portrait"/>
          <w:cols w:equalWidth="0" w:num="1">
            <w:col w:w="11240"/>
          </w:cols>
          <w:pgMar w:left="320" w:top="1440" w:right="339" w:bottom="1440" w:gutter="0" w:footer="0" w:header="0"/>
        </w:sectPr>
      </w:pPr>
    </w:p>
    <w:bookmarkStart w:id="6" w:name="page7"/>
    <w:bookmarkEnd w:id="6"/>
    <w:p>
      <w:pPr>
        <w:spacing w:after="0" w:line="26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spacing w:after="0" w:line="270" w:lineRule="auto"/>
        <w:rPr>
          <w:sz w:val="20"/>
          <w:szCs w:val="20"/>
          <w:color w:val="auto"/>
        </w:rPr>
      </w:pPr>
      <w:r>
        <w:rPr>
          <w:rFonts w:ascii="Times New Roman" w:cs="Times New Roman" w:eastAsia="Times New Roman" w:hAnsi="Times New Roman"/>
          <w:sz w:val="17"/>
          <w:szCs w:val="17"/>
          <w:i w:val="1"/>
          <w:iCs w:val="1"/>
          <w:color w:val="auto"/>
        </w:rPr>
        <w:t>related to unauthorized access to our computer systems, theft of our homebuyers’ confidential information or other forms of cyber-attack; and additional factors discussed under the sections captioned “Risk Factors” included in our annual and quarterly reports filed with the Securities and Exchange Commission. The foregoing list is not exhaustive. New risk factors may emerge from time to time and it is not possible for management to predict all such risk factors or to assess the impact of such risk factors on our business.</w:t>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Investor Relations Contact: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Drew Mackintosh, Mackintosh Investor Relations</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InvestorRelations@TriPointeHomes.com</w:t>
      </w:r>
      <w:r>
        <w:rPr>
          <w:rFonts w:ascii="Times New Roman" w:cs="Times New Roman" w:eastAsia="Times New Roman" w:hAnsi="Times New Roman"/>
          <w:sz w:val="17"/>
          <w:szCs w:val="17"/>
          <w:color w:val="auto"/>
        </w:rPr>
        <w:t>, 949-478-8696</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Media Contact: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xml:space="preserve">Carol Ruiz, </w:t>
      </w:r>
      <w:r>
        <w:rPr>
          <w:rFonts w:ascii="Times New Roman" w:cs="Times New Roman" w:eastAsia="Times New Roman" w:hAnsi="Times New Roman"/>
          <w:sz w:val="17"/>
          <w:szCs w:val="17"/>
          <w:u w:val="single" w:color="auto"/>
          <w:color w:val="auto"/>
        </w:rPr>
        <w:t>cruiz@newgroundco.com</w:t>
      </w:r>
      <w:r>
        <w:rPr>
          <w:rFonts w:ascii="Times New Roman" w:cs="Times New Roman" w:eastAsia="Times New Roman" w:hAnsi="Times New Roman"/>
          <w:sz w:val="17"/>
          <w:szCs w:val="17"/>
          <w:color w:val="auto"/>
        </w:rPr>
        <w:t>, 310-437-0045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7"/>
          <w:szCs w:val="17"/>
          <w:color w:val="auto"/>
        </w:rPr>
        <w:t>Page 4</w:t>
      </w:r>
    </w:p>
    <w:p>
      <w:pPr>
        <w:sectPr>
          <w:pgSz w:w="11900" w:h="16838" w:orient="portrait"/>
          <w:cols w:equalWidth="0" w:num="1">
            <w:col w:w="11200"/>
          </w:cols>
          <w:pgMar w:left="320" w:top="1440" w:right="379" w:bottom="1440" w:gutter="0" w:footer="0" w:header="0"/>
        </w:sectPr>
      </w:pPr>
    </w:p>
    <w:bookmarkStart w:id="7" w:name="page8"/>
    <w:bookmarkEnd w:id="7"/>
    <w:p>
      <w:pPr>
        <w:spacing w:after="0" w:line="22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7"/>
          <w:szCs w:val="17"/>
          <w:b w:val="1"/>
          <w:bCs w:val="1"/>
          <w:color w:val="auto"/>
        </w:rPr>
        <w:t>KEY OPERATIONS AND FINANCIAL DATA</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(dollars in thousands)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5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360" w:type="dxa"/>
            <w:vAlign w:val="bottom"/>
            <w:tcBorders>
              <w:bottom w:val="single" w:sz="8" w:color="auto"/>
            </w:tcBorders>
            <w:gridSpan w:val="5"/>
          </w:tcPr>
          <w:p>
            <w:pPr>
              <w:ind w:left="120"/>
              <w:spacing w:after="0"/>
              <w:rPr>
                <w:sz w:val="20"/>
                <w:szCs w:val="20"/>
                <w:color w:val="auto"/>
              </w:rPr>
            </w:pPr>
            <w:r>
              <w:rPr>
                <w:rFonts w:ascii="Times New Roman" w:cs="Times New Roman" w:eastAsia="Times New Roman" w:hAnsi="Times New Roman"/>
                <w:sz w:val="13"/>
                <w:szCs w:val="13"/>
                <w:b w:val="1"/>
                <w:bCs w:val="1"/>
                <w:color w:val="auto"/>
              </w:rPr>
              <w:t>Three Months Ended June 30,</w:t>
            </w:r>
          </w:p>
        </w:tc>
        <w:tc>
          <w:tcPr>
            <w:tcW w:w="92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3"/>
          </w:tcPr>
          <w:p>
            <w:pPr>
              <w:jc w:val="right"/>
              <w:ind w:right="271"/>
              <w:spacing w:after="0"/>
              <w:rPr>
                <w:sz w:val="20"/>
                <w:szCs w:val="20"/>
                <w:color w:val="auto"/>
              </w:rPr>
            </w:pPr>
            <w:r>
              <w:rPr>
                <w:rFonts w:ascii="Times New Roman" w:cs="Times New Roman" w:eastAsia="Times New Roman" w:hAnsi="Times New Roman"/>
                <w:sz w:val="13"/>
                <w:szCs w:val="13"/>
                <w:b w:val="1"/>
                <w:bCs w:val="1"/>
                <w:color w:val="auto"/>
              </w:rPr>
              <w:t>Six Months Ended June 30,</w:t>
            </w:r>
          </w:p>
        </w:tc>
        <w:tc>
          <w:tcPr>
            <w:tcW w:w="8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25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91"/>
              <w:spacing w:after="0"/>
              <w:rPr>
                <w:sz w:val="20"/>
                <w:szCs w:val="20"/>
                <w:color w:val="auto"/>
              </w:rPr>
            </w:pPr>
            <w:r>
              <w:rPr>
                <w:rFonts w:ascii="Times New Roman" w:cs="Times New Roman" w:eastAsia="Times New Roman" w:hAnsi="Times New Roman"/>
                <w:sz w:val="13"/>
                <w:szCs w:val="13"/>
                <w:b w:val="1"/>
                <w:bCs w:val="1"/>
                <w:color w:val="auto"/>
                <w:w w:val="99"/>
              </w:rPr>
              <w:t>2022</w:t>
            </w:r>
          </w:p>
        </w:tc>
        <w:tc>
          <w:tcPr>
            <w:tcW w:w="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371"/>
              <w:spacing w:after="0"/>
              <w:rPr>
                <w:sz w:val="20"/>
                <w:szCs w:val="20"/>
                <w:color w:val="auto"/>
              </w:rPr>
            </w:pPr>
            <w:r>
              <w:rPr>
                <w:rFonts w:ascii="Times New Roman" w:cs="Times New Roman" w:eastAsia="Times New Roman" w:hAnsi="Times New Roman"/>
                <w:sz w:val="13"/>
                <w:szCs w:val="13"/>
                <w:b w:val="1"/>
                <w:bCs w:val="1"/>
                <w:color w:val="auto"/>
              </w:rPr>
              <w:t>2021</w:t>
            </w:r>
          </w:p>
        </w:tc>
        <w:tc>
          <w:tcPr>
            <w:tcW w:w="8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2"/>
          </w:tcPr>
          <w:p>
            <w:pPr>
              <w:ind w:left="160"/>
              <w:spacing w:after="0"/>
              <w:rPr>
                <w:sz w:val="20"/>
                <w:szCs w:val="20"/>
                <w:color w:val="auto"/>
              </w:rPr>
            </w:pPr>
            <w:r>
              <w:rPr>
                <w:rFonts w:ascii="Times New Roman" w:cs="Times New Roman" w:eastAsia="Times New Roman" w:hAnsi="Times New Roman"/>
                <w:sz w:val="13"/>
                <w:szCs w:val="13"/>
                <w:b w:val="1"/>
                <w:bCs w:val="1"/>
                <w:color w:val="auto"/>
              </w:rPr>
              <w:t>Change</w:t>
            </w:r>
          </w:p>
        </w:tc>
        <w:tc>
          <w:tcPr>
            <w:tcW w:w="920" w:type="dxa"/>
            <w:vAlign w:val="bottom"/>
            <w:tcBorders>
              <w:bottom w:val="single" w:sz="8" w:color="auto"/>
            </w:tcBorders>
          </w:tcPr>
          <w:p>
            <w:pPr>
              <w:jc w:val="right"/>
              <w:ind w:right="91"/>
              <w:spacing w:after="0"/>
              <w:rPr>
                <w:sz w:val="20"/>
                <w:szCs w:val="20"/>
                <w:color w:val="auto"/>
              </w:rPr>
            </w:pPr>
            <w:r>
              <w:rPr>
                <w:rFonts w:ascii="Times New Roman" w:cs="Times New Roman" w:eastAsia="Times New Roman" w:hAnsi="Times New Roman"/>
                <w:sz w:val="13"/>
                <w:szCs w:val="13"/>
                <w:b w:val="1"/>
                <w:bCs w:val="1"/>
                <w:color w:val="auto"/>
              </w:rPr>
              <w:t>% Change</w:t>
            </w:r>
          </w:p>
        </w:tc>
        <w:tc>
          <w:tcPr>
            <w:tcW w:w="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3"/>
                <w:szCs w:val="13"/>
                <w:b w:val="1"/>
                <w:bCs w:val="1"/>
                <w:color w:val="auto"/>
              </w:rPr>
              <w:t>2022</w:t>
            </w:r>
          </w:p>
        </w:tc>
        <w:tc>
          <w:tcPr>
            <w:tcW w:w="1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3"/>
                <w:szCs w:val="13"/>
                <w:b w:val="1"/>
                <w:bCs w:val="1"/>
                <w:color w:val="auto"/>
              </w:rPr>
              <w:t>2021</w:t>
            </w:r>
          </w:p>
        </w:tc>
        <w:tc>
          <w:tcPr>
            <w:tcW w:w="2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291"/>
              <w:spacing w:after="0"/>
              <w:rPr>
                <w:sz w:val="20"/>
                <w:szCs w:val="20"/>
                <w:color w:val="auto"/>
              </w:rPr>
            </w:pPr>
            <w:r>
              <w:rPr>
                <w:rFonts w:ascii="Times New Roman" w:cs="Times New Roman" w:eastAsia="Times New Roman" w:hAnsi="Times New Roman"/>
                <w:sz w:val="13"/>
                <w:szCs w:val="13"/>
                <w:b w:val="1"/>
                <w:bCs w:val="1"/>
                <w:color w:val="auto"/>
              </w:rPr>
              <w:t>Change</w:t>
            </w:r>
          </w:p>
        </w:tc>
        <w:tc>
          <w:tcPr>
            <w:tcW w:w="880" w:type="dxa"/>
            <w:vAlign w:val="bottom"/>
            <w:tcBorders>
              <w:bottom w:val="single" w:sz="8" w:color="auto"/>
            </w:tcBorders>
          </w:tcPr>
          <w:p>
            <w:pPr>
              <w:jc w:val="right"/>
              <w:ind w:right="91"/>
              <w:spacing w:after="0"/>
              <w:rPr>
                <w:sz w:val="20"/>
                <w:szCs w:val="20"/>
                <w:color w:val="auto"/>
              </w:rPr>
            </w:pPr>
            <w:r>
              <w:rPr>
                <w:rFonts w:ascii="Times New Roman" w:cs="Times New Roman" w:eastAsia="Times New Roman" w:hAnsi="Times New Roman"/>
                <w:sz w:val="13"/>
                <w:szCs w:val="13"/>
                <w:b w:val="1"/>
                <w:bCs w:val="1"/>
                <w:color w:val="auto"/>
              </w:rPr>
              <w:t>% Change</w:t>
            </w:r>
          </w:p>
        </w:tc>
        <w:tc>
          <w:tcPr>
            <w:tcW w:w="0" w:type="dxa"/>
            <w:vAlign w:val="bottom"/>
          </w:tcPr>
          <w:p>
            <w:pPr>
              <w:spacing w:after="0"/>
              <w:rPr>
                <w:sz w:val="1"/>
                <w:szCs w:val="1"/>
                <w:color w:val="auto"/>
              </w:rPr>
            </w:pPr>
          </w:p>
        </w:tc>
      </w:tr>
      <w:tr>
        <w:trPr>
          <w:trHeight w:val="195"/>
        </w:trPr>
        <w:tc>
          <w:tcPr>
            <w:tcW w:w="2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Operating Data:</w:t>
            </w: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(unaudited)</w:t>
            </w:r>
          </w:p>
        </w:tc>
        <w:tc>
          <w:tcPr>
            <w:tcW w:w="1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Home sales revenue</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1,004,644</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1,009,307</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(4,663)</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0 %</w:t>
            </w:r>
          </w:p>
        </w:tc>
        <w:tc>
          <w:tcPr>
            <w:tcW w:w="1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1,729,895</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1,725,982</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231"/>
              <w:spacing w:after="0"/>
              <w:rPr>
                <w:sz w:val="20"/>
                <w:szCs w:val="20"/>
                <w:color w:val="auto"/>
              </w:rPr>
            </w:pPr>
            <w:r>
              <w:rPr>
                <w:rFonts w:ascii="Times New Roman" w:cs="Times New Roman" w:eastAsia="Times New Roman" w:hAnsi="Times New Roman"/>
                <w:sz w:val="14"/>
                <w:szCs w:val="14"/>
                <w:color w:val="auto"/>
              </w:rPr>
              <w:t>3,913</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0 %</w:t>
            </w: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Homebuilding gross margin</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273,292</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248,092</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25,200</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10 %</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467,883</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419,411</w:t>
            </w: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4"/>
                <w:szCs w:val="14"/>
                <w:color w:val="auto"/>
              </w:rPr>
              <w:t>48,472</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12 %</w:t>
            </w: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Homebuilding gross margin %</w:t>
            </w: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27.2 %</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24.6 %</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2.6 %</w:t>
            </w: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27.0 %</w:t>
            </w:r>
          </w:p>
        </w:tc>
        <w:tc>
          <w:tcPr>
            <w:tcW w:w="18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24.3 %</w:t>
            </w:r>
          </w:p>
        </w:tc>
        <w:tc>
          <w:tcPr>
            <w:tcW w:w="220" w:type="dxa"/>
            <w:vAlign w:val="bottom"/>
          </w:tcPr>
          <w:p>
            <w:pPr>
              <w:spacing w:after="0"/>
              <w:rPr>
                <w:sz w:val="16"/>
                <w:szCs w:val="16"/>
                <w:color w:val="auto"/>
              </w:rPr>
            </w:pPr>
          </w:p>
        </w:tc>
        <w:tc>
          <w:tcPr>
            <w:tcW w:w="8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2.7 %</w:t>
            </w: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2520" w:type="dxa"/>
            <w:vAlign w:val="bottom"/>
            <w:shd w:val="clear" w:color="auto" w:fill="CCEEFF"/>
          </w:tcPr>
          <w:p>
            <w:pPr>
              <w:ind w:left="260"/>
              <w:spacing w:after="0" w:line="138" w:lineRule="exact"/>
              <w:rPr>
                <w:sz w:val="20"/>
                <w:szCs w:val="20"/>
                <w:color w:val="auto"/>
              </w:rPr>
            </w:pPr>
            <w:r>
              <w:rPr>
                <w:rFonts w:ascii="Times New Roman" w:cs="Times New Roman" w:eastAsia="Times New Roman" w:hAnsi="Times New Roman"/>
                <w:sz w:val="14"/>
                <w:szCs w:val="14"/>
                <w:color w:val="auto"/>
              </w:rPr>
              <w:t>Adjusted homebuilding gross margin</w:t>
            </w:r>
          </w:p>
        </w:tc>
        <w:tc>
          <w:tcPr>
            <w:tcW w:w="16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29.8 %</w:t>
            </w: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27.7 %</w:t>
            </w: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2.1 %</w:t>
            </w: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29.6 %</w:t>
            </w:r>
          </w:p>
        </w:tc>
        <w:tc>
          <w:tcPr>
            <w:tcW w:w="18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27.3 %</w:t>
            </w:r>
          </w:p>
        </w:tc>
        <w:tc>
          <w:tcPr>
            <w:tcW w:w="220" w:type="dxa"/>
            <w:vAlign w:val="bottom"/>
            <w:shd w:val="clear" w:color="auto" w:fill="CCEEFF"/>
          </w:tcPr>
          <w:p>
            <w:pPr>
              <w:spacing w:after="0"/>
              <w:rPr>
                <w:sz w:val="11"/>
                <w:szCs w:val="11"/>
                <w:color w:val="auto"/>
              </w:rPr>
            </w:pPr>
          </w:p>
        </w:tc>
        <w:tc>
          <w:tcPr>
            <w:tcW w:w="860" w:type="dxa"/>
            <w:vAlign w:val="bottom"/>
            <w:vMerge w:val="restart"/>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2.3 %</w:t>
            </w:r>
          </w:p>
        </w:tc>
        <w:tc>
          <w:tcPr>
            <w:tcW w:w="8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vMerge w:val="continue"/>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SG&amp;A expense</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95,352</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96,752</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(1,400)</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176,047</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178,561</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191"/>
              <w:spacing w:after="0"/>
              <w:rPr>
                <w:sz w:val="20"/>
                <w:szCs w:val="20"/>
                <w:color w:val="auto"/>
              </w:rPr>
            </w:pPr>
            <w:r>
              <w:rPr>
                <w:rFonts w:ascii="Times New Roman" w:cs="Times New Roman" w:eastAsia="Times New Roman" w:hAnsi="Times New Roman"/>
                <w:sz w:val="14"/>
                <w:szCs w:val="14"/>
                <w:color w:val="auto"/>
              </w:rPr>
              <w:t>(2,514)</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0" w:type="dxa"/>
            <w:vAlign w:val="bottom"/>
          </w:tcPr>
          <w:p>
            <w:pPr>
              <w:spacing w:after="0"/>
              <w:rPr>
                <w:sz w:val="1"/>
                <w:szCs w:val="1"/>
                <w:color w:val="auto"/>
              </w:rPr>
            </w:pPr>
          </w:p>
        </w:tc>
      </w:tr>
      <w:tr>
        <w:trPr>
          <w:trHeight w:val="138"/>
        </w:trPr>
        <w:tc>
          <w:tcPr>
            <w:tcW w:w="2520" w:type="dxa"/>
            <w:vAlign w:val="bottom"/>
            <w:shd w:val="clear" w:color="auto" w:fill="CCEEFF"/>
          </w:tcPr>
          <w:p>
            <w:pPr>
              <w:ind w:left="260"/>
              <w:spacing w:after="0" w:line="138" w:lineRule="exact"/>
              <w:rPr>
                <w:sz w:val="20"/>
                <w:szCs w:val="20"/>
                <w:color w:val="auto"/>
              </w:rPr>
            </w:pPr>
            <w:r>
              <w:rPr>
                <w:rFonts w:ascii="Times New Roman" w:cs="Times New Roman" w:eastAsia="Times New Roman" w:hAnsi="Times New Roman"/>
                <w:sz w:val="14"/>
                <w:szCs w:val="14"/>
                <w:color w:val="auto"/>
              </w:rPr>
              <w:t>SG&amp;A expense as a % of home sales</w:t>
            </w:r>
          </w:p>
        </w:tc>
        <w:tc>
          <w:tcPr>
            <w:tcW w:w="16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9.5 %</w:t>
            </w: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9.6 %</w:t>
            </w: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w:t>
            </w:r>
          </w:p>
        </w:tc>
        <w:tc>
          <w:tcPr>
            <w:tcW w:w="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10.2 %</w:t>
            </w:r>
          </w:p>
        </w:tc>
        <w:tc>
          <w:tcPr>
            <w:tcW w:w="180" w:type="dxa"/>
            <w:vAlign w:val="bottom"/>
            <w:shd w:val="clear" w:color="auto" w:fill="CCEEFF"/>
          </w:tcPr>
          <w:p>
            <w:pPr>
              <w:spacing w:after="0"/>
              <w:rPr>
                <w:sz w:val="11"/>
                <w:szCs w:val="11"/>
                <w:color w:val="auto"/>
              </w:rPr>
            </w:pPr>
          </w:p>
        </w:tc>
        <w:tc>
          <w:tcPr>
            <w:tcW w:w="8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10.3 %</w:t>
            </w:r>
          </w:p>
        </w:tc>
        <w:tc>
          <w:tcPr>
            <w:tcW w:w="220" w:type="dxa"/>
            <w:vAlign w:val="bottom"/>
            <w:shd w:val="clear" w:color="auto" w:fill="CCEEFF"/>
          </w:tcPr>
          <w:p>
            <w:pPr>
              <w:spacing w:after="0"/>
              <w:rPr>
                <w:sz w:val="11"/>
                <w:szCs w:val="11"/>
                <w:color w:val="auto"/>
              </w:rPr>
            </w:pPr>
          </w:p>
        </w:tc>
        <w:tc>
          <w:tcPr>
            <w:tcW w:w="860" w:type="dxa"/>
            <w:vAlign w:val="bottom"/>
            <w:vMerge w:val="restart"/>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(0.1)%</w:t>
            </w:r>
          </w:p>
        </w:tc>
        <w:tc>
          <w:tcPr>
            <w:tcW w:w="8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5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revenue</w:t>
            </w:r>
          </w:p>
        </w:tc>
        <w:tc>
          <w:tcPr>
            <w:tcW w:w="16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vMerge w:val="continue"/>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1"/>
        </w:trPr>
        <w:tc>
          <w:tcPr>
            <w:tcW w:w="2520" w:type="dxa"/>
            <w:vAlign w:val="bottom"/>
          </w:tcPr>
          <w:p>
            <w:pPr>
              <w:ind w:left="260"/>
              <w:spacing w:after="0" w:line="131" w:lineRule="exact"/>
              <w:rPr>
                <w:sz w:val="20"/>
                <w:szCs w:val="20"/>
                <w:color w:val="auto"/>
              </w:rPr>
            </w:pPr>
            <w:r>
              <w:rPr>
                <w:rFonts w:ascii="Times New Roman" w:cs="Times New Roman" w:eastAsia="Times New Roman" w:hAnsi="Times New Roman"/>
                <w:sz w:val="14"/>
                <w:szCs w:val="14"/>
                <w:color w:val="auto"/>
              </w:rPr>
              <w:t>Net income available to common</w:t>
            </w:r>
          </w:p>
        </w:tc>
        <w:tc>
          <w:tcPr>
            <w:tcW w:w="160" w:type="dxa"/>
            <w:vAlign w:val="bottom"/>
            <w:vMerge w:val="restart"/>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vMerge w:val="restart"/>
          </w:tcPr>
          <w:p>
            <w:pPr>
              <w:jc w:val="right"/>
              <w:ind w:right="111"/>
              <w:spacing w:after="0"/>
              <w:rPr>
                <w:sz w:val="20"/>
                <w:szCs w:val="20"/>
                <w:color w:val="auto"/>
              </w:rPr>
            </w:pPr>
            <w:r>
              <w:rPr>
                <w:rFonts w:ascii="Times New Roman" w:cs="Times New Roman" w:eastAsia="Times New Roman" w:hAnsi="Times New Roman"/>
                <w:sz w:val="14"/>
                <w:szCs w:val="14"/>
                <w:color w:val="auto"/>
              </w:rPr>
              <w:t>136,383</w:t>
            </w:r>
          </w:p>
        </w:tc>
        <w:tc>
          <w:tcPr>
            <w:tcW w:w="6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vMerge w:val="restart"/>
          </w:tcPr>
          <w:p>
            <w:pPr>
              <w:jc w:val="right"/>
              <w:ind w:right="111"/>
              <w:spacing w:after="0"/>
              <w:rPr>
                <w:sz w:val="20"/>
                <w:szCs w:val="20"/>
                <w:color w:val="auto"/>
              </w:rPr>
            </w:pPr>
            <w:r>
              <w:rPr>
                <w:rFonts w:ascii="Times New Roman" w:cs="Times New Roman" w:eastAsia="Times New Roman" w:hAnsi="Times New Roman"/>
                <w:sz w:val="14"/>
                <w:szCs w:val="14"/>
                <w:color w:val="auto"/>
              </w:rPr>
              <w:t>117,869</w:t>
            </w:r>
          </w:p>
        </w:tc>
        <w:tc>
          <w:tcPr>
            <w:tcW w:w="80" w:type="dxa"/>
            <w:vAlign w:val="bottom"/>
          </w:tcPr>
          <w:p>
            <w:pPr>
              <w:spacing w:after="0"/>
              <w:rPr>
                <w:sz w:val="11"/>
                <w:szCs w:val="11"/>
                <w:color w:val="auto"/>
              </w:rPr>
            </w:pPr>
          </w:p>
        </w:tc>
        <w:tc>
          <w:tcPr>
            <w:tcW w:w="240" w:type="dxa"/>
            <w:vAlign w:val="bottom"/>
            <w:vMerge w:val="restart"/>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tcPr>
          <w:p>
            <w:pPr>
              <w:jc w:val="right"/>
              <w:ind w:right="111"/>
              <w:spacing w:after="0"/>
              <w:rPr>
                <w:sz w:val="20"/>
                <w:szCs w:val="20"/>
                <w:color w:val="auto"/>
              </w:rPr>
            </w:pPr>
            <w:r>
              <w:rPr>
                <w:rFonts w:ascii="Times New Roman" w:cs="Times New Roman" w:eastAsia="Times New Roman" w:hAnsi="Times New Roman"/>
                <w:sz w:val="14"/>
                <w:szCs w:val="14"/>
                <w:color w:val="auto"/>
              </w:rPr>
              <w:t>18,514</w:t>
            </w:r>
          </w:p>
        </w:tc>
        <w:tc>
          <w:tcPr>
            <w:tcW w:w="8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16 %</w:t>
            </w:r>
          </w:p>
        </w:tc>
        <w:tc>
          <w:tcPr>
            <w:tcW w:w="14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vMerge w:val="restart"/>
          </w:tcPr>
          <w:p>
            <w:pPr>
              <w:jc w:val="right"/>
              <w:ind w:right="151"/>
              <w:spacing w:after="0"/>
              <w:rPr>
                <w:sz w:val="20"/>
                <w:szCs w:val="20"/>
                <w:color w:val="auto"/>
              </w:rPr>
            </w:pPr>
            <w:r>
              <w:rPr>
                <w:rFonts w:ascii="Times New Roman" w:cs="Times New Roman" w:eastAsia="Times New Roman" w:hAnsi="Times New Roman"/>
                <w:sz w:val="14"/>
                <w:szCs w:val="14"/>
                <w:color w:val="auto"/>
              </w:rPr>
              <w:t>223,861</w:t>
            </w:r>
          </w:p>
        </w:tc>
        <w:tc>
          <w:tcPr>
            <w:tcW w:w="1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vMerge w:val="restart"/>
          </w:tcPr>
          <w:p>
            <w:pPr>
              <w:jc w:val="right"/>
              <w:ind w:right="151"/>
              <w:spacing w:after="0"/>
              <w:rPr>
                <w:sz w:val="20"/>
                <w:szCs w:val="20"/>
                <w:color w:val="auto"/>
              </w:rPr>
            </w:pPr>
            <w:r>
              <w:rPr>
                <w:rFonts w:ascii="Times New Roman" w:cs="Times New Roman" w:eastAsia="Times New Roman" w:hAnsi="Times New Roman"/>
                <w:sz w:val="14"/>
                <w:szCs w:val="14"/>
                <w:color w:val="auto"/>
              </w:rPr>
              <w:t>188,671</w:t>
            </w:r>
          </w:p>
        </w:tc>
        <w:tc>
          <w:tcPr>
            <w:tcW w:w="220" w:type="dxa"/>
            <w:vAlign w:val="bottom"/>
            <w:vMerge w:val="restart"/>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vMerge w:val="restart"/>
          </w:tcPr>
          <w:p>
            <w:pPr>
              <w:jc w:val="right"/>
              <w:ind w:right="231"/>
              <w:spacing w:after="0"/>
              <w:rPr>
                <w:sz w:val="20"/>
                <w:szCs w:val="20"/>
                <w:color w:val="auto"/>
              </w:rPr>
            </w:pPr>
            <w:r>
              <w:rPr>
                <w:rFonts w:ascii="Times New Roman" w:cs="Times New Roman" w:eastAsia="Times New Roman" w:hAnsi="Times New Roman"/>
                <w:sz w:val="14"/>
                <w:szCs w:val="14"/>
                <w:color w:val="auto"/>
              </w:rPr>
              <w:t>35,190</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19 %</w:t>
            </w: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stockholders</w:t>
            </w:r>
          </w:p>
        </w:tc>
        <w:tc>
          <w:tcPr>
            <w:tcW w:w="16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vMerge w:val="continue"/>
          </w:tcPr>
          <w:p>
            <w:pPr>
              <w:spacing w:after="0"/>
              <w:rPr>
                <w:sz w:val="16"/>
                <w:szCs w:val="16"/>
                <w:color w:val="auto"/>
              </w:rPr>
            </w:pPr>
          </w:p>
        </w:tc>
        <w:tc>
          <w:tcPr>
            <w:tcW w:w="9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840" w:type="dxa"/>
            <w:vAlign w:val="bottom"/>
            <w:vMerge w:val="continue"/>
          </w:tcPr>
          <w:p>
            <w:pPr>
              <w:spacing w:after="0"/>
              <w:rPr>
                <w:sz w:val="16"/>
                <w:szCs w:val="16"/>
                <w:color w:val="auto"/>
              </w:rPr>
            </w:pPr>
          </w:p>
        </w:tc>
        <w:tc>
          <w:tcPr>
            <w:tcW w:w="180" w:type="dxa"/>
            <w:vAlign w:val="bottom"/>
            <w:vMerge w:val="continue"/>
          </w:tcPr>
          <w:p>
            <w:pPr>
              <w:spacing w:after="0"/>
              <w:rPr>
                <w:sz w:val="16"/>
                <w:szCs w:val="16"/>
                <w:color w:val="auto"/>
              </w:rPr>
            </w:pPr>
          </w:p>
        </w:tc>
        <w:tc>
          <w:tcPr>
            <w:tcW w:w="840" w:type="dxa"/>
            <w:vAlign w:val="bottom"/>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860" w:type="dxa"/>
            <w:vAlign w:val="bottom"/>
            <w:vMerge w:val="continue"/>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Adjusted EBITDA*</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220,905</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201,986</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18,919</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9 %</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366,996</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328,066</w:t>
            </w: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4"/>
                <w:szCs w:val="14"/>
                <w:color w:val="auto"/>
              </w:rPr>
              <w:t>38,930</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12 %</w:t>
            </w: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Interest incurred</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28,789</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22,558</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6,231</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28 %</w:t>
            </w:r>
          </w:p>
        </w:tc>
        <w:tc>
          <w:tcPr>
            <w:tcW w:w="1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57,342</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43,737</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231"/>
              <w:spacing w:after="0"/>
              <w:rPr>
                <w:sz w:val="20"/>
                <w:szCs w:val="20"/>
                <w:color w:val="auto"/>
              </w:rPr>
            </w:pPr>
            <w:r>
              <w:rPr>
                <w:rFonts w:ascii="Times New Roman" w:cs="Times New Roman" w:eastAsia="Times New Roman" w:hAnsi="Times New Roman"/>
                <w:sz w:val="14"/>
                <w:szCs w:val="14"/>
                <w:color w:val="auto"/>
              </w:rPr>
              <w:t>13,605</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31 %</w:t>
            </w: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Interest in cost of home sales</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24,963</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30,851</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(5,888)</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42,028</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51,529</w:t>
            </w: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4"/>
                <w:szCs w:val="14"/>
                <w:color w:val="auto"/>
              </w:rPr>
              <w:t>(9,501)</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r>
        <w:trPr>
          <w:trHeight w:val="91"/>
        </w:trPr>
        <w:tc>
          <w:tcPr>
            <w:tcW w:w="2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60" w:type="dxa"/>
            <w:vAlign w:val="bottom"/>
          </w:tcPr>
          <w:p>
            <w:pPr>
              <w:spacing w:after="0"/>
              <w:rPr>
                <w:sz w:val="7"/>
                <w:szCs w:val="7"/>
                <w:color w:val="auto"/>
              </w:rPr>
            </w:pPr>
          </w:p>
        </w:tc>
        <w:tc>
          <w:tcPr>
            <w:tcW w:w="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2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Data:</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Net new home orders</w:t>
            </w:r>
          </w:p>
        </w:tc>
        <w:tc>
          <w:tcPr>
            <w:tcW w:w="160" w:type="dxa"/>
            <w:vAlign w:val="bottom"/>
          </w:tcPr>
          <w:p>
            <w:pPr>
              <w:spacing w:after="0"/>
              <w:rPr>
                <w:sz w:val="16"/>
                <w:szCs w:val="16"/>
                <w:color w:val="auto"/>
              </w:rPr>
            </w:pP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1,356</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1,622</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(266)</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3,252</w:t>
            </w:r>
          </w:p>
        </w:tc>
        <w:tc>
          <w:tcPr>
            <w:tcW w:w="180" w:type="dxa"/>
            <w:vAlign w:val="bottom"/>
          </w:tcPr>
          <w:p>
            <w:pPr>
              <w:spacing w:after="0"/>
              <w:rPr>
                <w:sz w:val="16"/>
                <w:szCs w:val="16"/>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3,609</w:t>
            </w:r>
          </w:p>
        </w:tc>
        <w:tc>
          <w:tcPr>
            <w:tcW w:w="220" w:type="dxa"/>
            <w:vAlign w:val="bottom"/>
          </w:tcPr>
          <w:p>
            <w:pPr>
              <w:spacing w:after="0"/>
              <w:rPr>
                <w:sz w:val="16"/>
                <w:szCs w:val="16"/>
                <w:color w:val="auto"/>
              </w:rPr>
            </w:pPr>
          </w:p>
        </w:tc>
        <w:tc>
          <w:tcPr>
            <w:tcW w:w="860" w:type="dxa"/>
            <w:vAlign w:val="bottom"/>
          </w:tcPr>
          <w:p>
            <w:pPr>
              <w:jc w:val="right"/>
              <w:ind w:right="191"/>
              <w:spacing w:after="0"/>
              <w:rPr>
                <w:sz w:val="20"/>
                <w:szCs w:val="20"/>
                <w:color w:val="auto"/>
              </w:rPr>
            </w:pPr>
            <w:r>
              <w:rPr>
                <w:rFonts w:ascii="Times New Roman" w:cs="Times New Roman" w:eastAsia="Times New Roman" w:hAnsi="Times New Roman"/>
                <w:sz w:val="14"/>
                <w:szCs w:val="14"/>
                <w:color w:val="auto"/>
              </w:rPr>
              <w:t>(357)</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New homes delivered</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1,485</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1,545</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(60)</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2,584</w:t>
            </w: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4"/>
                <w:szCs w:val="14"/>
                <w:color w:val="auto"/>
              </w:rPr>
              <w:t>2,671</w:t>
            </w: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4"/>
                <w:szCs w:val="14"/>
                <w:color w:val="auto"/>
              </w:rPr>
              <w:t>(87)</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Average sales price of homes delivered</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677</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653</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24</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4 %</w:t>
            </w:r>
          </w:p>
        </w:tc>
        <w:tc>
          <w:tcPr>
            <w:tcW w:w="1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669</w:t>
            </w:r>
          </w:p>
        </w:tc>
        <w:tc>
          <w:tcPr>
            <w:tcW w:w="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646</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ind w:right="231"/>
              <w:spacing w:after="0"/>
              <w:rPr>
                <w:sz w:val="20"/>
                <w:szCs w:val="20"/>
                <w:color w:val="auto"/>
              </w:rPr>
            </w:pPr>
            <w:r>
              <w:rPr>
                <w:rFonts w:ascii="Times New Roman" w:cs="Times New Roman" w:eastAsia="Times New Roman" w:hAnsi="Times New Roman"/>
                <w:sz w:val="14"/>
                <w:szCs w:val="14"/>
                <w:color w:val="auto"/>
              </w:rPr>
              <w:t>23</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4 %</w:t>
            </w: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Cancellation rate</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16 %</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7 %</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9 %</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11 %</w:t>
            </w: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7 %</w:t>
            </w: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4 %</w:t>
            </w: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Average selling communities</w:t>
            </w:r>
          </w:p>
        </w:tc>
        <w:tc>
          <w:tcPr>
            <w:tcW w:w="160" w:type="dxa"/>
            <w:vAlign w:val="bottom"/>
          </w:tcPr>
          <w:p>
            <w:pPr>
              <w:spacing w:after="0"/>
              <w:rPr>
                <w:sz w:val="16"/>
                <w:szCs w:val="16"/>
                <w:color w:val="auto"/>
              </w:rPr>
            </w:pP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121.8</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114.5</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7.3</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6 %</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116.7</w:t>
            </w:r>
          </w:p>
        </w:tc>
        <w:tc>
          <w:tcPr>
            <w:tcW w:w="180" w:type="dxa"/>
            <w:vAlign w:val="bottom"/>
          </w:tcPr>
          <w:p>
            <w:pPr>
              <w:spacing w:after="0"/>
              <w:rPr>
                <w:sz w:val="16"/>
                <w:szCs w:val="16"/>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4"/>
                <w:szCs w:val="14"/>
                <w:color w:val="auto"/>
              </w:rPr>
              <w:t>113.4</w:t>
            </w:r>
          </w:p>
        </w:tc>
        <w:tc>
          <w:tcPr>
            <w:tcW w:w="220" w:type="dxa"/>
            <w:vAlign w:val="bottom"/>
          </w:tcPr>
          <w:p>
            <w:pPr>
              <w:spacing w:after="0"/>
              <w:rPr>
                <w:sz w:val="16"/>
                <w:szCs w:val="16"/>
                <w:color w:val="auto"/>
              </w:rPr>
            </w:pPr>
          </w:p>
        </w:tc>
        <w:tc>
          <w:tcPr>
            <w:tcW w:w="860" w:type="dxa"/>
            <w:vAlign w:val="bottom"/>
          </w:tcPr>
          <w:p>
            <w:pPr>
              <w:jc w:val="right"/>
              <w:ind w:right="231"/>
              <w:spacing w:after="0"/>
              <w:rPr>
                <w:sz w:val="20"/>
                <w:szCs w:val="20"/>
                <w:color w:val="auto"/>
              </w:rPr>
            </w:pPr>
            <w:r>
              <w:rPr>
                <w:rFonts w:ascii="Times New Roman" w:cs="Times New Roman" w:eastAsia="Times New Roman" w:hAnsi="Times New Roman"/>
                <w:sz w:val="14"/>
                <w:szCs w:val="14"/>
                <w:color w:val="auto"/>
              </w:rPr>
              <w:t>3.3</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Selling communities at end of period</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123</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109</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14</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13 %</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Backlog (estimated dollar value)</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2,981,255</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2,524,442</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456,813</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18 %</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Backlog (homes)</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3,826</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3,902</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4"/>
                <w:szCs w:val="14"/>
                <w:color w:val="auto"/>
              </w:rPr>
              <w:t>(76)</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Average sales price in backlog</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779</w:t>
            </w:r>
          </w:p>
        </w:tc>
        <w:tc>
          <w:tcPr>
            <w:tcW w:w="6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647</w:t>
            </w:r>
          </w:p>
        </w:tc>
        <w:tc>
          <w:tcPr>
            <w:tcW w:w="80" w:type="dxa"/>
            <w:vAlign w:val="bottom"/>
          </w:tcPr>
          <w:p>
            <w:pPr>
              <w:spacing w:after="0"/>
              <w:rPr>
                <w:sz w:val="15"/>
                <w:szCs w:val="15"/>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132</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20 %</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4"/>
        </w:trPr>
        <w:tc>
          <w:tcPr>
            <w:tcW w:w="25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June 30,</w:t>
            </w:r>
          </w:p>
        </w:tc>
        <w:tc>
          <w:tcPr>
            <w:tcW w:w="140" w:type="dxa"/>
            <w:vAlign w:val="bottom"/>
          </w:tcPr>
          <w:p>
            <w:pPr>
              <w:spacing w:after="0"/>
              <w:rPr>
                <w:sz w:val="23"/>
                <w:szCs w:val="23"/>
                <w:color w:val="auto"/>
              </w:rPr>
            </w:pPr>
          </w:p>
        </w:tc>
        <w:tc>
          <w:tcPr>
            <w:tcW w:w="1080" w:type="dxa"/>
            <w:vAlign w:val="bottom"/>
            <w:gridSpan w:val="2"/>
          </w:tcPr>
          <w:p>
            <w:pPr>
              <w:ind w:left="60"/>
              <w:spacing w:after="0"/>
              <w:rPr>
                <w:sz w:val="20"/>
                <w:szCs w:val="20"/>
                <w:color w:val="auto"/>
              </w:rPr>
            </w:pPr>
            <w:r>
              <w:rPr>
                <w:rFonts w:ascii="Times New Roman" w:cs="Times New Roman" w:eastAsia="Times New Roman" w:hAnsi="Times New Roman"/>
                <w:sz w:val="13"/>
                <w:szCs w:val="13"/>
                <w:b w:val="1"/>
                <w:bCs w:val="1"/>
                <w:color w:val="auto"/>
              </w:rPr>
              <w:t>December 31,</w:t>
            </w:r>
          </w:p>
        </w:tc>
        <w:tc>
          <w:tcPr>
            <w:tcW w:w="24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0"/>
        </w:trPr>
        <w:tc>
          <w:tcPr>
            <w:tcW w:w="2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Pr>
          <w:p>
            <w:pPr>
              <w:jc w:val="center"/>
              <w:ind w:right="91"/>
              <w:spacing w:after="0"/>
              <w:rPr>
                <w:sz w:val="20"/>
                <w:szCs w:val="20"/>
                <w:color w:val="auto"/>
              </w:rPr>
            </w:pPr>
            <w:r>
              <w:rPr>
                <w:rFonts w:ascii="Times New Roman" w:cs="Times New Roman" w:eastAsia="Times New Roman" w:hAnsi="Times New Roman"/>
                <w:sz w:val="13"/>
                <w:szCs w:val="13"/>
                <w:b w:val="1"/>
                <w:bCs w:val="1"/>
                <w:color w:val="auto"/>
                <w:w w:val="99"/>
              </w:rPr>
              <w:t>2022</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371"/>
              <w:spacing w:after="0"/>
              <w:rPr>
                <w:sz w:val="20"/>
                <w:szCs w:val="20"/>
                <w:color w:val="auto"/>
              </w:rPr>
            </w:pPr>
            <w:r>
              <w:rPr>
                <w:rFonts w:ascii="Times New Roman" w:cs="Times New Roman" w:eastAsia="Times New Roman" w:hAnsi="Times New Roman"/>
                <w:sz w:val="13"/>
                <w:szCs w:val="13"/>
                <w:b w:val="1"/>
                <w:bCs w:val="1"/>
                <w:color w:val="auto"/>
              </w:rPr>
              <w:t>2021</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40" w:type="dxa"/>
            <w:vAlign w:val="bottom"/>
            <w:gridSpan w:val="2"/>
          </w:tcPr>
          <w:p>
            <w:pPr>
              <w:ind w:left="160"/>
              <w:spacing w:after="0"/>
              <w:rPr>
                <w:sz w:val="20"/>
                <w:szCs w:val="20"/>
                <w:color w:val="auto"/>
              </w:rPr>
            </w:pPr>
            <w:r>
              <w:rPr>
                <w:rFonts w:ascii="Times New Roman" w:cs="Times New Roman" w:eastAsia="Times New Roman" w:hAnsi="Times New Roman"/>
                <w:sz w:val="13"/>
                <w:szCs w:val="13"/>
                <w:b w:val="1"/>
                <w:bCs w:val="1"/>
                <w:color w:val="auto"/>
              </w:rPr>
              <w:t>Change</w:t>
            </w:r>
          </w:p>
        </w:tc>
        <w:tc>
          <w:tcPr>
            <w:tcW w:w="1060" w:type="dxa"/>
            <w:vAlign w:val="bottom"/>
            <w:gridSpan w:val="2"/>
          </w:tcPr>
          <w:p>
            <w:pPr>
              <w:jc w:val="right"/>
              <w:ind w:right="300"/>
              <w:spacing w:after="0"/>
              <w:rPr>
                <w:sz w:val="20"/>
                <w:szCs w:val="20"/>
                <w:color w:val="auto"/>
              </w:rPr>
            </w:pPr>
            <w:r>
              <w:rPr>
                <w:rFonts w:ascii="Times New Roman" w:cs="Times New Roman" w:eastAsia="Times New Roman" w:hAnsi="Times New Roman"/>
                <w:sz w:val="13"/>
                <w:szCs w:val="13"/>
                <w:b w:val="1"/>
                <w:bCs w:val="1"/>
                <w:color w:val="auto"/>
              </w:rPr>
              <w:t>% Change</w:t>
            </w: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5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Balance Sheet Data:</w:t>
            </w:r>
          </w:p>
        </w:tc>
        <w:tc>
          <w:tcPr>
            <w:tcW w:w="1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center"/>
              <w:ind w:right="111"/>
              <w:spacing w:after="0"/>
              <w:rPr>
                <w:sz w:val="20"/>
                <w:szCs w:val="20"/>
                <w:color w:val="auto"/>
              </w:rPr>
            </w:pPr>
            <w:r>
              <w:rPr>
                <w:rFonts w:ascii="Times New Roman" w:cs="Times New Roman" w:eastAsia="Times New Roman" w:hAnsi="Times New Roman"/>
                <w:sz w:val="14"/>
                <w:szCs w:val="14"/>
                <w:color w:val="auto"/>
                <w:w w:val="99"/>
              </w:rPr>
              <w:t>(unaudited)</w:t>
            </w:r>
          </w:p>
        </w:tc>
        <w:tc>
          <w:tcPr>
            <w:tcW w:w="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Cash and cash equivalents</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270,124</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681,528</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(411,404)</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Real estate inventories</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3,490,321</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3,054,743</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435,578</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14 %</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Lots owned or controlled</w:t>
            </w:r>
          </w:p>
        </w:tc>
        <w:tc>
          <w:tcPr>
            <w:tcW w:w="160" w:type="dxa"/>
            <w:vAlign w:val="bottom"/>
          </w:tcPr>
          <w:p>
            <w:pPr>
              <w:spacing w:after="0"/>
              <w:rPr>
                <w:sz w:val="16"/>
                <w:szCs w:val="16"/>
                <w:color w:val="auto"/>
              </w:rPr>
            </w:pP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39,082</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41,675</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ind w:right="71"/>
              <w:spacing w:after="0"/>
              <w:rPr>
                <w:sz w:val="20"/>
                <w:szCs w:val="20"/>
                <w:color w:val="auto"/>
              </w:rPr>
            </w:pPr>
            <w:r>
              <w:rPr>
                <w:rFonts w:ascii="Times New Roman" w:cs="Times New Roman" w:eastAsia="Times New Roman" w:hAnsi="Times New Roman"/>
                <w:sz w:val="14"/>
                <w:szCs w:val="14"/>
                <w:color w:val="auto"/>
              </w:rPr>
              <w:t>(2,593)</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line="203" w:lineRule="exact"/>
              <w:rPr>
                <w:sz w:val="20"/>
                <w:szCs w:val="20"/>
                <w:color w:val="auto"/>
              </w:rPr>
            </w:pPr>
            <w:r>
              <w:rPr>
                <w:rFonts w:ascii="Times New Roman" w:cs="Times New Roman" w:eastAsia="Times New Roman" w:hAnsi="Times New Roman"/>
                <w:sz w:val="14"/>
                <w:szCs w:val="14"/>
                <w:color w:val="auto"/>
              </w:rPr>
              <w:t xml:space="preserve">Homes under construction </w:t>
            </w:r>
            <w:r>
              <w:rPr>
                <w:rFonts w:ascii="Times New Roman" w:cs="Times New Roman" w:eastAsia="Times New Roman" w:hAnsi="Times New Roman"/>
                <w:sz w:val="18"/>
                <w:szCs w:val="18"/>
                <w:color w:val="auto"/>
                <w:vertAlign w:val="superscript"/>
              </w:rPr>
              <w:t>(1)</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4,707</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3,632</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1,075</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30 %</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Homes completed, unsold</w:t>
            </w:r>
          </w:p>
        </w:tc>
        <w:tc>
          <w:tcPr>
            <w:tcW w:w="160" w:type="dxa"/>
            <w:vAlign w:val="bottom"/>
          </w:tcPr>
          <w:p>
            <w:pPr>
              <w:spacing w:after="0"/>
              <w:rPr>
                <w:sz w:val="16"/>
                <w:szCs w:val="16"/>
                <w:color w:val="auto"/>
              </w:rPr>
            </w:pP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42</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27</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15</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56 %</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Debt</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1,338,895</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1,337,723</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1,172</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0 %</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Stockholders’ equity</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2,487,566</w:t>
            </w:r>
          </w:p>
        </w:tc>
        <w:tc>
          <w:tcPr>
            <w:tcW w:w="6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2,447,621</w:t>
            </w:r>
          </w:p>
        </w:tc>
        <w:tc>
          <w:tcPr>
            <w:tcW w:w="80" w:type="dxa"/>
            <w:vAlign w:val="bottom"/>
          </w:tcPr>
          <w:p>
            <w:pPr>
              <w:spacing w:after="0"/>
              <w:rPr>
                <w:sz w:val="16"/>
                <w:szCs w:val="16"/>
                <w:color w:val="auto"/>
              </w:rPr>
            </w:pPr>
          </w:p>
        </w:tc>
        <w:tc>
          <w:tcPr>
            <w:tcW w:w="240" w:type="dxa"/>
            <w:vAlign w:val="bottom"/>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11"/>
              <w:spacing w:after="0"/>
              <w:rPr>
                <w:sz w:val="20"/>
                <w:szCs w:val="20"/>
                <w:color w:val="auto"/>
              </w:rPr>
            </w:pPr>
            <w:r>
              <w:rPr>
                <w:rFonts w:ascii="Times New Roman" w:cs="Times New Roman" w:eastAsia="Times New Roman" w:hAnsi="Times New Roman"/>
                <w:sz w:val="14"/>
                <w:szCs w:val="14"/>
                <w:color w:val="auto"/>
              </w:rPr>
              <w:t>39,945</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2 %</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Book capitalization</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3,826,461</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3,785,344</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4"/>
                <w:szCs w:val="14"/>
                <w:color w:val="auto"/>
              </w:rPr>
              <w:t>41,117</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5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Ratio of debt-to-capital</w:t>
            </w: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35.0 %</w:t>
            </w: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35.3 %</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(0.3)%</w:t>
            </w: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5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Ratio of net debt-to-net capital*</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30.1 %</w:t>
            </w: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21.1 %</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9.0 %</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__________</w:t>
      </w:r>
    </w:p>
    <w:p>
      <w:pPr>
        <w:spacing w:after="0" w:line="11" w:lineRule="exact"/>
        <w:rPr>
          <w:sz w:val="20"/>
          <w:szCs w:val="20"/>
          <w:color w:val="auto"/>
        </w:rPr>
      </w:pPr>
    </w:p>
    <w:p>
      <w:pPr>
        <w:ind w:right="4940" w:firstLine="5"/>
        <w:spacing w:after="0" w:line="224" w:lineRule="auto"/>
        <w:tabs>
          <w:tab w:leader="none" w:pos="218" w:val="left"/>
        </w:tabs>
        <w:numPr>
          <w:ilvl w:val="0"/>
          <w:numId w:val="5"/>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Homes under construction included 88 and 85 models at June 30, 2022 and December 31, 2021, respectively. * See “Reconciliation of Non-GAAP Financial Measures”</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5</w:t>
      </w:r>
    </w:p>
    <w:p>
      <w:pPr>
        <w:sectPr>
          <w:pgSz w:w="11900" w:h="16838" w:orient="portrait"/>
          <w:cols w:equalWidth="0" w:num="1">
            <w:col w:w="11240"/>
          </w:cols>
          <w:pgMar w:left="320" w:top="1440"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CONSOLIDATED BALANCE SHEETS</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(in thousands, except share and per share amounts)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4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20" w:type="dxa"/>
            <w:vAlign w:val="bottom"/>
            <w:gridSpan w:val="2"/>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300" w:type="dxa"/>
            <w:vAlign w:val="bottom"/>
          </w:tcPr>
          <w:p>
            <w:pPr>
              <w:spacing w:after="0"/>
              <w:rPr>
                <w:sz w:val="16"/>
                <w:szCs w:val="16"/>
                <w:color w:val="auto"/>
              </w:rPr>
            </w:pPr>
          </w:p>
        </w:tc>
        <w:tc>
          <w:tcPr>
            <w:tcW w:w="1520" w:type="dxa"/>
            <w:vAlign w:val="bottom"/>
          </w:tcPr>
          <w:p>
            <w:pPr>
              <w:jc w:val="right"/>
              <w:ind w:right="426"/>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6"/>
        </w:trPr>
        <w:tc>
          <w:tcPr>
            <w:tcW w:w="7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80" w:type="dxa"/>
            <w:vAlign w:val="bottom"/>
          </w:tcPr>
          <w:p>
            <w:pPr>
              <w:jc w:val="center"/>
              <w:ind w:right="247"/>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520" w:type="dxa"/>
            <w:vAlign w:val="bottom"/>
          </w:tcPr>
          <w:p>
            <w:pPr>
              <w:jc w:val="right"/>
              <w:ind w:right="686"/>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3"/>
        </w:trPr>
        <w:tc>
          <w:tcPr>
            <w:tcW w:w="74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189"/>
        </w:trPr>
        <w:tc>
          <w:tcPr>
            <w:tcW w:w="7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b w:val="1"/>
                <w:bCs w:val="1"/>
                <w:color w:val="auto"/>
              </w:rPr>
              <w:t>Assets</w:t>
            </w:r>
          </w:p>
        </w:tc>
        <w:tc>
          <w:tcPr>
            <w:tcW w:w="340" w:type="dxa"/>
            <w:vAlign w:val="bottom"/>
            <w:shd w:val="clear" w:color="auto" w:fill="CCEEFF"/>
          </w:tcPr>
          <w:p>
            <w:pPr>
              <w:spacing w:after="0"/>
              <w:rPr>
                <w:sz w:val="16"/>
                <w:szCs w:val="16"/>
                <w:color w:val="auto"/>
              </w:rPr>
            </w:pPr>
          </w:p>
        </w:tc>
        <w:tc>
          <w:tcPr>
            <w:tcW w:w="1480" w:type="dxa"/>
            <w:vAlign w:val="bottom"/>
            <w:shd w:val="clear" w:color="auto" w:fill="CCEEFF"/>
          </w:tcPr>
          <w:p>
            <w:pPr>
              <w:jc w:val="center"/>
              <w:ind w:right="247"/>
              <w:spacing w:after="0"/>
              <w:rPr>
                <w:sz w:val="20"/>
                <w:szCs w:val="20"/>
                <w:color w:val="auto"/>
              </w:rPr>
            </w:pPr>
            <w:r>
              <w:rPr>
                <w:rFonts w:ascii="Times New Roman" w:cs="Times New Roman" w:eastAsia="Times New Roman" w:hAnsi="Times New Roman"/>
                <w:sz w:val="14"/>
                <w:szCs w:val="14"/>
                <w:color w:val="auto"/>
                <w:w w:val="99"/>
              </w:rPr>
              <w:t>(unaudited)</w:t>
            </w:r>
          </w:p>
        </w:tc>
        <w:tc>
          <w:tcPr>
            <w:tcW w:w="14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520" w:type="dxa"/>
            <w:vAlign w:val="bottom"/>
            <w:shd w:val="clear" w:color="auto" w:fill="CCEEFF"/>
          </w:tcPr>
          <w:p>
            <w:pPr>
              <w:spacing w:after="0"/>
              <w:rPr>
                <w:sz w:val="16"/>
                <w:szCs w:val="16"/>
                <w:color w:val="auto"/>
              </w:rPr>
            </w:pP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Cash and cash equivalents</w:t>
            </w:r>
          </w:p>
        </w:tc>
        <w:tc>
          <w:tcPr>
            <w:tcW w:w="340" w:type="dxa"/>
            <w:vAlign w:val="bottom"/>
          </w:tcPr>
          <w:p>
            <w:pPr>
              <w:jc w:val="right"/>
              <w:ind w:right="166"/>
              <w:spacing w:after="0"/>
              <w:rPr>
                <w:sz w:val="20"/>
                <w:szCs w:val="20"/>
                <w:color w:val="auto"/>
              </w:rPr>
            </w:pPr>
            <w:r>
              <w:rPr>
                <w:rFonts w:ascii="Times New Roman" w:cs="Times New Roman" w:eastAsia="Times New Roman" w:hAnsi="Times New Roman"/>
                <w:sz w:val="15"/>
                <w:szCs w:val="15"/>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270,124</w:t>
            </w:r>
          </w:p>
        </w:tc>
        <w:tc>
          <w:tcPr>
            <w:tcW w:w="140" w:type="dxa"/>
            <w:vAlign w:val="bottom"/>
          </w:tcPr>
          <w:p>
            <w:pPr>
              <w:spacing w:after="0"/>
              <w:rPr>
                <w:sz w:val="16"/>
                <w:szCs w:val="16"/>
                <w:color w:val="auto"/>
              </w:rPr>
            </w:pPr>
          </w:p>
        </w:tc>
        <w:tc>
          <w:tcPr>
            <w:tcW w:w="300" w:type="dxa"/>
            <w:vAlign w:val="bottom"/>
          </w:tcPr>
          <w:p>
            <w:pPr>
              <w:jc w:val="right"/>
              <w:ind w:right="126"/>
              <w:spacing w:after="0"/>
              <w:rPr>
                <w:sz w:val="20"/>
                <w:szCs w:val="20"/>
                <w:color w:val="auto"/>
              </w:rPr>
            </w:pPr>
            <w:r>
              <w:rPr>
                <w:rFonts w:ascii="Times New Roman" w:cs="Times New Roman" w:eastAsia="Times New Roman" w:hAnsi="Times New Roman"/>
                <w:sz w:val="15"/>
                <w:szCs w:val="15"/>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681,528</w:t>
            </w:r>
          </w:p>
        </w:tc>
      </w:tr>
      <w:tr>
        <w:trPr>
          <w:trHeight w:val="198"/>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Receivables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145,430</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116,996</w:t>
            </w: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Real estate inventories</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3,490,321</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3,054,743</w:t>
            </w:r>
          </w:p>
        </w:tc>
      </w:tr>
      <w:tr>
        <w:trPr>
          <w:trHeight w:val="198"/>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Investments in unconsolidated entities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131,399</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118,095</w:t>
            </w: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Goodwill and other intangible assets, net</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156,603</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156,603</w:t>
            </w:r>
          </w:p>
        </w:tc>
      </w:tr>
      <w:tr>
        <w:trPr>
          <w:trHeight w:val="198"/>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Deferred tax assets, net</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57,095</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57,096</w:t>
            </w:r>
          </w:p>
        </w:tc>
      </w:tr>
      <w:tr>
        <w:trPr>
          <w:trHeight w:val="194"/>
        </w:trPr>
        <w:tc>
          <w:tcPr>
            <w:tcW w:w="74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5"/>
                <w:szCs w:val="15"/>
                <w:color w:val="auto"/>
              </w:rPr>
              <w:t>Other assets</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163,686</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151,162</w:t>
            </w:r>
          </w:p>
        </w:tc>
      </w:tr>
      <w:tr>
        <w:trPr>
          <w:trHeight w:val="216"/>
        </w:trPr>
        <w:tc>
          <w:tcPr>
            <w:tcW w:w="746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5"/>
                <w:szCs w:val="15"/>
                <w:color w:val="auto"/>
              </w:rPr>
              <w:t>Total assets</w:t>
            </w:r>
          </w:p>
        </w:tc>
        <w:tc>
          <w:tcPr>
            <w:tcW w:w="340" w:type="dxa"/>
            <w:vAlign w:val="bottom"/>
            <w:tcBorders>
              <w:bottom w:val="single" w:sz="8" w:color="auto"/>
            </w:tcBorders>
            <w:shd w:val="clear" w:color="auto" w:fill="CCEEFF"/>
          </w:tcPr>
          <w:p>
            <w:pPr>
              <w:jc w:val="right"/>
              <w:ind w:right="166"/>
              <w:spacing w:after="0"/>
              <w:rPr>
                <w:sz w:val="20"/>
                <w:szCs w:val="20"/>
                <w:color w:val="auto"/>
              </w:rPr>
            </w:pPr>
            <w:r>
              <w:rPr>
                <w:rFonts w:ascii="Times New Roman" w:cs="Times New Roman" w:eastAsia="Times New Roman" w:hAnsi="Times New Roman"/>
                <w:sz w:val="15"/>
                <w:szCs w:val="15"/>
                <w:color w:val="auto"/>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4,414,658</w:t>
            </w:r>
          </w:p>
        </w:tc>
        <w:tc>
          <w:tcPr>
            <w:tcW w:w="14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26"/>
              <w:spacing w:after="0"/>
              <w:rPr>
                <w:sz w:val="20"/>
                <w:szCs w:val="20"/>
                <w:color w:val="auto"/>
              </w:rPr>
            </w:pPr>
            <w:r>
              <w:rPr>
                <w:rFonts w:ascii="Times New Roman" w:cs="Times New Roman" w:eastAsia="Times New Roman" w:hAnsi="Times New Roman"/>
                <w:sz w:val="15"/>
                <w:szCs w:val="15"/>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4,336,223</w:t>
            </w:r>
          </w:p>
        </w:tc>
      </w:tr>
      <w:tr>
        <w:trPr>
          <w:trHeight w:val="20"/>
        </w:trPr>
        <w:tc>
          <w:tcPr>
            <w:tcW w:w="74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74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196"/>
        </w:trPr>
        <w:tc>
          <w:tcPr>
            <w:tcW w:w="7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b w:val="1"/>
                <w:bCs w:val="1"/>
                <w:color w:val="auto"/>
              </w:rPr>
              <w:t>Liabilities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Accounts payable</w:t>
            </w:r>
          </w:p>
        </w:tc>
        <w:tc>
          <w:tcPr>
            <w:tcW w:w="340" w:type="dxa"/>
            <w:vAlign w:val="bottom"/>
          </w:tcPr>
          <w:p>
            <w:pPr>
              <w:jc w:val="right"/>
              <w:ind w:right="166"/>
              <w:spacing w:after="0"/>
              <w:rPr>
                <w:sz w:val="20"/>
                <w:szCs w:val="20"/>
                <w:color w:val="auto"/>
              </w:rPr>
            </w:pPr>
            <w:r>
              <w:rPr>
                <w:rFonts w:ascii="Times New Roman" w:cs="Times New Roman" w:eastAsia="Times New Roman" w:hAnsi="Times New Roman"/>
                <w:sz w:val="15"/>
                <w:szCs w:val="15"/>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112,942</w:t>
            </w:r>
          </w:p>
        </w:tc>
        <w:tc>
          <w:tcPr>
            <w:tcW w:w="140" w:type="dxa"/>
            <w:vAlign w:val="bottom"/>
          </w:tcPr>
          <w:p>
            <w:pPr>
              <w:spacing w:after="0"/>
              <w:rPr>
                <w:sz w:val="16"/>
                <w:szCs w:val="16"/>
                <w:color w:val="auto"/>
              </w:rPr>
            </w:pPr>
          </w:p>
        </w:tc>
        <w:tc>
          <w:tcPr>
            <w:tcW w:w="300" w:type="dxa"/>
            <w:vAlign w:val="bottom"/>
          </w:tcPr>
          <w:p>
            <w:pPr>
              <w:jc w:val="right"/>
              <w:ind w:right="126"/>
              <w:spacing w:after="0"/>
              <w:rPr>
                <w:sz w:val="20"/>
                <w:szCs w:val="20"/>
                <w:color w:val="auto"/>
              </w:rPr>
            </w:pPr>
            <w:r>
              <w:rPr>
                <w:rFonts w:ascii="Times New Roman" w:cs="Times New Roman" w:eastAsia="Times New Roman" w:hAnsi="Times New Roman"/>
                <w:sz w:val="15"/>
                <w:szCs w:val="15"/>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84,854</w:t>
            </w:r>
          </w:p>
        </w:tc>
      </w:tr>
      <w:tr>
        <w:trPr>
          <w:trHeight w:val="198"/>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Accrued expenses and other liabilities</w:t>
            </w:r>
          </w:p>
        </w:tc>
        <w:tc>
          <w:tcPr>
            <w:tcW w:w="34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474,202</w:t>
            </w:r>
          </w:p>
        </w:tc>
        <w:tc>
          <w:tcPr>
            <w:tcW w:w="1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466,013</w:t>
            </w: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Loans payable</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250,000</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250,504</w:t>
            </w:r>
          </w:p>
        </w:tc>
      </w:tr>
      <w:tr>
        <w:trPr>
          <w:trHeight w:val="198"/>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Senior notes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1,088,895</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1,087,219</w:t>
            </w:r>
          </w:p>
        </w:tc>
      </w:tr>
      <w:tr>
        <w:trPr>
          <w:trHeight w:val="187"/>
        </w:trPr>
        <w:tc>
          <w:tcPr>
            <w:tcW w:w="7460" w:type="dxa"/>
            <w:vAlign w:val="bottom"/>
            <w:tcBorders>
              <w:bottom w:val="single" w:sz="8" w:color="CCEEFF"/>
            </w:tcBorders>
          </w:tcPr>
          <w:p>
            <w:pPr>
              <w:ind w:left="380"/>
              <w:spacing w:after="0"/>
              <w:rPr>
                <w:sz w:val="20"/>
                <w:szCs w:val="20"/>
                <w:color w:val="auto"/>
              </w:rPr>
            </w:pPr>
            <w:r>
              <w:rPr>
                <w:rFonts w:ascii="Times New Roman" w:cs="Times New Roman" w:eastAsia="Times New Roman" w:hAnsi="Times New Roman"/>
                <w:sz w:val="15"/>
                <w:szCs w:val="15"/>
                <w:color w:val="auto"/>
              </w:rPr>
              <w:t>Total liabilities</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1,926,039</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1,888,590</w:t>
            </w:r>
          </w:p>
        </w:tc>
      </w:tr>
      <w:tr>
        <w:trPr>
          <w:trHeight w:val="230"/>
        </w:trPr>
        <w:tc>
          <w:tcPr>
            <w:tcW w:w="74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520" w:type="dxa"/>
            <w:vAlign w:val="bottom"/>
            <w:shd w:val="clear" w:color="auto" w:fill="CCEEFF"/>
          </w:tcPr>
          <w:p>
            <w:pPr>
              <w:spacing w:after="0"/>
              <w:rPr>
                <w:sz w:val="20"/>
                <w:szCs w:val="20"/>
                <w:color w:val="auto"/>
              </w:rPr>
            </w:pPr>
          </w:p>
        </w:tc>
      </w:tr>
      <w:tr>
        <w:trPr>
          <w:trHeight w:val="194"/>
        </w:trPr>
        <w:tc>
          <w:tcPr>
            <w:tcW w:w="746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Commitments and contingencies</w:t>
            </w: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250"/>
        </w:trPr>
        <w:tc>
          <w:tcPr>
            <w:tcW w:w="74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48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r>
      <w:tr>
        <w:trPr>
          <w:trHeight w:val="195"/>
        </w:trPr>
        <w:tc>
          <w:tcPr>
            <w:tcW w:w="7460" w:type="dxa"/>
            <w:vAlign w:val="bottom"/>
          </w:tcPr>
          <w:p>
            <w:pPr>
              <w:ind w:left="20"/>
              <w:spacing w:after="0"/>
              <w:rPr>
                <w:sz w:val="20"/>
                <w:szCs w:val="20"/>
                <w:color w:val="auto"/>
              </w:rPr>
            </w:pPr>
            <w:r>
              <w:rPr>
                <w:rFonts w:ascii="Times New Roman" w:cs="Times New Roman" w:eastAsia="Times New Roman" w:hAnsi="Times New Roman"/>
                <w:sz w:val="15"/>
                <w:szCs w:val="15"/>
                <w:b w:val="1"/>
                <w:bCs w:val="1"/>
                <w:color w:val="auto"/>
              </w:rPr>
              <w:t>Equity</w:t>
            </w:r>
          </w:p>
        </w:tc>
        <w:tc>
          <w:tcPr>
            <w:tcW w:w="3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210"/>
        </w:trPr>
        <w:tc>
          <w:tcPr>
            <w:tcW w:w="7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Stockholders</w:t>
            </w:r>
            <w:r>
              <w:rPr>
                <w:rFonts w:ascii="Times New Roman" w:cs="Times New Roman" w:eastAsia="Times New Roman" w:hAnsi="Times New Roman"/>
                <w:sz w:val="13"/>
                <w:szCs w:val="13"/>
                <w:color w:val="auto"/>
              </w:rPr>
              <w:t>’</w:t>
            </w:r>
            <w:r>
              <w:rPr>
                <w:rFonts w:ascii="Times New Roman" w:cs="Times New Roman" w:eastAsia="Times New Roman" w:hAnsi="Times New Roman"/>
                <w:sz w:val="15"/>
                <w:szCs w:val="15"/>
                <w:color w:val="auto"/>
              </w:rPr>
              <w:t xml:space="preserve"> equity:</w:t>
            </w:r>
          </w:p>
        </w:tc>
        <w:tc>
          <w:tcPr>
            <w:tcW w:w="34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144"/>
        </w:trPr>
        <w:tc>
          <w:tcPr>
            <w:tcW w:w="7460" w:type="dxa"/>
            <w:vAlign w:val="bottom"/>
          </w:tcPr>
          <w:p>
            <w:pPr>
              <w:ind w:left="300"/>
              <w:spacing w:after="0" w:line="144" w:lineRule="exact"/>
              <w:rPr>
                <w:sz w:val="20"/>
                <w:szCs w:val="20"/>
                <w:color w:val="auto"/>
              </w:rPr>
            </w:pPr>
            <w:r>
              <w:rPr>
                <w:rFonts w:ascii="Times New Roman" w:cs="Times New Roman" w:eastAsia="Times New Roman" w:hAnsi="Times New Roman"/>
                <w:sz w:val="15"/>
                <w:szCs w:val="15"/>
                <w:color w:val="auto"/>
              </w:rPr>
              <w:t>Preferred stock, $0.01 par value, 50,000,000 shares authorized; no shares issued and outstanding as of June 30, 2022</w:t>
            </w:r>
          </w:p>
        </w:tc>
        <w:tc>
          <w:tcPr>
            <w:tcW w:w="3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20" w:type="dxa"/>
            <w:vAlign w:val="bottom"/>
          </w:tcPr>
          <w:p>
            <w:pPr>
              <w:spacing w:after="0"/>
              <w:rPr>
                <w:sz w:val="12"/>
                <w:szCs w:val="12"/>
                <w:color w:val="auto"/>
              </w:rPr>
            </w:pPr>
          </w:p>
        </w:tc>
      </w:tr>
      <w:tr>
        <w:trPr>
          <w:trHeight w:val="205"/>
        </w:trPr>
        <w:tc>
          <w:tcPr>
            <w:tcW w:w="7460" w:type="dxa"/>
            <w:vAlign w:val="bottom"/>
          </w:tcPr>
          <w:p>
            <w:pPr>
              <w:ind w:left="460"/>
              <w:spacing w:after="0"/>
              <w:rPr>
                <w:sz w:val="20"/>
                <w:szCs w:val="20"/>
                <w:color w:val="auto"/>
              </w:rPr>
            </w:pPr>
            <w:r>
              <w:rPr>
                <w:rFonts w:ascii="Times New Roman" w:cs="Times New Roman" w:eastAsia="Times New Roman" w:hAnsi="Times New Roman"/>
                <w:sz w:val="15"/>
                <w:szCs w:val="15"/>
                <w:color w:val="auto"/>
              </w:rPr>
              <w:t>and December 31, 2021, respectively</w:t>
            </w:r>
          </w:p>
        </w:tc>
        <w:tc>
          <w:tcPr>
            <w:tcW w:w="340" w:type="dxa"/>
            <w:vAlign w:val="bottom"/>
          </w:tcPr>
          <w:p>
            <w:pPr>
              <w:spacing w:after="0"/>
              <w:rPr>
                <w:sz w:val="17"/>
                <w:szCs w:val="17"/>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tcPr>
          <w:p>
            <w:pPr>
              <w:spacing w:after="0"/>
              <w:rPr>
                <w:sz w:val="17"/>
                <w:szCs w:val="17"/>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w:t>
            </w:r>
          </w:p>
        </w:tc>
      </w:tr>
      <w:tr>
        <w:trPr>
          <w:trHeight w:val="148"/>
        </w:trPr>
        <w:tc>
          <w:tcPr>
            <w:tcW w:w="7460" w:type="dxa"/>
            <w:vAlign w:val="bottom"/>
            <w:shd w:val="clear" w:color="auto" w:fill="CCEEFF"/>
          </w:tcPr>
          <w:p>
            <w:pPr>
              <w:ind w:left="300"/>
              <w:spacing w:after="0" w:line="148" w:lineRule="exact"/>
              <w:rPr>
                <w:sz w:val="20"/>
                <w:szCs w:val="20"/>
                <w:color w:val="auto"/>
              </w:rPr>
            </w:pPr>
            <w:r>
              <w:rPr>
                <w:rFonts w:ascii="Times New Roman" w:cs="Times New Roman" w:eastAsia="Times New Roman" w:hAnsi="Times New Roman"/>
                <w:sz w:val="15"/>
                <w:szCs w:val="15"/>
                <w:color w:val="auto"/>
              </w:rPr>
              <w:t>Common stock, $0.01 par value, 500,000,000 shares authorized; 101,860,993 and 109,644,474 shares issued and</w:t>
            </w:r>
          </w:p>
        </w:tc>
        <w:tc>
          <w:tcPr>
            <w:tcW w:w="340" w:type="dxa"/>
            <w:vAlign w:val="bottom"/>
            <w:shd w:val="clear" w:color="auto" w:fill="CCEEFF"/>
          </w:tcPr>
          <w:p>
            <w:pPr>
              <w:spacing w:after="0"/>
              <w:rPr>
                <w:sz w:val="12"/>
                <w:szCs w:val="12"/>
                <w:color w:val="auto"/>
              </w:rPr>
            </w:pPr>
          </w:p>
        </w:tc>
        <w:tc>
          <w:tcPr>
            <w:tcW w:w="14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520" w:type="dxa"/>
            <w:vAlign w:val="bottom"/>
            <w:shd w:val="clear" w:color="auto" w:fill="CCEEFF"/>
          </w:tcPr>
          <w:p>
            <w:pPr>
              <w:spacing w:after="0"/>
              <w:rPr>
                <w:sz w:val="12"/>
                <w:szCs w:val="12"/>
                <w:color w:val="auto"/>
              </w:rPr>
            </w:pPr>
          </w:p>
        </w:tc>
      </w:tr>
      <w:tr>
        <w:trPr>
          <w:trHeight w:val="209"/>
        </w:trPr>
        <w:tc>
          <w:tcPr>
            <w:tcW w:w="746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5"/>
                <w:szCs w:val="15"/>
                <w:color w:val="auto"/>
              </w:rPr>
              <w:t>outstanding at June 30, 2022 and December 31, 2021, respectively</w:t>
            </w:r>
          </w:p>
        </w:tc>
        <w:tc>
          <w:tcPr>
            <w:tcW w:w="34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1,019</w:t>
            </w: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1,096</w:t>
            </w:r>
          </w:p>
        </w:tc>
      </w:tr>
      <w:tr>
        <w:trPr>
          <w:trHeight w:val="194"/>
        </w:trPr>
        <w:tc>
          <w:tcPr>
            <w:tcW w:w="7460" w:type="dxa"/>
            <w:vAlign w:val="bottom"/>
          </w:tcPr>
          <w:p>
            <w:pPr>
              <w:ind w:left="260"/>
              <w:spacing w:after="0"/>
              <w:rPr>
                <w:sz w:val="20"/>
                <w:szCs w:val="20"/>
                <w:color w:val="auto"/>
              </w:rPr>
            </w:pPr>
            <w:r>
              <w:rPr>
                <w:rFonts w:ascii="Times New Roman" w:cs="Times New Roman" w:eastAsia="Times New Roman" w:hAnsi="Times New Roman"/>
                <w:sz w:val="15"/>
                <w:szCs w:val="15"/>
                <w:color w:val="auto"/>
              </w:rPr>
              <w:t>Additional paid-in capital</w:t>
            </w:r>
          </w:p>
        </w:tc>
        <w:tc>
          <w:tcPr>
            <w:tcW w:w="340" w:type="dxa"/>
            <w:vAlign w:val="bottom"/>
          </w:tcPr>
          <w:p>
            <w:pPr>
              <w:spacing w:after="0"/>
              <w:rPr>
                <w:sz w:val="16"/>
                <w:szCs w:val="16"/>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5"/>
                <w:szCs w:val="15"/>
                <w:color w:val="auto"/>
              </w:rPr>
              <w:t>—</w:t>
            </w: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91,077</w:t>
            </w:r>
          </w:p>
        </w:tc>
      </w:tr>
      <w:tr>
        <w:trPr>
          <w:trHeight w:val="198"/>
        </w:trPr>
        <w:tc>
          <w:tcPr>
            <w:tcW w:w="74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5"/>
                <w:szCs w:val="15"/>
                <w:color w:val="auto"/>
              </w:rPr>
              <w:t>Retained earnings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2,486,547</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2,355,448</w:t>
            </w:r>
          </w:p>
        </w:tc>
      </w:tr>
      <w:tr>
        <w:trPr>
          <w:trHeight w:val="187"/>
        </w:trPr>
        <w:tc>
          <w:tcPr>
            <w:tcW w:w="7460" w:type="dxa"/>
            <w:vAlign w:val="bottom"/>
          </w:tcPr>
          <w:p>
            <w:pPr>
              <w:ind w:left="260"/>
              <w:spacing w:after="0"/>
              <w:rPr>
                <w:sz w:val="20"/>
                <w:szCs w:val="20"/>
                <w:color w:val="auto"/>
              </w:rPr>
            </w:pPr>
            <w:r>
              <w:rPr>
                <w:rFonts w:ascii="Times New Roman" w:cs="Times New Roman" w:eastAsia="Times New Roman" w:hAnsi="Times New Roman"/>
                <w:sz w:val="15"/>
                <w:szCs w:val="15"/>
                <w:color w:val="auto"/>
              </w:rPr>
              <w:t>Total stockholders</w:t>
            </w:r>
            <w:r>
              <w:rPr>
                <w:rFonts w:ascii="Times New Roman" w:cs="Times New Roman" w:eastAsia="Times New Roman" w:hAnsi="Times New Roman"/>
                <w:sz w:val="13"/>
                <w:szCs w:val="13"/>
                <w:color w:val="auto"/>
              </w:rPr>
              <w:t>’</w:t>
            </w:r>
            <w:r>
              <w:rPr>
                <w:rFonts w:ascii="Times New Roman" w:cs="Times New Roman" w:eastAsia="Times New Roman" w:hAnsi="Times New Roman"/>
                <w:sz w:val="15"/>
                <w:szCs w:val="15"/>
                <w:color w:val="auto"/>
              </w:rPr>
              <w:t xml:space="preserve"> equity</w:t>
            </w:r>
          </w:p>
        </w:tc>
        <w:tc>
          <w:tcPr>
            <w:tcW w:w="34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2,487,566</w:t>
            </w:r>
          </w:p>
        </w:tc>
        <w:tc>
          <w:tcPr>
            <w:tcW w:w="1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2,447,621</w:t>
            </w:r>
          </w:p>
        </w:tc>
      </w:tr>
      <w:tr>
        <w:trPr>
          <w:trHeight w:val="198"/>
        </w:trPr>
        <w:tc>
          <w:tcPr>
            <w:tcW w:w="74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5"/>
                <w:szCs w:val="15"/>
                <w:color w:val="auto"/>
              </w:rPr>
              <w:t>Noncontrolling interests</w:t>
            </w:r>
          </w:p>
        </w:tc>
        <w:tc>
          <w:tcPr>
            <w:tcW w:w="34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1,053</w:t>
            </w:r>
          </w:p>
        </w:tc>
        <w:tc>
          <w:tcPr>
            <w:tcW w:w="1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12</w:t>
            </w:r>
          </w:p>
        </w:tc>
      </w:tr>
      <w:tr>
        <w:trPr>
          <w:trHeight w:val="187"/>
        </w:trPr>
        <w:tc>
          <w:tcPr>
            <w:tcW w:w="7460" w:type="dxa"/>
            <w:vAlign w:val="bottom"/>
            <w:tcBorders>
              <w:bottom w:val="single" w:sz="8" w:color="CCEEFF"/>
            </w:tcBorders>
          </w:tcPr>
          <w:p>
            <w:pPr>
              <w:ind w:left="500"/>
              <w:spacing w:after="0"/>
              <w:rPr>
                <w:sz w:val="20"/>
                <w:szCs w:val="20"/>
                <w:color w:val="auto"/>
              </w:rPr>
            </w:pPr>
            <w:r>
              <w:rPr>
                <w:rFonts w:ascii="Times New Roman" w:cs="Times New Roman" w:eastAsia="Times New Roman" w:hAnsi="Times New Roman"/>
                <w:sz w:val="15"/>
                <w:szCs w:val="15"/>
                <w:color w:val="auto"/>
              </w:rPr>
              <w:t>Total equity</w:t>
            </w:r>
          </w:p>
        </w:tc>
        <w:tc>
          <w:tcPr>
            <w:tcW w:w="34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2,488,619</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2,447,633</w:t>
            </w:r>
          </w:p>
        </w:tc>
      </w:tr>
      <w:tr>
        <w:trPr>
          <w:trHeight w:val="214"/>
        </w:trPr>
        <w:tc>
          <w:tcPr>
            <w:tcW w:w="74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5"/>
                <w:szCs w:val="15"/>
                <w:color w:val="auto"/>
              </w:rPr>
              <w:t>Total liabilities and equity</w:t>
            </w:r>
          </w:p>
        </w:tc>
        <w:tc>
          <w:tcPr>
            <w:tcW w:w="340" w:type="dxa"/>
            <w:vAlign w:val="bottom"/>
            <w:tcBorders>
              <w:bottom w:val="single" w:sz="8" w:color="auto"/>
            </w:tcBorders>
            <w:shd w:val="clear" w:color="auto" w:fill="CCEEFF"/>
          </w:tcPr>
          <w:p>
            <w:pPr>
              <w:jc w:val="right"/>
              <w:ind w:right="166"/>
              <w:spacing w:after="0"/>
              <w:rPr>
                <w:sz w:val="20"/>
                <w:szCs w:val="20"/>
                <w:color w:val="auto"/>
              </w:rPr>
            </w:pPr>
            <w:r>
              <w:rPr>
                <w:rFonts w:ascii="Times New Roman" w:cs="Times New Roman" w:eastAsia="Times New Roman" w:hAnsi="Times New Roman"/>
                <w:sz w:val="15"/>
                <w:szCs w:val="15"/>
                <w:color w:val="auto"/>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4,414,658</w:t>
            </w:r>
          </w:p>
        </w:tc>
        <w:tc>
          <w:tcPr>
            <w:tcW w:w="14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26"/>
              <w:spacing w:after="0"/>
              <w:rPr>
                <w:sz w:val="20"/>
                <w:szCs w:val="20"/>
                <w:color w:val="auto"/>
              </w:rPr>
            </w:pPr>
            <w:r>
              <w:rPr>
                <w:rFonts w:ascii="Times New Roman" w:cs="Times New Roman" w:eastAsia="Times New Roman" w:hAnsi="Times New Roman"/>
                <w:sz w:val="15"/>
                <w:szCs w:val="15"/>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4,336,223</w:t>
            </w:r>
          </w:p>
        </w:tc>
      </w:tr>
      <w:tr>
        <w:trPr>
          <w:trHeight w:val="20"/>
        </w:trPr>
        <w:tc>
          <w:tcPr>
            <w:tcW w:w="74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6</w:t>
      </w:r>
    </w:p>
    <w:p>
      <w:pPr>
        <w:sectPr>
          <w:pgSz w:w="11900" w:h="16838" w:orient="portrait"/>
          <w:cols w:equalWidth="0" w:num="1">
            <w:col w:w="11240"/>
          </w:cols>
          <w:pgMar w:left="320" w:top="1374"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CONSOLIDATED STATEMENT OF OPERATIONS</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(in thousands, except share and per share amounts)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0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00" w:type="dxa"/>
            <w:vAlign w:val="bottom"/>
            <w:gridSpan w:val="5"/>
          </w:tcPr>
          <w:p>
            <w:pPr>
              <w:ind w:left="28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360" w:type="dxa"/>
            <w:vAlign w:val="bottom"/>
          </w:tcPr>
          <w:p>
            <w:pPr>
              <w:spacing w:after="0"/>
              <w:rPr>
                <w:sz w:val="16"/>
                <w:szCs w:val="16"/>
                <w:color w:val="auto"/>
              </w:rPr>
            </w:pPr>
          </w:p>
        </w:tc>
        <w:tc>
          <w:tcPr>
            <w:tcW w:w="2740" w:type="dxa"/>
            <w:vAlign w:val="bottom"/>
            <w:gridSpan w:val="4"/>
          </w:tcPr>
          <w:p>
            <w:pPr>
              <w:jc w:val="right"/>
              <w:ind w:right="662"/>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0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183"/>
        </w:trPr>
        <w:tc>
          <w:tcPr>
            <w:tcW w:w="50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0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502"/>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8"/>
        </w:trPr>
        <w:tc>
          <w:tcPr>
            <w:tcW w:w="5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Homebuilding:</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r>
      <w:tr>
        <w:trPr>
          <w:trHeight w:val="206"/>
        </w:trPr>
        <w:tc>
          <w:tcPr>
            <w:tcW w:w="5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Home sales revenue</w:t>
            </w: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1,004,644</w:t>
            </w:r>
          </w:p>
        </w:tc>
        <w:tc>
          <w:tcPr>
            <w:tcW w:w="12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1,009,307</w:t>
            </w:r>
          </w:p>
        </w:tc>
        <w:tc>
          <w:tcPr>
            <w:tcW w:w="120" w:type="dxa"/>
            <w:vAlign w:val="bottom"/>
          </w:tcPr>
          <w:p>
            <w:pPr>
              <w:spacing w:after="0"/>
              <w:rPr>
                <w:sz w:val="17"/>
                <w:szCs w:val="17"/>
                <w:color w:val="auto"/>
              </w:rPr>
            </w:pPr>
          </w:p>
        </w:tc>
        <w:tc>
          <w:tcPr>
            <w:tcW w:w="360" w:type="dxa"/>
            <w:vAlign w:val="bottom"/>
          </w:tcPr>
          <w:p>
            <w:pPr>
              <w:jc w:val="right"/>
              <w:ind w:right="18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1,729,895</w:t>
            </w:r>
          </w:p>
        </w:tc>
        <w:tc>
          <w:tcPr>
            <w:tcW w:w="18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1,725,982</w:t>
            </w:r>
          </w:p>
        </w:tc>
      </w:tr>
      <w:tr>
        <w:trPr>
          <w:trHeight w:val="212"/>
        </w:trPr>
        <w:tc>
          <w:tcPr>
            <w:tcW w:w="5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Land and lot sales revenue</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114</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5,416</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1,711</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6,939</w:t>
            </w:r>
          </w:p>
        </w:tc>
      </w:tr>
      <w:tr>
        <w:trPr>
          <w:trHeight w:val="206"/>
        </w:trPr>
        <w:tc>
          <w:tcPr>
            <w:tcW w:w="5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Other operations revenue</w:t>
            </w: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703</w:t>
            </w:r>
          </w:p>
        </w:tc>
        <w:tc>
          <w:tcPr>
            <w:tcW w:w="12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660</w:t>
            </w:r>
          </w:p>
        </w:tc>
        <w:tc>
          <w:tcPr>
            <w:tcW w:w="12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1,347</w:t>
            </w:r>
          </w:p>
        </w:tc>
        <w:tc>
          <w:tcPr>
            <w:tcW w:w="18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1,323</w:t>
            </w:r>
          </w:p>
        </w:tc>
      </w:tr>
      <w:tr>
        <w:trPr>
          <w:trHeight w:val="205"/>
        </w:trPr>
        <w:tc>
          <w:tcPr>
            <w:tcW w:w="500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Total revenues</w:t>
            </w: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1,005,461</w:t>
            </w: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1,015,383</w:t>
            </w:r>
          </w:p>
        </w:tc>
        <w:tc>
          <w:tcPr>
            <w:tcW w:w="1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1,732,953</w:t>
            </w: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1,734,244</w:t>
            </w:r>
          </w:p>
        </w:tc>
      </w:tr>
      <w:tr>
        <w:trPr>
          <w:trHeight w:val="206"/>
        </w:trPr>
        <w:tc>
          <w:tcPr>
            <w:tcW w:w="5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Cost of home sales</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731,352</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761,215</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1,262,012</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1,306,571</w:t>
            </w:r>
          </w:p>
        </w:tc>
      </w:tr>
      <w:tr>
        <w:trPr>
          <w:trHeight w:val="212"/>
        </w:trPr>
        <w:tc>
          <w:tcPr>
            <w:tcW w:w="5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Cost of land and lot sales</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344</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4,874</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819</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5,027</w:t>
            </w:r>
          </w:p>
        </w:tc>
      </w:tr>
      <w:tr>
        <w:trPr>
          <w:trHeight w:val="206"/>
        </w:trPr>
        <w:tc>
          <w:tcPr>
            <w:tcW w:w="5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Other operations expense</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704</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686</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1,350</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1,310</w:t>
            </w:r>
          </w:p>
        </w:tc>
      </w:tr>
      <w:tr>
        <w:trPr>
          <w:trHeight w:val="212"/>
        </w:trPr>
        <w:tc>
          <w:tcPr>
            <w:tcW w:w="5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Sales and marketing</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38,523</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45,489</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70,762</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85,949</w:t>
            </w:r>
          </w:p>
        </w:tc>
      </w:tr>
      <w:tr>
        <w:trPr>
          <w:trHeight w:val="206"/>
        </w:trPr>
        <w:tc>
          <w:tcPr>
            <w:tcW w:w="5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General and administrative</w:t>
            </w: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56,829</w:t>
            </w:r>
          </w:p>
        </w:tc>
        <w:tc>
          <w:tcPr>
            <w:tcW w:w="12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51,263</w:t>
            </w:r>
          </w:p>
        </w:tc>
        <w:tc>
          <w:tcPr>
            <w:tcW w:w="12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105,285</w:t>
            </w:r>
          </w:p>
        </w:tc>
        <w:tc>
          <w:tcPr>
            <w:tcW w:w="18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92,612</w:t>
            </w:r>
          </w:p>
        </w:tc>
      </w:tr>
      <w:tr>
        <w:trPr>
          <w:trHeight w:val="205"/>
        </w:trPr>
        <w:tc>
          <w:tcPr>
            <w:tcW w:w="50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Homebuilding income from operations</w:t>
            </w: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177,709</w:t>
            </w: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151,856</w:t>
            </w:r>
          </w:p>
        </w:tc>
        <w:tc>
          <w:tcPr>
            <w:tcW w:w="1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292,725</w:t>
            </w: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242,775</w:t>
            </w:r>
          </w:p>
        </w:tc>
      </w:tr>
      <w:tr>
        <w:trPr>
          <w:trHeight w:val="206"/>
        </w:trPr>
        <w:tc>
          <w:tcPr>
            <w:tcW w:w="500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Equity in income (loss) of unconsolidated entities</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143</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w:t>
            </w:r>
          </w:p>
        </w:tc>
      </w:tr>
      <w:tr>
        <w:trPr>
          <w:trHeight w:val="212"/>
        </w:trPr>
        <w:tc>
          <w:tcPr>
            <w:tcW w:w="50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Other income, net</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1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149</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389</w:t>
            </w:r>
          </w:p>
        </w:tc>
        <w:tc>
          <w:tcPr>
            <w:tcW w:w="18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257</w:t>
            </w:r>
          </w:p>
        </w:tc>
      </w:tr>
      <w:tr>
        <w:trPr>
          <w:trHeight w:val="199"/>
        </w:trPr>
        <w:tc>
          <w:tcPr>
            <w:tcW w:w="500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6"/>
                <w:szCs w:val="16"/>
                <w:color w:val="auto"/>
              </w:rPr>
              <w:t>Homebuilding income before income taxes</w:t>
            </w: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177,968</w:t>
            </w:r>
          </w:p>
        </w:tc>
        <w:tc>
          <w:tcPr>
            <w:tcW w:w="12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151,989</w:t>
            </w:r>
          </w:p>
        </w:tc>
        <w:tc>
          <w:tcPr>
            <w:tcW w:w="12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293,202</w:t>
            </w:r>
          </w:p>
        </w:tc>
        <w:tc>
          <w:tcPr>
            <w:tcW w:w="18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243,003</w:t>
            </w:r>
          </w:p>
        </w:tc>
      </w:tr>
      <w:tr>
        <w:trPr>
          <w:trHeight w:val="192"/>
        </w:trPr>
        <w:tc>
          <w:tcPr>
            <w:tcW w:w="5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Financial Services:</w:t>
            </w: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r>
      <w:tr>
        <w:trPr>
          <w:trHeight w:val="206"/>
        </w:trPr>
        <w:tc>
          <w:tcPr>
            <w:tcW w:w="5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Revenues</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12,228</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2,681</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20,980</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4,786</w:t>
            </w:r>
          </w:p>
        </w:tc>
      </w:tr>
      <w:tr>
        <w:trPr>
          <w:trHeight w:val="212"/>
        </w:trPr>
        <w:tc>
          <w:tcPr>
            <w:tcW w:w="5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Expenses</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6,322</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1,485</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11,630</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2,892</w:t>
            </w:r>
          </w:p>
        </w:tc>
      </w:tr>
      <w:tr>
        <w:trPr>
          <w:trHeight w:val="206"/>
        </w:trPr>
        <w:tc>
          <w:tcPr>
            <w:tcW w:w="5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Equity in income of unconsolidated entities</w:t>
            </w:r>
          </w:p>
        </w:tc>
        <w:tc>
          <w:tcPr>
            <w:tcW w:w="340" w:type="dxa"/>
            <w:vAlign w:val="bottom"/>
          </w:tcPr>
          <w:p>
            <w:pPr>
              <w:spacing w:after="0"/>
              <w:rPr>
                <w:sz w:val="17"/>
                <w:szCs w:val="17"/>
                <w:color w:val="auto"/>
              </w:rPr>
            </w:pPr>
          </w:p>
        </w:tc>
        <w:tc>
          <w:tcPr>
            <w:tcW w:w="12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3,949</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6,640</w:t>
            </w:r>
          </w:p>
        </w:tc>
      </w:tr>
      <w:tr>
        <w:trPr>
          <w:trHeight w:val="205"/>
        </w:trPr>
        <w:tc>
          <w:tcPr>
            <w:tcW w:w="5000" w:type="dxa"/>
            <w:vAlign w:val="bottom"/>
            <w:tcBorders>
              <w:top w:val="single" w:sz="8" w:color="CCEEFF"/>
            </w:tcBorders>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Financial services income before income taxes</w:t>
            </w:r>
          </w:p>
        </w:tc>
        <w:tc>
          <w:tcPr>
            <w:tcW w:w="340" w:type="dxa"/>
            <w:vAlign w:val="bottom"/>
            <w:tcBorders>
              <w:top w:val="single" w:sz="8" w:color="auto"/>
              <w:bottom w:val="single" w:sz="8" w:color="auto"/>
            </w:tcBorders>
            <w:shd w:val="clear" w:color="auto" w:fill="CCEEFF"/>
          </w:tcPr>
          <w:p>
            <w:pPr>
              <w:spacing w:after="0"/>
              <w:rPr>
                <w:sz w:val="17"/>
                <w:szCs w:val="17"/>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5,906</w:t>
            </w:r>
          </w:p>
        </w:tc>
        <w:tc>
          <w:tcPr>
            <w:tcW w:w="1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bottom w:val="single" w:sz="8" w:color="auto"/>
            </w:tcBorders>
            <w:shd w:val="clear" w:color="auto" w:fill="CCEEFF"/>
          </w:tcPr>
          <w:p>
            <w:pPr>
              <w:spacing w:after="0"/>
              <w:rPr>
                <w:sz w:val="17"/>
                <w:szCs w:val="17"/>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5,145</w:t>
            </w:r>
          </w:p>
        </w:tc>
        <w:tc>
          <w:tcPr>
            <w:tcW w:w="12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bottom w:val="single" w:sz="8" w:color="auto"/>
            </w:tcBorders>
            <w:shd w:val="clear" w:color="auto" w:fill="CCEEFF"/>
          </w:tcPr>
          <w:p>
            <w:pPr>
              <w:spacing w:after="0"/>
              <w:rPr>
                <w:sz w:val="17"/>
                <w:szCs w:val="17"/>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9,396</w:t>
            </w:r>
          </w:p>
        </w:tc>
        <w:tc>
          <w:tcPr>
            <w:tcW w:w="18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bottom w:val="single" w:sz="8" w:color="auto"/>
            </w:tcBorders>
            <w:shd w:val="clear" w:color="auto" w:fill="CCEEFF"/>
          </w:tcPr>
          <w:p>
            <w:pPr>
              <w:spacing w:after="0"/>
              <w:rPr>
                <w:sz w:val="17"/>
                <w:szCs w:val="17"/>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8,534</w:t>
            </w:r>
          </w:p>
        </w:tc>
      </w:tr>
      <w:tr>
        <w:trPr>
          <w:trHeight w:val="199"/>
        </w:trPr>
        <w:tc>
          <w:tcPr>
            <w:tcW w:w="50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Income before income taxes</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183,874</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157,134</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302,598</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251,537</w:t>
            </w:r>
          </w:p>
        </w:tc>
      </w:tr>
      <w:tr>
        <w:trPr>
          <w:trHeight w:val="212"/>
        </w:trPr>
        <w:tc>
          <w:tcPr>
            <w:tcW w:w="5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Provision for income taxes</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(45,936)</w:t>
            </w:r>
          </w:p>
        </w:tc>
        <w:tc>
          <w:tcPr>
            <w:tcW w:w="1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(39,265)</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(76,161)</w:t>
            </w:r>
          </w:p>
        </w:tc>
        <w:tc>
          <w:tcPr>
            <w:tcW w:w="18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(62,866)</w:t>
            </w:r>
          </w:p>
        </w:tc>
      </w:tr>
      <w:tr>
        <w:trPr>
          <w:trHeight w:val="199"/>
        </w:trPr>
        <w:tc>
          <w:tcPr>
            <w:tcW w:w="5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Net income</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137,938</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117,869</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226,437</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188,671</w:t>
            </w:r>
          </w:p>
        </w:tc>
      </w:tr>
      <w:tr>
        <w:trPr>
          <w:trHeight w:val="209"/>
        </w:trPr>
        <w:tc>
          <w:tcPr>
            <w:tcW w:w="5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income attributable to noncontrolling interests</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(1,555)</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(2,576)</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05"/>
        </w:trPr>
        <w:tc>
          <w:tcPr>
            <w:tcW w:w="5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Net income available to common stockholders</w:t>
            </w:r>
          </w:p>
        </w:tc>
        <w:tc>
          <w:tcPr>
            <w:tcW w:w="340" w:type="dxa"/>
            <w:vAlign w:val="bottom"/>
            <w:tcBorders>
              <w:top w:val="single" w:sz="8" w:color="auto"/>
              <w:bottom w:val="single" w:sz="8" w:color="auto"/>
            </w:tcBorders>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136,383</w:t>
            </w:r>
          </w:p>
        </w:tc>
        <w:tc>
          <w:tcPr>
            <w:tcW w:w="12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117,869</w:t>
            </w:r>
          </w:p>
        </w:tc>
        <w:tc>
          <w:tcPr>
            <w:tcW w:w="120" w:type="dxa"/>
            <w:vAlign w:val="bottom"/>
          </w:tcPr>
          <w:p>
            <w:pPr>
              <w:spacing w:after="0"/>
              <w:rPr>
                <w:sz w:val="17"/>
                <w:szCs w:val="17"/>
                <w:color w:val="auto"/>
              </w:rPr>
            </w:pPr>
          </w:p>
        </w:tc>
        <w:tc>
          <w:tcPr>
            <w:tcW w:w="360" w:type="dxa"/>
            <w:vAlign w:val="bottom"/>
            <w:tcBorders>
              <w:top w:val="single" w:sz="8" w:color="auto"/>
              <w:bottom w:val="single" w:sz="8" w:color="auto"/>
            </w:tcBorders>
          </w:tcPr>
          <w:p>
            <w:pPr>
              <w:jc w:val="right"/>
              <w:ind w:right="18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223,861</w:t>
            </w:r>
          </w:p>
        </w:tc>
        <w:tc>
          <w:tcPr>
            <w:tcW w:w="180" w:type="dxa"/>
            <w:vAlign w:val="bottom"/>
          </w:tcPr>
          <w:p>
            <w:pPr>
              <w:spacing w:after="0"/>
              <w:rPr>
                <w:sz w:val="17"/>
                <w:szCs w:val="17"/>
                <w:color w:val="auto"/>
              </w:rPr>
            </w:pPr>
          </w:p>
        </w:tc>
        <w:tc>
          <w:tcPr>
            <w:tcW w:w="340" w:type="dxa"/>
            <w:vAlign w:val="bottom"/>
            <w:tcBorders>
              <w:top w:val="single" w:sz="8" w:color="auto"/>
              <w:bottom w:val="single" w:sz="8" w:color="auto"/>
            </w:tcBorders>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188,671</w:t>
            </w:r>
          </w:p>
        </w:tc>
      </w:tr>
      <w:tr>
        <w:trPr>
          <w:trHeight w:val="20"/>
        </w:trPr>
        <w:tc>
          <w:tcPr>
            <w:tcW w:w="50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181"/>
        </w:trPr>
        <w:tc>
          <w:tcPr>
            <w:tcW w:w="5000" w:type="dxa"/>
            <w:vAlign w:val="bottom"/>
            <w:tcBorders>
              <w:bottom w:val="single" w:sz="8" w:color="CCEEFF"/>
            </w:tcBorders>
            <w:shd w:val="clear" w:color="auto" w:fill="CCEEFF"/>
          </w:tcPr>
          <w:p>
            <w:pPr>
              <w:ind w:left="20"/>
              <w:spacing w:after="0" w:line="170" w:lineRule="exact"/>
              <w:rPr>
                <w:sz w:val="20"/>
                <w:szCs w:val="20"/>
                <w:color w:val="auto"/>
              </w:rPr>
            </w:pPr>
            <w:r>
              <w:rPr>
                <w:rFonts w:ascii="Times New Roman" w:cs="Times New Roman" w:eastAsia="Times New Roman" w:hAnsi="Times New Roman"/>
                <w:sz w:val="16"/>
                <w:szCs w:val="16"/>
                <w:color w:val="auto"/>
              </w:rPr>
              <w:t>Earnings per share</w:t>
            </w:r>
          </w:p>
        </w:tc>
        <w:tc>
          <w:tcPr>
            <w:tcW w:w="34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12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spacing w:after="0"/>
              <w:rPr>
                <w:sz w:val="15"/>
                <w:szCs w:val="15"/>
                <w:color w:val="auto"/>
              </w:rPr>
            </w:pPr>
          </w:p>
        </w:tc>
        <w:tc>
          <w:tcPr>
            <w:tcW w:w="1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120" w:type="dxa"/>
            <w:vAlign w:val="bottom"/>
            <w:tcBorders>
              <w:bottom w:val="single" w:sz="8" w:color="CCEEFF"/>
            </w:tcBorders>
            <w:shd w:val="clear" w:color="auto" w:fill="CCEEFF"/>
          </w:tcPr>
          <w:p>
            <w:pPr>
              <w:spacing w:after="0"/>
              <w:rPr>
                <w:sz w:val="15"/>
                <w:szCs w:val="15"/>
                <w:color w:val="auto"/>
              </w:rPr>
            </w:pPr>
          </w:p>
        </w:tc>
      </w:tr>
      <w:tr>
        <w:trPr>
          <w:trHeight w:val="206"/>
        </w:trPr>
        <w:tc>
          <w:tcPr>
            <w:tcW w:w="500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Basic</w:t>
            </w: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1.33</w:t>
            </w:r>
          </w:p>
        </w:tc>
        <w:tc>
          <w:tcPr>
            <w:tcW w:w="12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1.01</w:t>
            </w:r>
          </w:p>
        </w:tc>
        <w:tc>
          <w:tcPr>
            <w:tcW w:w="120" w:type="dxa"/>
            <w:vAlign w:val="bottom"/>
          </w:tcPr>
          <w:p>
            <w:pPr>
              <w:spacing w:after="0"/>
              <w:rPr>
                <w:sz w:val="17"/>
                <w:szCs w:val="17"/>
                <w:color w:val="auto"/>
              </w:rPr>
            </w:pPr>
          </w:p>
        </w:tc>
        <w:tc>
          <w:tcPr>
            <w:tcW w:w="360" w:type="dxa"/>
            <w:vAlign w:val="bottom"/>
          </w:tcPr>
          <w:p>
            <w:pPr>
              <w:jc w:val="right"/>
              <w:ind w:right="18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2.14</w:t>
            </w:r>
          </w:p>
        </w:tc>
        <w:tc>
          <w:tcPr>
            <w:tcW w:w="18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1.60</w:t>
            </w:r>
          </w:p>
        </w:tc>
      </w:tr>
      <w:tr>
        <w:trPr>
          <w:trHeight w:val="212"/>
        </w:trPr>
        <w:tc>
          <w:tcPr>
            <w:tcW w:w="50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Diluted</w:t>
            </w:r>
          </w:p>
        </w:tc>
        <w:tc>
          <w:tcPr>
            <w:tcW w:w="340" w:type="dxa"/>
            <w:vAlign w:val="bottom"/>
            <w:shd w:val="clear" w:color="auto" w:fill="CCEEFF"/>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1.33</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1.00</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82"/>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2.12</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1.59</w:t>
            </w:r>
          </w:p>
        </w:tc>
      </w:tr>
      <w:tr>
        <w:trPr>
          <w:trHeight w:val="206"/>
        </w:trPr>
        <w:tc>
          <w:tcPr>
            <w:tcW w:w="5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Weighted average shares outstanding</w:t>
            </w: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spacing w:after="0"/>
              <w:rPr>
                <w:sz w:val="17"/>
                <w:szCs w:val="17"/>
                <w:color w:val="auto"/>
              </w:rPr>
            </w:pPr>
          </w:p>
        </w:tc>
      </w:tr>
      <w:tr>
        <w:trPr>
          <w:trHeight w:val="212"/>
        </w:trPr>
        <w:tc>
          <w:tcPr>
            <w:tcW w:w="50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Basic</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102,164,377</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116,824,108</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104,731,388</w:t>
            </w: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118,082,691</w:t>
            </w:r>
          </w:p>
        </w:tc>
      </w:tr>
      <w:tr>
        <w:trPr>
          <w:trHeight w:val="204"/>
        </w:trPr>
        <w:tc>
          <w:tcPr>
            <w:tcW w:w="500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Diluted</w:t>
            </w: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102,787,919</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117,770,084</w:t>
            </w: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105,478,446</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118,921,340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7</w:t>
      </w:r>
    </w:p>
    <w:p>
      <w:pPr>
        <w:sectPr>
          <w:pgSz w:w="11900" w:h="16838" w:orient="portrait"/>
          <w:cols w:equalWidth="0" w:num="1">
            <w:col w:w="11240"/>
          </w:cols>
          <w:pgMar w:left="320" w:top="1374" w:right="3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MARKET DATA BY REPORTING SEGMENT &amp; GEOGRAPHY</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(dollars in thousands)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7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320" w:type="dxa"/>
            <w:vAlign w:val="bottom"/>
            <w:gridSpan w:val="4"/>
          </w:tcPr>
          <w:p>
            <w:pPr>
              <w:ind w:left="2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1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920" w:type="dxa"/>
            <w:vAlign w:val="bottom"/>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3"/>
        </w:trPr>
        <w:tc>
          <w:tcPr>
            <w:tcW w:w="172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gridSpan w:val="2"/>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183"/>
        </w:trPr>
        <w:tc>
          <w:tcPr>
            <w:tcW w:w="172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9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920" w:type="dxa"/>
            <w:vAlign w:val="bottom"/>
            <w:tcBorders>
              <w:bottom w:val="single" w:sz="8" w:color="auto"/>
            </w:tcBorders>
          </w:tcPr>
          <w:p>
            <w:pPr>
              <w:spacing w:after="0"/>
              <w:rPr>
                <w:sz w:val="15"/>
                <w:szCs w:val="15"/>
                <w:color w:val="auto"/>
              </w:rPr>
            </w:pPr>
          </w:p>
        </w:tc>
      </w:tr>
      <w:tr>
        <w:trPr>
          <w:trHeight w:val="130"/>
        </w:trPr>
        <w:tc>
          <w:tcPr>
            <w:tcW w:w="1720" w:type="dxa"/>
            <w:vAlign w:val="bottom"/>
          </w:tcPr>
          <w:p>
            <w:pPr>
              <w:spacing w:after="0"/>
              <w:rPr>
                <w:sz w:val="11"/>
                <w:szCs w:val="11"/>
                <w:color w:val="auto"/>
              </w:rPr>
            </w:pPr>
          </w:p>
        </w:tc>
        <w:tc>
          <w:tcPr>
            <w:tcW w:w="90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New</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w w:val="96"/>
              </w:rPr>
              <w:t>Average</w:t>
            </w:r>
          </w:p>
        </w:tc>
        <w:tc>
          <w:tcPr>
            <w:tcW w:w="100" w:type="dxa"/>
            <w:vAlign w:val="bottom"/>
          </w:tcPr>
          <w:p>
            <w:pPr>
              <w:spacing w:after="0"/>
              <w:rPr>
                <w:sz w:val="11"/>
                <w:szCs w:val="11"/>
                <w:color w:val="auto"/>
              </w:rPr>
            </w:pPr>
          </w:p>
        </w:tc>
        <w:tc>
          <w:tcPr>
            <w:tcW w:w="1320" w:type="dxa"/>
            <w:vAlign w:val="bottom"/>
            <w:gridSpan w:val="2"/>
          </w:tcPr>
          <w:p>
            <w:pPr>
              <w:jc w:val="center"/>
              <w:ind w:right="100"/>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New</w:t>
            </w:r>
          </w:p>
        </w:tc>
        <w:tc>
          <w:tcPr>
            <w:tcW w:w="180" w:type="dxa"/>
            <w:vAlign w:val="bottom"/>
          </w:tcPr>
          <w:p>
            <w:pPr>
              <w:spacing w:after="0"/>
              <w:rPr>
                <w:sz w:val="11"/>
                <w:szCs w:val="11"/>
                <w:color w:val="auto"/>
              </w:rPr>
            </w:pPr>
          </w:p>
        </w:tc>
        <w:tc>
          <w:tcPr>
            <w:tcW w:w="1080" w:type="dxa"/>
            <w:vAlign w:val="bottom"/>
          </w:tcPr>
          <w:p>
            <w:pPr>
              <w:jc w:val="center"/>
              <w:ind w:right="90"/>
              <w:spacing w:after="0" w:line="130" w:lineRule="exact"/>
              <w:rPr>
                <w:sz w:val="20"/>
                <w:szCs w:val="20"/>
                <w:color w:val="auto"/>
              </w:rPr>
            </w:pPr>
            <w:r>
              <w:rPr>
                <w:rFonts w:ascii="Times New Roman" w:cs="Times New Roman" w:eastAsia="Times New Roman" w:hAnsi="Times New Roman"/>
                <w:sz w:val="14"/>
                <w:szCs w:val="14"/>
                <w:b w:val="1"/>
                <w:bCs w:val="1"/>
                <w:color w:val="auto"/>
                <w:w w:val="96"/>
              </w:rPr>
              <w:t>Average</w:t>
            </w:r>
          </w:p>
        </w:tc>
        <w:tc>
          <w:tcPr>
            <w:tcW w:w="100" w:type="dxa"/>
            <w:vAlign w:val="bottom"/>
          </w:tcPr>
          <w:p>
            <w:pPr>
              <w:spacing w:after="0"/>
              <w:rPr>
                <w:sz w:val="11"/>
                <w:szCs w:val="11"/>
                <w:color w:val="auto"/>
              </w:rPr>
            </w:pPr>
          </w:p>
        </w:tc>
        <w:tc>
          <w:tcPr>
            <w:tcW w:w="92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New</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rPr>
              <w:t>Average</w:t>
            </w:r>
          </w:p>
        </w:tc>
        <w:tc>
          <w:tcPr>
            <w:tcW w:w="80" w:type="dxa"/>
            <w:vAlign w:val="bottom"/>
          </w:tcPr>
          <w:p>
            <w:pPr>
              <w:spacing w:after="0"/>
              <w:rPr>
                <w:sz w:val="11"/>
                <w:szCs w:val="11"/>
                <w:color w:val="auto"/>
              </w:rPr>
            </w:pPr>
          </w:p>
        </w:tc>
        <w:tc>
          <w:tcPr>
            <w:tcW w:w="92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New</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rPr>
              <w:t>Average</w:t>
            </w:r>
          </w:p>
        </w:tc>
      </w:tr>
      <w:tr>
        <w:trPr>
          <w:trHeight w:val="132"/>
        </w:trPr>
        <w:tc>
          <w:tcPr>
            <w:tcW w:w="1720" w:type="dxa"/>
            <w:vAlign w:val="bottom"/>
          </w:tcPr>
          <w:p>
            <w:pPr>
              <w:spacing w:after="0"/>
              <w:rPr>
                <w:sz w:val="11"/>
                <w:szCs w:val="11"/>
                <w:color w:val="auto"/>
              </w:rPr>
            </w:pPr>
          </w:p>
        </w:tc>
        <w:tc>
          <w:tcPr>
            <w:tcW w:w="90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Homes</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0" w:type="dxa"/>
            <w:vAlign w:val="bottom"/>
            <w:gridSpan w:val="2"/>
          </w:tcPr>
          <w:p>
            <w:pPr>
              <w:jc w:val="center"/>
              <w:ind w:right="42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Sales</w:t>
            </w:r>
          </w:p>
        </w:tc>
        <w:tc>
          <w:tcPr>
            <w:tcW w:w="1320" w:type="dxa"/>
            <w:vAlign w:val="bottom"/>
            <w:gridSpan w:val="2"/>
          </w:tcPr>
          <w:p>
            <w:pPr>
              <w:jc w:val="center"/>
              <w:ind w:right="80"/>
              <w:spacing w:after="0" w:line="133" w:lineRule="exact"/>
              <w:rPr>
                <w:sz w:val="20"/>
                <w:szCs w:val="20"/>
                <w:color w:val="auto"/>
              </w:rPr>
            </w:pPr>
            <w:r>
              <w:rPr>
                <w:rFonts w:ascii="Times New Roman" w:cs="Times New Roman" w:eastAsia="Times New Roman" w:hAnsi="Times New Roman"/>
                <w:sz w:val="14"/>
                <w:szCs w:val="14"/>
                <w:b w:val="1"/>
                <w:bCs w:val="1"/>
                <w:color w:val="auto"/>
                <w:w w:val="96"/>
              </w:rPr>
              <w:t>Homes</w:t>
            </w:r>
          </w:p>
        </w:tc>
        <w:tc>
          <w:tcPr>
            <w:tcW w:w="180" w:type="dxa"/>
            <w:vAlign w:val="bottom"/>
          </w:tcPr>
          <w:p>
            <w:pPr>
              <w:spacing w:after="0"/>
              <w:rPr>
                <w:sz w:val="11"/>
                <w:szCs w:val="11"/>
                <w:color w:val="auto"/>
              </w:rPr>
            </w:pPr>
          </w:p>
        </w:tc>
        <w:tc>
          <w:tcPr>
            <w:tcW w:w="1180" w:type="dxa"/>
            <w:vAlign w:val="bottom"/>
            <w:gridSpan w:val="2"/>
          </w:tcPr>
          <w:p>
            <w:pPr>
              <w:jc w:val="center"/>
              <w:ind w:right="28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Sales</w:t>
            </w:r>
          </w:p>
        </w:tc>
        <w:tc>
          <w:tcPr>
            <w:tcW w:w="92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Homes</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38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Sales</w:t>
            </w:r>
          </w:p>
        </w:tc>
        <w:tc>
          <w:tcPr>
            <w:tcW w:w="92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Homes</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Sales</w:t>
            </w:r>
          </w:p>
        </w:tc>
      </w:tr>
      <w:tr>
        <w:trPr>
          <w:trHeight w:val="184"/>
        </w:trPr>
        <w:tc>
          <w:tcPr>
            <w:tcW w:w="17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Delivered</w:t>
            </w: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Price</w:t>
            </w:r>
          </w:p>
        </w:tc>
        <w:tc>
          <w:tcPr>
            <w:tcW w:w="1320" w:type="dxa"/>
            <w:vAlign w:val="bottom"/>
            <w:gridSpan w:val="2"/>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7"/>
              </w:rPr>
              <w:t>Delivered</w:t>
            </w:r>
          </w:p>
        </w:tc>
        <w:tc>
          <w:tcPr>
            <w:tcW w:w="18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Price</w:t>
            </w:r>
          </w:p>
        </w:tc>
        <w:tc>
          <w:tcPr>
            <w:tcW w:w="9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Delivered</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w w:val="96"/>
              </w:rPr>
              <w:t>Price</w:t>
            </w:r>
          </w:p>
        </w:tc>
        <w:tc>
          <w:tcPr>
            <w:tcW w:w="9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Delivered</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jc w:val="center"/>
              <w:ind w:right="230"/>
              <w:spacing w:after="0"/>
              <w:rPr>
                <w:sz w:val="20"/>
                <w:szCs w:val="20"/>
                <w:color w:val="auto"/>
              </w:rPr>
            </w:pPr>
            <w:r>
              <w:rPr>
                <w:rFonts w:ascii="Times New Roman" w:cs="Times New Roman" w:eastAsia="Times New Roman" w:hAnsi="Times New Roman"/>
                <w:sz w:val="14"/>
                <w:szCs w:val="14"/>
                <w:b w:val="1"/>
                <w:bCs w:val="1"/>
                <w:color w:val="auto"/>
                <w:w w:val="96"/>
              </w:rPr>
              <w:t>Price</w:t>
            </w:r>
          </w:p>
        </w:tc>
      </w:tr>
      <w:tr>
        <w:trPr>
          <w:trHeight w:val="23"/>
        </w:trPr>
        <w:tc>
          <w:tcPr>
            <w:tcW w:w="1720" w:type="dxa"/>
            <w:vAlign w:val="bottom"/>
          </w:tcPr>
          <w:p>
            <w:pPr>
              <w:spacing w:after="0"/>
              <w:rPr>
                <w:sz w:val="2"/>
                <w:szCs w:val="2"/>
                <w:color w:val="auto"/>
              </w:rPr>
            </w:pPr>
          </w:p>
        </w:tc>
        <w:tc>
          <w:tcPr>
            <w:tcW w:w="90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196"/>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Arizona</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127</w:t>
            </w:r>
          </w:p>
        </w:tc>
        <w:tc>
          <w:tcPr>
            <w:tcW w:w="400" w:type="dxa"/>
            <w:vAlign w:val="bottom"/>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732</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223</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652</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197</w:t>
            </w:r>
          </w:p>
        </w:tc>
        <w:tc>
          <w:tcPr>
            <w:tcW w:w="380" w:type="dxa"/>
            <w:vAlign w:val="bottom"/>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733</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383</w:t>
            </w:r>
          </w:p>
        </w:tc>
        <w:tc>
          <w:tcPr>
            <w:tcW w:w="400" w:type="dxa"/>
            <w:vAlign w:val="bottom"/>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658</w:t>
            </w:r>
          </w:p>
        </w:tc>
      </w:tr>
      <w:tr>
        <w:trPr>
          <w:trHeight w:val="189"/>
        </w:trPr>
        <w:tc>
          <w:tcPr>
            <w:tcW w:w="17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California</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579</w:t>
            </w: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698</w:t>
            </w:r>
          </w:p>
        </w:tc>
        <w:tc>
          <w:tcPr>
            <w:tcW w:w="1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698</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705</w:t>
            </w:r>
          </w:p>
        </w:tc>
        <w:tc>
          <w:tcPr>
            <w:tcW w:w="10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1,093</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690</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1,155</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692</w:t>
            </w:r>
          </w:p>
        </w:tc>
      </w:tr>
      <w:tr>
        <w:trPr>
          <w:trHeight w:val="203"/>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Nevada</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724</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127</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589</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241</w:t>
            </w: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711</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201</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602</w:t>
            </w:r>
          </w:p>
        </w:tc>
      </w:tr>
      <w:tr>
        <w:trPr>
          <w:trHeight w:val="189"/>
        </w:trPr>
        <w:tc>
          <w:tcPr>
            <w:tcW w:w="172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4"/>
                <w:szCs w:val="14"/>
                <w:color w:val="auto"/>
              </w:rPr>
              <w:t>Washington</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54</w:t>
            </w:r>
          </w:p>
        </w:tc>
        <w:tc>
          <w:tcPr>
            <w:tcW w:w="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1,092</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69</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968</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126</w:t>
            </w:r>
          </w:p>
        </w:tc>
        <w:tc>
          <w:tcPr>
            <w:tcW w:w="8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1,023</w:t>
            </w:r>
          </w:p>
        </w:tc>
        <w:tc>
          <w:tcPr>
            <w:tcW w:w="8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147</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985</w:t>
            </w:r>
          </w:p>
        </w:tc>
      </w:tr>
      <w:tr>
        <w:trPr>
          <w:trHeight w:val="196"/>
        </w:trPr>
        <w:tc>
          <w:tcPr>
            <w:tcW w:w="172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West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917</w:t>
            </w:r>
          </w:p>
        </w:tc>
        <w:tc>
          <w:tcPr>
            <w:tcW w:w="8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731</w:t>
            </w:r>
          </w:p>
        </w:tc>
        <w:tc>
          <w:tcPr>
            <w:tcW w:w="100" w:type="dxa"/>
            <w:vAlign w:val="bottom"/>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1,117</w:t>
            </w: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697</w:t>
            </w:r>
          </w:p>
        </w:tc>
        <w:tc>
          <w:tcPr>
            <w:tcW w:w="10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1,657</w:t>
            </w:r>
          </w:p>
        </w:tc>
        <w:tc>
          <w:tcPr>
            <w:tcW w:w="8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723</w:t>
            </w:r>
          </w:p>
        </w:tc>
        <w:tc>
          <w:tcPr>
            <w:tcW w:w="8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1,886</w:t>
            </w: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698</w:t>
            </w:r>
          </w:p>
        </w:tc>
      </w:tr>
      <w:tr>
        <w:trPr>
          <w:trHeight w:val="182"/>
        </w:trPr>
        <w:tc>
          <w:tcPr>
            <w:tcW w:w="17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Colorado</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76</w:t>
            </w: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682</w:t>
            </w:r>
          </w:p>
        </w:tc>
        <w:tc>
          <w:tcPr>
            <w:tcW w:w="10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59</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568</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119</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662</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99</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582</w:t>
            </w:r>
          </w:p>
        </w:tc>
      </w:tr>
      <w:tr>
        <w:trPr>
          <w:trHeight w:val="203"/>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Texas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318</w:t>
            </w:r>
          </w:p>
        </w:tc>
        <w:tc>
          <w:tcPr>
            <w:tcW w:w="8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511</w:t>
            </w:r>
          </w:p>
        </w:tc>
        <w:tc>
          <w:tcPr>
            <w:tcW w:w="100" w:type="dxa"/>
            <w:vAlign w:val="bottom"/>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233</w:t>
            </w: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498</w:t>
            </w:r>
          </w:p>
        </w:tc>
        <w:tc>
          <w:tcPr>
            <w:tcW w:w="10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538</w:t>
            </w:r>
          </w:p>
        </w:tc>
        <w:tc>
          <w:tcPr>
            <w:tcW w:w="8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507</w:t>
            </w:r>
          </w:p>
        </w:tc>
        <w:tc>
          <w:tcPr>
            <w:tcW w:w="8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447</w:t>
            </w: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w:t>
            </w:r>
          </w:p>
        </w:tc>
      </w:tr>
      <w:tr>
        <w:trPr>
          <w:trHeight w:val="182"/>
        </w:trPr>
        <w:tc>
          <w:tcPr>
            <w:tcW w:w="172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4"/>
                <w:szCs w:val="14"/>
                <w:color w:val="auto"/>
              </w:rPr>
              <w:t>Central total</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394</w:t>
            </w:r>
          </w:p>
        </w:tc>
        <w:tc>
          <w:tcPr>
            <w:tcW w:w="8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544</w:t>
            </w:r>
          </w:p>
        </w:tc>
        <w:tc>
          <w:tcPr>
            <w:tcW w:w="100" w:type="dxa"/>
            <w:vAlign w:val="bottom"/>
            <w:tcBorders>
              <w:bottom w:val="single" w:sz="8" w:color="CCEEFF"/>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292</w:t>
            </w:r>
          </w:p>
        </w:tc>
        <w:tc>
          <w:tcPr>
            <w:tcW w:w="8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512</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657</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535</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546</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496</w:t>
            </w:r>
          </w:p>
        </w:tc>
      </w:tr>
      <w:tr>
        <w:trPr>
          <w:trHeight w:val="196"/>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Carolinas(1)</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462</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407</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72</w:t>
            </w: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458</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381</w:t>
            </w:r>
          </w:p>
        </w:tc>
      </w:tr>
      <w:tr>
        <w:trPr>
          <w:trHeight w:val="189"/>
        </w:trPr>
        <w:tc>
          <w:tcPr>
            <w:tcW w:w="172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4"/>
                <w:szCs w:val="14"/>
                <w:color w:val="auto"/>
                <w:w w:val="99"/>
              </w:rPr>
              <w:t>Washington D.C. Area(2)</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130</w:t>
            </w:r>
          </w:p>
        </w:tc>
        <w:tc>
          <w:tcPr>
            <w:tcW w:w="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770</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115</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628</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198</w:t>
            </w:r>
          </w:p>
        </w:tc>
        <w:tc>
          <w:tcPr>
            <w:tcW w:w="8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744</w:t>
            </w:r>
          </w:p>
        </w:tc>
        <w:tc>
          <w:tcPr>
            <w:tcW w:w="8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618</w:t>
            </w:r>
          </w:p>
        </w:tc>
      </w:tr>
      <w:tr>
        <w:trPr>
          <w:trHeight w:val="196"/>
        </w:trPr>
        <w:tc>
          <w:tcPr>
            <w:tcW w:w="172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East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174</w:t>
            </w:r>
          </w:p>
        </w:tc>
        <w:tc>
          <w:tcPr>
            <w:tcW w:w="8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692</w:t>
            </w:r>
          </w:p>
        </w:tc>
        <w:tc>
          <w:tcPr>
            <w:tcW w:w="100" w:type="dxa"/>
            <w:vAlign w:val="bottom"/>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136</w:t>
            </w: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594</w:t>
            </w:r>
          </w:p>
        </w:tc>
        <w:tc>
          <w:tcPr>
            <w:tcW w:w="10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270</w:t>
            </w:r>
          </w:p>
        </w:tc>
        <w:tc>
          <w:tcPr>
            <w:tcW w:w="8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668</w:t>
            </w:r>
          </w:p>
        </w:tc>
        <w:tc>
          <w:tcPr>
            <w:tcW w:w="8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239</w:t>
            </w: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579</w:t>
            </w:r>
          </w:p>
        </w:tc>
      </w:tr>
      <w:tr>
        <w:trPr>
          <w:trHeight w:val="189"/>
        </w:trPr>
        <w:tc>
          <w:tcPr>
            <w:tcW w:w="172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Total</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1,485</w:t>
            </w:r>
          </w:p>
        </w:tc>
        <w:tc>
          <w:tcPr>
            <w:tcW w:w="80" w:type="dxa"/>
            <w:vAlign w:val="bottom"/>
          </w:tcPr>
          <w:p>
            <w:pPr>
              <w:spacing w:after="0"/>
              <w:rPr>
                <w:sz w:val="16"/>
                <w:szCs w:val="16"/>
                <w:color w:val="auto"/>
              </w:rPr>
            </w:pPr>
          </w:p>
        </w:tc>
        <w:tc>
          <w:tcPr>
            <w:tcW w:w="32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677</w:t>
            </w:r>
          </w:p>
        </w:tc>
        <w:tc>
          <w:tcPr>
            <w:tcW w:w="100" w:type="dxa"/>
            <w:vAlign w:val="bottom"/>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1,545</w:t>
            </w:r>
          </w:p>
        </w:tc>
        <w:tc>
          <w:tcPr>
            <w:tcW w:w="80" w:type="dxa"/>
            <w:vAlign w:val="bottom"/>
          </w:tcPr>
          <w:p>
            <w:pPr>
              <w:spacing w:after="0"/>
              <w:rPr>
                <w:sz w:val="16"/>
                <w:szCs w:val="16"/>
                <w:color w:val="auto"/>
              </w:rPr>
            </w:pPr>
          </w:p>
        </w:tc>
        <w:tc>
          <w:tcPr>
            <w:tcW w:w="1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653</w:t>
            </w:r>
          </w:p>
        </w:tc>
        <w:tc>
          <w:tcPr>
            <w:tcW w:w="100" w:type="dxa"/>
            <w:vAlign w:val="bottom"/>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2,584</w:t>
            </w:r>
          </w:p>
        </w:tc>
        <w:tc>
          <w:tcPr>
            <w:tcW w:w="80" w:type="dxa"/>
            <w:vAlign w:val="bottom"/>
          </w:tcPr>
          <w:p>
            <w:pPr>
              <w:spacing w:after="0"/>
              <w:rPr>
                <w:sz w:val="16"/>
                <w:szCs w:val="16"/>
                <w:color w:val="auto"/>
              </w:rPr>
            </w:pPr>
          </w:p>
        </w:tc>
        <w:tc>
          <w:tcPr>
            <w:tcW w:w="30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4"/>
                <w:szCs w:val="14"/>
                <w:color w:val="auto"/>
                <w:w w:val="85"/>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669</w:t>
            </w:r>
          </w:p>
        </w:tc>
        <w:tc>
          <w:tcPr>
            <w:tcW w:w="80" w:type="dxa"/>
            <w:vAlign w:val="bottom"/>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2,671</w:t>
            </w:r>
          </w:p>
        </w:tc>
        <w:tc>
          <w:tcPr>
            <w:tcW w:w="100" w:type="dxa"/>
            <w:vAlign w:val="bottom"/>
          </w:tcPr>
          <w:p>
            <w:pPr>
              <w:spacing w:after="0"/>
              <w:rPr>
                <w:sz w:val="16"/>
                <w:szCs w:val="16"/>
                <w:color w:val="auto"/>
              </w:rPr>
            </w:pPr>
          </w:p>
        </w:tc>
        <w:tc>
          <w:tcPr>
            <w:tcW w:w="30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4"/>
                <w:szCs w:val="14"/>
                <w:color w:val="auto"/>
                <w:w w:val="85"/>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646</w:t>
            </w:r>
          </w:p>
        </w:tc>
      </w:tr>
      <w:tr>
        <w:trPr>
          <w:trHeight w:val="20"/>
        </w:trPr>
        <w:tc>
          <w:tcPr>
            <w:tcW w:w="17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400"/>
        </w:trPr>
        <w:tc>
          <w:tcPr>
            <w:tcW w:w="17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320" w:type="dxa"/>
            <w:vAlign w:val="bottom"/>
            <w:gridSpan w:val="4"/>
          </w:tcPr>
          <w:p>
            <w:pPr>
              <w:ind w:left="2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920" w:type="dxa"/>
            <w:vAlign w:val="bottom"/>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3"/>
        </w:trPr>
        <w:tc>
          <w:tcPr>
            <w:tcW w:w="172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3"/>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gridSpan w:val="2"/>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183"/>
        </w:trPr>
        <w:tc>
          <w:tcPr>
            <w:tcW w:w="1720" w:type="dxa"/>
            <w:vAlign w:val="bottom"/>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9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920" w:type="dxa"/>
            <w:vAlign w:val="bottom"/>
            <w:tcBorders>
              <w:bottom w:val="single" w:sz="8" w:color="auto"/>
            </w:tcBorders>
          </w:tcPr>
          <w:p>
            <w:pPr>
              <w:spacing w:after="0"/>
              <w:rPr>
                <w:sz w:val="15"/>
                <w:szCs w:val="15"/>
                <w:color w:val="auto"/>
              </w:rPr>
            </w:pPr>
          </w:p>
        </w:tc>
      </w:tr>
      <w:tr>
        <w:trPr>
          <w:trHeight w:val="130"/>
        </w:trPr>
        <w:tc>
          <w:tcPr>
            <w:tcW w:w="1720" w:type="dxa"/>
            <w:vAlign w:val="bottom"/>
          </w:tcPr>
          <w:p>
            <w:pPr>
              <w:spacing w:after="0"/>
              <w:rPr>
                <w:sz w:val="11"/>
                <w:szCs w:val="11"/>
                <w:color w:val="auto"/>
              </w:rPr>
            </w:pPr>
          </w:p>
        </w:tc>
        <w:tc>
          <w:tcPr>
            <w:tcW w:w="90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Net New</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0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w w:val="96"/>
              </w:rPr>
              <w:t>Average</w:t>
            </w:r>
          </w:p>
        </w:tc>
        <w:tc>
          <w:tcPr>
            <w:tcW w:w="100" w:type="dxa"/>
            <w:vAlign w:val="bottom"/>
          </w:tcPr>
          <w:p>
            <w:pPr>
              <w:spacing w:after="0"/>
              <w:rPr>
                <w:sz w:val="11"/>
                <w:szCs w:val="11"/>
                <w:color w:val="auto"/>
              </w:rPr>
            </w:pPr>
          </w:p>
        </w:tc>
        <w:tc>
          <w:tcPr>
            <w:tcW w:w="1320" w:type="dxa"/>
            <w:vAlign w:val="bottom"/>
            <w:gridSpan w:val="2"/>
          </w:tcPr>
          <w:p>
            <w:pPr>
              <w:jc w:val="center"/>
              <w:ind w:right="80"/>
              <w:spacing w:after="0" w:line="130" w:lineRule="exact"/>
              <w:rPr>
                <w:sz w:val="20"/>
                <w:szCs w:val="20"/>
                <w:color w:val="auto"/>
              </w:rPr>
            </w:pPr>
            <w:r>
              <w:rPr>
                <w:rFonts w:ascii="Times New Roman" w:cs="Times New Roman" w:eastAsia="Times New Roman" w:hAnsi="Times New Roman"/>
                <w:sz w:val="14"/>
                <w:szCs w:val="14"/>
                <w:b w:val="1"/>
                <w:bCs w:val="1"/>
                <w:color w:val="auto"/>
              </w:rPr>
              <w:t>Net New</w:t>
            </w:r>
          </w:p>
        </w:tc>
        <w:tc>
          <w:tcPr>
            <w:tcW w:w="180" w:type="dxa"/>
            <w:vAlign w:val="bottom"/>
          </w:tcPr>
          <w:p>
            <w:pPr>
              <w:spacing w:after="0"/>
              <w:rPr>
                <w:sz w:val="11"/>
                <w:szCs w:val="11"/>
                <w:color w:val="auto"/>
              </w:rPr>
            </w:pPr>
          </w:p>
        </w:tc>
        <w:tc>
          <w:tcPr>
            <w:tcW w:w="1080" w:type="dxa"/>
            <w:vAlign w:val="bottom"/>
          </w:tcPr>
          <w:p>
            <w:pPr>
              <w:jc w:val="center"/>
              <w:ind w:right="90"/>
              <w:spacing w:after="0" w:line="130" w:lineRule="exact"/>
              <w:rPr>
                <w:sz w:val="20"/>
                <w:szCs w:val="20"/>
                <w:color w:val="auto"/>
              </w:rPr>
            </w:pPr>
            <w:r>
              <w:rPr>
                <w:rFonts w:ascii="Times New Roman" w:cs="Times New Roman" w:eastAsia="Times New Roman" w:hAnsi="Times New Roman"/>
                <w:sz w:val="14"/>
                <w:szCs w:val="14"/>
                <w:b w:val="1"/>
                <w:bCs w:val="1"/>
                <w:color w:val="auto"/>
                <w:w w:val="96"/>
              </w:rPr>
              <w:t>Average</w:t>
            </w:r>
          </w:p>
        </w:tc>
        <w:tc>
          <w:tcPr>
            <w:tcW w:w="100" w:type="dxa"/>
            <w:vAlign w:val="bottom"/>
          </w:tcPr>
          <w:p>
            <w:pPr>
              <w:spacing w:after="0"/>
              <w:rPr>
                <w:sz w:val="11"/>
                <w:szCs w:val="11"/>
                <w:color w:val="auto"/>
              </w:rPr>
            </w:pPr>
          </w:p>
        </w:tc>
        <w:tc>
          <w:tcPr>
            <w:tcW w:w="92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Net New</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rPr>
              <w:t>Average</w:t>
            </w:r>
          </w:p>
        </w:tc>
        <w:tc>
          <w:tcPr>
            <w:tcW w:w="80" w:type="dxa"/>
            <w:vAlign w:val="bottom"/>
          </w:tcPr>
          <w:p>
            <w:pPr>
              <w:spacing w:after="0"/>
              <w:rPr>
                <w:sz w:val="11"/>
                <w:szCs w:val="11"/>
                <w:color w:val="auto"/>
              </w:rPr>
            </w:pPr>
          </w:p>
        </w:tc>
        <w:tc>
          <w:tcPr>
            <w:tcW w:w="920" w:type="dxa"/>
            <w:vAlign w:val="bottom"/>
          </w:tcPr>
          <w:p>
            <w:pPr>
              <w:jc w:val="center"/>
              <w:spacing w:after="0" w:line="130" w:lineRule="exact"/>
              <w:rPr>
                <w:sz w:val="20"/>
                <w:szCs w:val="20"/>
                <w:color w:val="auto"/>
              </w:rPr>
            </w:pPr>
            <w:r>
              <w:rPr>
                <w:rFonts w:ascii="Times New Roman" w:cs="Times New Roman" w:eastAsia="Times New Roman" w:hAnsi="Times New Roman"/>
                <w:sz w:val="14"/>
                <w:szCs w:val="14"/>
                <w:b w:val="1"/>
                <w:bCs w:val="1"/>
                <w:color w:val="auto"/>
                <w:w w:val="98"/>
              </w:rPr>
              <w:t>Net New</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0" w:lineRule="exact"/>
              <w:rPr>
                <w:sz w:val="20"/>
                <w:szCs w:val="20"/>
                <w:color w:val="auto"/>
              </w:rPr>
            </w:pPr>
            <w:r>
              <w:rPr>
                <w:rFonts w:ascii="Times New Roman" w:cs="Times New Roman" w:eastAsia="Times New Roman" w:hAnsi="Times New Roman"/>
                <w:sz w:val="14"/>
                <w:szCs w:val="14"/>
                <w:b w:val="1"/>
                <w:bCs w:val="1"/>
                <w:color w:val="auto"/>
              </w:rPr>
              <w:t>Average</w:t>
            </w:r>
          </w:p>
        </w:tc>
      </w:tr>
      <w:tr>
        <w:trPr>
          <w:trHeight w:val="132"/>
        </w:trPr>
        <w:tc>
          <w:tcPr>
            <w:tcW w:w="1720" w:type="dxa"/>
            <w:vAlign w:val="bottom"/>
          </w:tcPr>
          <w:p>
            <w:pPr>
              <w:spacing w:after="0"/>
              <w:rPr>
                <w:sz w:val="11"/>
                <w:szCs w:val="11"/>
                <w:color w:val="auto"/>
              </w:rPr>
            </w:pPr>
          </w:p>
        </w:tc>
        <w:tc>
          <w:tcPr>
            <w:tcW w:w="90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w:t>
            </w: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0" w:type="dxa"/>
            <w:vAlign w:val="bottom"/>
            <w:gridSpan w:val="2"/>
          </w:tcPr>
          <w:p>
            <w:pPr>
              <w:jc w:val="center"/>
              <w:ind w:right="40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Selling</w:t>
            </w:r>
          </w:p>
        </w:tc>
        <w:tc>
          <w:tcPr>
            <w:tcW w:w="1320" w:type="dxa"/>
            <w:vAlign w:val="bottom"/>
            <w:gridSpan w:val="2"/>
          </w:tcPr>
          <w:p>
            <w:pPr>
              <w:jc w:val="center"/>
              <w:ind w:right="80"/>
              <w:spacing w:after="0" w:line="133" w:lineRule="exact"/>
              <w:rPr>
                <w:sz w:val="20"/>
                <w:szCs w:val="20"/>
                <w:color w:val="auto"/>
              </w:rPr>
            </w:pPr>
            <w:r>
              <w:rPr>
                <w:rFonts w:ascii="Times New Roman" w:cs="Times New Roman" w:eastAsia="Times New Roman" w:hAnsi="Times New Roman"/>
                <w:sz w:val="14"/>
                <w:szCs w:val="14"/>
                <w:b w:val="1"/>
                <w:bCs w:val="1"/>
                <w:color w:val="auto"/>
              </w:rPr>
              <w:t>Home</w:t>
            </w:r>
          </w:p>
        </w:tc>
        <w:tc>
          <w:tcPr>
            <w:tcW w:w="180" w:type="dxa"/>
            <w:vAlign w:val="bottom"/>
          </w:tcPr>
          <w:p>
            <w:pPr>
              <w:spacing w:after="0"/>
              <w:rPr>
                <w:sz w:val="11"/>
                <w:szCs w:val="11"/>
                <w:color w:val="auto"/>
              </w:rPr>
            </w:pPr>
          </w:p>
        </w:tc>
        <w:tc>
          <w:tcPr>
            <w:tcW w:w="1180" w:type="dxa"/>
            <w:vAlign w:val="bottom"/>
            <w:gridSpan w:val="2"/>
          </w:tcPr>
          <w:p>
            <w:pPr>
              <w:jc w:val="center"/>
              <w:ind w:right="260"/>
              <w:spacing w:after="0" w:line="133" w:lineRule="exact"/>
              <w:rPr>
                <w:sz w:val="20"/>
                <w:szCs w:val="20"/>
                <w:color w:val="auto"/>
              </w:rPr>
            </w:pPr>
            <w:r>
              <w:rPr>
                <w:rFonts w:ascii="Times New Roman" w:cs="Times New Roman" w:eastAsia="Times New Roman" w:hAnsi="Times New Roman"/>
                <w:sz w:val="14"/>
                <w:szCs w:val="14"/>
                <w:b w:val="1"/>
                <w:bCs w:val="1"/>
                <w:color w:val="auto"/>
                <w:w w:val="98"/>
              </w:rPr>
              <w:t>Selling</w:t>
            </w:r>
          </w:p>
        </w:tc>
        <w:tc>
          <w:tcPr>
            <w:tcW w:w="92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w:t>
            </w:r>
          </w:p>
        </w:tc>
        <w:tc>
          <w:tcPr>
            <w:tcW w:w="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380"/>
              <w:spacing w:after="0" w:line="133" w:lineRule="exact"/>
              <w:rPr>
                <w:sz w:val="20"/>
                <w:szCs w:val="20"/>
                <w:color w:val="auto"/>
              </w:rPr>
            </w:pPr>
            <w:r>
              <w:rPr>
                <w:rFonts w:ascii="Times New Roman" w:cs="Times New Roman" w:eastAsia="Times New Roman" w:hAnsi="Times New Roman"/>
                <w:sz w:val="14"/>
                <w:szCs w:val="14"/>
                <w:b w:val="1"/>
                <w:bCs w:val="1"/>
                <w:color w:val="auto"/>
              </w:rPr>
              <w:t>Selling</w:t>
            </w:r>
          </w:p>
        </w:tc>
        <w:tc>
          <w:tcPr>
            <w:tcW w:w="920" w:type="dxa"/>
            <w:vAlign w:val="bottom"/>
          </w:tcPr>
          <w:p>
            <w:pPr>
              <w:jc w:val="center"/>
              <w:spacing w:after="0" w:line="133" w:lineRule="exact"/>
              <w:rPr>
                <w:sz w:val="20"/>
                <w:szCs w:val="20"/>
                <w:color w:val="auto"/>
              </w:rPr>
            </w:pPr>
            <w:r>
              <w:rPr>
                <w:rFonts w:ascii="Times New Roman" w:cs="Times New Roman" w:eastAsia="Times New Roman" w:hAnsi="Times New Roman"/>
                <w:sz w:val="14"/>
                <w:szCs w:val="14"/>
                <w:b w:val="1"/>
                <w:bCs w:val="1"/>
                <w:color w:val="auto"/>
              </w:rPr>
              <w:t>Home</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20" w:type="dxa"/>
            <w:vAlign w:val="bottom"/>
          </w:tcPr>
          <w:p>
            <w:pPr>
              <w:jc w:val="center"/>
              <w:ind w:right="230"/>
              <w:spacing w:after="0" w:line="133" w:lineRule="exact"/>
              <w:rPr>
                <w:sz w:val="20"/>
                <w:szCs w:val="20"/>
                <w:color w:val="auto"/>
              </w:rPr>
            </w:pPr>
            <w:r>
              <w:rPr>
                <w:rFonts w:ascii="Times New Roman" w:cs="Times New Roman" w:eastAsia="Times New Roman" w:hAnsi="Times New Roman"/>
                <w:sz w:val="14"/>
                <w:szCs w:val="14"/>
                <w:b w:val="1"/>
                <w:bCs w:val="1"/>
                <w:color w:val="auto"/>
              </w:rPr>
              <w:t>Selling</w:t>
            </w:r>
          </w:p>
        </w:tc>
      </w:tr>
      <w:tr>
        <w:trPr>
          <w:trHeight w:val="184"/>
        </w:trPr>
        <w:tc>
          <w:tcPr>
            <w:tcW w:w="17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Orders</w:t>
            </w:r>
          </w:p>
        </w:tc>
        <w:tc>
          <w:tcPr>
            <w:tcW w:w="80" w:type="dxa"/>
            <w:vAlign w:val="bottom"/>
          </w:tcPr>
          <w:p>
            <w:pPr>
              <w:spacing w:after="0"/>
              <w:rPr>
                <w:sz w:val="16"/>
                <w:szCs w:val="16"/>
                <w:color w:val="auto"/>
              </w:rPr>
            </w:pPr>
          </w:p>
        </w:tc>
        <w:tc>
          <w:tcPr>
            <w:tcW w:w="1320" w:type="dxa"/>
            <w:vAlign w:val="bottom"/>
            <w:gridSpan w:val="3"/>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9"/>
              </w:rPr>
              <w:t>Communities</w:t>
            </w:r>
          </w:p>
        </w:tc>
        <w:tc>
          <w:tcPr>
            <w:tcW w:w="1320" w:type="dxa"/>
            <w:vAlign w:val="bottom"/>
            <w:gridSpan w:val="2"/>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Orders</w:t>
            </w:r>
          </w:p>
        </w:tc>
        <w:tc>
          <w:tcPr>
            <w:tcW w:w="18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9"/>
              </w:rPr>
              <w:t>Communities</w:t>
            </w:r>
          </w:p>
        </w:tc>
        <w:tc>
          <w:tcPr>
            <w:tcW w:w="9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Orders</w:t>
            </w:r>
          </w:p>
        </w:tc>
        <w:tc>
          <w:tcPr>
            <w:tcW w:w="80" w:type="dxa"/>
            <w:vAlign w:val="bottom"/>
          </w:tcPr>
          <w:p>
            <w:pPr>
              <w:spacing w:after="0"/>
              <w:rPr>
                <w:sz w:val="16"/>
                <w:szCs w:val="16"/>
                <w:color w:val="auto"/>
              </w:rPr>
            </w:pPr>
          </w:p>
        </w:tc>
        <w:tc>
          <w:tcPr>
            <w:tcW w:w="1300" w:type="dxa"/>
            <w:vAlign w:val="bottom"/>
            <w:gridSpan w:val="3"/>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7"/>
              </w:rPr>
              <w:t>Communities</w:t>
            </w:r>
          </w:p>
        </w:tc>
        <w:tc>
          <w:tcPr>
            <w:tcW w:w="9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8"/>
              </w:rPr>
              <w:t>Orders</w:t>
            </w:r>
          </w:p>
        </w:tc>
        <w:tc>
          <w:tcPr>
            <w:tcW w:w="100" w:type="dxa"/>
            <w:vAlign w:val="bottom"/>
          </w:tcPr>
          <w:p>
            <w:pPr>
              <w:spacing w:after="0"/>
              <w:rPr>
                <w:sz w:val="16"/>
                <w:szCs w:val="16"/>
                <w:color w:val="auto"/>
              </w:rPr>
            </w:pPr>
          </w:p>
        </w:tc>
        <w:tc>
          <w:tcPr>
            <w:tcW w:w="122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Communities</w:t>
            </w:r>
          </w:p>
        </w:tc>
      </w:tr>
      <w:tr>
        <w:trPr>
          <w:trHeight w:val="23"/>
        </w:trPr>
        <w:tc>
          <w:tcPr>
            <w:tcW w:w="1720" w:type="dxa"/>
            <w:vAlign w:val="bottom"/>
          </w:tcPr>
          <w:p>
            <w:pPr>
              <w:spacing w:after="0"/>
              <w:rPr>
                <w:sz w:val="2"/>
                <w:szCs w:val="2"/>
                <w:color w:val="auto"/>
              </w:rPr>
            </w:pPr>
          </w:p>
        </w:tc>
        <w:tc>
          <w:tcPr>
            <w:tcW w:w="90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196"/>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Arizona</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195</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14.2</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233</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15.2</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410</w:t>
            </w: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13.6</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494</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15.1</w:t>
            </w:r>
          </w:p>
        </w:tc>
      </w:tr>
      <w:tr>
        <w:trPr>
          <w:trHeight w:val="189"/>
        </w:trPr>
        <w:tc>
          <w:tcPr>
            <w:tcW w:w="17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California</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601</w:t>
            </w: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49.2</w:t>
            </w:r>
          </w:p>
        </w:tc>
        <w:tc>
          <w:tcPr>
            <w:tcW w:w="10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630</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39.0</w:t>
            </w:r>
          </w:p>
        </w:tc>
        <w:tc>
          <w:tcPr>
            <w:tcW w:w="10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1,302</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44.7</w:t>
            </w:r>
          </w:p>
        </w:tc>
        <w:tc>
          <w:tcPr>
            <w:tcW w:w="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1,320</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38.6</w:t>
            </w:r>
          </w:p>
        </w:tc>
      </w:tr>
      <w:tr>
        <w:trPr>
          <w:trHeight w:val="203"/>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Nevada</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180</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261</w:t>
            </w: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435</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w:t>
            </w:r>
          </w:p>
        </w:tc>
      </w:tr>
      <w:tr>
        <w:trPr>
          <w:trHeight w:val="189"/>
        </w:trPr>
        <w:tc>
          <w:tcPr>
            <w:tcW w:w="172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4"/>
                <w:szCs w:val="14"/>
                <w:color w:val="auto"/>
              </w:rPr>
              <w:t>Washington</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90</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69</w:t>
            </w:r>
          </w:p>
        </w:tc>
        <w:tc>
          <w:tcPr>
            <w:tcW w:w="8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w:t>
            </w:r>
          </w:p>
        </w:tc>
        <w:tc>
          <w:tcPr>
            <w:tcW w:w="8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161</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5.6</w:t>
            </w:r>
          </w:p>
        </w:tc>
      </w:tr>
      <w:tr>
        <w:trPr>
          <w:trHeight w:val="196"/>
        </w:trPr>
        <w:tc>
          <w:tcPr>
            <w:tcW w:w="172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West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933</w:t>
            </w:r>
          </w:p>
        </w:tc>
        <w:tc>
          <w:tcPr>
            <w:tcW w:w="8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72.5</w:t>
            </w:r>
          </w:p>
        </w:tc>
        <w:tc>
          <w:tcPr>
            <w:tcW w:w="100" w:type="dxa"/>
            <w:vAlign w:val="bottom"/>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1,133</w:t>
            </w: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71.7</w:t>
            </w:r>
          </w:p>
        </w:tc>
        <w:tc>
          <w:tcPr>
            <w:tcW w:w="10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2,042</w:t>
            </w:r>
          </w:p>
        </w:tc>
        <w:tc>
          <w:tcPr>
            <w:tcW w:w="8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68.7</w:t>
            </w:r>
          </w:p>
        </w:tc>
        <w:tc>
          <w:tcPr>
            <w:tcW w:w="8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2,410</w:t>
            </w: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70.9</w:t>
            </w:r>
          </w:p>
        </w:tc>
      </w:tr>
      <w:tr>
        <w:trPr>
          <w:trHeight w:val="182"/>
        </w:trPr>
        <w:tc>
          <w:tcPr>
            <w:tcW w:w="172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Colorado</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w:t>
            </w: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10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w:t>
            </w:r>
          </w:p>
        </w:tc>
        <w:tc>
          <w:tcPr>
            <w:tcW w:w="100" w:type="dxa"/>
            <w:vAlign w:val="bottom"/>
          </w:tcPr>
          <w:p>
            <w:pPr>
              <w:spacing w:after="0"/>
              <w:rPr>
                <w:sz w:val="15"/>
                <w:szCs w:val="15"/>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165</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w:t>
            </w: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5.3</w:t>
            </w:r>
          </w:p>
        </w:tc>
      </w:tr>
      <w:tr>
        <w:trPr>
          <w:trHeight w:val="203"/>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Texas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153</w:t>
            </w:r>
          </w:p>
        </w:tc>
        <w:tc>
          <w:tcPr>
            <w:tcW w:w="8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22.0</w:t>
            </w:r>
          </w:p>
        </w:tc>
        <w:tc>
          <w:tcPr>
            <w:tcW w:w="100" w:type="dxa"/>
            <w:vAlign w:val="bottom"/>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278</w:t>
            </w:r>
          </w:p>
        </w:tc>
        <w:tc>
          <w:tcPr>
            <w:tcW w:w="8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22.0</w:t>
            </w:r>
          </w:p>
        </w:tc>
        <w:tc>
          <w:tcPr>
            <w:tcW w:w="10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568</w:t>
            </w:r>
          </w:p>
        </w:tc>
        <w:tc>
          <w:tcPr>
            <w:tcW w:w="8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22.1</w:t>
            </w:r>
          </w:p>
        </w:tc>
        <w:tc>
          <w:tcPr>
            <w:tcW w:w="80" w:type="dxa"/>
            <w:vAlign w:val="bottom"/>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707</w:t>
            </w:r>
          </w:p>
        </w:tc>
        <w:tc>
          <w:tcPr>
            <w:tcW w:w="1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23.0</w:t>
            </w:r>
          </w:p>
        </w:tc>
      </w:tr>
      <w:tr>
        <w:trPr>
          <w:trHeight w:val="182"/>
        </w:trPr>
        <w:tc>
          <w:tcPr>
            <w:tcW w:w="172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4"/>
                <w:szCs w:val="14"/>
                <w:color w:val="auto"/>
              </w:rPr>
              <w:t>Central total</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187</w:t>
            </w:r>
          </w:p>
        </w:tc>
        <w:tc>
          <w:tcPr>
            <w:tcW w:w="8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30.0</w:t>
            </w:r>
          </w:p>
        </w:tc>
        <w:tc>
          <w:tcPr>
            <w:tcW w:w="100" w:type="dxa"/>
            <w:vAlign w:val="bottom"/>
            <w:tcBorders>
              <w:bottom w:val="single" w:sz="8" w:color="CCEEFF"/>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336</w:t>
            </w:r>
          </w:p>
        </w:tc>
        <w:tc>
          <w:tcPr>
            <w:tcW w:w="8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27.8</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733</w:t>
            </w:r>
          </w:p>
        </w:tc>
        <w:tc>
          <w:tcPr>
            <w:tcW w:w="8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30.1</w:t>
            </w:r>
          </w:p>
        </w:tc>
        <w:tc>
          <w:tcPr>
            <w:tcW w:w="8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870</w:t>
            </w:r>
          </w:p>
        </w:tc>
        <w:tc>
          <w:tcPr>
            <w:tcW w:w="1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28.3</w:t>
            </w:r>
          </w:p>
        </w:tc>
      </w:tr>
      <w:tr>
        <w:trPr>
          <w:trHeight w:val="196"/>
        </w:trPr>
        <w:tc>
          <w:tcPr>
            <w:tcW w:w="17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Carolinas(1)</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170</w:t>
            </w: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11.5</w:t>
            </w: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296</w:t>
            </w:r>
          </w:p>
        </w:tc>
        <w:tc>
          <w:tcPr>
            <w:tcW w:w="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88</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w:t>
            </w:r>
          </w:p>
        </w:tc>
      </w:tr>
      <w:tr>
        <w:trPr>
          <w:trHeight w:val="189"/>
        </w:trPr>
        <w:tc>
          <w:tcPr>
            <w:tcW w:w="172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4"/>
                <w:szCs w:val="14"/>
                <w:color w:val="auto"/>
                <w:w w:val="99"/>
              </w:rPr>
              <w:t>Washington D.C. Area(2)</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66</w:t>
            </w:r>
          </w:p>
        </w:tc>
        <w:tc>
          <w:tcPr>
            <w:tcW w:w="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7.8</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11.2</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181</w:t>
            </w:r>
          </w:p>
        </w:tc>
        <w:tc>
          <w:tcPr>
            <w:tcW w:w="8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7.9</w:t>
            </w:r>
          </w:p>
        </w:tc>
        <w:tc>
          <w:tcPr>
            <w:tcW w:w="8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241</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11.1</w:t>
            </w:r>
          </w:p>
        </w:tc>
      </w:tr>
      <w:tr>
        <w:trPr>
          <w:trHeight w:val="189"/>
        </w:trPr>
        <w:tc>
          <w:tcPr>
            <w:tcW w:w="172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East total</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236</w:t>
            </w:r>
          </w:p>
        </w:tc>
        <w:tc>
          <w:tcPr>
            <w:tcW w:w="8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19.3</w:t>
            </w:r>
          </w:p>
        </w:tc>
        <w:tc>
          <w:tcPr>
            <w:tcW w:w="100" w:type="dxa"/>
            <w:vAlign w:val="bottom"/>
            <w:shd w:val="clear" w:color="auto" w:fill="CCEEFF"/>
          </w:tcPr>
          <w:p>
            <w:pPr>
              <w:spacing w:after="0"/>
              <w:rPr>
                <w:sz w:val="16"/>
                <w:szCs w:val="16"/>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153</w:t>
            </w:r>
          </w:p>
        </w:tc>
        <w:tc>
          <w:tcPr>
            <w:tcW w:w="8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15.0</w:t>
            </w:r>
          </w:p>
        </w:tc>
        <w:tc>
          <w:tcPr>
            <w:tcW w:w="10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477</w:t>
            </w:r>
          </w:p>
        </w:tc>
        <w:tc>
          <w:tcPr>
            <w:tcW w:w="8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17.9</w:t>
            </w:r>
          </w:p>
        </w:tc>
        <w:tc>
          <w:tcPr>
            <w:tcW w:w="80" w:type="dxa"/>
            <w:vAlign w:val="bottom"/>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w:t>
            </w: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14.2</w:t>
            </w:r>
          </w:p>
        </w:tc>
      </w:tr>
      <w:tr>
        <w:trPr>
          <w:trHeight w:val="196"/>
        </w:trPr>
        <w:tc>
          <w:tcPr>
            <w:tcW w:w="1720" w:type="dxa"/>
            <w:vAlign w:val="bottom"/>
          </w:tcPr>
          <w:p>
            <w:pPr>
              <w:ind w:left="540"/>
              <w:spacing w:after="0"/>
              <w:rPr>
                <w:sz w:val="20"/>
                <w:szCs w:val="20"/>
                <w:color w:val="auto"/>
              </w:rPr>
            </w:pPr>
            <w:r>
              <w:rPr>
                <w:rFonts w:ascii="Times New Roman" w:cs="Times New Roman" w:eastAsia="Times New Roman" w:hAnsi="Times New Roman"/>
                <w:sz w:val="14"/>
                <w:szCs w:val="14"/>
                <w:color w:val="auto"/>
              </w:rPr>
              <w:t>Total</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1,356</w:t>
            </w:r>
          </w:p>
        </w:tc>
        <w:tc>
          <w:tcPr>
            <w:tcW w:w="8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121.8</w:t>
            </w:r>
          </w:p>
        </w:tc>
        <w:tc>
          <w:tcPr>
            <w:tcW w:w="100" w:type="dxa"/>
            <w:vAlign w:val="bottom"/>
          </w:tcPr>
          <w:p>
            <w:pPr>
              <w:spacing w:after="0"/>
              <w:rPr>
                <w:sz w:val="17"/>
                <w:szCs w:val="17"/>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1,622</w:t>
            </w:r>
          </w:p>
        </w:tc>
        <w:tc>
          <w:tcPr>
            <w:tcW w:w="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114.5</w:t>
            </w:r>
          </w:p>
        </w:tc>
        <w:tc>
          <w:tcPr>
            <w:tcW w:w="100" w:type="dxa"/>
            <w:vAlign w:val="bottom"/>
          </w:tcPr>
          <w:p>
            <w:pPr>
              <w:spacing w:after="0"/>
              <w:rPr>
                <w:sz w:val="17"/>
                <w:szCs w:val="17"/>
                <w:color w:val="auto"/>
              </w:rPr>
            </w:pPr>
          </w:p>
        </w:tc>
        <w:tc>
          <w:tcPr>
            <w:tcW w:w="9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4"/>
                <w:szCs w:val="14"/>
                <w:color w:val="auto"/>
              </w:rPr>
              <w:t>3,252</w:t>
            </w:r>
          </w:p>
        </w:tc>
        <w:tc>
          <w:tcPr>
            <w:tcW w:w="8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116.7</w:t>
            </w:r>
          </w:p>
        </w:tc>
        <w:tc>
          <w:tcPr>
            <w:tcW w:w="80" w:type="dxa"/>
            <w:vAlign w:val="bottom"/>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3,609</w:t>
            </w: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113.4</w:t>
            </w:r>
          </w:p>
        </w:tc>
      </w:tr>
      <w:tr>
        <w:trPr>
          <w:trHeight w:val="20"/>
        </w:trPr>
        <w:tc>
          <w:tcPr>
            <w:tcW w:w="17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134" w:lineRule="exact"/>
        <w:rPr>
          <w:sz w:val="20"/>
          <w:szCs w:val="20"/>
          <w:color w:val="auto"/>
        </w:rPr>
      </w:pPr>
    </w:p>
    <w:p>
      <w:pPr>
        <w:ind w:left="220" w:hanging="215"/>
        <w:spacing w:after="0"/>
        <w:tabs>
          <w:tab w:leader="none" w:pos="220" w:val="left"/>
        </w:tabs>
        <w:numPr>
          <w:ilvl w:val="0"/>
          <w:numId w:val="6"/>
        </w:numPr>
        <w:rPr>
          <w:rFonts w:ascii="Times New Roman" w:cs="Times New Roman" w:eastAsia="Times New Roman" w:hAnsi="Times New Roman"/>
          <w:sz w:val="9"/>
          <w:szCs w:val="9"/>
          <w:color w:val="auto"/>
        </w:rPr>
      </w:pPr>
      <w:r>
        <w:rPr>
          <w:rFonts w:ascii="Times New Roman" w:cs="Times New Roman" w:eastAsia="Times New Roman" w:hAnsi="Times New Roman"/>
          <w:sz w:val="14"/>
          <w:szCs w:val="14"/>
          <w:color w:val="auto"/>
        </w:rPr>
        <w:t>Carolinas comprises North Carolina and South Carolina.</w:t>
      </w:r>
    </w:p>
    <w:p>
      <w:pPr>
        <w:spacing w:after="0" w:line="21" w:lineRule="exact"/>
        <w:rPr>
          <w:rFonts w:ascii="Times New Roman" w:cs="Times New Roman" w:eastAsia="Times New Roman" w:hAnsi="Times New Roman"/>
          <w:sz w:val="9"/>
          <w:szCs w:val="9"/>
          <w:color w:val="auto"/>
        </w:rPr>
      </w:pPr>
    </w:p>
    <w:p>
      <w:pPr>
        <w:ind w:left="220" w:hanging="215"/>
        <w:spacing w:after="0" w:line="196" w:lineRule="auto"/>
        <w:tabs>
          <w:tab w:leader="none" w:pos="220" w:val="left"/>
        </w:tabs>
        <w:numPr>
          <w:ilvl w:val="0"/>
          <w:numId w:val="6"/>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Washington D.C. Area comprises Maryland, Virginia and the District of Columbia.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8</w:t>
      </w:r>
    </w:p>
    <w:p>
      <w:pPr>
        <w:sectPr>
          <w:pgSz w:w="11900" w:h="16838" w:orient="portrait"/>
          <w:cols w:equalWidth="0" w:num="1">
            <w:col w:w="11240"/>
          </w:cols>
          <w:pgMar w:left="320" w:top="1374"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MARKET DATA BY REPORTING SEGMENT &amp; GEOGRAPHY, continued</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(dollars in thousands)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4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As of June 30, 2022</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As of June 30, 2021</w:t>
            </w: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440" w:type="dxa"/>
            <w:vAlign w:val="bottom"/>
          </w:tcPr>
          <w:p>
            <w:pPr>
              <w:spacing w:after="0"/>
              <w:rPr>
                <w:sz w:val="2"/>
                <w:szCs w:val="2"/>
                <w:color w:val="auto"/>
              </w:rPr>
            </w:pPr>
          </w:p>
        </w:tc>
        <w:tc>
          <w:tcPr>
            <w:tcW w:w="9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2440" w:type="dxa"/>
            <w:vAlign w:val="bottom"/>
          </w:tcPr>
          <w:p>
            <w:pPr>
              <w:spacing w:after="0"/>
              <w:rPr>
                <w:sz w:val="10"/>
                <w:szCs w:val="10"/>
                <w:color w:val="auto"/>
              </w:rPr>
            </w:pPr>
          </w:p>
        </w:tc>
        <w:tc>
          <w:tcPr>
            <w:tcW w:w="940" w:type="dxa"/>
            <w:vAlign w:val="bottom"/>
            <w:tcBorders>
              <w:top w:val="single" w:sz="8" w:color="auto"/>
            </w:tcBorders>
            <w:vMerge w:val="restart"/>
          </w:tcPr>
          <w:p>
            <w:pPr>
              <w:jc w:val="center"/>
              <w:ind w:left="390"/>
              <w:spacing w:after="0"/>
              <w:rPr>
                <w:sz w:val="20"/>
                <w:szCs w:val="20"/>
                <w:color w:val="auto"/>
              </w:rPr>
            </w:pPr>
            <w:r>
              <w:rPr>
                <w:rFonts w:ascii="Times New Roman" w:cs="Times New Roman" w:eastAsia="Times New Roman" w:hAnsi="Times New Roman"/>
                <w:sz w:val="14"/>
                <w:szCs w:val="14"/>
                <w:b w:val="1"/>
                <w:bCs w:val="1"/>
                <w:color w:val="auto"/>
                <w:w w:val="99"/>
              </w:rPr>
              <w:t>Backlog</w:t>
            </w:r>
          </w:p>
        </w:tc>
        <w:tc>
          <w:tcPr>
            <w:tcW w:w="4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280" w:type="dxa"/>
            <w:vAlign w:val="bottom"/>
            <w:tcBorders>
              <w:top w:val="single" w:sz="8" w:color="auto"/>
            </w:tcBorders>
          </w:tcPr>
          <w:p>
            <w:pPr>
              <w:jc w:val="center"/>
              <w:ind w:right="50"/>
              <w:spacing w:after="0" w:line="124" w:lineRule="exact"/>
              <w:rPr>
                <w:sz w:val="20"/>
                <w:szCs w:val="20"/>
                <w:color w:val="auto"/>
              </w:rPr>
            </w:pPr>
            <w:r>
              <w:rPr>
                <w:rFonts w:ascii="Times New Roman" w:cs="Times New Roman" w:eastAsia="Times New Roman" w:hAnsi="Times New Roman"/>
                <w:sz w:val="14"/>
                <w:szCs w:val="14"/>
                <w:b w:val="1"/>
                <w:bCs w:val="1"/>
                <w:color w:val="auto"/>
                <w:w w:val="99"/>
              </w:rPr>
              <w:t>Backlog</w:t>
            </w:r>
          </w:p>
        </w:tc>
        <w:tc>
          <w:tcPr>
            <w:tcW w:w="140" w:type="dxa"/>
            <w:vAlign w:val="bottom"/>
            <w:tcBorders>
              <w:top w:val="single" w:sz="8" w:color="auto"/>
            </w:tcBorders>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140" w:type="dxa"/>
            <w:vAlign w:val="bottom"/>
            <w:tcBorders>
              <w:top w:val="single" w:sz="8" w:color="auto"/>
            </w:tcBorders>
          </w:tcPr>
          <w:p>
            <w:pPr>
              <w:jc w:val="center"/>
              <w:ind w:right="190"/>
              <w:spacing w:after="0" w:line="124" w:lineRule="exact"/>
              <w:rPr>
                <w:sz w:val="20"/>
                <w:szCs w:val="20"/>
                <w:color w:val="auto"/>
              </w:rPr>
            </w:pPr>
            <w:r>
              <w:rPr>
                <w:rFonts w:ascii="Times New Roman" w:cs="Times New Roman" w:eastAsia="Times New Roman" w:hAnsi="Times New Roman"/>
                <w:sz w:val="14"/>
                <w:szCs w:val="14"/>
                <w:b w:val="1"/>
                <w:bCs w:val="1"/>
                <w:color w:val="auto"/>
                <w:w w:val="96"/>
              </w:rPr>
              <w:t>Average</w:t>
            </w:r>
          </w:p>
        </w:tc>
        <w:tc>
          <w:tcPr>
            <w:tcW w:w="140" w:type="dxa"/>
            <w:vAlign w:val="bottom"/>
          </w:tcPr>
          <w:p>
            <w:pPr>
              <w:spacing w:after="0"/>
              <w:rPr>
                <w:sz w:val="10"/>
                <w:szCs w:val="10"/>
                <w:color w:val="auto"/>
              </w:rPr>
            </w:pPr>
          </w:p>
        </w:tc>
        <w:tc>
          <w:tcPr>
            <w:tcW w:w="1260" w:type="dxa"/>
            <w:vAlign w:val="bottom"/>
            <w:tcBorders>
              <w:top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9"/>
              </w:rPr>
              <w:t>Backlog</w:t>
            </w:r>
          </w:p>
        </w:tc>
        <w:tc>
          <w:tcPr>
            <w:tcW w:w="180" w:type="dxa"/>
            <w:vAlign w:val="bottom"/>
            <w:tcBorders>
              <w:top w:val="single" w:sz="8" w:color="auto"/>
            </w:tcBorders>
          </w:tcPr>
          <w:p>
            <w:pPr>
              <w:spacing w:after="0"/>
              <w:rPr>
                <w:sz w:val="10"/>
                <w:szCs w:val="10"/>
                <w:color w:val="auto"/>
              </w:rPr>
            </w:pPr>
          </w:p>
        </w:tc>
        <w:tc>
          <w:tcPr>
            <w:tcW w:w="1360" w:type="dxa"/>
            <w:vAlign w:val="bottom"/>
            <w:tcBorders>
              <w:top w:val="single" w:sz="8" w:color="auto"/>
            </w:tcBorders>
            <w:gridSpan w:val="2"/>
          </w:tcPr>
          <w:p>
            <w:pPr>
              <w:jc w:val="center"/>
              <w:ind w:right="320"/>
              <w:spacing w:after="0" w:line="124" w:lineRule="exact"/>
              <w:rPr>
                <w:sz w:val="20"/>
                <w:szCs w:val="20"/>
                <w:color w:val="auto"/>
              </w:rPr>
            </w:pPr>
            <w:r>
              <w:rPr>
                <w:rFonts w:ascii="Times New Roman" w:cs="Times New Roman" w:eastAsia="Times New Roman" w:hAnsi="Times New Roman"/>
                <w:sz w:val="14"/>
                <w:szCs w:val="14"/>
                <w:b w:val="1"/>
                <w:bCs w:val="1"/>
                <w:color w:val="auto"/>
                <w:w w:val="99"/>
              </w:rPr>
              <w:t>Backlog</w:t>
            </w:r>
          </w:p>
        </w:tc>
        <w:tc>
          <w:tcPr>
            <w:tcW w:w="260" w:type="dxa"/>
            <w:vAlign w:val="bottom"/>
            <w:tcBorders>
              <w:top w:val="single" w:sz="8" w:color="auto"/>
            </w:tcBorders>
          </w:tcPr>
          <w:p>
            <w:pPr>
              <w:spacing w:after="0"/>
              <w:rPr>
                <w:sz w:val="10"/>
                <w:szCs w:val="10"/>
                <w:color w:val="auto"/>
              </w:rPr>
            </w:pPr>
          </w:p>
        </w:tc>
        <w:tc>
          <w:tcPr>
            <w:tcW w:w="1120" w:type="dxa"/>
            <w:vAlign w:val="bottom"/>
            <w:tcBorders>
              <w:top w:val="single" w:sz="8" w:color="auto"/>
            </w:tcBorders>
          </w:tcPr>
          <w:p>
            <w:pPr>
              <w:jc w:val="right"/>
              <w:ind w:right="370"/>
              <w:spacing w:after="0" w:line="124" w:lineRule="exact"/>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44"/>
        </w:trPr>
        <w:tc>
          <w:tcPr>
            <w:tcW w:w="244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tcPr>
          <w:p>
            <w:pPr>
              <w:jc w:val="center"/>
              <w:ind w:right="70"/>
              <w:spacing w:after="0" w:line="144" w:lineRule="exact"/>
              <w:rPr>
                <w:sz w:val="20"/>
                <w:szCs w:val="20"/>
                <w:color w:val="auto"/>
              </w:rPr>
            </w:pPr>
            <w:r>
              <w:rPr>
                <w:rFonts w:ascii="Times New Roman" w:cs="Times New Roman" w:eastAsia="Times New Roman" w:hAnsi="Times New Roman"/>
                <w:sz w:val="14"/>
                <w:szCs w:val="14"/>
                <w:b w:val="1"/>
                <w:bCs w:val="1"/>
                <w:color w:val="auto"/>
                <w:w w:val="99"/>
              </w:rPr>
              <w:t>Dollar</w:t>
            </w:r>
          </w:p>
        </w:tc>
        <w:tc>
          <w:tcPr>
            <w:tcW w:w="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center"/>
              <w:ind w:right="420"/>
              <w:spacing w:after="0" w:line="144" w:lineRule="exact"/>
              <w:rPr>
                <w:sz w:val="20"/>
                <w:szCs w:val="20"/>
                <w:color w:val="auto"/>
              </w:rPr>
            </w:pPr>
            <w:r>
              <w:rPr>
                <w:rFonts w:ascii="Times New Roman" w:cs="Times New Roman" w:eastAsia="Times New Roman" w:hAnsi="Times New Roman"/>
                <w:sz w:val="14"/>
                <w:szCs w:val="14"/>
                <w:b w:val="1"/>
                <w:bCs w:val="1"/>
                <w:color w:val="auto"/>
                <w:w w:val="98"/>
              </w:rPr>
              <w:t>Sales</w:t>
            </w:r>
          </w:p>
        </w:tc>
        <w:tc>
          <w:tcPr>
            <w:tcW w:w="12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360" w:type="dxa"/>
            <w:vAlign w:val="bottom"/>
            <w:gridSpan w:val="2"/>
          </w:tcPr>
          <w:p>
            <w:pPr>
              <w:jc w:val="center"/>
              <w:ind w:right="300"/>
              <w:spacing w:after="0" w:line="144" w:lineRule="exact"/>
              <w:rPr>
                <w:sz w:val="20"/>
                <w:szCs w:val="20"/>
                <w:color w:val="auto"/>
              </w:rPr>
            </w:pPr>
            <w:r>
              <w:rPr>
                <w:rFonts w:ascii="Times New Roman" w:cs="Times New Roman" w:eastAsia="Times New Roman" w:hAnsi="Times New Roman"/>
                <w:sz w:val="14"/>
                <w:szCs w:val="14"/>
                <w:b w:val="1"/>
                <w:bCs w:val="1"/>
                <w:color w:val="auto"/>
                <w:w w:val="99"/>
              </w:rPr>
              <w:t>Dollar</w:t>
            </w:r>
          </w:p>
        </w:tc>
        <w:tc>
          <w:tcPr>
            <w:tcW w:w="260" w:type="dxa"/>
            <w:vAlign w:val="bottom"/>
          </w:tcPr>
          <w:p>
            <w:pPr>
              <w:spacing w:after="0"/>
              <w:rPr>
                <w:sz w:val="12"/>
                <w:szCs w:val="12"/>
                <w:color w:val="auto"/>
              </w:rPr>
            </w:pPr>
          </w:p>
        </w:tc>
        <w:tc>
          <w:tcPr>
            <w:tcW w:w="1120" w:type="dxa"/>
            <w:vAlign w:val="bottom"/>
          </w:tcPr>
          <w:p>
            <w:pPr>
              <w:jc w:val="right"/>
              <w:ind w:right="470"/>
              <w:spacing w:after="0" w:line="144" w:lineRule="exact"/>
              <w:rPr>
                <w:sz w:val="20"/>
                <w:szCs w:val="20"/>
                <w:color w:val="auto"/>
              </w:rPr>
            </w:pPr>
            <w:r>
              <w:rPr>
                <w:rFonts w:ascii="Times New Roman" w:cs="Times New Roman" w:eastAsia="Times New Roman" w:hAnsi="Times New Roman"/>
                <w:sz w:val="14"/>
                <w:szCs w:val="14"/>
                <w:b w:val="1"/>
                <w:bCs w:val="1"/>
                <w:color w:val="auto"/>
              </w:rPr>
              <w:t>Sales</w:t>
            </w:r>
          </w:p>
        </w:tc>
        <w:tc>
          <w:tcPr>
            <w:tcW w:w="0" w:type="dxa"/>
            <w:vAlign w:val="bottom"/>
          </w:tcPr>
          <w:p>
            <w:pPr>
              <w:spacing w:after="0"/>
              <w:rPr>
                <w:sz w:val="1"/>
                <w:szCs w:val="1"/>
                <w:color w:val="auto"/>
              </w:rPr>
            </w:pPr>
          </w:p>
        </w:tc>
      </w:tr>
      <w:tr>
        <w:trPr>
          <w:trHeight w:val="190"/>
        </w:trPr>
        <w:tc>
          <w:tcPr>
            <w:tcW w:w="2440" w:type="dxa"/>
            <w:vAlign w:val="bottom"/>
          </w:tcPr>
          <w:p>
            <w:pPr>
              <w:spacing w:after="0"/>
              <w:rPr>
                <w:sz w:val="16"/>
                <w:szCs w:val="16"/>
                <w:color w:val="auto"/>
              </w:rPr>
            </w:pPr>
          </w:p>
        </w:tc>
        <w:tc>
          <w:tcPr>
            <w:tcW w:w="940" w:type="dxa"/>
            <w:vAlign w:val="bottom"/>
          </w:tcPr>
          <w:p>
            <w:pPr>
              <w:jc w:val="center"/>
              <w:ind w:left="390"/>
              <w:spacing w:after="0"/>
              <w:rPr>
                <w:sz w:val="20"/>
                <w:szCs w:val="20"/>
                <w:color w:val="auto"/>
              </w:rPr>
            </w:pPr>
            <w:r>
              <w:rPr>
                <w:rFonts w:ascii="Times New Roman" w:cs="Times New Roman" w:eastAsia="Times New Roman" w:hAnsi="Times New Roman"/>
                <w:sz w:val="14"/>
                <w:szCs w:val="14"/>
                <w:b w:val="1"/>
                <w:bCs w:val="1"/>
                <w:color w:val="auto"/>
              </w:rPr>
              <w:t>Units</w:t>
            </w: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center"/>
              <w:ind w:right="7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80" w:type="dxa"/>
            <w:vAlign w:val="bottom"/>
            <w:gridSpan w:val="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w w:val="96"/>
              </w:rPr>
              <w:t>Price</w:t>
            </w:r>
          </w:p>
        </w:tc>
        <w:tc>
          <w:tcPr>
            <w:tcW w:w="1260" w:type="dxa"/>
            <w:vAlign w:val="bottom"/>
            <w:gridSpan w:val="2"/>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3"/>
              </w:rPr>
              <w:t>Units</w:t>
            </w:r>
          </w:p>
        </w:tc>
        <w:tc>
          <w:tcPr>
            <w:tcW w:w="180" w:type="dxa"/>
            <w:vAlign w:val="bottom"/>
          </w:tcPr>
          <w:p>
            <w:pPr>
              <w:spacing w:after="0"/>
              <w:rPr>
                <w:sz w:val="16"/>
                <w:szCs w:val="16"/>
                <w:color w:val="auto"/>
              </w:rPr>
            </w:pPr>
          </w:p>
        </w:tc>
        <w:tc>
          <w:tcPr>
            <w:tcW w:w="136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1"/>
              </w:rPr>
              <w:t>Value</w:t>
            </w:r>
          </w:p>
        </w:tc>
        <w:tc>
          <w:tcPr>
            <w:tcW w:w="260" w:type="dxa"/>
            <w:vAlign w:val="bottom"/>
          </w:tcPr>
          <w:p>
            <w:pPr>
              <w:spacing w:after="0"/>
              <w:rPr>
                <w:sz w:val="16"/>
                <w:szCs w:val="16"/>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4"/>
                <w:szCs w:val="14"/>
                <w:b w:val="1"/>
                <w:bCs w:val="1"/>
                <w:color w:val="auto"/>
              </w:rPr>
              <w:t>Price</w:t>
            </w:r>
          </w:p>
        </w:tc>
        <w:tc>
          <w:tcPr>
            <w:tcW w:w="0" w:type="dxa"/>
            <w:vAlign w:val="bottom"/>
          </w:tcPr>
          <w:p>
            <w:pPr>
              <w:spacing w:after="0"/>
              <w:rPr>
                <w:sz w:val="1"/>
                <w:szCs w:val="1"/>
                <w:color w:val="auto"/>
              </w:rPr>
            </w:pPr>
          </w:p>
        </w:tc>
      </w:tr>
      <w:tr>
        <w:trPr>
          <w:trHeight w:val="195"/>
        </w:trPr>
        <w:tc>
          <w:tcPr>
            <w:tcW w:w="2440" w:type="dxa"/>
            <w:vAlign w:val="bottom"/>
            <w:tcBorders>
              <w:top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Arizona</w:t>
            </w:r>
          </w:p>
        </w:tc>
        <w:tc>
          <w:tcPr>
            <w:tcW w:w="940" w:type="dxa"/>
            <w:vAlign w:val="bottom"/>
            <w:tcBorders>
              <w:top w:val="single" w:sz="8" w:color="auto"/>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733</w:t>
            </w: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586,871</w:t>
            </w:r>
          </w:p>
        </w:tc>
        <w:tc>
          <w:tcPr>
            <w:tcW w:w="14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801</w:t>
            </w:r>
          </w:p>
        </w:tc>
        <w:tc>
          <w:tcPr>
            <w:tcW w:w="140" w:type="dxa"/>
            <w:vAlign w:val="bottom"/>
            <w:tcBorders>
              <w:top w:val="single" w:sz="8" w:color="CCEEFF"/>
            </w:tcBorders>
            <w:shd w:val="clear" w:color="auto" w:fill="CCEEFF"/>
          </w:tcPr>
          <w:p>
            <w:pPr>
              <w:spacing w:after="0"/>
              <w:rPr>
                <w:sz w:val="16"/>
                <w:szCs w:val="16"/>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590</w:t>
            </w:r>
          </w:p>
        </w:tc>
        <w:tc>
          <w:tcPr>
            <w:tcW w:w="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424,048</w:t>
            </w:r>
          </w:p>
        </w:tc>
        <w:tc>
          <w:tcPr>
            <w:tcW w:w="14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4"/>
                <w:szCs w:val="14"/>
                <w:color w:val="auto"/>
                <w:w w:val="85"/>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719</w:t>
            </w: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California</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1,245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1,128,517</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906</w:t>
            </w: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1,423</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921,602</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648</w:t>
            </w:r>
          </w:p>
        </w:tc>
        <w:tc>
          <w:tcPr>
            <w:tcW w:w="0" w:type="dxa"/>
            <w:vAlign w:val="bottom"/>
          </w:tcPr>
          <w:p>
            <w:pPr>
              <w:spacing w:after="0"/>
              <w:rPr>
                <w:sz w:val="1"/>
                <w:szCs w:val="1"/>
                <w:color w:val="auto"/>
              </w:rPr>
            </w:pPr>
          </w:p>
        </w:tc>
      </w:tr>
      <w:tr>
        <w:trPr>
          <w:trHeight w:val="203"/>
        </w:trPr>
        <w:tc>
          <w:tcPr>
            <w:tcW w:w="3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Nevada</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346</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279,679</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808</w:t>
            </w: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370</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245,895</w:t>
            </w: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665</w:t>
            </w: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Washington</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60,188</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836</w:t>
            </w: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153</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165,314</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1,080</w:t>
            </w:r>
          </w:p>
        </w:tc>
        <w:tc>
          <w:tcPr>
            <w:tcW w:w="0" w:type="dxa"/>
            <w:vAlign w:val="bottom"/>
          </w:tcPr>
          <w:p>
            <w:pPr>
              <w:spacing w:after="0"/>
              <w:rPr>
                <w:sz w:val="1"/>
                <w:szCs w:val="1"/>
                <w:color w:val="auto"/>
              </w:rPr>
            </w:pPr>
          </w:p>
        </w:tc>
      </w:tr>
      <w:tr>
        <w:trPr>
          <w:trHeight w:val="196"/>
        </w:trPr>
        <w:tc>
          <w:tcPr>
            <w:tcW w:w="2440" w:type="dxa"/>
            <w:vAlign w:val="bottom"/>
            <w:tcBorders>
              <w:top w:val="single" w:sz="8" w:color="CCEEFF"/>
            </w:tcBorders>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West total</w:t>
            </w:r>
          </w:p>
        </w:tc>
        <w:tc>
          <w:tcPr>
            <w:tcW w:w="940" w:type="dxa"/>
            <w:vAlign w:val="bottom"/>
            <w:tcBorders>
              <w:top w:val="single" w:sz="8" w:color="auto"/>
              <w:bottom w:val="single" w:sz="8" w:color="auto"/>
            </w:tcBorders>
            <w:shd w:val="clear" w:color="auto" w:fill="CCEEFF"/>
          </w:tcPr>
          <w:p>
            <w:pPr>
              <w:spacing w:after="0"/>
              <w:rPr>
                <w:sz w:val="17"/>
                <w:szCs w:val="17"/>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2,396</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2,055,255</w:t>
            </w:r>
          </w:p>
        </w:tc>
        <w:tc>
          <w:tcPr>
            <w:tcW w:w="1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bottom w:val="single" w:sz="8" w:color="auto"/>
            </w:tcBorders>
            <w:shd w:val="clear" w:color="auto" w:fill="CCEEFF"/>
          </w:tcPr>
          <w:p>
            <w:pPr>
              <w:spacing w:after="0"/>
              <w:rPr>
                <w:sz w:val="17"/>
                <w:szCs w:val="17"/>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858</w:t>
            </w:r>
          </w:p>
        </w:tc>
        <w:tc>
          <w:tcPr>
            <w:tcW w:w="140" w:type="dxa"/>
            <w:vAlign w:val="bottom"/>
            <w:tcBorders>
              <w:top w:val="single" w:sz="8" w:color="CCEEFF"/>
            </w:tcBorders>
            <w:shd w:val="clear" w:color="auto" w:fill="CCEEFF"/>
          </w:tcPr>
          <w:p>
            <w:pPr>
              <w:spacing w:after="0"/>
              <w:rPr>
                <w:sz w:val="17"/>
                <w:szCs w:val="17"/>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2,536</w:t>
            </w:r>
          </w:p>
        </w:tc>
        <w:tc>
          <w:tcPr>
            <w:tcW w:w="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1,756,859</w:t>
            </w:r>
          </w:p>
        </w:tc>
        <w:tc>
          <w:tcPr>
            <w:tcW w:w="14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spacing w:after="0"/>
              <w:rPr>
                <w:sz w:val="17"/>
                <w:szCs w:val="17"/>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693</w:t>
            </w:r>
          </w:p>
        </w:tc>
        <w:tc>
          <w:tcPr>
            <w:tcW w:w="0" w:type="dxa"/>
            <w:vAlign w:val="bottom"/>
          </w:tcPr>
          <w:p>
            <w:pPr>
              <w:spacing w:after="0"/>
              <w:rPr>
                <w:sz w:val="1"/>
                <w:szCs w:val="1"/>
                <w:color w:val="auto"/>
              </w:rPr>
            </w:pPr>
          </w:p>
        </w:tc>
      </w:tr>
      <w:tr>
        <w:trPr>
          <w:trHeight w:val="182"/>
        </w:trPr>
        <w:tc>
          <w:tcPr>
            <w:tcW w:w="244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Colorado</w:t>
            </w:r>
          </w:p>
        </w:tc>
        <w:tc>
          <w:tcPr>
            <w:tcW w:w="94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230</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178,845</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778</w:t>
            </w:r>
          </w:p>
        </w:tc>
        <w:tc>
          <w:tcPr>
            <w:tcW w:w="14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190</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126,913</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668</w:t>
            </w:r>
          </w:p>
        </w:tc>
        <w:tc>
          <w:tcPr>
            <w:tcW w:w="0" w:type="dxa"/>
            <w:vAlign w:val="bottom"/>
          </w:tcPr>
          <w:p>
            <w:pPr>
              <w:spacing w:after="0"/>
              <w:rPr>
                <w:sz w:val="1"/>
                <w:szCs w:val="1"/>
                <w:color w:val="auto"/>
              </w:rPr>
            </w:pPr>
          </w:p>
        </w:tc>
      </w:tr>
      <w:tr>
        <w:trPr>
          <w:trHeight w:val="203"/>
        </w:trPr>
        <w:tc>
          <w:tcPr>
            <w:tcW w:w="3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Texas</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666</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408,415</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613</w:t>
            </w: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758</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372,381</w:t>
            </w: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491</w:t>
            </w:r>
          </w:p>
        </w:tc>
        <w:tc>
          <w:tcPr>
            <w:tcW w:w="0" w:type="dxa"/>
            <w:vAlign w:val="bottom"/>
          </w:tcPr>
          <w:p>
            <w:pPr>
              <w:spacing w:after="0"/>
              <w:rPr>
                <w:sz w:val="1"/>
                <w:szCs w:val="1"/>
                <w:color w:val="auto"/>
              </w:rPr>
            </w:pPr>
          </w:p>
        </w:tc>
      </w:tr>
      <w:tr>
        <w:trPr>
          <w:trHeight w:val="182"/>
        </w:trPr>
        <w:tc>
          <w:tcPr>
            <w:tcW w:w="244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4"/>
                <w:szCs w:val="14"/>
                <w:color w:val="auto"/>
              </w:rPr>
              <w:t>Central total</w:t>
            </w:r>
          </w:p>
        </w:tc>
        <w:tc>
          <w:tcPr>
            <w:tcW w:w="940" w:type="dxa"/>
            <w:vAlign w:val="bottom"/>
            <w:tcBorders>
              <w:top w:val="single" w:sz="8" w:color="auto"/>
              <w:bottom w:val="single" w:sz="8" w:color="auto"/>
            </w:tcBorders>
          </w:tcPr>
          <w:p>
            <w:pPr>
              <w:spacing w:after="0"/>
              <w:rPr>
                <w:sz w:val="15"/>
                <w:szCs w:val="15"/>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896</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587,260</w:t>
            </w:r>
          </w:p>
        </w:tc>
        <w:tc>
          <w:tcPr>
            <w:tcW w:w="14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655</w:t>
            </w:r>
          </w:p>
        </w:tc>
        <w:tc>
          <w:tcPr>
            <w:tcW w:w="140" w:type="dxa"/>
            <w:vAlign w:val="bottom"/>
            <w:tcBorders>
              <w:bottom w:val="single" w:sz="8" w:color="CCEEFF"/>
            </w:tcBorders>
          </w:tcPr>
          <w:p>
            <w:pPr>
              <w:spacing w:after="0"/>
              <w:rPr>
                <w:sz w:val="15"/>
                <w:szCs w:val="15"/>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948</w:t>
            </w:r>
          </w:p>
        </w:tc>
        <w:tc>
          <w:tcPr>
            <w:tcW w:w="80" w:type="dxa"/>
            <w:vAlign w:val="bottom"/>
            <w:tcBorders>
              <w:bottom w:val="single" w:sz="8" w:color="CCEEFF"/>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499,294</w:t>
            </w:r>
          </w:p>
        </w:tc>
        <w:tc>
          <w:tcPr>
            <w:tcW w:w="140" w:type="dxa"/>
            <w:vAlign w:val="bottom"/>
            <w:tcBorders>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527</w:t>
            </w:r>
          </w:p>
        </w:tc>
        <w:tc>
          <w:tcPr>
            <w:tcW w:w="0" w:type="dxa"/>
            <w:vAlign w:val="bottom"/>
          </w:tcPr>
          <w:p>
            <w:pPr>
              <w:spacing w:after="0"/>
              <w:rPr>
                <w:sz w:val="1"/>
                <w:szCs w:val="1"/>
                <w:color w:val="auto"/>
              </w:rPr>
            </w:pPr>
          </w:p>
        </w:tc>
      </w:tr>
      <w:tr>
        <w:trPr>
          <w:trHeight w:val="196"/>
        </w:trPr>
        <w:tc>
          <w:tcPr>
            <w:tcW w:w="24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Carolinas(1)</w:t>
            </w:r>
          </w:p>
        </w:tc>
        <w:tc>
          <w:tcPr>
            <w:tcW w:w="9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345</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162,317</w:t>
            </w:r>
          </w:p>
        </w:tc>
        <w:tc>
          <w:tcPr>
            <w:tcW w:w="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470</w:t>
            </w: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26,171</w:t>
            </w: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409</w:t>
            </w: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Washington D.C. Area(2)</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176,423</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933</w:t>
            </w: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354</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242,118</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684</w:t>
            </w:r>
          </w:p>
        </w:tc>
        <w:tc>
          <w:tcPr>
            <w:tcW w:w="0" w:type="dxa"/>
            <w:vAlign w:val="bottom"/>
          </w:tcPr>
          <w:p>
            <w:pPr>
              <w:spacing w:after="0"/>
              <w:rPr>
                <w:sz w:val="1"/>
                <w:szCs w:val="1"/>
                <w:color w:val="auto"/>
              </w:rPr>
            </w:pPr>
          </w:p>
        </w:tc>
      </w:tr>
      <w:tr>
        <w:trPr>
          <w:trHeight w:val="196"/>
        </w:trPr>
        <w:tc>
          <w:tcPr>
            <w:tcW w:w="2440" w:type="dxa"/>
            <w:vAlign w:val="bottom"/>
            <w:tcBorders>
              <w:top w:val="single" w:sz="8" w:color="CCEEFF"/>
            </w:tcBorders>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East total</w:t>
            </w:r>
          </w:p>
        </w:tc>
        <w:tc>
          <w:tcPr>
            <w:tcW w:w="940" w:type="dxa"/>
            <w:vAlign w:val="bottom"/>
            <w:tcBorders>
              <w:top w:val="single" w:sz="8" w:color="auto"/>
              <w:bottom w:val="single" w:sz="8" w:color="auto"/>
            </w:tcBorders>
            <w:shd w:val="clear" w:color="auto" w:fill="CCEEFF"/>
          </w:tcPr>
          <w:p>
            <w:pPr>
              <w:spacing w:after="0"/>
              <w:rPr>
                <w:sz w:val="17"/>
                <w:szCs w:val="17"/>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534</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338,740</w:t>
            </w:r>
          </w:p>
        </w:tc>
        <w:tc>
          <w:tcPr>
            <w:tcW w:w="1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bottom w:val="single" w:sz="8" w:color="auto"/>
            </w:tcBorders>
            <w:shd w:val="clear" w:color="auto" w:fill="CCEEFF"/>
          </w:tcPr>
          <w:p>
            <w:pPr>
              <w:spacing w:after="0"/>
              <w:rPr>
                <w:sz w:val="17"/>
                <w:szCs w:val="17"/>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634</w:t>
            </w:r>
          </w:p>
        </w:tc>
        <w:tc>
          <w:tcPr>
            <w:tcW w:w="140" w:type="dxa"/>
            <w:vAlign w:val="bottom"/>
            <w:tcBorders>
              <w:top w:val="single" w:sz="8" w:color="CCEEFF"/>
            </w:tcBorders>
            <w:shd w:val="clear" w:color="auto" w:fill="CCEEFF"/>
          </w:tcPr>
          <w:p>
            <w:pPr>
              <w:spacing w:after="0"/>
              <w:rPr>
                <w:sz w:val="17"/>
                <w:szCs w:val="17"/>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418</w:t>
            </w:r>
          </w:p>
        </w:tc>
        <w:tc>
          <w:tcPr>
            <w:tcW w:w="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268,289</w:t>
            </w:r>
          </w:p>
        </w:tc>
        <w:tc>
          <w:tcPr>
            <w:tcW w:w="14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spacing w:after="0"/>
              <w:rPr>
                <w:sz w:val="17"/>
                <w:szCs w:val="17"/>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642</w:t>
            </w:r>
          </w:p>
        </w:tc>
        <w:tc>
          <w:tcPr>
            <w:tcW w:w="0" w:type="dxa"/>
            <w:vAlign w:val="bottom"/>
          </w:tcPr>
          <w:p>
            <w:pPr>
              <w:spacing w:after="0"/>
              <w:rPr>
                <w:sz w:val="1"/>
                <w:szCs w:val="1"/>
                <w:color w:val="auto"/>
              </w:rPr>
            </w:pPr>
          </w:p>
        </w:tc>
      </w:tr>
      <w:tr>
        <w:trPr>
          <w:trHeight w:val="189"/>
        </w:trPr>
        <w:tc>
          <w:tcPr>
            <w:tcW w:w="3380" w:type="dxa"/>
            <w:vAlign w:val="bottom"/>
            <w:gridSpan w:val="2"/>
          </w:tcPr>
          <w:p>
            <w:pPr>
              <w:ind w:left="540"/>
              <w:spacing w:after="0"/>
              <w:rPr>
                <w:sz w:val="20"/>
                <w:szCs w:val="20"/>
                <w:color w:val="auto"/>
              </w:rPr>
            </w:pPr>
            <w:r>
              <w:rPr>
                <w:rFonts w:ascii="Times New Roman" w:cs="Times New Roman" w:eastAsia="Times New Roman" w:hAnsi="Times New Roman"/>
                <w:sz w:val="14"/>
                <w:szCs w:val="14"/>
                <w:color w:val="auto"/>
              </w:rPr>
              <w:t>Total</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3,826</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2,981,255</w:t>
            </w:r>
          </w:p>
        </w:tc>
        <w:tc>
          <w:tcPr>
            <w:tcW w:w="140" w:type="dxa"/>
            <w:vAlign w:val="bottom"/>
          </w:tcPr>
          <w:p>
            <w:pPr>
              <w:spacing w:after="0"/>
              <w:rPr>
                <w:sz w:val="16"/>
                <w:szCs w:val="16"/>
                <w:color w:val="auto"/>
              </w:rPr>
            </w:pPr>
          </w:p>
        </w:tc>
        <w:tc>
          <w:tcPr>
            <w:tcW w:w="280" w:type="dxa"/>
            <w:vAlign w:val="bottom"/>
          </w:tcPr>
          <w:p>
            <w:pPr>
              <w:jc w:val="right"/>
              <w:ind w:right="110"/>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779</w:t>
            </w: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3,902</w:t>
            </w:r>
          </w:p>
        </w:tc>
        <w:tc>
          <w:tcPr>
            <w:tcW w:w="80" w:type="dxa"/>
            <w:vAlign w:val="bottom"/>
          </w:tcPr>
          <w:p>
            <w:pPr>
              <w:spacing w:after="0"/>
              <w:rPr>
                <w:sz w:val="16"/>
                <w:szCs w:val="16"/>
                <w:color w:val="auto"/>
              </w:rPr>
            </w:pPr>
          </w:p>
        </w:tc>
        <w:tc>
          <w:tcPr>
            <w:tcW w:w="18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2,524,442</w:t>
            </w:r>
          </w:p>
        </w:tc>
        <w:tc>
          <w:tcPr>
            <w:tcW w:w="140" w:type="dxa"/>
            <w:vAlign w:val="bottom"/>
          </w:tcPr>
          <w:p>
            <w:pPr>
              <w:spacing w:after="0"/>
              <w:rPr>
                <w:sz w:val="16"/>
                <w:szCs w:val="16"/>
                <w:color w:val="auto"/>
              </w:rPr>
            </w:pPr>
          </w:p>
        </w:tc>
        <w:tc>
          <w:tcPr>
            <w:tcW w:w="260" w:type="dxa"/>
            <w:vAlign w:val="bottom"/>
          </w:tcPr>
          <w:p>
            <w:pPr>
              <w:jc w:val="right"/>
              <w:ind w:right="110"/>
              <w:spacing w:after="0"/>
              <w:rPr>
                <w:sz w:val="20"/>
                <w:szCs w:val="20"/>
                <w:color w:val="auto"/>
              </w:rPr>
            </w:pPr>
            <w:r>
              <w:rPr>
                <w:rFonts w:ascii="Times New Roman" w:cs="Times New Roman" w:eastAsia="Times New Roman" w:hAnsi="Times New Roman"/>
                <w:sz w:val="14"/>
                <w:szCs w:val="14"/>
                <w:color w:val="auto"/>
                <w:w w:val="85"/>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647</w:t>
            </w:r>
          </w:p>
        </w:tc>
        <w:tc>
          <w:tcPr>
            <w:tcW w:w="0" w:type="dxa"/>
            <w:vAlign w:val="bottom"/>
          </w:tcPr>
          <w:p>
            <w:pPr>
              <w:spacing w:after="0"/>
              <w:rPr>
                <w:sz w:val="1"/>
                <w:szCs w:val="1"/>
                <w:color w:val="auto"/>
              </w:rPr>
            </w:pPr>
          </w:p>
        </w:tc>
      </w:tr>
      <w:tr>
        <w:trPr>
          <w:trHeight w:val="20"/>
        </w:trPr>
        <w:tc>
          <w:tcPr>
            <w:tcW w:w="24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2440" w:type="dxa"/>
            <w:vAlign w:val="bottom"/>
          </w:tcPr>
          <w:p>
            <w:pPr>
              <w:spacing w:after="0"/>
              <w:rPr>
                <w:sz w:val="21"/>
                <w:szCs w:val="21"/>
                <w:color w:val="auto"/>
              </w:rPr>
            </w:pPr>
          </w:p>
        </w:tc>
        <w:tc>
          <w:tcPr>
            <w:tcW w:w="940" w:type="dxa"/>
            <w:vAlign w:val="bottom"/>
          </w:tcPr>
          <w:p>
            <w:pPr>
              <w:jc w:val="center"/>
              <w:ind w:left="3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80" w:type="dxa"/>
            <w:vAlign w:val="bottom"/>
          </w:tcPr>
          <w:p>
            <w:pPr>
              <w:jc w:val="center"/>
              <w:ind w:right="50"/>
              <w:spacing w:after="0"/>
              <w:rPr>
                <w:sz w:val="20"/>
                <w:szCs w:val="20"/>
                <w:color w:val="auto"/>
              </w:rPr>
            </w:pPr>
            <w:r>
              <w:rPr>
                <w:rFonts w:ascii="Times New Roman" w:cs="Times New Roman" w:eastAsia="Times New Roman" w:hAnsi="Times New Roman"/>
                <w:sz w:val="14"/>
                <w:szCs w:val="14"/>
                <w:b w:val="1"/>
                <w:bCs w:val="1"/>
                <w:color w:val="auto"/>
                <w:w w:val="97"/>
              </w:rPr>
              <w:t>December 31,</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3380" w:type="dxa"/>
            <w:vAlign w:val="bottom"/>
            <w:gridSpan w:val="2"/>
          </w:tcPr>
          <w:p>
            <w:pPr>
              <w:jc w:val="center"/>
              <w:ind w:left="2830"/>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4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jc w:val="center"/>
              <w:ind w:right="50"/>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
        </w:trPr>
        <w:tc>
          <w:tcPr>
            <w:tcW w:w="244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24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Lots Owned or Controlled:</w:t>
            </w:r>
          </w:p>
        </w:tc>
        <w:tc>
          <w:tcPr>
            <w:tcW w:w="9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Arizona</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3,522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4,607</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California</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8"/>
              </w:rPr>
              <w:t>13,588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15,091</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Nevada</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2,064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2,161</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Washington</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937</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1,010</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244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4"/>
                <w:szCs w:val="14"/>
                <w:color w:val="auto"/>
              </w:rPr>
              <w:t>West total</w:t>
            </w:r>
          </w:p>
        </w:tc>
        <w:tc>
          <w:tcPr>
            <w:tcW w:w="940" w:type="dxa"/>
            <w:vAlign w:val="bottom"/>
            <w:tcBorders>
              <w:top w:val="single" w:sz="8" w:color="auto"/>
              <w:bottom w:val="single" w:sz="8" w:color="auto"/>
            </w:tcBorders>
          </w:tcPr>
          <w:p>
            <w:pPr>
              <w:spacing w:after="0"/>
              <w:rPr>
                <w:sz w:val="15"/>
                <w:szCs w:val="15"/>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98"/>
              </w:rPr>
              <w:t>20,111</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22,869</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4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Colorado</w:t>
            </w:r>
          </w:p>
        </w:tc>
        <w:tc>
          <w:tcPr>
            <w:tcW w:w="9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2,045</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1,683</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Texas</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98"/>
              </w:rPr>
              <w:t>11,321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12,297</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440" w:type="dxa"/>
            <w:vAlign w:val="bottom"/>
            <w:tcBorders>
              <w:top w:val="single" w:sz="8" w:color="CCEEFF"/>
            </w:tcBorders>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Central total</w:t>
            </w:r>
          </w:p>
        </w:tc>
        <w:tc>
          <w:tcPr>
            <w:tcW w:w="940" w:type="dxa"/>
            <w:vAlign w:val="bottom"/>
            <w:tcBorders>
              <w:top w:val="single" w:sz="8" w:color="auto"/>
              <w:bottom w:val="single" w:sz="8" w:color="auto"/>
            </w:tcBorders>
            <w:shd w:val="clear" w:color="auto" w:fill="CCEEFF"/>
          </w:tcPr>
          <w:p>
            <w:pPr>
              <w:spacing w:after="0"/>
              <w:rPr>
                <w:sz w:val="17"/>
                <w:szCs w:val="17"/>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8"/>
              </w:rPr>
              <w:t>13,366</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13,980</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244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Carolinas(1)</w:t>
            </w:r>
          </w:p>
        </w:tc>
        <w:tc>
          <w:tcPr>
            <w:tcW w:w="94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4,075</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3,458</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3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Washington D.C. Area(2)</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1,530</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1,368</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244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4"/>
                <w:szCs w:val="14"/>
                <w:color w:val="auto"/>
              </w:rPr>
              <w:t>East total</w:t>
            </w:r>
          </w:p>
        </w:tc>
        <w:tc>
          <w:tcPr>
            <w:tcW w:w="940" w:type="dxa"/>
            <w:vAlign w:val="bottom"/>
            <w:tcBorders>
              <w:top w:val="single" w:sz="8" w:color="auto"/>
              <w:bottom w:val="single" w:sz="8" w:color="auto"/>
            </w:tcBorders>
          </w:tcPr>
          <w:p>
            <w:pPr>
              <w:spacing w:after="0"/>
              <w:rPr>
                <w:sz w:val="15"/>
                <w:szCs w:val="15"/>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5,605</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4,826</w:t>
            </w: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3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8"/>
              </w:rPr>
              <w:t>39,082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41,675</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4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440" w:type="dxa"/>
            <w:vAlign w:val="bottom"/>
          </w:tcPr>
          <w:p>
            <w:pPr>
              <w:spacing w:after="0"/>
              <w:rPr>
                <w:sz w:val="19"/>
                <w:szCs w:val="19"/>
                <w:color w:val="auto"/>
              </w:rPr>
            </w:pPr>
          </w:p>
        </w:tc>
        <w:tc>
          <w:tcPr>
            <w:tcW w:w="940" w:type="dxa"/>
            <w:vAlign w:val="bottom"/>
          </w:tcPr>
          <w:p>
            <w:pPr>
              <w:jc w:val="center"/>
              <w:ind w:left="3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jc w:val="center"/>
              <w:ind w:right="50"/>
              <w:spacing w:after="0"/>
              <w:rPr>
                <w:sz w:val="20"/>
                <w:szCs w:val="20"/>
                <w:color w:val="auto"/>
              </w:rPr>
            </w:pPr>
            <w:r>
              <w:rPr>
                <w:rFonts w:ascii="Times New Roman" w:cs="Times New Roman" w:eastAsia="Times New Roman" w:hAnsi="Times New Roman"/>
                <w:sz w:val="14"/>
                <w:szCs w:val="14"/>
                <w:b w:val="1"/>
                <w:bCs w:val="1"/>
                <w:color w:val="auto"/>
                <w:w w:val="97"/>
              </w:rPr>
              <w:t>December 31,</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380" w:type="dxa"/>
            <w:vAlign w:val="bottom"/>
            <w:gridSpan w:val="2"/>
          </w:tcPr>
          <w:p>
            <w:pPr>
              <w:jc w:val="center"/>
              <w:ind w:left="2830"/>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4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jc w:val="center"/>
              <w:ind w:right="50"/>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
        </w:trPr>
        <w:tc>
          <w:tcPr>
            <w:tcW w:w="244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24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Lots by Ownership Type:</w:t>
            </w:r>
          </w:p>
        </w:tc>
        <w:tc>
          <w:tcPr>
            <w:tcW w:w="9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Lots owned</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98"/>
              </w:rPr>
              <w:t>21,579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22,136</w:t>
            </w:r>
          </w:p>
        </w:tc>
        <w:tc>
          <w:tcPr>
            <w:tcW w:w="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4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Lots controlled (3)</w:t>
            </w:r>
          </w:p>
        </w:tc>
        <w:tc>
          <w:tcPr>
            <w:tcW w:w="94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8"/>
              </w:rPr>
              <w:t>17,503</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19,539</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3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98"/>
              </w:rPr>
              <w:t>39,082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41,675</w:t>
            </w: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4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1" w:lineRule="exact"/>
        <w:rPr>
          <w:sz w:val="20"/>
          <w:szCs w:val="20"/>
          <w:color w:val="auto"/>
        </w:rPr>
      </w:pPr>
    </w:p>
    <w:p>
      <w:pPr>
        <w:ind w:left="220" w:hanging="215"/>
        <w:spacing w:after="0"/>
        <w:tabs>
          <w:tab w:leader="none" w:pos="220" w:val="left"/>
        </w:tabs>
        <w:numPr>
          <w:ilvl w:val="0"/>
          <w:numId w:val="7"/>
        </w:numPr>
        <w:rPr>
          <w:rFonts w:ascii="Times New Roman" w:cs="Times New Roman" w:eastAsia="Times New Roman" w:hAnsi="Times New Roman"/>
          <w:sz w:val="9"/>
          <w:szCs w:val="9"/>
          <w:color w:val="auto"/>
        </w:rPr>
      </w:pPr>
      <w:r>
        <w:rPr>
          <w:rFonts w:ascii="Times New Roman" w:cs="Times New Roman" w:eastAsia="Times New Roman" w:hAnsi="Times New Roman"/>
          <w:sz w:val="14"/>
          <w:szCs w:val="14"/>
          <w:color w:val="auto"/>
        </w:rPr>
        <w:t>Carolinas comprises North Carolina and South Carolina.</w:t>
      </w:r>
    </w:p>
    <w:p>
      <w:pPr>
        <w:spacing w:after="0" w:line="21" w:lineRule="exact"/>
        <w:rPr>
          <w:rFonts w:ascii="Times New Roman" w:cs="Times New Roman" w:eastAsia="Times New Roman" w:hAnsi="Times New Roman"/>
          <w:sz w:val="9"/>
          <w:szCs w:val="9"/>
          <w:color w:val="auto"/>
        </w:rPr>
      </w:pPr>
    </w:p>
    <w:p>
      <w:pPr>
        <w:ind w:left="220" w:hanging="215"/>
        <w:spacing w:after="0" w:line="196" w:lineRule="auto"/>
        <w:tabs>
          <w:tab w:leader="none" w:pos="220" w:val="left"/>
        </w:tabs>
        <w:numPr>
          <w:ilvl w:val="0"/>
          <w:numId w:val="7"/>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Washington D.C. Area comprises Maryland, Virginia and the District of Columbia.</w:t>
      </w:r>
    </w:p>
    <w:p>
      <w:pPr>
        <w:spacing w:after="0" w:line="4" w:lineRule="exact"/>
        <w:rPr>
          <w:rFonts w:ascii="Times New Roman" w:cs="Times New Roman" w:eastAsia="Times New Roman" w:hAnsi="Times New Roman"/>
          <w:sz w:val="18"/>
          <w:szCs w:val="18"/>
          <w:color w:val="auto"/>
          <w:vertAlign w:val="superscript"/>
        </w:rPr>
      </w:pPr>
    </w:p>
    <w:p>
      <w:pPr>
        <w:ind w:right="160" w:firstLine="5"/>
        <w:spacing w:after="0" w:line="229" w:lineRule="auto"/>
        <w:tabs>
          <w:tab w:leader="none" w:pos="218" w:val="left"/>
        </w:tabs>
        <w:numPr>
          <w:ilvl w:val="0"/>
          <w:numId w:val="7"/>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4"/>
          <w:szCs w:val="14"/>
          <w:color w:val="auto"/>
        </w:rPr>
        <w:t>As of June 30, 2022 and December 31, 2021, lots controlled included lots that were under land option contracts or purchase contracts. As of June 30, 2022 and December 31, 2021, lots controlled for Central include 3,447 and 2,950 lots, respectively, and lots controlled for East include 157 and 179 lots, respectively, which represent our expected share of lots owned by our investments in unconsolidated land development joint ventures.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9</w:t>
      </w:r>
    </w:p>
    <w:p>
      <w:pPr>
        <w:sectPr>
          <w:pgSz w:w="11900" w:h="16838" w:orient="portrait"/>
          <w:cols w:equalWidth="0" w:num="1">
            <w:col w:w="11240"/>
          </w:cols>
          <w:pgMar w:left="320" w:top="1374" w:right="3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3035935</wp:posOffset>
            </wp:positionH>
            <wp:positionV relativeFrom="page">
              <wp:posOffset>88900</wp:posOffset>
            </wp:positionV>
            <wp:extent cx="1477010" cy="5892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477010" cy="589280"/>
                    </a:xfrm>
                    <a:prstGeom prst="rect">
                      <a:avLst/>
                    </a:prstGeom>
                    <a:noFill/>
                  </pic:spPr>
                </pic:pic>
              </a:graphicData>
            </a:graphic>
          </wp:anchor>
        </w:drawing>
        <w:t>RECONCILIATION OF NON-GAAP FINANCIAL MEASURES</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152" w:lineRule="exact"/>
        <w:rPr>
          <w:sz w:val="20"/>
          <w:szCs w:val="20"/>
          <w:color w:val="auto"/>
        </w:rPr>
      </w:pPr>
    </w:p>
    <w:p>
      <w:pPr>
        <w:ind w:right="20" w:firstLine="470"/>
        <w:spacing w:after="0" w:line="264" w:lineRule="auto"/>
        <w:rPr>
          <w:sz w:val="20"/>
          <w:szCs w:val="20"/>
          <w:color w:val="auto"/>
        </w:rPr>
      </w:pPr>
      <w:r>
        <w:rPr>
          <w:rFonts w:ascii="Times New Roman" w:cs="Times New Roman" w:eastAsia="Times New Roman" w:hAnsi="Times New Roman"/>
          <w:sz w:val="17"/>
          <w:szCs w:val="17"/>
          <w:color w:val="auto"/>
        </w:rPr>
        <w:t>In this press release, we utilize certain financial measures that are non-GAAP financial measures as defined by the Securities and Exchange Commission. We present these measures because we believe they and similar measures are useful to management and investors in evaluating the Company’s operating performance and financing structure. We also believe these measures facilitate the comparison of our operating performance and financing structure with other companies in our industry. Because these measures are not calculated in accordance with Generally Accepted Accounting Principles (“GAAP”), they may not be comparable to other similarly titled measures of other companies and should not be considered in isolation or as a substitute for, or superior to, financial measures prepared in accordance with GAAP.</w:t>
      </w:r>
    </w:p>
    <w:p>
      <w:pPr>
        <w:spacing w:after="0" w:line="121" w:lineRule="exact"/>
        <w:rPr>
          <w:sz w:val="20"/>
          <w:szCs w:val="20"/>
          <w:color w:val="auto"/>
        </w:rPr>
      </w:pPr>
    </w:p>
    <w:p>
      <w:pPr>
        <w:jc w:val="both"/>
        <w:ind w:right="280" w:firstLine="470"/>
        <w:spacing w:after="0" w:line="276" w:lineRule="auto"/>
        <w:rPr>
          <w:sz w:val="20"/>
          <w:szCs w:val="20"/>
          <w:color w:val="auto"/>
        </w:rPr>
      </w:pPr>
      <w:r>
        <w:rPr>
          <w:rFonts w:ascii="Times New Roman" w:cs="Times New Roman" w:eastAsia="Times New Roman" w:hAnsi="Times New Roman"/>
          <w:sz w:val="17"/>
          <w:szCs w:val="17"/>
          <w:color w:val="auto"/>
        </w:rPr>
        <w:t>The following tables reconcile homebuilding gross margin percentage, as reported and prepared in accordance with GAAP, to the non-GAAP measure adjusted homebuilding gross margin percentage. We believe this information is meaningful as it isolates the impact that leverage has on homebuilding gross margin and permits investors to make better comparisons with our competitors, who adjust gross margins in a similar fashion.</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0" w:type="dxa"/>
            <w:vAlign w:val="bottom"/>
          </w:tcPr>
          <w:p>
            <w:pPr>
              <w:spacing w:after="0"/>
              <w:rPr>
                <w:sz w:val="16"/>
                <w:szCs w:val="16"/>
                <w:color w:val="auto"/>
              </w:rPr>
            </w:pPr>
          </w:p>
        </w:tc>
        <w:tc>
          <w:tcPr>
            <w:tcW w:w="4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300" w:type="dxa"/>
            <w:vAlign w:val="bottom"/>
            <w:gridSpan w:val="8"/>
          </w:tcPr>
          <w:p>
            <w:pPr>
              <w:ind w:left="6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8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454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5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gridSpan w:val="2"/>
          </w:tcPr>
          <w:p>
            <w:pPr>
              <w:jc w:val="right"/>
              <w:ind w:right="643"/>
              <w:spacing w:after="0"/>
              <w:rPr>
                <w:sz w:val="20"/>
                <w:szCs w:val="20"/>
                <w:color w:val="auto"/>
              </w:rPr>
            </w:pPr>
            <w:r>
              <w:rPr>
                <w:rFonts w:ascii="Times New Roman" w:cs="Times New Roman" w:eastAsia="Times New Roman" w:hAnsi="Times New Roman"/>
                <w:sz w:val="14"/>
                <w:szCs w:val="14"/>
                <w:b w:val="1"/>
                <w:bCs w:val="1"/>
                <w:color w:val="auto"/>
              </w:rPr>
              <w:t>%</w:t>
            </w:r>
          </w:p>
        </w:tc>
        <w:tc>
          <w:tcPr>
            <w:tcW w:w="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575"/>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gridSpan w:val="2"/>
          </w:tcPr>
          <w:p>
            <w:pPr>
              <w:jc w:val="right"/>
              <w:ind w:right="633"/>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4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0" w:type="dxa"/>
            <w:vAlign w:val="bottom"/>
            <w:gridSpan w:val="5"/>
          </w:tcPr>
          <w:p>
            <w:pPr>
              <w:jc w:val="right"/>
              <w:spacing w:after="0"/>
              <w:rPr>
                <w:sz w:val="20"/>
                <w:szCs w:val="20"/>
                <w:color w:val="auto"/>
              </w:rPr>
            </w:pPr>
            <w:r>
              <w:rPr>
                <w:rFonts w:ascii="Times New Roman" w:cs="Times New Roman" w:eastAsia="Times New Roman" w:hAnsi="Times New Roman"/>
                <w:sz w:val="14"/>
                <w:szCs w:val="14"/>
                <w:color w:val="auto"/>
              </w:rPr>
              <w:t>(dollars in thousands)</w:t>
            </w:r>
          </w:p>
        </w:tc>
        <w:tc>
          <w:tcPr>
            <w:tcW w:w="9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5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Home sales revenue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1,004,644</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100.0 %</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4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1,009,307</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100.0 %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Cost of home sales</w:t>
            </w:r>
          </w:p>
        </w:tc>
        <w:tc>
          <w:tcPr>
            <w:tcW w:w="10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rPr>
              <w:t>731,352</w:t>
            </w:r>
          </w:p>
        </w:tc>
        <w:tc>
          <w:tcPr>
            <w:tcW w:w="6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5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7"/>
                <w:szCs w:val="17"/>
                <w:color w:val="auto"/>
              </w:rPr>
              <w:t>72.8 %</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rPr>
              <w:t>761,215</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5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7"/>
                <w:szCs w:val="17"/>
                <w:color w:val="auto"/>
              </w:rPr>
              <w:t>75.4 %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5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Homebuilding gross margin</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273,292</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27.2 %</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248,092</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24.6 %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40" w:type="dxa"/>
            <w:vAlign w:val="bottom"/>
          </w:tcPr>
          <w:p>
            <w:pPr>
              <w:ind w:left="260"/>
              <w:spacing w:after="0"/>
              <w:rPr>
                <w:sz w:val="20"/>
                <w:szCs w:val="20"/>
                <w:color w:val="auto"/>
              </w:rPr>
            </w:pPr>
            <w:r>
              <w:rPr>
                <w:rFonts w:ascii="Times New Roman" w:cs="Times New Roman" w:eastAsia="Times New Roman" w:hAnsi="Times New Roman"/>
                <w:sz w:val="17"/>
                <w:szCs w:val="17"/>
                <w:color w:val="auto"/>
              </w:rPr>
              <w:t>Add: interest in cost of home sales</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115"/>
              <w:spacing w:after="0"/>
              <w:rPr>
                <w:sz w:val="20"/>
                <w:szCs w:val="20"/>
                <w:color w:val="auto"/>
              </w:rPr>
            </w:pPr>
            <w:r>
              <w:rPr>
                <w:rFonts w:ascii="Times New Roman" w:cs="Times New Roman" w:eastAsia="Times New Roman" w:hAnsi="Times New Roman"/>
                <w:sz w:val="17"/>
                <w:szCs w:val="17"/>
                <w:color w:val="auto"/>
              </w:rPr>
              <w:t>24,963</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2.5 %</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jc w:val="right"/>
              <w:ind w:right="115"/>
              <w:spacing w:after="0"/>
              <w:rPr>
                <w:sz w:val="20"/>
                <w:szCs w:val="20"/>
                <w:color w:val="auto"/>
              </w:rPr>
            </w:pPr>
            <w:r>
              <w:rPr>
                <w:rFonts w:ascii="Times New Roman" w:cs="Times New Roman" w:eastAsia="Times New Roman" w:hAnsi="Times New Roman"/>
                <w:sz w:val="17"/>
                <w:szCs w:val="17"/>
                <w:color w:val="auto"/>
              </w:rPr>
              <w:t>30,851</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3.1 %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7"/>
                <w:szCs w:val="17"/>
                <w:color w:val="auto"/>
              </w:rPr>
              <w:t>Add: impairments and lot option abandonments</w:t>
            </w:r>
          </w:p>
        </w:tc>
        <w:tc>
          <w:tcPr>
            <w:tcW w:w="100" w:type="dxa"/>
            <w:vAlign w:val="bottom"/>
            <w:tcBorders>
              <w:bottom w:val="single" w:sz="8" w:color="auto"/>
            </w:tcBorders>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972</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5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0.1 %</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rPr>
              <w:t>232</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5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5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Adjusted homebuilding gross margin</w:t>
            </w: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93"/>
              </w:rPr>
              <w:t>$</w:t>
            </w:r>
          </w:p>
        </w:tc>
        <w:tc>
          <w:tcPr>
            <w:tcW w:w="3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rPr>
              <w:t>299,227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5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7"/>
                <w:szCs w:val="17"/>
                <w:color w:val="auto"/>
              </w:rPr>
              <w:t>29.8 %</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Borders>
              <w:bottom w:val="single" w:sz="8" w:color="auto"/>
            </w:tcBorders>
            <w:gridSpan w:val="2"/>
          </w:tcPr>
          <w:p>
            <w:pPr>
              <w:jc w:val="right"/>
              <w:ind w:right="41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rPr>
              <w:t>279,175</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7"/>
                <w:szCs w:val="17"/>
                <w:color w:val="auto"/>
              </w:rPr>
              <w:t>27.7 %</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20" w:type="dxa"/>
            <w:vAlign w:val="bottom"/>
          </w:tcPr>
          <w:p>
            <w:pPr>
              <w:spacing w:after="0"/>
              <w:rPr>
                <w:sz w:val="20"/>
                <w:szCs w:val="20"/>
                <w:color w:val="auto"/>
              </w:rPr>
            </w:pPr>
          </w:p>
        </w:tc>
        <w:tc>
          <w:tcPr>
            <w:tcW w:w="45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Homebuilding gross margin percentage</w:t>
            </w:r>
          </w:p>
        </w:tc>
        <w:tc>
          <w:tcPr>
            <w:tcW w:w="100" w:type="dxa"/>
            <w:vAlign w:val="bottom"/>
            <w:tcBorders>
              <w:bottom w:val="single" w:sz="8" w:color="auto"/>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27.2 %</w:t>
            </w:r>
          </w:p>
        </w:tc>
        <w:tc>
          <w:tcPr>
            <w:tcW w:w="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auto"/>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spacing w:after="0"/>
              <w:rPr>
                <w:sz w:val="20"/>
                <w:szCs w:val="20"/>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24.6 %</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7"/>
                <w:szCs w:val="17"/>
                <w:color w:val="auto"/>
              </w:rPr>
              <w:t>Adjusted homebuilding gross margin percentage</w:t>
            </w: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20" w:type="dxa"/>
            <w:vAlign w:val="bottom"/>
          </w:tcPr>
          <w:p>
            <w:pPr>
              <w:spacing w:after="0"/>
              <w:rPr>
                <w:sz w:val="16"/>
                <w:szCs w:val="16"/>
                <w:color w:val="auto"/>
              </w:rPr>
            </w:pPr>
          </w:p>
        </w:tc>
        <w:tc>
          <w:tcPr>
            <w:tcW w:w="454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line="194" w:lineRule="exact"/>
              <w:rPr>
                <w:sz w:val="20"/>
                <w:szCs w:val="20"/>
                <w:color w:val="auto"/>
              </w:rPr>
            </w:pPr>
            <w:r>
              <w:rPr>
                <w:rFonts w:ascii="Times New Roman" w:cs="Times New Roman" w:eastAsia="Times New Roman" w:hAnsi="Times New Roman"/>
                <w:sz w:val="17"/>
                <w:szCs w:val="17"/>
                <w:color w:val="auto"/>
              </w:rPr>
              <w:t>29.8 %</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line="194" w:lineRule="exact"/>
              <w:rPr>
                <w:sz w:val="20"/>
                <w:szCs w:val="20"/>
                <w:color w:val="auto"/>
              </w:rPr>
            </w:pPr>
            <w:r>
              <w:rPr>
                <w:rFonts w:ascii="Times New Roman" w:cs="Times New Roman" w:eastAsia="Times New Roman" w:hAnsi="Times New Roman"/>
                <w:sz w:val="17"/>
                <w:szCs w:val="17"/>
                <w:color w:val="auto"/>
              </w:rPr>
              <w:t>27.7 %</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40"/>
        </w:trPr>
        <w:tc>
          <w:tcPr>
            <w:tcW w:w="2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00" w:type="dxa"/>
            <w:vAlign w:val="bottom"/>
            <w:gridSpan w:val="8"/>
          </w:tcPr>
          <w:p>
            <w:pPr>
              <w:ind w:left="78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4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40" w:type="dxa"/>
            <w:vAlign w:val="bottom"/>
          </w:tcPr>
          <w:p>
            <w:pPr>
              <w:jc w:val="right"/>
              <w:ind w:right="4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580" w:type="dxa"/>
            <w:vAlign w:val="bottom"/>
            <w:gridSpan w:val="2"/>
          </w:tcPr>
          <w:p>
            <w:pPr>
              <w:jc w:val="right"/>
              <w:ind w:right="563"/>
              <w:spacing w:after="0"/>
              <w:rPr>
                <w:sz w:val="20"/>
                <w:szCs w:val="20"/>
                <w:color w:val="auto"/>
              </w:rPr>
            </w:pPr>
            <w:r>
              <w:rPr>
                <w:rFonts w:ascii="Times New Roman" w:cs="Times New Roman" w:eastAsia="Times New Roman" w:hAnsi="Times New Roman"/>
                <w:sz w:val="14"/>
                <w:szCs w:val="14"/>
                <w:b w:val="1"/>
                <w:bCs w:val="1"/>
                <w:color w:val="auto"/>
              </w:rPr>
              <w:t>%</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80" w:type="dxa"/>
            <w:vAlign w:val="bottom"/>
          </w:tcPr>
          <w:p>
            <w:pPr>
              <w:jc w:val="right"/>
              <w:ind w:right="5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580" w:type="dxa"/>
            <w:vAlign w:val="bottom"/>
            <w:gridSpan w:val="2"/>
          </w:tcPr>
          <w:p>
            <w:pPr>
              <w:jc w:val="right"/>
              <w:ind w:right="593"/>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228"/>
        </w:trPr>
        <w:tc>
          <w:tcPr>
            <w:tcW w:w="20" w:type="dxa"/>
            <w:vAlign w:val="bottom"/>
            <w:shd w:val="clear" w:color="auto" w:fill="CCEEFF"/>
          </w:tcPr>
          <w:p>
            <w:pPr>
              <w:spacing w:after="0"/>
              <w:rPr>
                <w:sz w:val="19"/>
                <w:szCs w:val="19"/>
                <w:color w:val="auto"/>
              </w:rPr>
            </w:pPr>
          </w:p>
        </w:tc>
        <w:tc>
          <w:tcPr>
            <w:tcW w:w="4540" w:type="dxa"/>
            <w:vAlign w:val="bottom"/>
            <w:shd w:val="clear" w:color="auto" w:fill="CCEEFF"/>
          </w:tcPr>
          <w:p>
            <w:pPr>
              <w:spacing w:after="0"/>
              <w:rPr>
                <w:sz w:val="20"/>
                <w:szCs w:val="20"/>
                <w:color w:val="auto"/>
              </w:rPr>
            </w:pPr>
            <w:r>
              <w:rPr>
                <w:rFonts w:ascii="Times New Roman" w:cs="Times New Roman" w:eastAsia="Times New Roman" w:hAnsi="Times New Roman"/>
                <w:sz w:val="17"/>
                <w:szCs w:val="17"/>
                <w:color w:val="auto"/>
              </w:rPr>
              <w:t>Home sales revenue</w:t>
            </w:r>
          </w:p>
        </w:tc>
        <w:tc>
          <w:tcPr>
            <w:tcW w:w="440" w:type="dxa"/>
            <w:vAlign w:val="bottom"/>
            <w:gridSpan w:val="2"/>
            <w:shd w:val="clear" w:color="auto" w:fill="CCEEFF"/>
          </w:tcPr>
          <w:p>
            <w:pPr>
              <w:jc w:val="right"/>
              <w:ind w:right="133"/>
              <w:spacing w:after="0"/>
              <w:rPr>
                <w:sz w:val="20"/>
                <w:szCs w:val="20"/>
                <w:color w:val="auto"/>
              </w:rPr>
            </w:pPr>
            <w:r>
              <w:rPr>
                <w:rFonts w:ascii="Times New Roman" w:cs="Times New Roman" w:eastAsia="Times New Roman" w:hAnsi="Times New Roman"/>
                <w:sz w:val="17"/>
                <w:szCs w:val="17"/>
                <w:color w:val="auto"/>
              </w:rPr>
              <w:t>$</w:t>
            </w:r>
          </w:p>
        </w:tc>
        <w:tc>
          <w:tcPr>
            <w:tcW w:w="11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rPr>
              <w:t>1,729,895</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62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100.0 %</w:t>
            </w:r>
          </w:p>
        </w:tc>
        <w:tc>
          <w:tcPr>
            <w:tcW w:w="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333"/>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rPr>
              <w:t>1,725,982</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100.0 %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40" w:type="dxa"/>
            <w:vAlign w:val="bottom"/>
          </w:tcPr>
          <w:p>
            <w:pPr>
              <w:spacing w:after="0"/>
              <w:rPr>
                <w:sz w:val="20"/>
                <w:szCs w:val="20"/>
                <w:color w:val="auto"/>
              </w:rPr>
            </w:pPr>
            <w:r>
              <w:rPr>
                <w:rFonts w:ascii="Times New Roman" w:cs="Times New Roman" w:eastAsia="Times New Roman" w:hAnsi="Times New Roman"/>
                <w:sz w:val="17"/>
                <w:szCs w:val="17"/>
                <w:color w:val="auto"/>
              </w:rPr>
              <w:t>Cost of home sales</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rPr>
              <w:t>1,262,012</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gridSpan w:val="3"/>
          </w:tcPr>
          <w:p>
            <w:pPr>
              <w:jc w:val="right"/>
              <w:ind w:right="20"/>
              <w:spacing w:after="0"/>
              <w:rPr>
                <w:sz w:val="20"/>
                <w:szCs w:val="20"/>
                <w:color w:val="auto"/>
              </w:rPr>
            </w:pPr>
            <w:r>
              <w:rPr>
                <w:rFonts w:ascii="Times New Roman" w:cs="Times New Roman" w:eastAsia="Times New Roman" w:hAnsi="Times New Roman"/>
                <w:sz w:val="17"/>
                <w:szCs w:val="17"/>
                <w:color w:val="auto"/>
              </w:rPr>
              <w:t>73.0 %</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rPr>
              <w:t>1,306,571</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75.7 %</w:t>
            </w:r>
          </w:p>
        </w:tc>
        <w:tc>
          <w:tcPr>
            <w:tcW w:w="0" w:type="dxa"/>
            <w:vAlign w:val="bottom"/>
          </w:tcPr>
          <w:p>
            <w:pPr>
              <w:spacing w:after="0"/>
              <w:rPr>
                <w:sz w:val="1"/>
                <w:szCs w:val="1"/>
                <w:color w:val="auto"/>
              </w:rPr>
            </w:pPr>
          </w:p>
        </w:tc>
      </w:tr>
      <w:tr>
        <w:trPr>
          <w:trHeight w:val="215"/>
        </w:trPr>
        <w:tc>
          <w:tcPr>
            <w:tcW w:w="20" w:type="dxa"/>
            <w:vAlign w:val="bottom"/>
            <w:tcBorders>
              <w:top w:val="single" w:sz="8" w:color="CCEEFF"/>
            </w:tcBorders>
            <w:shd w:val="clear" w:color="auto" w:fill="CCEEFF"/>
          </w:tcPr>
          <w:p>
            <w:pPr>
              <w:spacing w:after="0"/>
              <w:rPr>
                <w:sz w:val="18"/>
                <w:szCs w:val="18"/>
                <w:color w:val="auto"/>
              </w:rPr>
            </w:pPr>
          </w:p>
        </w:tc>
        <w:tc>
          <w:tcPr>
            <w:tcW w:w="45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7"/>
                <w:szCs w:val="17"/>
                <w:color w:val="auto"/>
              </w:rPr>
              <w:t>Homebuilding gross margin</w:t>
            </w: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rPr>
              <w:t>467,883</w:t>
            </w:r>
          </w:p>
        </w:tc>
        <w:tc>
          <w:tcPr>
            <w:tcW w:w="6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27.0 %</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rPr>
              <w:t>419,411</w:t>
            </w:r>
          </w:p>
        </w:tc>
        <w:tc>
          <w:tcPr>
            <w:tcW w:w="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24.3 %</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Add: interest in cost of home sales</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rPr>
              <w:t>42,028</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gridSpan w:val="3"/>
          </w:tcPr>
          <w:p>
            <w:pPr>
              <w:jc w:val="right"/>
              <w:ind w:right="20"/>
              <w:spacing w:after="0"/>
              <w:rPr>
                <w:sz w:val="20"/>
                <w:szCs w:val="20"/>
                <w:color w:val="auto"/>
              </w:rPr>
            </w:pPr>
            <w:r>
              <w:rPr>
                <w:rFonts w:ascii="Times New Roman" w:cs="Times New Roman" w:eastAsia="Times New Roman" w:hAnsi="Times New Roman"/>
                <w:sz w:val="17"/>
                <w:szCs w:val="17"/>
                <w:color w:val="auto"/>
              </w:rPr>
              <w:t>2.4 %</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rPr>
              <w:t>51,529</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3.0 %</w:t>
            </w:r>
          </w:p>
        </w:tc>
        <w:tc>
          <w:tcPr>
            <w:tcW w:w="0" w:type="dxa"/>
            <w:vAlign w:val="bottom"/>
          </w:tcPr>
          <w:p>
            <w:pPr>
              <w:spacing w:after="0"/>
              <w:rPr>
                <w:sz w:val="1"/>
                <w:szCs w:val="1"/>
                <w:color w:val="auto"/>
              </w:rPr>
            </w:pPr>
          </w:p>
        </w:tc>
      </w:tr>
      <w:tr>
        <w:trPr>
          <w:trHeight w:val="222"/>
        </w:trPr>
        <w:tc>
          <w:tcPr>
            <w:tcW w:w="20" w:type="dxa"/>
            <w:vAlign w:val="bottom"/>
            <w:shd w:val="clear" w:color="auto" w:fill="CCEEFF"/>
          </w:tcPr>
          <w:p>
            <w:pPr>
              <w:spacing w:after="0"/>
              <w:rPr>
                <w:sz w:val="19"/>
                <w:szCs w:val="19"/>
                <w:color w:val="auto"/>
              </w:rPr>
            </w:pPr>
          </w:p>
        </w:tc>
        <w:tc>
          <w:tcPr>
            <w:tcW w:w="45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7"/>
                <w:szCs w:val="17"/>
                <w:color w:val="auto"/>
              </w:rPr>
              <w:t>Add: impairments and lot option abandonments</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rPr>
              <w:t>1,461</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62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0.1 %</w:t>
            </w: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rPr>
              <w:t>445</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0.0 %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Times New Roman" w:cs="Times New Roman" w:eastAsia="Times New Roman" w:hAnsi="Times New Roman"/>
                <w:sz w:val="17"/>
                <w:szCs w:val="17"/>
                <w:color w:val="auto"/>
              </w:rPr>
              <w:t>Adjusted homebuilding gross margin</w:t>
            </w:r>
          </w:p>
        </w:tc>
        <w:tc>
          <w:tcPr>
            <w:tcW w:w="100" w:type="dxa"/>
            <w:vAlign w:val="bottom"/>
          </w:tcPr>
          <w:p>
            <w:pPr>
              <w:spacing w:after="0"/>
              <w:rPr>
                <w:sz w:val="18"/>
                <w:szCs w:val="18"/>
                <w:color w:val="auto"/>
              </w:rPr>
            </w:pPr>
          </w:p>
        </w:tc>
        <w:tc>
          <w:tcPr>
            <w:tcW w:w="340" w:type="dxa"/>
            <w:vAlign w:val="bottom"/>
            <w:tcBorders>
              <w:top w:val="single" w:sz="8" w:color="auto"/>
              <w:bottom w:val="single" w:sz="8" w:color="auto"/>
            </w:tcBorders>
          </w:tcPr>
          <w:p>
            <w:pPr>
              <w:jc w:val="right"/>
              <w:ind w:right="133"/>
              <w:spacing w:after="0"/>
              <w:rPr>
                <w:sz w:val="20"/>
                <w:szCs w:val="20"/>
                <w:color w:val="auto"/>
              </w:rPr>
            </w:pPr>
            <w:r>
              <w:rPr>
                <w:rFonts w:ascii="Times New Roman" w:cs="Times New Roman" w:eastAsia="Times New Roman" w:hAnsi="Times New Roman"/>
                <w:sz w:val="17"/>
                <w:szCs w:val="17"/>
                <w:color w:val="auto"/>
              </w:rPr>
              <w:t>$</w:t>
            </w:r>
          </w:p>
        </w:tc>
        <w:tc>
          <w:tcPr>
            <w:tcW w:w="1140" w:type="dxa"/>
            <w:vAlign w:val="bottom"/>
            <w:tcBorders>
              <w:top w:val="single" w:sz="8" w:color="auto"/>
              <w:bottom w:val="single" w:sz="8" w:color="auto"/>
            </w:tcBorders>
          </w:tcPr>
          <w:p>
            <w:pPr>
              <w:jc w:val="right"/>
              <w:ind w:right="75"/>
              <w:spacing w:after="0"/>
              <w:rPr>
                <w:sz w:val="20"/>
                <w:szCs w:val="20"/>
                <w:color w:val="auto"/>
              </w:rPr>
            </w:pPr>
            <w:r>
              <w:rPr>
                <w:rFonts w:ascii="Times New Roman" w:cs="Times New Roman" w:eastAsia="Times New Roman" w:hAnsi="Times New Roman"/>
                <w:sz w:val="17"/>
                <w:szCs w:val="17"/>
                <w:color w:val="auto"/>
              </w:rPr>
              <w:t>511,372</w:t>
            </w:r>
          </w:p>
        </w:tc>
        <w:tc>
          <w:tcPr>
            <w:tcW w:w="6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2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7"/>
                <w:szCs w:val="17"/>
                <w:color w:val="auto"/>
              </w:rPr>
              <w:t>29.6 %</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Borders>
              <w:top w:val="single" w:sz="8" w:color="auto"/>
              <w:bottom w:val="single" w:sz="8" w:color="auto"/>
            </w:tcBorders>
          </w:tcPr>
          <w:p>
            <w:pPr>
              <w:jc w:val="right"/>
              <w:ind w:right="333"/>
              <w:spacing w:after="0"/>
              <w:rPr>
                <w:sz w:val="20"/>
                <w:szCs w:val="20"/>
                <w:color w:val="auto"/>
              </w:rPr>
            </w:pPr>
            <w:r>
              <w:rPr>
                <w:rFonts w:ascii="Times New Roman" w:cs="Times New Roman" w:eastAsia="Times New Roman" w:hAnsi="Times New Roman"/>
                <w:sz w:val="17"/>
                <w:szCs w:val="17"/>
                <w:color w:val="auto"/>
                <w:w w:val="93"/>
              </w:rPr>
              <w:t>$</w:t>
            </w:r>
          </w:p>
        </w:tc>
        <w:tc>
          <w:tcPr>
            <w:tcW w:w="980" w:type="dxa"/>
            <w:vAlign w:val="bottom"/>
            <w:tcBorders>
              <w:top w:val="single" w:sz="8" w:color="auto"/>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rPr>
              <w:t>471,385</w:t>
            </w:r>
          </w:p>
        </w:tc>
        <w:tc>
          <w:tcPr>
            <w:tcW w:w="40" w:type="dxa"/>
            <w:vAlign w:val="bottom"/>
            <w:tcBorders>
              <w:top w:val="single" w:sz="8" w:color="auto"/>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27.3 %</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45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9"/>
        </w:trPr>
        <w:tc>
          <w:tcPr>
            <w:tcW w:w="20" w:type="dxa"/>
            <w:vAlign w:val="bottom"/>
            <w:tcBorders>
              <w:bottom w:val="single" w:sz="8" w:color="CCEEFF"/>
            </w:tcBorders>
            <w:shd w:val="clear" w:color="auto" w:fill="CCEEFF"/>
          </w:tcPr>
          <w:p>
            <w:pPr>
              <w:spacing w:after="0"/>
              <w:rPr>
                <w:sz w:val="20"/>
                <w:szCs w:val="20"/>
                <w:color w:val="auto"/>
              </w:rPr>
            </w:pPr>
          </w:p>
        </w:tc>
        <w:tc>
          <w:tcPr>
            <w:tcW w:w="45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7"/>
                <w:szCs w:val="17"/>
                <w:color w:val="auto"/>
              </w:rPr>
              <w:t>Homebuilding gross margin percentage</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1200" w:type="dxa"/>
            <w:vAlign w:val="bottom"/>
            <w:tcBorders>
              <w:bottom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27.0 %</w:t>
            </w: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spacing w:after="0"/>
              <w:rPr>
                <w:sz w:val="20"/>
                <w:szCs w:val="20"/>
                <w:color w:val="auto"/>
              </w:rPr>
            </w:pPr>
          </w:p>
        </w:tc>
        <w:tc>
          <w:tcPr>
            <w:tcW w:w="1020" w:type="dxa"/>
            <w:vAlign w:val="bottom"/>
            <w:tcBorders>
              <w:bottom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7"/>
                <w:szCs w:val="17"/>
                <w:color w:val="auto"/>
              </w:rPr>
              <w:t>24.3 %</w:t>
            </w: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454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7"/>
                <w:szCs w:val="17"/>
                <w:color w:val="auto"/>
              </w:rPr>
              <w:t>Adjusted homebuilding gross margin percentage</w:t>
            </w: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gridSpan w:val="2"/>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20" w:type="dxa"/>
            <w:vAlign w:val="bottom"/>
          </w:tcPr>
          <w:p>
            <w:pPr>
              <w:spacing w:after="0"/>
              <w:rPr>
                <w:sz w:val="16"/>
                <w:szCs w:val="16"/>
                <w:color w:val="auto"/>
              </w:rPr>
            </w:pPr>
          </w:p>
        </w:tc>
        <w:tc>
          <w:tcPr>
            <w:tcW w:w="45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right"/>
              <w:ind w:right="20"/>
              <w:spacing w:after="0" w:line="194" w:lineRule="exact"/>
              <w:rPr>
                <w:sz w:val="20"/>
                <w:szCs w:val="20"/>
                <w:color w:val="auto"/>
              </w:rPr>
            </w:pPr>
            <w:r>
              <w:rPr>
                <w:rFonts w:ascii="Times New Roman" w:cs="Times New Roman" w:eastAsia="Times New Roman" w:hAnsi="Times New Roman"/>
                <w:sz w:val="17"/>
                <w:szCs w:val="17"/>
                <w:color w:val="auto"/>
              </w:rPr>
              <w:t>29.6 %</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gridSpan w:val="2"/>
          </w:tcPr>
          <w:p>
            <w:pPr>
              <w:jc w:val="right"/>
              <w:ind w:right="20"/>
              <w:spacing w:after="0" w:line="194" w:lineRule="exact"/>
              <w:rPr>
                <w:sz w:val="20"/>
                <w:szCs w:val="20"/>
                <w:color w:val="auto"/>
              </w:rPr>
            </w:pPr>
            <w:r>
              <w:rPr>
                <w:rFonts w:ascii="Times New Roman" w:cs="Times New Roman" w:eastAsia="Times New Roman" w:hAnsi="Times New Roman"/>
                <w:sz w:val="17"/>
                <w:szCs w:val="17"/>
                <w:color w:val="auto"/>
              </w:rPr>
              <w:t>27.3 %</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10</w:t>
      </w:r>
    </w:p>
    <w:p>
      <w:pPr>
        <w:sectPr>
          <w:pgSz w:w="11900" w:h="16838" w:orient="portrait"/>
          <w:cols w:equalWidth="0" w:num="1">
            <w:col w:w="11240"/>
          </w:cols>
          <w:pgMar w:left="320" w:top="1374" w:right="339" w:bottom="1440" w:gutter="0" w:footer="0" w:header="0"/>
        </w:sectPr>
      </w:pPr>
    </w:p>
    <w:bookmarkStart w:id="13" w:name="page14"/>
    <w:bookmarkEnd w:id="13"/>
    <w:p>
      <w:pPr>
        <w:spacing w:after="0" w:line="16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7"/>
          <w:szCs w:val="17"/>
          <w:b w:val="1"/>
          <w:bCs w:val="1"/>
          <w:color w:val="auto"/>
        </w:rPr>
        <w:t>RECONCILIATION OF NON-GAAP FINANCIAL MEASURES (continued)</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(unaudited)</w:t>
      </w:r>
    </w:p>
    <w:p>
      <w:pPr>
        <w:spacing w:after="0" w:line="205" w:lineRule="exact"/>
        <w:rPr>
          <w:sz w:val="20"/>
          <w:szCs w:val="20"/>
          <w:color w:val="auto"/>
        </w:rPr>
      </w:pPr>
    </w:p>
    <w:p>
      <w:pPr>
        <w:ind w:right="20" w:firstLine="470"/>
        <w:spacing w:after="0" w:line="276" w:lineRule="auto"/>
        <w:rPr>
          <w:sz w:val="20"/>
          <w:szCs w:val="20"/>
          <w:color w:val="auto"/>
        </w:rPr>
      </w:pPr>
      <w:r>
        <w:rPr>
          <w:rFonts w:ascii="Times New Roman" w:cs="Times New Roman" w:eastAsia="Times New Roman" w:hAnsi="Times New Roman"/>
          <w:sz w:val="17"/>
          <w:szCs w:val="17"/>
          <w:color w:val="auto"/>
        </w:rPr>
        <w:t>The following table reconciles the Company’s ratio of debt-to-capital to the non-GAAP ratio of net debt-to-net capital. We believe that the ratio of net debt-to-net capital is a relevant financial measure for management and investors to understand the leverage employed in our operations and as an indicator of the Company’s ability to obtain financing.</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0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00" w:type="dxa"/>
            <w:vAlign w:val="bottom"/>
            <w:gridSpan w:val="2"/>
          </w:tcPr>
          <w:p>
            <w:pPr>
              <w:ind w:left="26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280" w:type="dxa"/>
            <w:vAlign w:val="bottom"/>
          </w:tcPr>
          <w:p>
            <w:pPr>
              <w:spacing w:after="0"/>
              <w:rPr>
                <w:sz w:val="16"/>
                <w:szCs w:val="16"/>
                <w:color w:val="auto"/>
              </w:rPr>
            </w:pPr>
          </w:p>
        </w:tc>
        <w:tc>
          <w:tcPr>
            <w:tcW w:w="1760" w:type="dxa"/>
            <w:vAlign w:val="bottom"/>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70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15"/>
        </w:trPr>
        <w:tc>
          <w:tcPr>
            <w:tcW w:w="7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Loans payable</w:t>
            </w:r>
          </w:p>
        </w:tc>
        <w:tc>
          <w:tcPr>
            <w:tcW w:w="360" w:type="dxa"/>
            <w:vAlign w:val="bottom"/>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rPr>
              <w:t>$</w:t>
            </w:r>
          </w:p>
        </w:tc>
        <w:tc>
          <w:tcPr>
            <w:tcW w:w="1680" w:type="dxa"/>
            <w:vAlign w:val="bottom"/>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250,000</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760" w:type="dxa"/>
            <w:vAlign w:val="bottom"/>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250,504</w:t>
            </w:r>
          </w:p>
        </w:tc>
      </w:tr>
      <w:tr>
        <w:trPr>
          <w:trHeight w:val="222"/>
        </w:trPr>
        <w:tc>
          <w:tcPr>
            <w:tcW w:w="7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Senior notes</w:t>
            </w:r>
          </w:p>
        </w:tc>
        <w:tc>
          <w:tcPr>
            <w:tcW w:w="36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1,088,895</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1,087,219</w:t>
            </w:r>
          </w:p>
        </w:tc>
      </w:tr>
      <w:tr>
        <w:trPr>
          <w:trHeight w:val="215"/>
        </w:trPr>
        <w:tc>
          <w:tcPr>
            <w:tcW w:w="70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7"/>
                <w:szCs w:val="17"/>
                <w:color w:val="auto"/>
              </w:rPr>
              <w:t>Total debt</w:t>
            </w:r>
          </w:p>
        </w:tc>
        <w:tc>
          <w:tcPr>
            <w:tcW w:w="360" w:type="dxa"/>
            <w:vAlign w:val="bottom"/>
            <w:tcBorders>
              <w:bottom w:val="single" w:sz="8" w:color="auto"/>
            </w:tcBorders>
            <w:shd w:val="clear" w:color="auto" w:fill="CCEEFF"/>
          </w:tcPr>
          <w:p>
            <w:pPr>
              <w:spacing w:after="0"/>
              <w:rPr>
                <w:sz w:val="18"/>
                <w:szCs w:val="18"/>
                <w:color w:val="auto"/>
              </w:rPr>
            </w:pP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1,338,895</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1,337,723</w:t>
            </w:r>
          </w:p>
        </w:tc>
      </w:tr>
      <w:tr>
        <w:trPr>
          <w:trHeight w:val="215"/>
        </w:trPr>
        <w:tc>
          <w:tcPr>
            <w:tcW w:w="7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Stockholders’ equity</w:t>
            </w:r>
          </w:p>
        </w:tc>
        <w:tc>
          <w:tcPr>
            <w:tcW w:w="36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2,487,566</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2,447,621</w:t>
            </w:r>
          </w:p>
        </w:tc>
      </w:tr>
      <w:tr>
        <w:trPr>
          <w:trHeight w:val="240"/>
        </w:trPr>
        <w:tc>
          <w:tcPr>
            <w:tcW w:w="70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7"/>
                <w:szCs w:val="17"/>
                <w:color w:val="auto"/>
              </w:rPr>
              <w:t>Total capital</w:t>
            </w:r>
          </w:p>
        </w:tc>
        <w:tc>
          <w:tcPr>
            <w:tcW w:w="360" w:type="dxa"/>
            <w:vAlign w:val="bottom"/>
            <w:tcBorders>
              <w:bottom w:val="single" w:sz="8" w:color="auto"/>
            </w:tcBorders>
            <w:shd w:val="clear" w:color="auto" w:fill="CCEEFF"/>
          </w:tcPr>
          <w:p>
            <w:pPr>
              <w:jc w:val="right"/>
              <w:ind w:right="153"/>
              <w:spacing w:after="0"/>
              <w:rPr>
                <w:sz w:val="20"/>
                <w:szCs w:val="20"/>
                <w:color w:val="auto"/>
              </w:rPr>
            </w:pPr>
            <w:r>
              <w:rPr>
                <w:rFonts w:ascii="Times New Roman" w:cs="Times New Roman" w:eastAsia="Times New Roman" w:hAnsi="Times New Roman"/>
                <w:sz w:val="17"/>
                <w:szCs w:val="17"/>
                <w:color w:val="auto"/>
              </w:rPr>
              <w:t>$</w:t>
            </w: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3,826,461</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3,785,344</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7040" w:type="dxa"/>
            <w:vAlign w:val="bottom"/>
          </w:tcPr>
          <w:p>
            <w:pPr>
              <w:ind w:left="20"/>
              <w:spacing w:after="0" w:line="194" w:lineRule="exact"/>
              <w:rPr>
                <w:sz w:val="20"/>
                <w:szCs w:val="20"/>
                <w:color w:val="auto"/>
              </w:rPr>
            </w:pPr>
            <w:r>
              <w:rPr>
                <w:rFonts w:ascii="Times New Roman" w:cs="Times New Roman" w:eastAsia="Times New Roman" w:hAnsi="Times New Roman"/>
                <w:sz w:val="17"/>
                <w:szCs w:val="17"/>
                <w:color w:val="auto"/>
              </w:rPr>
              <w:t>Ratio of debt-to-capital</w:t>
            </w:r>
            <w:r>
              <w:rPr>
                <w:rFonts w:ascii="Times New Roman" w:cs="Times New Roman" w:eastAsia="Times New Roman" w:hAnsi="Times New Roman"/>
                <w:sz w:val="20"/>
                <w:szCs w:val="20"/>
                <w:color w:val="auto"/>
                <w:vertAlign w:val="superscript"/>
              </w:rPr>
              <w:t>(1)</w:t>
            </w:r>
          </w:p>
        </w:tc>
        <w:tc>
          <w:tcPr>
            <w:tcW w:w="3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tcPr>
          <w:p>
            <w:pPr>
              <w:jc w:val="right"/>
              <w:spacing w:after="0" w:line="194" w:lineRule="exact"/>
              <w:rPr>
                <w:sz w:val="20"/>
                <w:szCs w:val="20"/>
                <w:color w:val="auto"/>
              </w:rPr>
            </w:pPr>
            <w:r>
              <w:rPr>
                <w:rFonts w:ascii="Times New Roman" w:cs="Times New Roman" w:eastAsia="Times New Roman" w:hAnsi="Times New Roman"/>
                <w:sz w:val="17"/>
                <w:szCs w:val="17"/>
                <w:color w:val="auto"/>
              </w:rPr>
              <w:t>35.0 %</w:t>
            </w: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760" w:type="dxa"/>
            <w:vAlign w:val="bottom"/>
            <w:tcBorders>
              <w:bottom w:val="single" w:sz="8" w:color="auto"/>
            </w:tcBorders>
          </w:tcPr>
          <w:p>
            <w:pPr>
              <w:jc w:val="right"/>
              <w:spacing w:after="0" w:line="194" w:lineRule="exact"/>
              <w:rPr>
                <w:sz w:val="20"/>
                <w:szCs w:val="20"/>
                <w:color w:val="auto"/>
              </w:rPr>
            </w:pPr>
            <w:r>
              <w:rPr>
                <w:rFonts w:ascii="Times New Roman" w:cs="Times New Roman" w:eastAsia="Times New Roman" w:hAnsi="Times New Roman"/>
                <w:sz w:val="17"/>
                <w:szCs w:val="17"/>
                <w:color w:val="auto"/>
              </w:rPr>
              <w:t>35.3 %</w:t>
            </w:r>
          </w:p>
        </w:tc>
      </w:tr>
      <w:tr>
        <w:trPr>
          <w:trHeight w:val="20"/>
        </w:trPr>
        <w:tc>
          <w:tcPr>
            <w:tcW w:w="704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r>
        <w:trPr>
          <w:trHeight w:val="214"/>
        </w:trPr>
        <w:tc>
          <w:tcPr>
            <w:tcW w:w="70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60" w:type="dxa"/>
            <w:vAlign w:val="bottom"/>
            <w:shd w:val="clear" w:color="auto" w:fill="CCEEFF"/>
          </w:tcPr>
          <w:p>
            <w:pPr>
              <w:spacing w:after="0"/>
              <w:rPr>
                <w:sz w:val="18"/>
                <w:szCs w:val="18"/>
                <w:color w:val="auto"/>
              </w:rPr>
            </w:pPr>
          </w:p>
        </w:tc>
      </w:tr>
      <w:tr>
        <w:trPr>
          <w:trHeight w:val="222"/>
        </w:trPr>
        <w:tc>
          <w:tcPr>
            <w:tcW w:w="70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Total debt</w:t>
            </w:r>
          </w:p>
        </w:tc>
        <w:tc>
          <w:tcPr>
            <w:tcW w:w="360" w:type="dxa"/>
            <w:vAlign w:val="bottom"/>
          </w:tcPr>
          <w:p>
            <w:pPr>
              <w:jc w:val="right"/>
              <w:ind w:right="153"/>
              <w:spacing w:after="0"/>
              <w:rPr>
                <w:sz w:val="20"/>
                <w:szCs w:val="20"/>
                <w:color w:val="auto"/>
              </w:rPr>
            </w:pPr>
            <w:r>
              <w:rPr>
                <w:rFonts w:ascii="Times New Roman" w:cs="Times New Roman" w:eastAsia="Times New Roman" w:hAnsi="Times New Roman"/>
                <w:sz w:val="17"/>
                <w:szCs w:val="17"/>
                <w:color w:val="auto"/>
              </w:rPr>
              <w:t>$</w:t>
            </w:r>
          </w:p>
        </w:tc>
        <w:tc>
          <w:tcPr>
            <w:tcW w:w="1680" w:type="dxa"/>
            <w:vAlign w:val="bottom"/>
          </w:tcPr>
          <w:p>
            <w:pPr>
              <w:jc w:val="right"/>
              <w:ind w:right="114"/>
              <w:spacing w:after="0"/>
              <w:rPr>
                <w:sz w:val="20"/>
                <w:szCs w:val="20"/>
                <w:color w:val="auto"/>
              </w:rPr>
            </w:pPr>
            <w:r>
              <w:rPr>
                <w:rFonts w:ascii="Times New Roman" w:cs="Times New Roman" w:eastAsia="Times New Roman" w:hAnsi="Times New Roman"/>
                <w:sz w:val="17"/>
                <w:szCs w:val="17"/>
                <w:color w:val="auto"/>
              </w:rPr>
              <w:t>1,338,895</w:t>
            </w:r>
          </w:p>
        </w:tc>
        <w:tc>
          <w:tcPr>
            <w:tcW w:w="120" w:type="dxa"/>
            <w:vAlign w:val="bottom"/>
          </w:tcPr>
          <w:p>
            <w:pPr>
              <w:spacing w:after="0"/>
              <w:rPr>
                <w:sz w:val="19"/>
                <w:szCs w:val="19"/>
                <w:color w:val="auto"/>
              </w:rPr>
            </w:pPr>
          </w:p>
        </w:tc>
        <w:tc>
          <w:tcPr>
            <w:tcW w:w="280" w:type="dxa"/>
            <w:vAlign w:val="bottom"/>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760" w:type="dxa"/>
            <w:vAlign w:val="bottom"/>
          </w:tcPr>
          <w:p>
            <w:pPr>
              <w:jc w:val="right"/>
              <w:ind w:right="114"/>
              <w:spacing w:after="0"/>
              <w:rPr>
                <w:sz w:val="20"/>
                <w:szCs w:val="20"/>
                <w:color w:val="auto"/>
              </w:rPr>
            </w:pPr>
            <w:r>
              <w:rPr>
                <w:rFonts w:ascii="Times New Roman" w:cs="Times New Roman" w:eastAsia="Times New Roman" w:hAnsi="Times New Roman"/>
                <w:sz w:val="17"/>
                <w:szCs w:val="17"/>
                <w:color w:val="auto"/>
              </w:rPr>
              <w:t>1,337,723</w:t>
            </w:r>
          </w:p>
        </w:tc>
      </w:tr>
      <w:tr>
        <w:trPr>
          <w:trHeight w:val="222"/>
        </w:trPr>
        <w:tc>
          <w:tcPr>
            <w:tcW w:w="7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Less: Cash and cash equivalents</w:t>
            </w:r>
          </w:p>
        </w:tc>
        <w:tc>
          <w:tcPr>
            <w:tcW w:w="36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ind w:right="74"/>
              <w:spacing w:after="0"/>
              <w:rPr>
                <w:sz w:val="20"/>
                <w:szCs w:val="20"/>
                <w:color w:val="auto"/>
              </w:rPr>
            </w:pPr>
            <w:r>
              <w:rPr>
                <w:rFonts w:ascii="Times New Roman" w:cs="Times New Roman" w:eastAsia="Times New Roman" w:hAnsi="Times New Roman"/>
                <w:sz w:val="17"/>
                <w:szCs w:val="17"/>
                <w:color w:val="auto"/>
              </w:rPr>
              <w:t>(270,124)</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760" w:type="dxa"/>
            <w:vAlign w:val="bottom"/>
            <w:tcBorders>
              <w:bottom w:val="single" w:sz="8" w:color="auto"/>
            </w:tcBorders>
            <w:shd w:val="clear" w:color="auto" w:fill="CCEEFF"/>
          </w:tcPr>
          <w:p>
            <w:pPr>
              <w:jc w:val="right"/>
              <w:ind w:right="74"/>
              <w:spacing w:after="0"/>
              <w:rPr>
                <w:sz w:val="20"/>
                <w:szCs w:val="20"/>
                <w:color w:val="auto"/>
              </w:rPr>
            </w:pPr>
            <w:r>
              <w:rPr>
                <w:rFonts w:ascii="Times New Roman" w:cs="Times New Roman" w:eastAsia="Times New Roman" w:hAnsi="Times New Roman"/>
                <w:sz w:val="17"/>
                <w:szCs w:val="17"/>
                <w:color w:val="auto"/>
              </w:rPr>
              <w:t>(681,528)</w:t>
            </w:r>
          </w:p>
        </w:tc>
      </w:tr>
      <w:tr>
        <w:trPr>
          <w:trHeight w:val="215"/>
        </w:trPr>
        <w:tc>
          <w:tcPr>
            <w:tcW w:w="704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Net debt</w:t>
            </w:r>
          </w:p>
        </w:tc>
        <w:tc>
          <w:tcPr>
            <w:tcW w:w="360" w:type="dxa"/>
            <w:vAlign w:val="bottom"/>
          </w:tcPr>
          <w:p>
            <w:pPr>
              <w:spacing w:after="0"/>
              <w:rPr>
                <w:sz w:val="18"/>
                <w:szCs w:val="18"/>
                <w:color w:val="auto"/>
              </w:rPr>
            </w:pPr>
          </w:p>
        </w:tc>
        <w:tc>
          <w:tcPr>
            <w:tcW w:w="1680" w:type="dxa"/>
            <w:vAlign w:val="bottom"/>
          </w:tcPr>
          <w:p>
            <w:pPr>
              <w:jc w:val="right"/>
              <w:ind w:right="114"/>
              <w:spacing w:after="0"/>
              <w:rPr>
                <w:sz w:val="20"/>
                <w:szCs w:val="20"/>
                <w:color w:val="auto"/>
              </w:rPr>
            </w:pPr>
            <w:r>
              <w:rPr>
                <w:rFonts w:ascii="Times New Roman" w:cs="Times New Roman" w:eastAsia="Times New Roman" w:hAnsi="Times New Roman"/>
                <w:sz w:val="17"/>
                <w:szCs w:val="17"/>
                <w:color w:val="auto"/>
              </w:rPr>
              <w:t>1,068,771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60" w:type="dxa"/>
            <w:vAlign w:val="bottom"/>
          </w:tcPr>
          <w:p>
            <w:pPr>
              <w:jc w:val="right"/>
              <w:ind w:right="114"/>
              <w:spacing w:after="0"/>
              <w:rPr>
                <w:sz w:val="20"/>
                <w:szCs w:val="20"/>
                <w:color w:val="auto"/>
              </w:rPr>
            </w:pPr>
            <w:r>
              <w:rPr>
                <w:rFonts w:ascii="Times New Roman" w:cs="Times New Roman" w:eastAsia="Times New Roman" w:hAnsi="Times New Roman"/>
                <w:sz w:val="17"/>
                <w:szCs w:val="17"/>
                <w:color w:val="auto"/>
              </w:rPr>
              <w:t>656,195</w:t>
            </w:r>
          </w:p>
        </w:tc>
      </w:tr>
      <w:tr>
        <w:trPr>
          <w:trHeight w:val="222"/>
        </w:trPr>
        <w:tc>
          <w:tcPr>
            <w:tcW w:w="7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Stockholders’ equity</w:t>
            </w:r>
          </w:p>
        </w:tc>
        <w:tc>
          <w:tcPr>
            <w:tcW w:w="36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2,487,566</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76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7"/>
                <w:szCs w:val="17"/>
                <w:color w:val="auto"/>
              </w:rPr>
              <w:t>2,447,621</w:t>
            </w:r>
          </w:p>
        </w:tc>
      </w:tr>
      <w:tr>
        <w:trPr>
          <w:trHeight w:val="215"/>
        </w:trPr>
        <w:tc>
          <w:tcPr>
            <w:tcW w:w="704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Net capital</w:t>
            </w:r>
          </w:p>
        </w:tc>
        <w:tc>
          <w:tcPr>
            <w:tcW w:w="360" w:type="dxa"/>
            <w:vAlign w:val="bottom"/>
            <w:tcBorders>
              <w:bottom w:val="single" w:sz="8" w:color="auto"/>
            </w:tcBorders>
          </w:tcPr>
          <w:p>
            <w:pPr>
              <w:jc w:val="right"/>
              <w:ind w:right="153"/>
              <w:spacing w:after="0"/>
              <w:rPr>
                <w:sz w:val="20"/>
                <w:szCs w:val="20"/>
                <w:color w:val="auto"/>
              </w:rPr>
            </w:pPr>
            <w:r>
              <w:rPr>
                <w:rFonts w:ascii="Times New Roman" w:cs="Times New Roman" w:eastAsia="Times New Roman" w:hAnsi="Times New Roman"/>
                <w:sz w:val="17"/>
                <w:szCs w:val="17"/>
                <w:color w:val="auto"/>
              </w:rPr>
              <w:t>$</w:t>
            </w:r>
          </w:p>
        </w:tc>
        <w:tc>
          <w:tcPr>
            <w:tcW w:w="168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3,556,337</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7"/>
                <w:szCs w:val="17"/>
                <w:color w:val="auto"/>
                <w:w w:val="93"/>
              </w:rPr>
              <w:t>$</w:t>
            </w:r>
          </w:p>
        </w:tc>
        <w:tc>
          <w:tcPr>
            <w:tcW w:w="176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7"/>
                <w:szCs w:val="17"/>
                <w:color w:val="auto"/>
              </w:rPr>
              <w:t>3,103,816</w:t>
            </w:r>
          </w:p>
        </w:tc>
      </w:tr>
      <w:tr>
        <w:trPr>
          <w:trHeight w:val="20"/>
        </w:trPr>
        <w:tc>
          <w:tcPr>
            <w:tcW w:w="704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r>
        <w:trPr>
          <w:trHeight w:val="239"/>
        </w:trPr>
        <w:tc>
          <w:tcPr>
            <w:tcW w:w="7040" w:type="dxa"/>
            <w:vAlign w:val="bottom"/>
            <w:tcBorders>
              <w:bottom w:val="single" w:sz="8" w:color="CCEEFF"/>
            </w:tcBorders>
            <w:shd w:val="clear" w:color="auto" w:fill="CCEEFF"/>
          </w:tcPr>
          <w:p>
            <w:pPr>
              <w:ind w:left="20"/>
              <w:spacing w:after="0" w:line="214" w:lineRule="exact"/>
              <w:rPr>
                <w:sz w:val="20"/>
                <w:szCs w:val="20"/>
                <w:color w:val="auto"/>
              </w:rPr>
            </w:pPr>
            <w:r>
              <w:rPr>
                <w:rFonts w:ascii="Times New Roman" w:cs="Times New Roman" w:eastAsia="Times New Roman" w:hAnsi="Times New Roman"/>
                <w:sz w:val="17"/>
                <w:szCs w:val="17"/>
                <w:color w:val="auto"/>
              </w:rPr>
              <w:t>Ratio of net debt-to-net capital</w:t>
            </w:r>
            <w:r>
              <w:rPr>
                <w:rFonts w:ascii="Times New Roman" w:cs="Times New Roman" w:eastAsia="Times New Roman" w:hAnsi="Times New Roman"/>
                <w:sz w:val="20"/>
                <w:szCs w:val="20"/>
                <w:color w:val="auto"/>
                <w:vertAlign w:val="superscript"/>
              </w:rPr>
              <w:t>(2)</w:t>
            </w:r>
          </w:p>
        </w:tc>
        <w:tc>
          <w:tcPr>
            <w:tcW w:w="360" w:type="dxa"/>
            <w:vAlign w:val="bottom"/>
            <w:tcBorders>
              <w:bottom w:val="single" w:sz="8" w:color="auto"/>
            </w:tcBorders>
            <w:shd w:val="clear" w:color="auto" w:fill="CCEEFF"/>
          </w:tcPr>
          <w:p>
            <w:pPr>
              <w:spacing w:after="0"/>
              <w:rPr>
                <w:sz w:val="20"/>
                <w:szCs w:val="20"/>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30.1 %</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21.1 %</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bl>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__________</w:t>
      </w:r>
    </w:p>
    <w:p>
      <w:pPr>
        <w:ind w:left="240" w:hanging="235"/>
        <w:spacing w:after="0" w:line="213" w:lineRule="auto"/>
        <w:tabs>
          <w:tab w:leader="none" w:pos="240" w:val="left"/>
        </w:tabs>
        <w:numPr>
          <w:ilvl w:val="0"/>
          <w:numId w:val="8"/>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7"/>
          <w:szCs w:val="17"/>
          <w:color w:val="auto"/>
        </w:rPr>
        <w:t>The ratio of debt-to-capital is computed as the quotient obtained by dividing total debt by the sum of total debt plus stockholders’ equity.</w:t>
      </w:r>
    </w:p>
    <w:p>
      <w:pPr>
        <w:spacing w:after="0" w:line="1" w:lineRule="exact"/>
        <w:rPr>
          <w:rFonts w:ascii="Times New Roman" w:cs="Times New Roman" w:eastAsia="Times New Roman" w:hAnsi="Times New Roman"/>
          <w:sz w:val="23"/>
          <w:szCs w:val="23"/>
          <w:color w:val="auto"/>
          <w:vertAlign w:val="superscript"/>
        </w:rPr>
      </w:pPr>
    </w:p>
    <w:p>
      <w:pPr>
        <w:ind w:left="640" w:right="160" w:hanging="635"/>
        <w:spacing w:after="0" w:line="217" w:lineRule="auto"/>
        <w:tabs>
          <w:tab w:leader="none" w:pos="258" w:val="left"/>
        </w:tabs>
        <w:numPr>
          <w:ilvl w:val="0"/>
          <w:numId w:val="8"/>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7"/>
          <w:szCs w:val="17"/>
          <w:color w:val="auto"/>
        </w:rPr>
        <w:t>The ratio of net debt-to-net capital is computed as the quotient obtained by dividing net debt (which is total debt less cash and cash equivalents) by the sum of net debt plus stockholders’ equity.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Page 11</w:t>
      </w:r>
    </w:p>
    <w:p>
      <w:pPr>
        <w:sectPr>
          <w:pgSz w:w="11900" w:h="16838" w:orient="portrait"/>
          <w:cols w:equalWidth="0" w:num="1">
            <w:col w:w="11240"/>
          </w:cols>
          <w:pgMar w:left="320" w:top="1440" w:right="339" w:bottom="1440" w:gutter="0" w:footer="0" w:header="0"/>
        </w:sectPr>
      </w:pPr>
    </w:p>
    <w:bookmarkStart w:id="14" w:name="page15"/>
    <w:bookmarkEnd w:id="14"/>
    <w:p>
      <w:pPr>
        <w:jc w:val="center"/>
        <w:ind w:right="100"/>
        <w:spacing w:after="0"/>
        <w:rPr>
          <w:sz w:val="20"/>
          <w:szCs w:val="20"/>
          <w:color w:val="auto"/>
        </w:rPr>
      </w:pPr>
      <w:r>
        <w:rPr>
          <w:rFonts w:ascii="Times New Roman" w:cs="Times New Roman" w:eastAsia="Times New Roman" w:hAnsi="Times New Roman"/>
          <w:sz w:val="17"/>
          <w:szCs w:val="17"/>
          <w:b w:val="1"/>
          <w:bCs w:val="1"/>
          <w:color w:val="auto"/>
        </w:rPr>
        <w:drawing>
          <wp:anchor simplePos="0" relativeHeight="251657728" behindDoc="1" locked="0" layoutInCell="0" allowOverlap="1">
            <wp:simplePos x="0" y="0"/>
            <wp:positionH relativeFrom="page">
              <wp:posOffset>3110865</wp:posOffset>
            </wp:positionH>
            <wp:positionV relativeFrom="page">
              <wp:posOffset>88900</wp:posOffset>
            </wp:positionV>
            <wp:extent cx="1336040" cy="5308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336040" cy="530860"/>
                    </a:xfrm>
                    <a:prstGeom prst="rect">
                      <a:avLst/>
                    </a:prstGeom>
                    <a:noFill/>
                  </pic:spPr>
                </pic:pic>
              </a:graphicData>
            </a:graphic>
          </wp:anchor>
        </w:drawing>
        <w:t>RECONCILIATION OF NON-GAAP FINANCIAL MEASURES (continued)</w:t>
      </w:r>
    </w:p>
    <w:p>
      <w:pPr>
        <w:spacing w:after="0" w:line="3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7"/>
          <w:szCs w:val="17"/>
          <w:color w:val="auto"/>
        </w:rPr>
        <w:t>(unaudited)</w:t>
      </w:r>
    </w:p>
    <w:p>
      <w:pPr>
        <w:spacing w:after="0" w:line="205" w:lineRule="exact"/>
        <w:rPr>
          <w:sz w:val="20"/>
          <w:szCs w:val="20"/>
          <w:color w:val="auto"/>
        </w:rPr>
      </w:pPr>
    </w:p>
    <w:p>
      <w:pPr>
        <w:ind w:right="340" w:firstLine="470"/>
        <w:spacing w:after="0" w:line="267" w:lineRule="auto"/>
        <w:rPr>
          <w:sz w:val="20"/>
          <w:szCs w:val="20"/>
          <w:color w:val="auto"/>
        </w:rPr>
      </w:pPr>
      <w:r>
        <w:rPr>
          <w:rFonts w:ascii="Times New Roman" w:cs="Times New Roman" w:eastAsia="Times New Roman" w:hAnsi="Times New Roman"/>
          <w:sz w:val="17"/>
          <w:szCs w:val="17"/>
          <w:color w:val="auto"/>
        </w:rPr>
        <w:t>The following table calculates the non-GAAP financial measures of EBITDA and Adjusted EBITDA and reconciles those amounts to net income available to common stockholders, as reported and prepared in accordance with GAAP. EBITDA means net income available to common stockholders before</w:t>
      </w:r>
    </w:p>
    <w:p>
      <w:pPr>
        <w:spacing w:after="0" w:line="1" w:lineRule="exact"/>
        <w:rPr>
          <w:sz w:val="20"/>
          <w:szCs w:val="20"/>
          <w:color w:val="auto"/>
        </w:rPr>
      </w:pPr>
    </w:p>
    <w:p>
      <w:pPr>
        <w:ind w:right="160" w:firstLine="5"/>
        <w:spacing w:after="0" w:line="261" w:lineRule="auto"/>
        <w:tabs>
          <w:tab w:leader="none" w:pos="237"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interest expense, (b) expensing of previously capitalized interest included in costs of home sales, (c) income taxes and (d) depreciation and amortization. Adjusted EBITDA means EBITDA before (e) amortization of stock-based compensation and (f) impairments and lot option abandonments. Other companies may calculate EBITDA and Adjusted EBITDA (or similarly titled measures) differently. We believe EBITDA and Adjusted EBITDA are useful measures of the Company’s ability to service debt and obtain financing.</w:t>
      </w:r>
    </w:p>
    <w:p>
      <w:pPr>
        <w:spacing w:after="0" w:line="1" w:lineRule="exact"/>
        <w:rPr>
          <w:sz w:val="20"/>
          <w:szCs w:val="20"/>
          <w:color w:val="auto"/>
        </w:rPr>
      </w:pPr>
    </w:p>
    <w:tbl>
      <w:tblPr>
        <w:tblLayout w:type="fixed"/>
        <w:tblInd w:w="480" w:type="dxa"/>
        <w:tblCellMar>
          <w:top w:w="0" w:type="dxa"/>
          <w:left w:w="0" w:type="dxa"/>
          <w:bottom w:w="0" w:type="dxa"/>
          <w:right w:w="0" w:type="dxa"/>
        </w:tblCellMar>
      </w:tblPr>
      <w:tr>
        <w:trPr>
          <w:trHeight w:val="184"/>
        </w:trPr>
        <w:tc>
          <w:tcPr>
            <w:tcW w:w="5000" w:type="dxa"/>
            <w:vAlign w:val="bottom"/>
          </w:tcPr>
          <w:p>
            <w:pPr>
              <w:spacing w:after="0"/>
              <w:rPr>
                <w:sz w:val="16"/>
                <w:szCs w:val="16"/>
                <w:color w:val="auto"/>
              </w:rPr>
            </w:pPr>
          </w:p>
        </w:tc>
        <w:tc>
          <w:tcPr>
            <w:tcW w:w="3300" w:type="dxa"/>
            <w:vAlign w:val="bottom"/>
            <w:gridSpan w:val="6"/>
          </w:tcPr>
          <w:p>
            <w:pPr>
              <w:ind w:left="70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420" w:type="dxa"/>
            <w:vAlign w:val="bottom"/>
          </w:tcPr>
          <w:p>
            <w:pPr>
              <w:spacing w:after="0"/>
              <w:rPr>
                <w:sz w:val="16"/>
                <w:szCs w:val="16"/>
                <w:color w:val="auto"/>
              </w:rPr>
            </w:pPr>
          </w:p>
        </w:tc>
        <w:tc>
          <w:tcPr>
            <w:tcW w:w="2140" w:type="dxa"/>
            <w:vAlign w:val="bottom"/>
            <w:gridSpan w:val="4"/>
          </w:tcPr>
          <w:p>
            <w:pPr>
              <w:jc w:val="right"/>
              <w:ind w:right="195"/>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23"/>
        </w:trPr>
        <w:tc>
          <w:tcPr>
            <w:tcW w:w="500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183"/>
        </w:trPr>
        <w:tc>
          <w:tcPr>
            <w:tcW w:w="5000" w:type="dxa"/>
            <w:vAlign w:val="bottom"/>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6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2021</w:t>
            </w:r>
          </w:p>
        </w:tc>
        <w:tc>
          <w:tcPr>
            <w:tcW w:w="8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4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1"/>
        </w:trPr>
        <w:tc>
          <w:tcPr>
            <w:tcW w:w="50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40" w:type="dxa"/>
            <w:vAlign w:val="bottom"/>
            <w:gridSpan w:val="3"/>
          </w:tcPr>
          <w:p>
            <w:pPr>
              <w:jc w:val="right"/>
              <w:ind w:right="13"/>
              <w:spacing w:after="0"/>
              <w:rPr>
                <w:sz w:val="20"/>
                <w:szCs w:val="20"/>
                <w:color w:val="auto"/>
              </w:rPr>
            </w:pPr>
            <w:r>
              <w:rPr>
                <w:rFonts w:ascii="Times New Roman" w:cs="Times New Roman" w:eastAsia="Times New Roman" w:hAnsi="Times New Roman"/>
                <w:sz w:val="17"/>
                <w:szCs w:val="17"/>
                <w:color w:val="auto"/>
              </w:rPr>
              <w:t>(in thousands)</w:t>
            </w: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22"/>
        </w:trPr>
        <w:tc>
          <w:tcPr>
            <w:tcW w:w="5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income available to common stockholders</w:t>
            </w:r>
          </w:p>
        </w:tc>
        <w:tc>
          <w:tcPr>
            <w:tcW w:w="980" w:type="dxa"/>
            <w:vAlign w:val="bottom"/>
            <w:shd w:val="clear" w:color="auto" w:fill="CCEEFF"/>
          </w:tcPr>
          <w:p>
            <w:pPr>
              <w:jc w:val="right"/>
              <w:ind w:right="802"/>
              <w:spacing w:after="0"/>
              <w:rPr>
                <w:sz w:val="20"/>
                <w:szCs w:val="20"/>
                <w:color w:val="auto"/>
              </w:rPr>
            </w:pPr>
            <w:r>
              <w:rPr>
                <w:rFonts w:ascii="Times New Roman" w:cs="Times New Roman" w:eastAsia="Times New Roman" w:hAnsi="Times New Roman"/>
                <w:sz w:val="17"/>
                <w:szCs w:val="17"/>
                <w:color w:val="auto"/>
                <w:w w:val="93"/>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136,383</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117,869</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3"/>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223,861</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188</w:t>
            </w:r>
          </w:p>
        </w:tc>
      </w:tr>
      <w:tr>
        <w:trPr>
          <w:trHeight w:val="222"/>
        </w:trPr>
        <w:tc>
          <w:tcPr>
            <w:tcW w:w="500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Interest expense:</w:t>
            </w:r>
          </w:p>
        </w:tc>
        <w:tc>
          <w:tcPr>
            <w:tcW w:w="9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22"/>
        </w:trPr>
        <w:tc>
          <w:tcPr>
            <w:tcW w:w="50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7"/>
                <w:szCs w:val="17"/>
                <w:color w:val="auto"/>
              </w:rPr>
              <w:t>Interest incurred</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28,789</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22,558</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57,342</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43</w:t>
            </w:r>
          </w:p>
        </w:tc>
      </w:tr>
      <w:tr>
        <w:trPr>
          <w:trHeight w:val="222"/>
        </w:trPr>
        <w:tc>
          <w:tcPr>
            <w:tcW w:w="5000" w:type="dxa"/>
            <w:vAlign w:val="bottom"/>
          </w:tcPr>
          <w:p>
            <w:pPr>
              <w:ind w:left="480"/>
              <w:spacing w:after="0"/>
              <w:rPr>
                <w:sz w:val="20"/>
                <w:szCs w:val="20"/>
                <w:color w:val="auto"/>
              </w:rPr>
            </w:pPr>
            <w:r>
              <w:rPr>
                <w:rFonts w:ascii="Times New Roman" w:cs="Times New Roman" w:eastAsia="Times New Roman" w:hAnsi="Times New Roman"/>
                <w:sz w:val="17"/>
                <w:szCs w:val="17"/>
                <w:color w:val="auto"/>
              </w:rPr>
              <w:t>Interest capitalized</w:t>
            </w:r>
          </w:p>
        </w:tc>
        <w:tc>
          <w:tcPr>
            <w:tcW w:w="9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(28,789)</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(22,558)</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(57,342)</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(43</w:t>
            </w:r>
          </w:p>
        </w:tc>
      </w:tr>
      <w:tr>
        <w:trPr>
          <w:trHeight w:val="222"/>
        </w:trPr>
        <w:tc>
          <w:tcPr>
            <w:tcW w:w="50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7"/>
                <w:szCs w:val="17"/>
                <w:color w:val="auto"/>
              </w:rPr>
              <w:t>Amortization of interest in cost of sales</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24,963</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31,124</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42,028</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51</w:t>
            </w:r>
          </w:p>
        </w:tc>
      </w:tr>
      <w:tr>
        <w:trPr>
          <w:trHeight w:val="222"/>
        </w:trPr>
        <w:tc>
          <w:tcPr>
            <w:tcW w:w="500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Provision for income taxes</w:t>
            </w:r>
          </w:p>
        </w:tc>
        <w:tc>
          <w:tcPr>
            <w:tcW w:w="9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45,936</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39,265</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76,161</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62</w:t>
            </w:r>
          </w:p>
        </w:tc>
      </w:tr>
      <w:tr>
        <w:trPr>
          <w:trHeight w:val="222"/>
        </w:trPr>
        <w:tc>
          <w:tcPr>
            <w:tcW w:w="50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98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6,741</w:t>
            </w:r>
          </w:p>
        </w:tc>
        <w:tc>
          <w:tcPr>
            <w:tcW w:w="8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8,990</w:t>
            </w:r>
          </w:p>
        </w:tc>
        <w:tc>
          <w:tcPr>
            <w:tcW w:w="8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12,026</w:t>
            </w:r>
          </w:p>
        </w:tc>
        <w:tc>
          <w:tcPr>
            <w:tcW w:w="8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w:t>
            </w:r>
          </w:p>
        </w:tc>
      </w:tr>
      <w:tr>
        <w:trPr>
          <w:trHeight w:val="215"/>
        </w:trPr>
        <w:tc>
          <w:tcPr>
            <w:tcW w:w="50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EBITDA</w:t>
            </w:r>
          </w:p>
        </w:tc>
        <w:tc>
          <w:tcPr>
            <w:tcW w:w="9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214,023</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197,248</w:t>
            </w: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354,076</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319</w:t>
            </w:r>
          </w:p>
        </w:tc>
      </w:tr>
      <w:tr>
        <w:trPr>
          <w:trHeight w:val="222"/>
        </w:trPr>
        <w:tc>
          <w:tcPr>
            <w:tcW w:w="50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7"/>
                <w:szCs w:val="17"/>
                <w:color w:val="auto"/>
              </w:rPr>
              <w:t>Amortization of stock-based compensation</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5,751</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4,506</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11,023</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w:t>
            </w:r>
          </w:p>
        </w:tc>
      </w:tr>
      <w:tr>
        <w:trPr>
          <w:trHeight w:val="222"/>
        </w:trPr>
        <w:tc>
          <w:tcPr>
            <w:tcW w:w="500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7"/>
                <w:szCs w:val="17"/>
                <w:color w:val="auto"/>
              </w:rPr>
              <w:t>Impairments and lot option abandonments</w:t>
            </w:r>
          </w:p>
        </w:tc>
        <w:tc>
          <w:tcPr>
            <w:tcW w:w="9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1,131</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232</w:t>
            </w:r>
          </w:p>
        </w:tc>
        <w:tc>
          <w:tcPr>
            <w:tcW w:w="8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1,897</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r>
      <w:tr>
        <w:trPr>
          <w:trHeight w:val="240"/>
        </w:trPr>
        <w:tc>
          <w:tcPr>
            <w:tcW w:w="50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Adjusted EBITDA</w:t>
            </w:r>
          </w:p>
        </w:tc>
        <w:tc>
          <w:tcPr>
            <w:tcW w:w="980" w:type="dxa"/>
            <w:vAlign w:val="bottom"/>
            <w:tcBorders>
              <w:bottom w:val="single" w:sz="8" w:color="auto"/>
            </w:tcBorders>
            <w:shd w:val="clear" w:color="auto" w:fill="CCEEFF"/>
          </w:tcPr>
          <w:p>
            <w:pPr>
              <w:jc w:val="right"/>
              <w:ind w:right="802"/>
              <w:spacing w:after="0"/>
              <w:rPr>
                <w:sz w:val="20"/>
                <w:szCs w:val="20"/>
                <w:color w:val="auto"/>
              </w:rPr>
            </w:pPr>
            <w:r>
              <w:rPr>
                <w:rFonts w:ascii="Times New Roman" w:cs="Times New Roman" w:eastAsia="Times New Roman" w:hAnsi="Times New Roman"/>
                <w:sz w:val="17"/>
                <w:szCs w:val="17"/>
                <w:color w:val="auto"/>
                <w:w w:val="93"/>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220,905</w:t>
            </w:r>
          </w:p>
        </w:tc>
        <w:tc>
          <w:tcPr>
            <w:tcW w:w="8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201,986</w:t>
            </w:r>
          </w:p>
        </w:tc>
        <w:tc>
          <w:tcPr>
            <w:tcW w:w="8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auto"/>
            </w:tcBorders>
            <w:shd w:val="clear" w:color="auto" w:fill="CCEEFF"/>
          </w:tcPr>
          <w:p>
            <w:pPr>
              <w:jc w:val="right"/>
              <w:ind w:right="213"/>
              <w:spacing w:after="0"/>
              <w:rPr>
                <w:sz w:val="20"/>
                <w:szCs w:val="20"/>
                <w:color w:val="auto"/>
              </w:rPr>
            </w:pPr>
            <w:r>
              <w:rPr>
                <w:rFonts w:ascii="Times New Roman" w:cs="Times New Roman" w:eastAsia="Times New Roman" w:hAnsi="Times New Roman"/>
                <w:sz w:val="17"/>
                <w:szCs w:val="17"/>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366,996</w:t>
            </w:r>
          </w:p>
        </w:tc>
        <w:tc>
          <w:tcPr>
            <w:tcW w:w="8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3"/>
              <w:spacing w:after="0"/>
              <w:rPr>
                <w:sz w:val="20"/>
                <w:szCs w:val="20"/>
                <w:color w:val="auto"/>
              </w:rPr>
            </w:pPr>
            <w:r>
              <w:rPr>
                <w:rFonts w:ascii="Times New Roman" w:cs="Times New Roman" w:eastAsia="Times New Roman" w:hAnsi="Times New Roman"/>
                <w:sz w:val="17"/>
                <w:szCs w:val="17"/>
                <w:color w:val="auto"/>
                <w:w w:val="93"/>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328</w:t>
            </w:r>
          </w:p>
        </w:tc>
      </w:tr>
      <w:tr>
        <w:trPr>
          <w:trHeight w:val="20"/>
        </w:trPr>
        <w:tc>
          <w:tcPr>
            <w:tcW w:w="50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7"/>
          <w:szCs w:val="17"/>
          <w:color w:val="auto"/>
        </w:rPr>
        <w:t>Page 12</w:t>
      </w:r>
    </w:p>
    <w:sectPr>
      <w:pgSz w:w="11900" w:h="16838" w:orient="portrait"/>
      <w:cols w:equalWidth="0" w:num="1">
        <w:col w:w="11340"/>
      </w:cols>
      <w:pgMar w:left="320" w:top="137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1)"/>
      <w:numFmt w:val="lowerLetter"/>
      <w:start w:val="4"/>
    </w:lvl>
  </w:abstractNum>
  <w:abstractNum w:abstractNumId="2">
    <w:nsid w:val="507ED7AB"/>
    <w:multiLevelType w:val="hybridMultilevel"/>
    <w:lvl w:ilvl="0">
      <w:lvlJc w:val="left"/>
      <w:lvlText w:val="•"/>
      <w:numFmt w:val="bullet"/>
      <w:start w:val="1"/>
    </w:lvl>
    <w:lvl w:ilvl="1">
      <w:lvlJc w:val="left"/>
      <w:lvlText w:val="◦"/>
      <w:numFmt w:val="bullet"/>
      <w:start w:val="1"/>
    </w:lvl>
  </w:abstractNum>
  <w:abstractNum w:abstractNumId="3">
    <w:nsid w:val="2EB141F2"/>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4">
    <w:nsid w:val="41B71EFB"/>
    <w:multiLevelType w:val="hybridMultilevel"/>
    <w:lvl w:ilvl="0">
      <w:lvlJc w:val="left"/>
      <w:lvlText w:val="(%1)"/>
      <w:numFmt w:val="decimal"/>
      <w:start w:val="1"/>
    </w:lvl>
  </w:abstractNum>
  <w:abstractNum w:abstractNumId="5">
    <w:nsid w:val="79E2A9E3"/>
    <w:multiLevelType w:val="hybridMultilevel"/>
    <w:lvl w:ilvl="0">
      <w:lvlJc w:val="left"/>
      <w:lvlText w:val="(%1)"/>
      <w:numFmt w:val="decimal"/>
      <w:start w:val="1"/>
    </w:lvl>
  </w:abstractNum>
  <w:abstractNum w:abstractNumId="6">
    <w:nsid w:val="7545E146"/>
    <w:multiLevelType w:val="hybridMultilevel"/>
    <w:lvl w:ilvl="0">
      <w:lvlJc w:val="left"/>
      <w:lvlText w:val="(%1)"/>
      <w:numFmt w:val="decimal"/>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2022-07-21T07:24:17Z</dcterms:created>
  <dcterms:modified xsi:type="dcterms:W3CDTF">2022-07-21T07:24:17Z</dcterms:modified>
</cp:coreProperties>
</file>