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4"/>
          <w:szCs w:val="24"/>
          <w:b w:val="1"/>
          <w:bCs w:val="1"/>
          <w:color w:val="auto"/>
        </w:rPr>
        <w:t>UNITED STATES</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Washington, D.C. 20549</w:t>
      </w:r>
    </w:p>
    <w:p>
      <w:pPr>
        <w:ind w:left="3180"/>
        <w:spacing w:after="0"/>
        <w:rPr>
          <w:sz w:val="20"/>
          <w:szCs w:val="20"/>
          <w:color w:val="auto"/>
        </w:rPr>
      </w:pPr>
      <w:r>
        <w:rPr>
          <w:rFonts w:ascii="Arial" w:cs="Arial" w:eastAsia="Arial" w:hAnsi="Arial"/>
          <w:sz w:val="10"/>
          <w:szCs w:val="10"/>
          <w:color w:val="auto"/>
        </w:rPr>
        <w:t>_____________________________________________________________________________________________</w:t>
      </w:r>
    </w:p>
    <w:p>
      <w:pPr>
        <w:spacing w:after="0" w:line="94" w:lineRule="exact"/>
        <w:rPr>
          <w:sz w:val="24"/>
          <w:szCs w:val="24"/>
          <w:color w:val="auto"/>
        </w:rPr>
      </w:pPr>
    </w:p>
    <w:p>
      <w:pPr>
        <w:jc w:val="center"/>
        <w:spacing w:after="0"/>
        <w:rPr>
          <w:sz w:val="20"/>
          <w:szCs w:val="20"/>
          <w:color w:val="auto"/>
        </w:rPr>
      </w:pPr>
      <w:r>
        <w:rPr>
          <w:rFonts w:ascii="Arial" w:cs="Arial" w:eastAsia="Arial" w:hAnsi="Arial"/>
          <w:sz w:val="26"/>
          <w:szCs w:val="26"/>
          <w:b w:val="1"/>
          <w:bCs w:val="1"/>
          <w:color w:val="auto"/>
        </w:rPr>
        <w:t>FORM 10-Q</w:t>
      </w:r>
    </w:p>
    <w:p>
      <w:pPr>
        <w:spacing w:after="0" w:line="28" w:lineRule="exact"/>
        <w:rPr>
          <w:sz w:val="24"/>
          <w:szCs w:val="24"/>
          <w:color w:val="auto"/>
        </w:rPr>
      </w:pPr>
    </w:p>
    <w:p>
      <w:pPr>
        <w:ind w:left="3180"/>
        <w:spacing w:after="0"/>
        <w:rPr>
          <w:sz w:val="20"/>
          <w:szCs w:val="20"/>
          <w:color w:val="auto"/>
        </w:rPr>
      </w:pPr>
      <w:r>
        <w:rPr>
          <w:rFonts w:ascii="Arial" w:cs="Arial" w:eastAsia="Arial" w:hAnsi="Arial"/>
          <w:sz w:val="10"/>
          <w:szCs w:val="10"/>
          <w:color w:val="auto"/>
        </w:rPr>
        <w:t>_____________________________________________________________________________________________</w:t>
      </w:r>
    </w:p>
    <w:p>
      <w:pPr>
        <w:spacing w:after="0" w:line="8"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(Mark One)</w:t>
      </w:r>
    </w:p>
    <w:p>
      <w:pPr>
        <w:spacing w:after="0" w:line="107" w:lineRule="exact"/>
        <w:rPr>
          <w:sz w:val="24"/>
          <w:szCs w:val="24"/>
          <w:color w:val="auto"/>
        </w:rPr>
      </w:pPr>
    </w:p>
    <w:p>
      <w:pPr>
        <w:ind w:left="740" w:hanging="718"/>
        <w:spacing w:after="0"/>
        <w:tabs>
          <w:tab w:leader="none" w:pos="740" w:val="left"/>
        </w:tabs>
        <w:numPr>
          <w:ilvl w:val="0"/>
          <w:numId w:val="1"/>
        </w:numPr>
        <w:rPr>
          <w:rFonts w:ascii="MS PGothic" w:cs="MS PGothic" w:eastAsia="MS PGothic" w:hAnsi="MS PGothic"/>
          <w:sz w:val="17"/>
          <w:szCs w:val="17"/>
          <w:color w:val="333333"/>
        </w:rPr>
      </w:pPr>
      <w:r>
        <w:rPr>
          <w:rFonts w:ascii="Arial" w:cs="Arial" w:eastAsia="Arial" w:hAnsi="Arial"/>
          <w:sz w:val="17"/>
          <w:szCs w:val="17"/>
          <w:b w:val="1"/>
          <w:bCs w:val="1"/>
          <w:color w:val="auto"/>
        </w:rPr>
        <w:t>QUARTERLY REPORT PURSUANT TO SECTION 13 OR 15(d) OF THE SECURITIES EXCHANGE ACT OF 1934</w:t>
      </w:r>
    </w:p>
    <w:p>
      <w:pPr>
        <w:spacing w:after="0" w:line="96"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For the quarterly period ended June 30, 2021</w:t>
      </w:r>
    </w:p>
    <w:p>
      <w:pPr>
        <w:spacing w:after="0" w:line="17"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or</w:t>
      </w:r>
    </w:p>
    <w:p>
      <w:pPr>
        <w:spacing w:after="0" w:line="16" w:lineRule="exact"/>
        <w:rPr>
          <w:sz w:val="24"/>
          <w:szCs w:val="24"/>
          <w:color w:val="auto"/>
        </w:rPr>
      </w:pPr>
    </w:p>
    <w:p>
      <w:pPr>
        <w:ind w:left="740" w:hanging="718"/>
        <w:spacing w:after="0"/>
        <w:tabs>
          <w:tab w:leader="none" w:pos="740" w:val="left"/>
        </w:tabs>
        <w:numPr>
          <w:ilvl w:val="0"/>
          <w:numId w:val="2"/>
        </w:numPr>
        <w:rPr>
          <w:rFonts w:ascii="MS PGothic" w:cs="MS PGothic" w:eastAsia="MS PGothic" w:hAnsi="MS PGothic"/>
          <w:sz w:val="17"/>
          <w:szCs w:val="17"/>
          <w:color w:val="333333"/>
        </w:rPr>
      </w:pPr>
      <w:r>
        <w:rPr>
          <w:rFonts w:ascii="Arial" w:cs="Arial" w:eastAsia="Arial" w:hAnsi="Arial"/>
          <w:sz w:val="17"/>
          <w:szCs w:val="17"/>
          <w:b w:val="1"/>
          <w:bCs w:val="1"/>
          <w:color w:val="auto"/>
        </w:rPr>
        <w:t>TRANSITION REPORT PURSUANT TO SECTION 13 OR 15(d) OF THE SECURITIES EXCHANGE ACT OF 1934</w:t>
      </w:r>
    </w:p>
    <w:p>
      <w:pPr>
        <w:spacing w:after="0" w:line="110" w:lineRule="exact"/>
        <w:rPr>
          <w:sz w:val="24"/>
          <w:szCs w:val="24"/>
          <w:color w:val="auto"/>
        </w:rPr>
      </w:pPr>
    </w:p>
    <w:p>
      <w:pPr>
        <w:ind w:left="4020"/>
        <w:spacing w:after="0"/>
        <w:tabs>
          <w:tab w:leader="none" w:pos="6580" w:val="left"/>
        </w:tabs>
        <w:rPr>
          <w:sz w:val="20"/>
          <w:szCs w:val="20"/>
          <w:color w:val="auto"/>
        </w:rPr>
      </w:pPr>
      <w:r>
        <w:rPr>
          <w:rFonts w:ascii="Arial" w:cs="Arial" w:eastAsia="Arial" w:hAnsi="Arial"/>
          <w:sz w:val="16"/>
          <w:szCs w:val="16"/>
          <w:b w:val="1"/>
          <w:bCs w:val="1"/>
          <w:color w:val="auto"/>
        </w:rPr>
        <w:t>For the transition period from</w:t>
      </w:r>
      <w:r>
        <w:rPr>
          <w:sz w:val="20"/>
          <w:szCs w:val="20"/>
          <w:color w:val="auto"/>
        </w:rPr>
        <w:tab/>
      </w:r>
      <w:r>
        <w:rPr>
          <w:rFonts w:ascii="Arial" w:cs="Arial" w:eastAsia="Arial" w:hAnsi="Arial"/>
          <w:sz w:val="12"/>
          <w:szCs w:val="12"/>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3862070</wp:posOffset>
            </wp:positionH>
            <wp:positionV relativeFrom="paragraph">
              <wp:posOffset>-7620</wp:posOffset>
            </wp:positionV>
            <wp:extent cx="73025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30250" cy="8255"/>
                    </a:xfrm>
                    <a:prstGeom prst="rect">
                      <a:avLst/>
                    </a:prstGeom>
                    <a:noFill/>
                  </pic:spPr>
                </pic:pic>
              </a:graphicData>
            </a:graphic>
          </wp:anchor>
        </w:drawing>
      </w:r>
    </w:p>
    <w:p>
      <w:pPr>
        <w:spacing w:after="0" w:line="84"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Commission File Number 1-35796</w:t>
      </w:r>
    </w:p>
    <w:p>
      <w:pPr>
        <w:spacing w:after="0" w:line="11" w:lineRule="exact"/>
        <w:rPr>
          <w:sz w:val="24"/>
          <w:szCs w:val="24"/>
          <w:color w:val="auto"/>
        </w:rPr>
      </w:pPr>
    </w:p>
    <w:p>
      <w:pPr>
        <w:ind w:left="3180"/>
        <w:spacing w:after="0"/>
        <w:rPr>
          <w:sz w:val="20"/>
          <w:szCs w:val="20"/>
          <w:color w:val="auto"/>
        </w:rPr>
      </w:pPr>
      <w:r>
        <w:rPr>
          <w:rFonts w:ascii="Arial" w:cs="Arial" w:eastAsia="Arial" w:hAnsi="Arial"/>
          <w:sz w:val="10"/>
          <w:szCs w:val="10"/>
          <w:color w:val="auto"/>
        </w:rPr>
        <w:t>_____________________________________________________________________________________________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2816225</wp:posOffset>
            </wp:positionH>
            <wp:positionV relativeFrom="paragraph">
              <wp:posOffset>152400</wp:posOffset>
            </wp:positionV>
            <wp:extent cx="1493520" cy="5975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93520" cy="5975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4" w:lineRule="exact"/>
        <w:rPr>
          <w:sz w:val="24"/>
          <w:szCs w:val="24"/>
          <w:color w:val="auto"/>
        </w:rPr>
      </w:pPr>
    </w:p>
    <w:p>
      <w:pPr>
        <w:jc w:val="center"/>
        <w:spacing w:after="0"/>
        <w:rPr>
          <w:sz w:val="20"/>
          <w:szCs w:val="20"/>
          <w:color w:val="auto"/>
        </w:rPr>
      </w:pPr>
      <w:r>
        <w:rPr>
          <w:rFonts w:ascii="Arial" w:cs="Arial" w:eastAsia="Arial" w:hAnsi="Arial"/>
          <w:sz w:val="37"/>
          <w:szCs w:val="37"/>
          <w:b w:val="1"/>
          <w:bCs w:val="1"/>
          <w:color w:val="auto"/>
        </w:rPr>
        <w:t>Tri Pointe Homes, Inc.</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(Exact Name of Registrant as Specified in Its Charter)</w:t>
      </w:r>
    </w:p>
    <w:p>
      <w:pPr>
        <w:spacing w:after="0" w:line="10" w:lineRule="exact"/>
        <w:rPr>
          <w:sz w:val="24"/>
          <w:szCs w:val="24"/>
          <w:color w:val="auto"/>
        </w:rPr>
      </w:pPr>
    </w:p>
    <w:p>
      <w:pPr>
        <w:ind w:left="3200"/>
        <w:spacing w:after="0"/>
        <w:rPr>
          <w:sz w:val="20"/>
          <w:szCs w:val="20"/>
          <w:color w:val="auto"/>
        </w:rPr>
      </w:pPr>
      <w:r>
        <w:rPr>
          <w:rFonts w:ascii="Arial" w:cs="Arial" w:eastAsia="Arial" w:hAnsi="Arial"/>
          <w:sz w:val="10"/>
          <w:szCs w:val="10"/>
          <w:color w:val="auto"/>
        </w:rPr>
        <w:t>_____________________________________________________________________________________________</w:t>
      </w:r>
    </w:p>
    <w:p>
      <w:pPr>
        <w:spacing w:after="0" w:line="108" w:lineRule="exact"/>
        <w:rPr>
          <w:sz w:val="24"/>
          <w:szCs w:val="24"/>
          <w:color w:val="auto"/>
        </w:rPr>
      </w:pPr>
    </w:p>
    <w:tbl>
      <w:tblPr>
        <w:tblLayout w:type="fixed"/>
        <w:tblInd w:w="1760" w:type="dxa"/>
        <w:tblCellMar>
          <w:top w:w="0" w:type="dxa"/>
          <w:left w:w="0" w:type="dxa"/>
          <w:bottom w:w="0" w:type="dxa"/>
          <w:right w:w="0" w:type="dxa"/>
        </w:tblCellMar>
      </w:tblPr>
      <w:tr>
        <w:trPr>
          <w:trHeight w:val="201"/>
        </w:trPr>
        <w:tc>
          <w:tcPr>
            <w:tcW w:w="1880" w:type="dxa"/>
            <w:vAlign w:val="bottom"/>
          </w:tcPr>
          <w:p>
            <w:pPr>
              <w:jc w:val="center"/>
              <w:spacing w:after="0"/>
              <w:rPr>
                <w:sz w:val="20"/>
                <w:szCs w:val="20"/>
                <w:color w:val="auto"/>
              </w:rPr>
            </w:pPr>
            <w:r>
              <w:rPr>
                <w:rFonts w:ascii="Arial" w:cs="Arial" w:eastAsia="Arial" w:hAnsi="Arial"/>
                <w:sz w:val="16"/>
                <w:szCs w:val="16"/>
                <w:b w:val="1"/>
                <w:bCs w:val="1"/>
                <w:color w:val="auto"/>
                <w:w w:val="91"/>
              </w:rPr>
              <w:t>Delaware</w:t>
            </w:r>
          </w:p>
        </w:tc>
        <w:tc>
          <w:tcPr>
            <w:tcW w:w="5400" w:type="dxa"/>
            <w:vAlign w:val="bottom"/>
          </w:tcPr>
          <w:p>
            <w:pPr>
              <w:jc w:val="center"/>
              <w:ind w:left="4249"/>
              <w:spacing w:after="0"/>
              <w:rPr>
                <w:sz w:val="20"/>
                <w:szCs w:val="20"/>
                <w:color w:val="auto"/>
              </w:rPr>
            </w:pPr>
            <w:r>
              <w:rPr>
                <w:rFonts w:ascii="Arial" w:cs="Arial" w:eastAsia="Arial" w:hAnsi="Arial"/>
                <w:sz w:val="16"/>
                <w:szCs w:val="16"/>
                <w:b w:val="1"/>
                <w:bCs w:val="1"/>
                <w:color w:val="auto"/>
                <w:w w:val="88"/>
              </w:rPr>
              <w:t>61-1763235</w:t>
            </w:r>
          </w:p>
        </w:tc>
      </w:tr>
      <w:tr>
        <w:trPr>
          <w:trHeight w:val="140"/>
        </w:trPr>
        <w:tc>
          <w:tcPr>
            <w:tcW w:w="1880" w:type="dxa"/>
            <w:vAlign w:val="bottom"/>
          </w:tcPr>
          <w:p>
            <w:pPr>
              <w:jc w:val="center"/>
              <w:spacing w:after="0" w:line="140" w:lineRule="exact"/>
              <w:rPr>
                <w:sz w:val="20"/>
                <w:szCs w:val="20"/>
                <w:color w:val="auto"/>
              </w:rPr>
            </w:pPr>
            <w:r>
              <w:rPr>
                <w:rFonts w:ascii="Arial" w:cs="Arial" w:eastAsia="Arial" w:hAnsi="Arial"/>
                <w:sz w:val="14"/>
                <w:szCs w:val="14"/>
                <w:b w:val="1"/>
                <w:bCs w:val="1"/>
                <w:color w:val="auto"/>
                <w:w w:val="89"/>
              </w:rPr>
              <w:t>(State or other Jurisdiction of</w:t>
            </w:r>
          </w:p>
        </w:tc>
        <w:tc>
          <w:tcPr>
            <w:tcW w:w="5400" w:type="dxa"/>
            <w:vAlign w:val="bottom"/>
          </w:tcPr>
          <w:p>
            <w:pPr>
              <w:jc w:val="center"/>
              <w:ind w:left="4249"/>
              <w:spacing w:after="0" w:line="140" w:lineRule="exact"/>
              <w:rPr>
                <w:sz w:val="20"/>
                <w:szCs w:val="20"/>
                <w:color w:val="auto"/>
              </w:rPr>
            </w:pPr>
            <w:r>
              <w:rPr>
                <w:rFonts w:ascii="Arial" w:cs="Arial" w:eastAsia="Arial" w:hAnsi="Arial"/>
                <w:sz w:val="14"/>
                <w:szCs w:val="14"/>
                <w:b w:val="1"/>
                <w:bCs w:val="1"/>
                <w:color w:val="auto"/>
                <w:w w:val="93"/>
              </w:rPr>
              <w:t>(I.R.S. Employer</w:t>
            </w:r>
          </w:p>
        </w:tc>
      </w:tr>
      <w:tr>
        <w:trPr>
          <w:trHeight w:val="182"/>
        </w:trPr>
        <w:tc>
          <w:tcPr>
            <w:tcW w:w="1880" w:type="dxa"/>
            <w:vAlign w:val="bottom"/>
          </w:tcPr>
          <w:p>
            <w:pPr>
              <w:jc w:val="center"/>
              <w:spacing w:after="0"/>
              <w:rPr>
                <w:sz w:val="20"/>
                <w:szCs w:val="20"/>
                <w:color w:val="auto"/>
              </w:rPr>
            </w:pPr>
            <w:r>
              <w:rPr>
                <w:rFonts w:ascii="Arial" w:cs="Arial" w:eastAsia="Arial" w:hAnsi="Arial"/>
                <w:sz w:val="14"/>
                <w:szCs w:val="14"/>
                <w:b w:val="1"/>
                <w:bCs w:val="1"/>
                <w:color w:val="auto"/>
                <w:w w:val="92"/>
              </w:rPr>
              <w:t>Incorporation or Organization)</w:t>
            </w:r>
          </w:p>
        </w:tc>
        <w:tc>
          <w:tcPr>
            <w:tcW w:w="5400" w:type="dxa"/>
            <w:vAlign w:val="bottom"/>
          </w:tcPr>
          <w:p>
            <w:pPr>
              <w:jc w:val="center"/>
              <w:ind w:left="4249"/>
              <w:spacing w:after="0"/>
              <w:rPr>
                <w:sz w:val="20"/>
                <w:szCs w:val="20"/>
                <w:color w:val="auto"/>
              </w:rPr>
            </w:pPr>
            <w:r>
              <w:rPr>
                <w:rFonts w:ascii="Arial" w:cs="Arial" w:eastAsia="Arial" w:hAnsi="Arial"/>
                <w:sz w:val="14"/>
                <w:szCs w:val="14"/>
                <w:b w:val="1"/>
                <w:bCs w:val="1"/>
                <w:color w:val="auto"/>
                <w:w w:val="91"/>
              </w:rPr>
              <w:t>Identification No.)</w:t>
            </w:r>
          </w:p>
        </w:tc>
      </w:tr>
      <w:tr>
        <w:trPr>
          <w:trHeight w:val="214"/>
        </w:trPr>
        <w:tc>
          <w:tcPr>
            <w:tcW w:w="7280" w:type="dxa"/>
            <w:vAlign w:val="bottom"/>
            <w:gridSpan w:val="2"/>
          </w:tcPr>
          <w:p>
            <w:pPr>
              <w:jc w:val="center"/>
              <w:ind w:left="353"/>
              <w:spacing w:after="0"/>
              <w:rPr>
                <w:sz w:val="20"/>
                <w:szCs w:val="20"/>
                <w:color w:val="auto"/>
              </w:rPr>
            </w:pPr>
            <w:r>
              <w:rPr>
                <w:rFonts w:ascii="Arial" w:cs="Arial" w:eastAsia="Arial" w:hAnsi="Arial"/>
                <w:sz w:val="10"/>
                <w:szCs w:val="10"/>
                <w:color w:val="auto"/>
                <w:w w:val="93"/>
              </w:rPr>
              <w:t>_____________________________________________________________________________________________</w:t>
            </w:r>
          </w:p>
        </w:tc>
      </w:tr>
      <w:tr>
        <w:trPr>
          <w:trHeight w:val="183"/>
        </w:trPr>
        <w:tc>
          <w:tcPr>
            <w:tcW w:w="1880" w:type="dxa"/>
            <w:vAlign w:val="bottom"/>
          </w:tcPr>
          <w:p>
            <w:pPr>
              <w:spacing w:after="0"/>
              <w:rPr>
                <w:sz w:val="15"/>
                <w:szCs w:val="15"/>
                <w:color w:val="auto"/>
              </w:rPr>
            </w:pPr>
          </w:p>
        </w:tc>
        <w:tc>
          <w:tcPr>
            <w:tcW w:w="5400" w:type="dxa"/>
            <w:vAlign w:val="bottom"/>
          </w:tcPr>
          <w:p>
            <w:pPr>
              <w:jc w:val="center"/>
              <w:ind w:right="1369"/>
              <w:spacing w:after="0"/>
              <w:rPr>
                <w:sz w:val="20"/>
                <w:szCs w:val="20"/>
                <w:color w:val="auto"/>
              </w:rPr>
            </w:pPr>
            <w:r>
              <w:rPr>
                <w:rFonts w:ascii="Arial" w:cs="Arial" w:eastAsia="Arial" w:hAnsi="Arial"/>
                <w:sz w:val="14"/>
                <w:szCs w:val="14"/>
                <w:b w:val="1"/>
                <w:bCs w:val="1"/>
                <w:color w:val="auto"/>
                <w:w w:val="88"/>
              </w:rPr>
              <w:t>940 Southwood Blvd, Suite 200</w:t>
            </w:r>
          </w:p>
        </w:tc>
      </w:tr>
      <w:tr>
        <w:trPr>
          <w:trHeight w:val="157"/>
        </w:trPr>
        <w:tc>
          <w:tcPr>
            <w:tcW w:w="1880" w:type="dxa"/>
            <w:vAlign w:val="bottom"/>
          </w:tcPr>
          <w:p>
            <w:pPr>
              <w:spacing w:after="0"/>
              <w:rPr>
                <w:sz w:val="13"/>
                <w:szCs w:val="13"/>
                <w:color w:val="auto"/>
              </w:rPr>
            </w:pPr>
          </w:p>
        </w:tc>
        <w:tc>
          <w:tcPr>
            <w:tcW w:w="5400" w:type="dxa"/>
            <w:vAlign w:val="bottom"/>
          </w:tcPr>
          <w:p>
            <w:pPr>
              <w:jc w:val="center"/>
              <w:ind w:right="1369"/>
              <w:spacing w:after="0" w:line="157" w:lineRule="exact"/>
              <w:rPr>
                <w:sz w:val="20"/>
                <w:szCs w:val="20"/>
                <w:color w:val="auto"/>
              </w:rPr>
            </w:pPr>
            <w:r>
              <w:rPr>
                <w:rFonts w:ascii="Arial" w:cs="Arial" w:eastAsia="Arial" w:hAnsi="Arial"/>
                <w:sz w:val="14"/>
                <w:szCs w:val="14"/>
                <w:b w:val="1"/>
                <w:bCs w:val="1"/>
                <w:color w:val="auto"/>
                <w:w w:val="90"/>
              </w:rPr>
              <w:t>Incline Village, Nevada 89451</w:t>
            </w:r>
          </w:p>
        </w:tc>
      </w:tr>
      <w:tr>
        <w:trPr>
          <w:trHeight w:val="182"/>
        </w:trPr>
        <w:tc>
          <w:tcPr>
            <w:tcW w:w="1880" w:type="dxa"/>
            <w:vAlign w:val="bottom"/>
          </w:tcPr>
          <w:p>
            <w:pPr>
              <w:spacing w:after="0"/>
              <w:rPr>
                <w:sz w:val="15"/>
                <w:szCs w:val="15"/>
                <w:color w:val="auto"/>
              </w:rPr>
            </w:pPr>
          </w:p>
        </w:tc>
        <w:tc>
          <w:tcPr>
            <w:tcW w:w="5400" w:type="dxa"/>
            <w:vAlign w:val="bottom"/>
          </w:tcPr>
          <w:p>
            <w:pPr>
              <w:jc w:val="center"/>
              <w:ind w:right="1349"/>
              <w:spacing w:after="0"/>
              <w:rPr>
                <w:sz w:val="20"/>
                <w:szCs w:val="20"/>
                <w:color w:val="auto"/>
              </w:rPr>
            </w:pPr>
            <w:r>
              <w:rPr>
                <w:rFonts w:ascii="Arial" w:cs="Arial" w:eastAsia="Arial" w:hAnsi="Arial"/>
                <w:sz w:val="14"/>
                <w:szCs w:val="14"/>
                <w:b w:val="1"/>
                <w:bCs w:val="1"/>
                <w:color w:val="auto"/>
                <w:w w:val="89"/>
              </w:rPr>
              <w:t>(Address of principal executive offices) (Zip Code)</w:t>
            </w:r>
          </w:p>
        </w:tc>
      </w:tr>
      <w:tr>
        <w:trPr>
          <w:trHeight w:val="209"/>
        </w:trPr>
        <w:tc>
          <w:tcPr>
            <w:tcW w:w="1880" w:type="dxa"/>
            <w:vAlign w:val="bottom"/>
          </w:tcPr>
          <w:p>
            <w:pPr>
              <w:spacing w:after="0"/>
              <w:rPr>
                <w:sz w:val="18"/>
                <w:szCs w:val="18"/>
                <w:color w:val="auto"/>
              </w:rPr>
            </w:pPr>
          </w:p>
        </w:tc>
        <w:tc>
          <w:tcPr>
            <w:tcW w:w="5400" w:type="dxa"/>
            <w:vAlign w:val="bottom"/>
          </w:tcPr>
          <w:p>
            <w:pPr>
              <w:jc w:val="center"/>
              <w:ind w:right="1369"/>
              <w:spacing w:after="0"/>
              <w:rPr>
                <w:sz w:val="20"/>
                <w:szCs w:val="20"/>
                <w:color w:val="auto"/>
              </w:rPr>
            </w:pPr>
            <w:r>
              <w:rPr>
                <w:rFonts w:ascii="Arial" w:cs="Arial" w:eastAsia="Arial" w:hAnsi="Arial"/>
                <w:sz w:val="14"/>
                <w:szCs w:val="14"/>
                <w:b w:val="1"/>
                <w:bCs w:val="1"/>
                <w:color w:val="auto"/>
                <w:w w:val="88"/>
              </w:rPr>
              <w:t>Registrant’s telephone number, including area code (775) 413-1030</w:t>
            </w:r>
          </w:p>
        </w:tc>
      </w:tr>
      <w:tr>
        <w:trPr>
          <w:trHeight w:val="200"/>
        </w:trPr>
        <w:tc>
          <w:tcPr>
            <w:tcW w:w="1880" w:type="dxa"/>
            <w:vAlign w:val="bottom"/>
          </w:tcPr>
          <w:p>
            <w:pPr>
              <w:spacing w:after="0"/>
              <w:rPr>
                <w:sz w:val="17"/>
                <w:szCs w:val="17"/>
                <w:color w:val="auto"/>
              </w:rPr>
            </w:pPr>
          </w:p>
        </w:tc>
        <w:tc>
          <w:tcPr>
            <w:tcW w:w="5400" w:type="dxa"/>
            <w:vAlign w:val="bottom"/>
          </w:tcPr>
          <w:p>
            <w:pPr>
              <w:jc w:val="center"/>
              <w:ind w:right="1349"/>
              <w:spacing w:after="0"/>
              <w:rPr>
                <w:sz w:val="20"/>
                <w:szCs w:val="20"/>
                <w:color w:val="auto"/>
              </w:rPr>
            </w:pPr>
            <w:r>
              <w:rPr>
                <w:rFonts w:ascii="Arial" w:cs="Arial" w:eastAsia="Arial" w:hAnsi="Arial"/>
                <w:sz w:val="14"/>
                <w:szCs w:val="14"/>
                <w:b w:val="1"/>
                <w:bCs w:val="1"/>
                <w:color w:val="333333"/>
                <w:w w:val="91"/>
              </w:rPr>
              <w:t>Not Applicable</w:t>
            </w:r>
          </w:p>
        </w:tc>
      </w:tr>
    </w:tbl>
    <w:p>
      <w:pPr>
        <w:jc w:val="center"/>
        <w:spacing w:after="0"/>
        <w:rPr>
          <w:sz w:val="20"/>
          <w:szCs w:val="20"/>
          <w:color w:val="auto"/>
        </w:rPr>
      </w:pPr>
      <w:r>
        <w:rPr>
          <w:rFonts w:ascii="Arial" w:cs="Arial" w:eastAsia="Arial" w:hAnsi="Arial"/>
          <w:sz w:val="14"/>
          <w:szCs w:val="14"/>
          <w:b w:val="1"/>
          <w:bCs w:val="1"/>
          <w:color w:val="333333"/>
        </w:rPr>
        <w:t>(Former name, former address and former fiscal year, if changed since last report)</w:t>
      </w:r>
    </w:p>
    <w:p>
      <w:pPr>
        <w:spacing w:after="0" w:line="1" w:lineRule="exact"/>
        <w:rPr>
          <w:sz w:val="24"/>
          <w:szCs w:val="24"/>
          <w:color w:val="auto"/>
        </w:rPr>
      </w:pPr>
    </w:p>
    <w:p>
      <w:pPr>
        <w:ind w:left="3000"/>
        <w:spacing w:after="0"/>
        <w:rPr>
          <w:sz w:val="20"/>
          <w:szCs w:val="20"/>
          <w:color w:val="auto"/>
        </w:rPr>
      </w:pPr>
      <w:r>
        <w:rPr>
          <w:rFonts w:ascii="Arial" w:cs="Arial" w:eastAsia="Arial" w:hAnsi="Arial"/>
          <w:sz w:val="10"/>
          <w:szCs w:val="10"/>
          <w:color w:val="auto"/>
        </w:rPr>
        <w:t>____________________________________________________________________________________________________</w:t>
      </w:r>
    </w:p>
    <w:p>
      <w:pPr>
        <w:spacing w:after="0" w:line="38" w:lineRule="exact"/>
        <w:rPr>
          <w:sz w:val="24"/>
          <w:szCs w:val="24"/>
          <w:color w:val="auto"/>
        </w:rPr>
      </w:pPr>
    </w:p>
    <w:tbl>
      <w:tblPr>
        <w:tblLayout w:type="fixed"/>
        <w:tblInd w:w="0" w:type="dxa"/>
        <w:tblCellMar>
          <w:top w:w="0" w:type="dxa"/>
          <w:left w:w="0" w:type="dxa"/>
          <w:bottom w:w="0" w:type="dxa"/>
          <w:right w:w="0" w:type="dxa"/>
        </w:tblCellMar>
      </w:tblPr>
      <w:tr>
        <w:trPr>
          <w:trHeight w:val="178"/>
        </w:trPr>
        <w:tc>
          <w:tcPr>
            <w:tcW w:w="4440" w:type="dxa"/>
            <w:vAlign w:val="bottom"/>
            <w:gridSpan w:val="2"/>
          </w:tcPr>
          <w:p>
            <w:pPr>
              <w:spacing w:after="0"/>
              <w:rPr>
                <w:sz w:val="20"/>
                <w:szCs w:val="20"/>
                <w:color w:val="auto"/>
              </w:rPr>
            </w:pPr>
            <w:r>
              <w:rPr>
                <w:rFonts w:ascii="Arial" w:cs="Arial" w:eastAsia="Arial" w:hAnsi="Arial"/>
                <w:sz w:val="14"/>
                <w:szCs w:val="14"/>
                <w:color w:val="auto"/>
              </w:rPr>
              <w:t>Securities registered pursuant to Section 12(b) of the Act:</w:t>
            </w:r>
          </w:p>
        </w:tc>
        <w:tc>
          <w:tcPr>
            <w:tcW w:w="1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820" w:type="dxa"/>
            <w:vAlign w:val="bottom"/>
          </w:tcPr>
          <w:p>
            <w:pPr>
              <w:spacing w:after="0"/>
              <w:rPr>
                <w:sz w:val="15"/>
                <w:szCs w:val="15"/>
                <w:color w:val="auto"/>
              </w:rPr>
            </w:pPr>
          </w:p>
        </w:tc>
      </w:tr>
      <w:tr>
        <w:trPr>
          <w:trHeight w:val="253"/>
        </w:trPr>
        <w:tc>
          <w:tcPr>
            <w:tcW w:w="44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7"/>
              </w:rPr>
              <w:t>Title of each class</w:t>
            </w:r>
          </w:p>
        </w:tc>
        <w:tc>
          <w:tcPr>
            <w:tcW w:w="19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9"/>
              </w:rPr>
              <w:t>Trading Symbol(s)</w:t>
            </w:r>
          </w:p>
        </w:tc>
        <w:tc>
          <w:tcPr>
            <w:tcW w:w="4820" w:type="dxa"/>
            <w:vAlign w:val="bottom"/>
          </w:tcPr>
          <w:p>
            <w:pPr>
              <w:jc w:val="center"/>
              <w:spacing w:after="0"/>
              <w:rPr>
                <w:sz w:val="20"/>
                <w:szCs w:val="20"/>
                <w:color w:val="auto"/>
              </w:rPr>
            </w:pPr>
            <w:r>
              <w:rPr>
                <w:rFonts w:ascii="Arial" w:cs="Arial" w:eastAsia="Arial" w:hAnsi="Arial"/>
                <w:sz w:val="14"/>
                <w:szCs w:val="14"/>
                <w:b w:val="1"/>
                <w:bCs w:val="1"/>
                <w:color w:val="auto"/>
                <w:w w:val="87"/>
              </w:rPr>
              <w:t>Name of each exchange on which registered</w:t>
            </w:r>
          </w:p>
        </w:tc>
      </w:tr>
      <w:tr>
        <w:trPr>
          <w:trHeight w:val="176"/>
        </w:trPr>
        <w:tc>
          <w:tcPr>
            <w:tcW w:w="434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w w:val="88"/>
              </w:rPr>
              <w:t>Common Stock, par value $0.01 per share</w:t>
            </w:r>
          </w:p>
        </w:tc>
        <w:tc>
          <w:tcPr>
            <w:tcW w:w="100" w:type="dxa"/>
            <w:vAlign w:val="bottom"/>
          </w:tcPr>
          <w:p>
            <w:pPr>
              <w:spacing w:after="0"/>
              <w:rPr>
                <w:sz w:val="15"/>
                <w:szCs w:val="15"/>
                <w:color w:val="auto"/>
              </w:rPr>
            </w:pPr>
          </w:p>
        </w:tc>
        <w:tc>
          <w:tcPr>
            <w:tcW w:w="188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w w:val="92"/>
              </w:rPr>
              <w:t>TPH</w:t>
            </w:r>
          </w:p>
        </w:tc>
        <w:tc>
          <w:tcPr>
            <w:tcW w:w="100" w:type="dxa"/>
            <w:vAlign w:val="bottom"/>
          </w:tcPr>
          <w:p>
            <w:pPr>
              <w:spacing w:after="0"/>
              <w:rPr>
                <w:sz w:val="15"/>
                <w:szCs w:val="15"/>
                <w:color w:val="auto"/>
              </w:rPr>
            </w:pPr>
          </w:p>
        </w:tc>
        <w:tc>
          <w:tcPr>
            <w:tcW w:w="482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w w:val="90"/>
              </w:rPr>
              <w:t>New York Stock Exchange</w:t>
            </w:r>
          </w:p>
        </w:tc>
      </w:tr>
    </w:tbl>
    <w:p>
      <w:pPr>
        <w:spacing w:after="0" w:line="91" w:lineRule="exact"/>
        <w:rPr>
          <w:sz w:val="24"/>
          <w:szCs w:val="24"/>
          <w:color w:val="auto"/>
        </w:rPr>
      </w:pPr>
    </w:p>
    <w:p>
      <w:pPr>
        <w:ind w:right="140" w:firstLine="104"/>
        <w:spacing w:after="0" w:line="202"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7"/>
          <w:szCs w:val="17"/>
          <w:color w:val="auto"/>
        </w:rPr>
        <w:t>☒</w:t>
      </w:r>
      <w:r>
        <w:rPr>
          <w:rFonts w:ascii="Arial" w:cs="Arial" w:eastAsia="Arial" w:hAnsi="Arial"/>
          <w:sz w:val="14"/>
          <w:szCs w:val="14"/>
          <w:color w:val="auto"/>
        </w:rPr>
        <w:t xml:space="preserve"> No </w:t>
      </w:r>
      <w:r>
        <w:rPr>
          <w:rFonts w:ascii="MS PGothic" w:cs="MS PGothic" w:eastAsia="MS PGothic" w:hAnsi="MS PGothic"/>
          <w:sz w:val="17"/>
          <w:szCs w:val="17"/>
          <w:color w:val="333333"/>
        </w:rPr>
        <w:t>☐</w:t>
      </w:r>
    </w:p>
    <w:p>
      <w:pPr>
        <w:spacing w:after="0" w:line="14" w:lineRule="exact"/>
        <w:rPr>
          <w:sz w:val="24"/>
          <w:szCs w:val="24"/>
          <w:color w:val="auto"/>
        </w:rPr>
      </w:pPr>
    </w:p>
    <w:p>
      <w:pPr>
        <w:ind w:right="440" w:firstLine="470"/>
        <w:spacing w:after="0" w:line="202"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MS PGothic" w:cs="MS PGothic" w:eastAsia="MS PGothic" w:hAnsi="MS PGothic"/>
          <w:sz w:val="17"/>
          <w:szCs w:val="17"/>
          <w:color w:val="333333"/>
        </w:rPr>
        <w:t>☒</w:t>
      </w:r>
      <w:r>
        <w:rPr>
          <w:rFonts w:ascii="Arial" w:cs="Arial" w:eastAsia="Arial" w:hAnsi="Arial"/>
          <w:sz w:val="14"/>
          <w:szCs w:val="14"/>
          <w:color w:val="auto"/>
        </w:rPr>
        <w:t xml:space="preserve"> No </w:t>
      </w:r>
      <w:r>
        <w:rPr>
          <w:rFonts w:ascii="MS PGothic" w:cs="MS PGothic" w:eastAsia="MS PGothic" w:hAnsi="MS PGothic"/>
          <w:sz w:val="17"/>
          <w:szCs w:val="17"/>
          <w:color w:val="333333"/>
        </w:rPr>
        <w:t>☐</w:t>
      </w:r>
    </w:p>
    <w:p>
      <w:pPr>
        <w:spacing w:after="0" w:line="14" w:lineRule="exact"/>
        <w:rPr>
          <w:sz w:val="24"/>
          <w:szCs w:val="24"/>
          <w:color w:val="auto"/>
        </w:rPr>
      </w:pPr>
    </w:p>
    <w:p>
      <w:pPr>
        <w:ind w:right="320" w:firstLine="470"/>
        <w:spacing w:after="0" w:line="297"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48" w:lineRule="exact"/>
        <w:rPr>
          <w:sz w:val="24"/>
          <w:szCs w:val="24"/>
          <w:color w:val="auto"/>
        </w:rPr>
      </w:pPr>
    </w:p>
    <w:tbl>
      <w:tblPr>
        <w:tblLayout w:type="fixed"/>
        <w:tblInd w:w="20" w:type="dxa"/>
        <w:tblCellMar>
          <w:top w:w="0" w:type="dxa"/>
          <w:left w:w="0" w:type="dxa"/>
          <w:bottom w:w="0" w:type="dxa"/>
          <w:right w:w="0" w:type="dxa"/>
        </w:tblCellMar>
      </w:tblPr>
      <w:tr>
        <w:trPr>
          <w:trHeight w:val="222"/>
        </w:trPr>
        <w:tc>
          <w:tcPr>
            <w:tcW w:w="170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3560" w:type="dxa"/>
            <w:vAlign w:val="bottom"/>
          </w:tcPr>
          <w:p>
            <w:pPr>
              <w:ind w:left="460"/>
              <w:spacing w:after="0" w:line="171" w:lineRule="exact"/>
              <w:rPr>
                <w:sz w:val="20"/>
                <w:szCs w:val="20"/>
                <w:color w:val="auto"/>
              </w:rPr>
            </w:pPr>
            <w:r>
              <w:rPr>
                <w:rFonts w:ascii="MS PGothic" w:cs="MS PGothic" w:eastAsia="MS PGothic" w:hAnsi="MS PGothic"/>
                <w:sz w:val="17"/>
                <w:szCs w:val="17"/>
                <w:color w:val="auto"/>
              </w:rPr>
              <w:t>☒</w:t>
            </w:r>
          </w:p>
        </w:tc>
        <w:tc>
          <w:tcPr>
            <w:tcW w:w="5020" w:type="dxa"/>
            <w:vAlign w:val="bottom"/>
          </w:tcPr>
          <w:p>
            <w:pPr>
              <w:ind w:left="2960"/>
              <w:spacing w:after="0"/>
              <w:rPr>
                <w:sz w:val="20"/>
                <w:szCs w:val="20"/>
                <w:color w:val="auto"/>
              </w:rPr>
            </w:pPr>
            <w:r>
              <w:rPr>
                <w:rFonts w:ascii="Arial" w:cs="Arial" w:eastAsia="Arial" w:hAnsi="Arial"/>
                <w:sz w:val="14"/>
                <w:szCs w:val="14"/>
                <w:color w:val="auto"/>
              </w:rPr>
              <w:t>Accelerated filer</w:t>
            </w:r>
          </w:p>
        </w:tc>
        <w:tc>
          <w:tcPr>
            <w:tcW w:w="680" w:type="dxa"/>
            <w:vAlign w:val="bottom"/>
          </w:tcPr>
          <w:p>
            <w:pPr>
              <w:ind w:left="520"/>
              <w:spacing w:after="0" w:line="171" w:lineRule="exact"/>
              <w:rPr>
                <w:sz w:val="20"/>
                <w:szCs w:val="20"/>
                <w:color w:val="auto"/>
              </w:rPr>
            </w:pPr>
            <w:r>
              <w:rPr>
                <w:rFonts w:ascii="MS PGothic" w:cs="MS PGothic" w:eastAsia="MS PGothic" w:hAnsi="MS PGothic"/>
                <w:sz w:val="17"/>
                <w:szCs w:val="17"/>
                <w:color w:val="333333"/>
                <w:w w:val="82"/>
              </w:rPr>
              <w:t>☐</w:t>
            </w:r>
          </w:p>
        </w:tc>
      </w:tr>
      <w:tr>
        <w:trPr>
          <w:trHeight w:val="222"/>
        </w:trPr>
        <w:tc>
          <w:tcPr>
            <w:tcW w:w="1700" w:type="dxa"/>
            <w:vAlign w:val="bottom"/>
          </w:tcPr>
          <w:p>
            <w:pPr>
              <w:spacing w:after="0"/>
              <w:rPr>
                <w:sz w:val="20"/>
                <w:szCs w:val="20"/>
                <w:color w:val="auto"/>
              </w:rPr>
            </w:pPr>
            <w:r>
              <w:rPr>
                <w:rFonts w:ascii="Arial" w:cs="Arial" w:eastAsia="Arial" w:hAnsi="Arial"/>
                <w:sz w:val="14"/>
                <w:szCs w:val="14"/>
                <w:color w:val="auto"/>
              </w:rPr>
              <w:t>Non-accelerated filer</w:t>
            </w:r>
          </w:p>
        </w:tc>
        <w:tc>
          <w:tcPr>
            <w:tcW w:w="3560" w:type="dxa"/>
            <w:vAlign w:val="bottom"/>
          </w:tcPr>
          <w:p>
            <w:pPr>
              <w:ind w:left="460"/>
              <w:spacing w:after="0" w:line="171" w:lineRule="exact"/>
              <w:rPr>
                <w:sz w:val="20"/>
                <w:szCs w:val="20"/>
                <w:color w:val="auto"/>
              </w:rPr>
            </w:pPr>
            <w:r>
              <w:rPr>
                <w:rFonts w:ascii="MS PGothic" w:cs="MS PGothic" w:eastAsia="MS PGothic" w:hAnsi="MS PGothic"/>
                <w:sz w:val="17"/>
                <w:szCs w:val="17"/>
                <w:color w:val="333333"/>
              </w:rPr>
              <w:t>☐</w:t>
            </w:r>
          </w:p>
        </w:tc>
        <w:tc>
          <w:tcPr>
            <w:tcW w:w="5020" w:type="dxa"/>
            <w:vAlign w:val="bottom"/>
          </w:tcPr>
          <w:p>
            <w:pPr>
              <w:ind w:left="2960"/>
              <w:spacing w:after="0"/>
              <w:rPr>
                <w:sz w:val="20"/>
                <w:szCs w:val="20"/>
                <w:color w:val="auto"/>
              </w:rPr>
            </w:pPr>
            <w:r>
              <w:rPr>
                <w:rFonts w:ascii="Arial" w:cs="Arial" w:eastAsia="Arial" w:hAnsi="Arial"/>
                <w:sz w:val="14"/>
                <w:szCs w:val="14"/>
                <w:color w:val="auto"/>
              </w:rPr>
              <w:t>Smaller reporting company</w:t>
            </w:r>
          </w:p>
        </w:tc>
        <w:tc>
          <w:tcPr>
            <w:tcW w:w="680" w:type="dxa"/>
            <w:vAlign w:val="bottom"/>
          </w:tcPr>
          <w:p>
            <w:pPr>
              <w:ind w:left="520"/>
              <w:spacing w:after="0" w:line="171" w:lineRule="exact"/>
              <w:rPr>
                <w:sz w:val="20"/>
                <w:szCs w:val="20"/>
                <w:color w:val="auto"/>
              </w:rPr>
            </w:pPr>
            <w:r>
              <w:rPr>
                <w:rFonts w:ascii="MS PGothic" w:cs="MS PGothic" w:eastAsia="MS PGothic" w:hAnsi="MS PGothic"/>
                <w:sz w:val="17"/>
                <w:szCs w:val="17"/>
                <w:color w:val="333333"/>
                <w:w w:val="82"/>
              </w:rPr>
              <w:t>☐</w:t>
            </w:r>
          </w:p>
        </w:tc>
      </w:tr>
      <w:tr>
        <w:trPr>
          <w:trHeight w:val="274"/>
        </w:trPr>
        <w:tc>
          <w:tcPr>
            <w:tcW w:w="1700" w:type="dxa"/>
            <w:vAlign w:val="bottom"/>
          </w:tcPr>
          <w:p>
            <w:pPr>
              <w:spacing w:after="0"/>
              <w:rPr>
                <w:sz w:val="23"/>
                <w:szCs w:val="23"/>
                <w:color w:val="auto"/>
              </w:rPr>
            </w:pPr>
          </w:p>
        </w:tc>
        <w:tc>
          <w:tcPr>
            <w:tcW w:w="3560" w:type="dxa"/>
            <w:vAlign w:val="bottom"/>
          </w:tcPr>
          <w:p>
            <w:pPr>
              <w:spacing w:after="0"/>
              <w:rPr>
                <w:sz w:val="23"/>
                <w:szCs w:val="23"/>
                <w:color w:val="auto"/>
              </w:rPr>
            </w:pPr>
          </w:p>
        </w:tc>
        <w:tc>
          <w:tcPr>
            <w:tcW w:w="5020" w:type="dxa"/>
            <w:vAlign w:val="bottom"/>
          </w:tcPr>
          <w:p>
            <w:pPr>
              <w:ind w:left="2960"/>
              <w:spacing w:after="0"/>
              <w:rPr>
                <w:sz w:val="20"/>
                <w:szCs w:val="20"/>
                <w:color w:val="auto"/>
              </w:rPr>
            </w:pPr>
            <w:r>
              <w:rPr>
                <w:rFonts w:ascii="Arial" w:cs="Arial" w:eastAsia="Arial" w:hAnsi="Arial"/>
                <w:sz w:val="14"/>
                <w:szCs w:val="14"/>
                <w:color w:val="auto"/>
              </w:rPr>
              <w:t>Emerging growth company</w:t>
            </w:r>
          </w:p>
        </w:tc>
        <w:tc>
          <w:tcPr>
            <w:tcW w:w="680" w:type="dxa"/>
            <w:vAlign w:val="bottom"/>
          </w:tcPr>
          <w:p>
            <w:pPr>
              <w:ind w:left="520"/>
              <w:spacing w:after="0" w:line="171" w:lineRule="exact"/>
              <w:rPr>
                <w:sz w:val="20"/>
                <w:szCs w:val="20"/>
                <w:color w:val="auto"/>
              </w:rPr>
            </w:pPr>
            <w:r>
              <w:rPr>
                <w:rFonts w:ascii="MS PGothic" w:cs="MS PGothic" w:eastAsia="MS PGothic" w:hAnsi="MS PGothic"/>
                <w:sz w:val="17"/>
                <w:szCs w:val="17"/>
                <w:color w:val="333333"/>
                <w:w w:val="82"/>
              </w:rPr>
              <w:t>☐</w:t>
            </w:r>
          </w:p>
        </w:tc>
      </w:tr>
    </w:tbl>
    <w:p>
      <w:pPr>
        <w:spacing w:after="0" w:line="40" w:lineRule="exact"/>
        <w:rPr>
          <w:sz w:val="24"/>
          <w:szCs w:val="24"/>
          <w:color w:val="auto"/>
        </w:rPr>
      </w:pPr>
    </w:p>
    <w:p>
      <w:pPr>
        <w:ind w:right="440" w:firstLine="470"/>
        <w:spacing w:after="0" w:line="202"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7"/>
          <w:szCs w:val="17"/>
          <w:color w:val="333333"/>
        </w:rPr>
        <w:t>☐</w:t>
      </w:r>
    </w:p>
    <w:p>
      <w:pPr>
        <w:ind w:left="480" w:right="3340"/>
        <w:spacing w:after="0" w:line="227" w:lineRule="exact"/>
        <w:rPr>
          <w:sz w:val="20"/>
          <w:szCs w:val="20"/>
          <w:color w:val="auto"/>
        </w:rPr>
      </w:pPr>
      <w:r>
        <w:rPr>
          <w:rFonts w:ascii="Arial" w:cs="Arial" w:eastAsia="Arial" w:hAnsi="Arial"/>
          <w:sz w:val="14"/>
          <w:szCs w:val="14"/>
          <w:color w:val="auto"/>
        </w:rPr>
        <w:t xml:space="preserve">Indicate by check mark whether the registrant is a shell company (as defined in Rule 12b-2 of the Exchange Act). Yes </w:t>
      </w:r>
      <w:r>
        <w:rPr>
          <w:rFonts w:ascii="MS PGothic" w:cs="MS PGothic" w:eastAsia="MS PGothic" w:hAnsi="MS PGothic"/>
          <w:sz w:val="17"/>
          <w:szCs w:val="17"/>
          <w:color w:val="333333"/>
        </w:rPr>
        <w:t>☐</w:t>
      </w:r>
      <w:r>
        <w:rPr>
          <w:rFonts w:ascii="Arial" w:cs="Arial" w:eastAsia="Arial" w:hAnsi="Arial"/>
          <w:sz w:val="14"/>
          <w:szCs w:val="14"/>
          <w:color w:val="auto"/>
        </w:rPr>
        <w:t xml:space="preserve"> No </w:t>
      </w:r>
      <w:r>
        <w:rPr>
          <w:rFonts w:ascii="MS PGothic" w:cs="MS PGothic" w:eastAsia="MS PGothic" w:hAnsi="MS PGothic"/>
          <w:sz w:val="17"/>
          <w:szCs w:val="17"/>
          <w:color w:val="auto"/>
        </w:rPr>
        <w:t>☒</w:t>
      </w:r>
      <w:r>
        <w:rPr>
          <w:rFonts w:ascii="Arial" w:cs="Arial" w:eastAsia="Arial" w:hAnsi="Arial"/>
          <w:sz w:val="14"/>
          <w:szCs w:val="14"/>
          <w:color w:val="auto"/>
        </w:rPr>
        <w:t xml:space="preserve"> 113,789,302 shares of the registrant's common stock were issued and outstanding as of July 12,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-8890</wp:posOffset>
            </wp:positionH>
            <wp:positionV relativeFrom="paragraph">
              <wp:posOffset>525145</wp:posOffset>
            </wp:positionV>
            <wp:extent cx="7162165" cy="419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66" w:right="339" w:bottom="1440" w:gutter="0" w:footer="0" w:header="0"/>
        </w:sectPr>
      </w:pPr>
    </w:p>
    <w:bookmarkStart w:id="1" w:name="page2"/>
    <w:bookmarkEnd w:id="1"/>
    <w:p>
      <w:pPr>
        <w:jc w:val="center"/>
        <w:ind w:right="-239"/>
        <w:spacing w:after="0"/>
        <w:rPr>
          <w:sz w:val="20"/>
          <w:szCs w:val="20"/>
          <w:color w:val="auto"/>
        </w:rPr>
      </w:pPr>
      <w:r>
        <w:rPr>
          <w:rFonts w:ascii="Arial" w:cs="Arial" w:eastAsia="Arial" w:hAnsi="Arial"/>
          <w:sz w:val="17"/>
          <w:szCs w:val="17"/>
          <w:b w:val="1"/>
          <w:bCs w:val="1"/>
          <w:color w:val="auto"/>
        </w:rPr>
        <w:t>EXPLANATORY NOTE</w:t>
      </w:r>
    </w:p>
    <w:p>
      <w:pPr>
        <w:spacing w:after="0" w:line="124" w:lineRule="exact"/>
        <w:rPr>
          <w:sz w:val="20"/>
          <w:szCs w:val="20"/>
          <w:color w:val="auto"/>
        </w:rPr>
      </w:pPr>
    </w:p>
    <w:p>
      <w:pPr>
        <w:ind w:firstLine="470"/>
        <w:spacing w:after="0" w:line="272" w:lineRule="auto"/>
        <w:rPr>
          <w:sz w:val="20"/>
          <w:szCs w:val="20"/>
          <w:color w:val="auto"/>
        </w:rPr>
      </w:pPr>
      <w:r>
        <w:rPr>
          <w:rFonts w:ascii="Arial" w:cs="Arial" w:eastAsia="Arial" w:hAnsi="Arial"/>
          <w:sz w:val="17"/>
          <w:szCs w:val="17"/>
          <w:color w:val="auto"/>
        </w:rPr>
        <w:t>As used in this quarterly report on Form 10-Q, references to “Tri Pointe”, “the Company”, “we”, “us”, or “our” (including in the consolidated financial statements and related notes thereto in this annual report on Form 10-Q) refer to Tri Pointe Homes, Inc., a Delaware corporation, and its consolidated subsidiaries.</w:t>
      </w:r>
    </w:p>
    <w:p>
      <w:pPr>
        <w:spacing w:after="0" w:line="67" w:lineRule="exact"/>
        <w:rPr>
          <w:sz w:val="20"/>
          <w:szCs w:val="20"/>
          <w:color w:val="auto"/>
        </w:rPr>
      </w:pPr>
    </w:p>
    <w:p>
      <w:pPr>
        <w:ind w:left="480"/>
        <w:spacing w:after="0"/>
        <w:rPr>
          <w:sz w:val="20"/>
          <w:szCs w:val="20"/>
          <w:color w:val="auto"/>
        </w:rPr>
      </w:pPr>
      <w:r>
        <w:rPr>
          <w:rFonts w:ascii="Arial" w:cs="Arial" w:eastAsia="Arial" w:hAnsi="Arial"/>
          <w:sz w:val="17"/>
          <w:szCs w:val="17"/>
          <w:color w:val="auto"/>
        </w:rPr>
        <w:t>Effective January 15, 2021, the Company changed its corporate name from “TRI Pointe Group, Inc.” to “Tri Pointe Homes,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908050</wp:posOffset>
            </wp:positionV>
            <wp:extent cx="7162165" cy="419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000"/>
          </w:cols>
          <w:pgMar w:left="320" w:top="866" w:right="57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7"/>
          <w:szCs w:val="17"/>
          <w:b w:val="1"/>
          <w:bCs w:val="1"/>
          <w:color w:val="auto"/>
        </w:rPr>
        <w:t>TRI POINTE HOMES, INC.</w:t>
      </w:r>
    </w:p>
    <w:p>
      <w:pPr>
        <w:spacing w:after="0" w:line="32"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QUARTERLY REPORT ON FORM 10-Q</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INDEX</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June 30, 2021</w:t>
      </w: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940" w:type="dxa"/>
            <w:vAlign w:val="bottom"/>
            <w:gridSpan w:val="4"/>
          </w:tcPr>
          <w:p>
            <w:pPr>
              <w:jc w:val="right"/>
              <w:ind w:right="32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82"/>
        </w:trPr>
        <w:tc>
          <w:tcPr>
            <w:tcW w:w="1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1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7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940" w:type="dxa"/>
            <w:vAlign w:val="bottom"/>
            <w:tcBorders>
              <w:bottom w:val="single" w:sz="8" w:color="auto"/>
            </w:tcBorders>
            <w:gridSpan w:val="4"/>
          </w:tcPr>
          <w:p>
            <w:pPr>
              <w:jc w:val="right"/>
              <w:ind w:right="220"/>
              <w:spacing w:after="0"/>
              <w:rPr>
                <w:sz w:val="20"/>
                <w:szCs w:val="20"/>
                <w:color w:val="auto"/>
              </w:rPr>
            </w:pPr>
            <w:r>
              <w:rPr>
                <w:rFonts w:ascii="Arial" w:cs="Arial" w:eastAsia="Arial" w:hAnsi="Arial"/>
                <w:sz w:val="14"/>
                <w:szCs w:val="14"/>
                <w:b w:val="1"/>
                <w:bCs w:val="1"/>
                <w:color w:val="auto"/>
              </w:rPr>
              <w:t>Number</w:t>
            </w:r>
          </w:p>
        </w:tc>
        <w:tc>
          <w:tcPr>
            <w:tcW w:w="0" w:type="dxa"/>
            <w:vAlign w:val="bottom"/>
          </w:tcPr>
          <w:p>
            <w:pPr>
              <w:spacing w:after="0"/>
              <w:rPr>
                <w:sz w:val="1"/>
                <w:szCs w:val="1"/>
                <w:color w:val="auto"/>
              </w:rPr>
            </w:pPr>
          </w:p>
        </w:tc>
      </w:tr>
      <w:tr>
        <w:trPr>
          <w:trHeight w:val="164"/>
        </w:trPr>
        <w:tc>
          <w:tcPr>
            <w:tcW w:w="3020" w:type="dxa"/>
            <w:vAlign w:val="bottom"/>
            <w:tcBorders>
              <w:bottom w:val="single" w:sz="8" w:color="0000FF"/>
            </w:tcBorders>
            <w:gridSpan w:val="8"/>
          </w:tcPr>
          <w:p>
            <w:pPr>
              <w:spacing w:after="0" w:line="164" w:lineRule="exact"/>
              <w:rPr>
                <w:rFonts w:ascii="Arial" w:cs="Arial" w:eastAsia="Arial" w:hAnsi="Arial"/>
                <w:sz w:val="17"/>
                <w:szCs w:val="17"/>
                <w:b w:val="1"/>
                <w:bCs w:val="1"/>
                <w:color w:val="0000FF"/>
              </w:rPr>
            </w:pPr>
            <w:hyperlink w:anchor="page3">
              <w:r>
                <w:rPr>
                  <w:rFonts w:ascii="Arial" w:cs="Arial" w:eastAsia="Arial" w:hAnsi="Arial"/>
                  <w:sz w:val="17"/>
                  <w:szCs w:val="17"/>
                  <w:b w:val="1"/>
                  <w:bCs w:val="1"/>
                  <w:color w:val="0000FF"/>
                </w:rPr>
                <w:t>PART I. FINANCIAL INFORMATION</w:t>
              </w:r>
            </w:hyperlink>
          </w:p>
        </w:tc>
        <w:tc>
          <w:tcPr>
            <w:tcW w:w="7220" w:type="dxa"/>
            <w:vAlign w:val="bottom"/>
            <w:gridSpan w:val="10"/>
          </w:tcPr>
          <w:p>
            <w:pPr>
              <w:spacing w:after="0"/>
              <w:rPr>
                <w:sz w:val="14"/>
                <w:szCs w:val="14"/>
                <w:color w:val="auto"/>
              </w:rPr>
            </w:pPr>
          </w:p>
        </w:tc>
        <w:tc>
          <w:tcPr>
            <w:tcW w:w="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59"/>
        </w:trPr>
        <w:tc>
          <w:tcPr>
            <w:tcW w:w="1320" w:type="dxa"/>
            <w:vAlign w:val="bottom"/>
            <w:gridSpan w:val="2"/>
          </w:tcPr>
          <w:p>
            <w:pPr>
              <w:ind w:left="200"/>
              <w:spacing w:after="0"/>
              <w:rPr>
                <w:sz w:val="20"/>
                <w:szCs w:val="20"/>
                <w:color w:val="auto"/>
              </w:rPr>
            </w:pPr>
            <w:r>
              <w:rPr>
                <w:rFonts w:ascii="Arial" w:cs="Arial" w:eastAsia="Arial" w:hAnsi="Arial"/>
                <w:sz w:val="17"/>
                <w:szCs w:val="17"/>
                <w:color w:val="auto"/>
              </w:rPr>
              <w:t>Item 1.</w:t>
            </w:r>
          </w:p>
        </w:tc>
        <w:tc>
          <w:tcPr>
            <w:tcW w:w="1460" w:type="dxa"/>
            <w:vAlign w:val="bottom"/>
            <w:gridSpan w:val="5"/>
          </w:tcPr>
          <w:p>
            <w:pPr>
              <w:spacing w:after="0"/>
              <w:rPr>
                <w:rFonts w:ascii="Arial" w:cs="Arial" w:eastAsia="Arial" w:hAnsi="Arial"/>
                <w:sz w:val="17"/>
                <w:szCs w:val="17"/>
                <w:color w:val="0000FF"/>
                <w:w w:val="90"/>
              </w:rPr>
            </w:pPr>
            <w:hyperlink w:anchor="page4">
              <w:r>
                <w:rPr>
                  <w:rFonts w:ascii="Arial" w:cs="Arial" w:eastAsia="Arial" w:hAnsi="Arial"/>
                  <w:sz w:val="17"/>
                  <w:szCs w:val="17"/>
                  <w:color w:val="0000FF"/>
                  <w:w w:val="90"/>
                </w:rPr>
                <w:t>Financial Statements</w:t>
              </w:r>
            </w:hyperlink>
          </w:p>
        </w:tc>
        <w:tc>
          <w:tcPr>
            <w:tcW w:w="7460" w:type="dxa"/>
            <w:vAlign w:val="bottom"/>
            <w:gridSpan w:val="11"/>
          </w:tcPr>
          <w:p>
            <w:pPr>
              <w:spacing w:after="0"/>
              <w:rPr>
                <w:sz w:val="24"/>
                <w:szCs w:val="24"/>
                <w:color w:val="auto"/>
              </w:rPr>
            </w:pPr>
          </w:p>
        </w:tc>
        <w:tc>
          <w:tcPr>
            <w:tcW w:w="840" w:type="dxa"/>
            <w:vAlign w:val="bottom"/>
            <w:gridSpan w:val="2"/>
          </w:tcPr>
          <w:p>
            <w:pPr>
              <w:spacing w:after="0"/>
              <w:rPr>
                <w:sz w:val="24"/>
                <w:szCs w:val="24"/>
                <w:color w:val="auto"/>
              </w:rPr>
            </w:pPr>
          </w:p>
        </w:tc>
        <w:tc>
          <w:tcPr>
            <w:tcW w:w="100" w:type="dxa"/>
            <w:vAlign w:val="bottom"/>
            <w:gridSpan w:val="2"/>
          </w:tcPr>
          <w:p>
            <w:pPr>
              <w:jc w:val="right"/>
              <w:ind w:right="20"/>
              <w:spacing w:after="0"/>
              <w:rPr>
                <w:rFonts w:ascii="Arial" w:cs="Arial" w:eastAsia="Arial" w:hAnsi="Arial"/>
                <w:sz w:val="15"/>
                <w:szCs w:val="15"/>
                <w:color w:val="0000FF"/>
                <w:w w:val="71"/>
              </w:rPr>
            </w:pPr>
            <w:hyperlink w:anchor="page4">
              <w:r>
                <w:rPr>
                  <w:rFonts w:ascii="Arial" w:cs="Arial" w:eastAsia="Arial" w:hAnsi="Arial"/>
                  <w:sz w:val="15"/>
                  <w:szCs w:val="15"/>
                  <w:color w:val="0000FF"/>
                  <w:w w:val="71"/>
                </w:rPr>
                <w:t>3</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1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980" w:type="dxa"/>
            <w:vAlign w:val="bottom"/>
            <w:gridSpan w:val="11"/>
          </w:tcPr>
          <w:p>
            <w:pPr>
              <w:spacing w:after="0"/>
              <w:rPr>
                <w:rFonts w:ascii="Arial" w:cs="Arial" w:eastAsia="Arial" w:hAnsi="Arial"/>
                <w:sz w:val="17"/>
                <w:szCs w:val="17"/>
                <w:color w:val="0000FF"/>
                <w:w w:val="91"/>
              </w:rPr>
            </w:pPr>
            <w:hyperlink w:anchor="page4">
              <w:r>
                <w:rPr>
                  <w:rFonts w:ascii="Arial" w:cs="Arial" w:eastAsia="Arial" w:hAnsi="Arial"/>
                  <w:sz w:val="17"/>
                  <w:szCs w:val="17"/>
                  <w:color w:val="0000FF"/>
                  <w:w w:val="91"/>
                </w:rPr>
                <w:t xml:space="preserve">Consolidated Balance Sheets as of June </w:t>
              </w:r>
            </w:hyperlink>
            <w:r>
              <w:rPr>
                <w:rFonts w:ascii="Arial" w:cs="Arial" w:eastAsia="Arial" w:hAnsi="Arial"/>
                <w:sz w:val="17"/>
                <w:szCs w:val="17"/>
                <w:color w:val="0000FF"/>
                <w:w w:val="91"/>
              </w:rPr>
              <w:t xml:space="preserve">30, </w:t>
            </w:r>
            <w:hyperlink w:anchor="page4">
              <w:r>
                <w:rPr>
                  <w:rFonts w:ascii="Arial" w:cs="Arial" w:eastAsia="Arial" w:hAnsi="Arial"/>
                  <w:sz w:val="17"/>
                  <w:szCs w:val="17"/>
                  <w:color w:val="0000FF"/>
                  <w:w w:val="91"/>
                </w:rPr>
                <w:t>2021 (unaudited) and December 31, 2020</w:t>
              </w:r>
            </w:hyperlink>
          </w:p>
        </w:tc>
        <w:tc>
          <w:tcPr>
            <w:tcW w:w="2940" w:type="dxa"/>
            <w:vAlign w:val="bottom"/>
            <w:gridSpan w:val="5"/>
          </w:tcPr>
          <w:p>
            <w:pPr>
              <w:spacing w:after="0"/>
              <w:rPr>
                <w:sz w:val="24"/>
                <w:szCs w:val="24"/>
                <w:color w:val="auto"/>
              </w:rPr>
            </w:pPr>
          </w:p>
        </w:tc>
        <w:tc>
          <w:tcPr>
            <w:tcW w:w="840" w:type="dxa"/>
            <w:vAlign w:val="bottom"/>
            <w:gridSpan w:val="2"/>
          </w:tcPr>
          <w:p>
            <w:pPr>
              <w:spacing w:after="0"/>
              <w:rPr>
                <w:sz w:val="24"/>
                <w:szCs w:val="24"/>
                <w:color w:val="auto"/>
              </w:rPr>
            </w:pPr>
          </w:p>
        </w:tc>
        <w:tc>
          <w:tcPr>
            <w:tcW w:w="100" w:type="dxa"/>
            <w:vAlign w:val="bottom"/>
            <w:gridSpan w:val="2"/>
          </w:tcPr>
          <w:p>
            <w:pPr>
              <w:jc w:val="right"/>
              <w:ind w:right="20"/>
              <w:spacing w:after="0"/>
              <w:rPr>
                <w:rFonts w:ascii="Arial" w:cs="Arial" w:eastAsia="Arial" w:hAnsi="Arial"/>
                <w:sz w:val="15"/>
                <w:szCs w:val="15"/>
                <w:color w:val="0000FF"/>
                <w:w w:val="71"/>
              </w:rPr>
            </w:pPr>
            <w:hyperlink w:anchor="page4">
              <w:r>
                <w:rPr>
                  <w:rFonts w:ascii="Arial" w:cs="Arial" w:eastAsia="Arial" w:hAnsi="Arial"/>
                  <w:sz w:val="15"/>
                  <w:szCs w:val="15"/>
                  <w:color w:val="0000FF"/>
                  <w:w w:val="71"/>
                </w:rPr>
                <w:t>3</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20" w:type="dxa"/>
            <w:vAlign w:val="bottom"/>
            <w:gridSpan w:val="3"/>
            <w:shd w:val="clear" w:color="auto" w:fill="0000FF"/>
          </w:tcPr>
          <w:p>
            <w:pPr>
              <w:spacing w:after="0" w:line="20" w:lineRule="exact"/>
              <w:rPr>
                <w:sz w:val="1"/>
                <w:szCs w:val="1"/>
                <w:color w:val="auto"/>
              </w:rPr>
            </w:pPr>
          </w:p>
        </w:tc>
        <w:tc>
          <w:tcPr>
            <w:tcW w:w="21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760" w:type="dxa"/>
            <w:vAlign w:val="bottom"/>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1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920" w:type="dxa"/>
            <w:vAlign w:val="bottom"/>
            <w:gridSpan w:val="16"/>
          </w:tcPr>
          <w:p>
            <w:pPr>
              <w:spacing w:after="0"/>
              <w:rPr>
                <w:rFonts w:ascii="Arial" w:cs="Arial" w:eastAsia="Arial" w:hAnsi="Arial"/>
                <w:sz w:val="17"/>
                <w:szCs w:val="17"/>
                <w:color w:val="0000FF"/>
              </w:rPr>
            </w:pPr>
            <w:hyperlink w:anchor="page7">
              <w:r>
                <w:rPr>
                  <w:rFonts w:ascii="Arial" w:cs="Arial" w:eastAsia="Arial" w:hAnsi="Arial"/>
                  <w:sz w:val="17"/>
                  <w:szCs w:val="17"/>
                  <w:color w:val="0000FF"/>
                </w:rPr>
                <w:t>Consolidated Statements of Operations for the Three and Six Months Ended June 30, 2021 and 2020 (unaudited)</w:t>
              </w:r>
            </w:hyperlink>
          </w:p>
        </w:tc>
        <w:tc>
          <w:tcPr>
            <w:tcW w:w="940" w:type="dxa"/>
            <w:vAlign w:val="bottom"/>
            <w:gridSpan w:val="4"/>
          </w:tcPr>
          <w:p>
            <w:pPr>
              <w:jc w:val="right"/>
              <w:ind w:right="20"/>
              <w:spacing w:after="0"/>
              <w:rPr>
                <w:rFonts w:ascii="Arial" w:cs="Arial" w:eastAsia="Arial" w:hAnsi="Arial"/>
                <w:sz w:val="17"/>
                <w:szCs w:val="17"/>
                <w:color w:val="0000FF"/>
              </w:rPr>
            </w:pPr>
            <w:hyperlink w:anchor="page4">
              <w:r>
                <w:rPr>
                  <w:rFonts w:ascii="Arial" w:cs="Arial" w:eastAsia="Arial" w:hAnsi="Arial"/>
                  <w:sz w:val="17"/>
                  <w:szCs w:val="17"/>
                  <w:color w:val="0000FF"/>
                </w:rPr>
                <w:t>4</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20" w:type="dxa"/>
            <w:vAlign w:val="bottom"/>
            <w:gridSpan w:val="3"/>
            <w:shd w:val="clear" w:color="auto" w:fill="0000FF"/>
          </w:tcPr>
          <w:p>
            <w:pPr>
              <w:spacing w:after="0" w:line="20" w:lineRule="exact"/>
              <w:rPr>
                <w:sz w:val="1"/>
                <w:szCs w:val="1"/>
                <w:color w:val="auto"/>
              </w:rPr>
            </w:pPr>
          </w:p>
        </w:tc>
        <w:tc>
          <w:tcPr>
            <w:tcW w:w="21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40" w:type="dxa"/>
            <w:vAlign w:val="bottom"/>
            <w:gridSpan w:val="2"/>
            <w:shd w:val="clear" w:color="auto" w:fill="0000FF"/>
          </w:tcPr>
          <w:p>
            <w:pPr>
              <w:spacing w:after="0" w:line="20" w:lineRule="exact"/>
              <w:rPr>
                <w:sz w:val="1"/>
                <w:szCs w:val="1"/>
                <w:color w:val="auto"/>
              </w:rPr>
            </w:pPr>
          </w:p>
        </w:tc>
        <w:tc>
          <w:tcPr>
            <w:tcW w:w="92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1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60" w:type="dxa"/>
            <w:vAlign w:val="bottom"/>
            <w:gridSpan w:val="15"/>
          </w:tcPr>
          <w:p>
            <w:pPr>
              <w:spacing w:after="0"/>
              <w:rPr>
                <w:rFonts w:ascii="Arial" w:cs="Arial" w:eastAsia="Arial" w:hAnsi="Arial"/>
                <w:sz w:val="17"/>
                <w:szCs w:val="17"/>
                <w:color w:val="0000FF"/>
                <w:w w:val="95"/>
              </w:rPr>
            </w:pPr>
            <w:hyperlink w:anchor="page5">
              <w:r>
                <w:rPr>
                  <w:rFonts w:ascii="Arial" w:cs="Arial" w:eastAsia="Arial" w:hAnsi="Arial"/>
                  <w:sz w:val="17"/>
                  <w:szCs w:val="17"/>
                  <w:color w:val="0000FF"/>
                  <w:w w:val="95"/>
                </w:rPr>
                <w:t>Consolidated Statements of Equity for the Three and Six Months Ended June 30, 2021 and 2020 (unaudited)</w:t>
              </w:r>
            </w:hyperlink>
          </w:p>
        </w:tc>
        <w:tc>
          <w:tcPr>
            <w:tcW w:w="1060" w:type="dxa"/>
            <w:vAlign w:val="bottom"/>
          </w:tcPr>
          <w:p>
            <w:pPr>
              <w:spacing w:after="0"/>
              <w:rPr>
                <w:sz w:val="24"/>
                <w:szCs w:val="24"/>
                <w:color w:val="auto"/>
              </w:rPr>
            </w:pPr>
          </w:p>
        </w:tc>
        <w:tc>
          <w:tcPr>
            <w:tcW w:w="840" w:type="dxa"/>
            <w:vAlign w:val="bottom"/>
            <w:gridSpan w:val="2"/>
          </w:tcPr>
          <w:p>
            <w:pPr>
              <w:spacing w:after="0"/>
              <w:rPr>
                <w:sz w:val="24"/>
                <w:szCs w:val="24"/>
                <w:color w:val="auto"/>
              </w:rPr>
            </w:pPr>
          </w:p>
        </w:tc>
        <w:tc>
          <w:tcPr>
            <w:tcW w:w="100" w:type="dxa"/>
            <w:vAlign w:val="bottom"/>
            <w:gridSpan w:val="2"/>
          </w:tcPr>
          <w:p>
            <w:pPr>
              <w:jc w:val="right"/>
              <w:ind w:right="20"/>
              <w:spacing w:after="0"/>
              <w:rPr>
                <w:rFonts w:ascii="Arial" w:cs="Arial" w:eastAsia="Arial" w:hAnsi="Arial"/>
                <w:sz w:val="15"/>
                <w:szCs w:val="15"/>
                <w:color w:val="0000FF"/>
                <w:w w:val="71"/>
              </w:rPr>
            </w:pPr>
            <w:hyperlink w:anchor="page5">
              <w:r>
                <w:rPr>
                  <w:rFonts w:ascii="Arial" w:cs="Arial" w:eastAsia="Arial" w:hAnsi="Arial"/>
                  <w:sz w:val="15"/>
                  <w:szCs w:val="15"/>
                  <w:color w:val="0000FF"/>
                  <w:w w:val="71"/>
                </w:rPr>
                <w:t>5</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20" w:type="dxa"/>
            <w:vAlign w:val="bottom"/>
            <w:gridSpan w:val="3"/>
            <w:shd w:val="clear" w:color="auto" w:fill="0000FF"/>
          </w:tcPr>
          <w:p>
            <w:pPr>
              <w:spacing w:after="0" w:line="20" w:lineRule="exact"/>
              <w:rPr>
                <w:sz w:val="1"/>
                <w:szCs w:val="1"/>
                <w:color w:val="auto"/>
              </w:rPr>
            </w:pPr>
          </w:p>
        </w:tc>
        <w:tc>
          <w:tcPr>
            <w:tcW w:w="21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40" w:type="dxa"/>
            <w:vAlign w:val="bottom"/>
            <w:gridSpan w:val="2"/>
            <w:shd w:val="clear" w:color="auto" w:fill="0000FF"/>
          </w:tcPr>
          <w:p>
            <w:pPr>
              <w:spacing w:after="0" w:line="20" w:lineRule="exact"/>
              <w:rPr>
                <w:sz w:val="1"/>
                <w:szCs w:val="1"/>
                <w:color w:val="auto"/>
              </w:rPr>
            </w:pPr>
          </w:p>
        </w:tc>
        <w:tc>
          <w:tcPr>
            <w:tcW w:w="92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1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180" w:type="dxa"/>
            <w:vAlign w:val="bottom"/>
            <w:gridSpan w:val="13"/>
          </w:tcPr>
          <w:p>
            <w:pPr>
              <w:spacing w:after="0"/>
              <w:rPr>
                <w:rFonts w:ascii="Arial" w:cs="Arial" w:eastAsia="Arial" w:hAnsi="Arial"/>
                <w:sz w:val="17"/>
                <w:szCs w:val="17"/>
                <w:color w:val="0000FF"/>
                <w:w w:val="92"/>
              </w:rPr>
            </w:pPr>
            <w:hyperlink w:anchor="page7">
              <w:r>
                <w:rPr>
                  <w:rFonts w:ascii="Arial" w:cs="Arial" w:eastAsia="Arial" w:hAnsi="Arial"/>
                  <w:sz w:val="17"/>
                  <w:szCs w:val="17"/>
                  <w:color w:val="0000FF"/>
                  <w:w w:val="92"/>
                </w:rPr>
                <w:t>Consolidated Statements of Cash Flows for the Six Months Ended June 30, 2021 and 2020 (unaudited)</w:t>
              </w:r>
            </w:hyperlink>
          </w:p>
        </w:tc>
        <w:tc>
          <w:tcPr>
            <w:tcW w:w="380" w:type="dxa"/>
            <w:vAlign w:val="bottom"/>
          </w:tcPr>
          <w:p>
            <w:pPr>
              <w:spacing w:after="0"/>
              <w:rPr>
                <w:sz w:val="24"/>
                <w:szCs w:val="24"/>
                <w:color w:val="auto"/>
              </w:rPr>
            </w:pPr>
          </w:p>
        </w:tc>
        <w:tc>
          <w:tcPr>
            <w:tcW w:w="1360" w:type="dxa"/>
            <w:vAlign w:val="bottom"/>
            <w:gridSpan w:val="2"/>
          </w:tcPr>
          <w:p>
            <w:pPr>
              <w:spacing w:after="0"/>
              <w:rPr>
                <w:sz w:val="24"/>
                <w:szCs w:val="24"/>
                <w:color w:val="auto"/>
              </w:rPr>
            </w:pPr>
          </w:p>
        </w:tc>
        <w:tc>
          <w:tcPr>
            <w:tcW w:w="840" w:type="dxa"/>
            <w:vAlign w:val="bottom"/>
            <w:gridSpan w:val="2"/>
          </w:tcPr>
          <w:p>
            <w:pPr>
              <w:spacing w:after="0"/>
              <w:rPr>
                <w:sz w:val="24"/>
                <w:szCs w:val="24"/>
                <w:color w:val="auto"/>
              </w:rPr>
            </w:pPr>
          </w:p>
        </w:tc>
        <w:tc>
          <w:tcPr>
            <w:tcW w:w="100" w:type="dxa"/>
            <w:vAlign w:val="bottom"/>
            <w:gridSpan w:val="2"/>
          </w:tcPr>
          <w:p>
            <w:pPr>
              <w:jc w:val="right"/>
              <w:ind w:right="20"/>
              <w:spacing w:after="0"/>
              <w:rPr>
                <w:rFonts w:ascii="Arial" w:cs="Arial" w:eastAsia="Arial" w:hAnsi="Arial"/>
                <w:sz w:val="15"/>
                <w:szCs w:val="15"/>
                <w:color w:val="0000FF"/>
                <w:w w:val="71"/>
              </w:rPr>
            </w:pPr>
            <w:hyperlink w:anchor="page7">
              <w:r>
                <w:rPr>
                  <w:rFonts w:ascii="Arial" w:cs="Arial" w:eastAsia="Arial" w:hAnsi="Arial"/>
                  <w:sz w:val="15"/>
                  <w:szCs w:val="15"/>
                  <w:color w:val="0000FF"/>
                  <w:w w:val="71"/>
                </w:rPr>
                <w:t>7</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20" w:type="dxa"/>
            <w:vAlign w:val="bottom"/>
            <w:gridSpan w:val="3"/>
            <w:shd w:val="clear" w:color="auto" w:fill="0000FF"/>
          </w:tcPr>
          <w:p>
            <w:pPr>
              <w:spacing w:after="0" w:line="20" w:lineRule="exact"/>
              <w:rPr>
                <w:sz w:val="1"/>
                <w:szCs w:val="1"/>
                <w:color w:val="auto"/>
              </w:rPr>
            </w:pPr>
          </w:p>
        </w:tc>
        <w:tc>
          <w:tcPr>
            <w:tcW w:w="21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40" w:type="dxa"/>
            <w:vAlign w:val="bottom"/>
            <w:gridSpan w:val="2"/>
            <w:shd w:val="clear" w:color="auto" w:fill="0000FF"/>
          </w:tcPr>
          <w:p>
            <w:pPr>
              <w:spacing w:after="0" w:line="20" w:lineRule="exact"/>
              <w:rPr>
                <w:sz w:val="1"/>
                <w:szCs w:val="1"/>
                <w:color w:val="auto"/>
              </w:rPr>
            </w:pPr>
          </w:p>
        </w:tc>
        <w:tc>
          <w:tcPr>
            <w:tcW w:w="920" w:type="dxa"/>
            <w:vAlign w:val="bottom"/>
            <w:shd w:val="clear" w:color="auto" w:fill="0000FF"/>
          </w:tcPr>
          <w:p>
            <w:pPr>
              <w:spacing w:after="0" w:line="20" w:lineRule="exact"/>
              <w:rPr>
                <w:sz w:val="1"/>
                <w:szCs w:val="1"/>
                <w:color w:val="auto"/>
              </w:rPr>
            </w:pPr>
          </w:p>
        </w:tc>
        <w:tc>
          <w:tcPr>
            <w:tcW w:w="1740" w:type="dxa"/>
            <w:vAlign w:val="bottom"/>
            <w:gridSpan w:val="3"/>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1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900" w:type="dxa"/>
            <w:vAlign w:val="bottom"/>
            <w:gridSpan w:val="8"/>
          </w:tcPr>
          <w:p>
            <w:pPr>
              <w:spacing w:after="0"/>
              <w:rPr>
                <w:rFonts w:ascii="Arial" w:cs="Arial" w:eastAsia="Arial" w:hAnsi="Arial"/>
                <w:sz w:val="17"/>
                <w:szCs w:val="17"/>
                <w:color w:val="0000FF"/>
                <w:w w:val="92"/>
              </w:rPr>
            </w:pPr>
            <w:hyperlink w:anchor="page8">
              <w:r>
                <w:rPr>
                  <w:rFonts w:ascii="Arial" w:cs="Arial" w:eastAsia="Arial" w:hAnsi="Arial"/>
                  <w:sz w:val="17"/>
                  <w:szCs w:val="17"/>
                  <w:color w:val="0000FF"/>
                  <w:w w:val="92"/>
                </w:rPr>
                <w:t>Notes to Consolidated Financial Statements (unaudited)</w:t>
              </w:r>
            </w:hyperlink>
          </w:p>
        </w:tc>
        <w:tc>
          <w:tcPr>
            <w:tcW w:w="3280" w:type="dxa"/>
            <w:vAlign w:val="bottom"/>
            <w:gridSpan w:val="5"/>
          </w:tcPr>
          <w:p>
            <w:pPr>
              <w:spacing w:after="0"/>
              <w:rPr>
                <w:sz w:val="24"/>
                <w:szCs w:val="24"/>
                <w:color w:val="auto"/>
              </w:rPr>
            </w:pPr>
          </w:p>
        </w:tc>
        <w:tc>
          <w:tcPr>
            <w:tcW w:w="1740" w:type="dxa"/>
            <w:vAlign w:val="bottom"/>
            <w:gridSpan w:val="3"/>
          </w:tcPr>
          <w:p>
            <w:pPr>
              <w:spacing w:after="0"/>
              <w:rPr>
                <w:sz w:val="24"/>
                <w:szCs w:val="24"/>
                <w:color w:val="auto"/>
              </w:rPr>
            </w:pPr>
          </w:p>
        </w:tc>
        <w:tc>
          <w:tcPr>
            <w:tcW w:w="840" w:type="dxa"/>
            <w:vAlign w:val="bottom"/>
            <w:gridSpan w:val="2"/>
          </w:tcPr>
          <w:p>
            <w:pPr>
              <w:spacing w:after="0"/>
              <w:rPr>
                <w:sz w:val="24"/>
                <w:szCs w:val="24"/>
                <w:color w:val="auto"/>
              </w:rPr>
            </w:pPr>
          </w:p>
        </w:tc>
        <w:tc>
          <w:tcPr>
            <w:tcW w:w="100" w:type="dxa"/>
            <w:vAlign w:val="bottom"/>
            <w:gridSpan w:val="2"/>
          </w:tcPr>
          <w:p>
            <w:pPr>
              <w:jc w:val="right"/>
              <w:ind w:right="20"/>
              <w:spacing w:after="0"/>
              <w:rPr>
                <w:rFonts w:ascii="Arial" w:cs="Arial" w:eastAsia="Arial" w:hAnsi="Arial"/>
                <w:sz w:val="15"/>
                <w:szCs w:val="15"/>
                <w:color w:val="0000FF"/>
                <w:w w:val="71"/>
              </w:rPr>
            </w:pPr>
            <w:hyperlink w:anchor="page8">
              <w:r>
                <w:rPr>
                  <w:rFonts w:ascii="Arial" w:cs="Arial" w:eastAsia="Arial" w:hAnsi="Arial"/>
                  <w:sz w:val="15"/>
                  <w:szCs w:val="15"/>
                  <w:color w:val="0000FF"/>
                  <w:w w:val="71"/>
                </w:rPr>
                <w:t>8</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20" w:type="dxa"/>
            <w:vAlign w:val="bottom"/>
            <w:gridSpan w:val="3"/>
            <w:shd w:val="clear" w:color="auto" w:fill="0000FF"/>
          </w:tcPr>
          <w:p>
            <w:pPr>
              <w:spacing w:after="0" w:line="20" w:lineRule="exact"/>
              <w:rPr>
                <w:sz w:val="1"/>
                <w:szCs w:val="1"/>
                <w:color w:val="auto"/>
              </w:rPr>
            </w:pPr>
          </w:p>
        </w:tc>
        <w:tc>
          <w:tcPr>
            <w:tcW w:w="2180" w:type="dxa"/>
            <w:vAlign w:val="bottom"/>
            <w:shd w:val="clear" w:color="auto" w:fill="0000FF"/>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2660" w:type="dxa"/>
            <w:vAlign w:val="bottom"/>
            <w:gridSpan w:val="4"/>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1320" w:type="dxa"/>
            <w:vAlign w:val="bottom"/>
            <w:gridSpan w:val="2"/>
          </w:tcPr>
          <w:p>
            <w:pPr>
              <w:ind w:left="200"/>
              <w:spacing w:after="0"/>
              <w:rPr>
                <w:sz w:val="20"/>
                <w:szCs w:val="20"/>
                <w:color w:val="auto"/>
              </w:rPr>
            </w:pPr>
            <w:r>
              <w:rPr>
                <w:rFonts w:ascii="Arial" w:cs="Arial" w:eastAsia="Arial" w:hAnsi="Arial"/>
                <w:sz w:val="17"/>
                <w:szCs w:val="17"/>
                <w:color w:val="auto"/>
              </w:rPr>
              <w:t>Item 2.</w:t>
            </w:r>
          </w:p>
        </w:tc>
        <w:tc>
          <w:tcPr>
            <w:tcW w:w="6260" w:type="dxa"/>
            <w:vAlign w:val="bottom"/>
            <w:gridSpan w:val="12"/>
          </w:tcPr>
          <w:p>
            <w:pPr>
              <w:spacing w:after="0"/>
              <w:rPr>
                <w:rFonts w:ascii="Arial" w:cs="Arial" w:eastAsia="Arial" w:hAnsi="Arial"/>
                <w:sz w:val="17"/>
                <w:szCs w:val="17"/>
                <w:color w:val="0000FF"/>
                <w:w w:val="93"/>
              </w:rPr>
            </w:pPr>
            <w:hyperlink w:anchor="page26">
              <w:r>
                <w:rPr>
                  <w:rFonts w:ascii="Arial" w:cs="Arial" w:eastAsia="Arial" w:hAnsi="Arial"/>
                  <w:sz w:val="17"/>
                  <w:szCs w:val="17"/>
                  <w:color w:val="0000FF"/>
                  <w:w w:val="93"/>
                </w:rPr>
                <w:t>Management’s Discussion and Analysis of Financial Condition and Results of Operations</w:t>
              </w:r>
            </w:hyperlink>
          </w:p>
        </w:tc>
        <w:tc>
          <w:tcPr>
            <w:tcW w:w="2660" w:type="dxa"/>
            <w:vAlign w:val="bottom"/>
            <w:gridSpan w:val="4"/>
          </w:tcPr>
          <w:p>
            <w:pPr>
              <w:spacing w:after="0"/>
              <w:rPr>
                <w:sz w:val="24"/>
                <w:szCs w:val="24"/>
                <w:color w:val="auto"/>
              </w:rPr>
            </w:pPr>
          </w:p>
        </w:tc>
        <w:tc>
          <w:tcPr>
            <w:tcW w:w="940" w:type="dxa"/>
            <w:vAlign w:val="bottom"/>
            <w:gridSpan w:val="4"/>
          </w:tcPr>
          <w:p>
            <w:pPr>
              <w:jc w:val="right"/>
              <w:ind w:right="20"/>
              <w:spacing w:after="0"/>
              <w:rPr>
                <w:rFonts w:ascii="Arial" w:cs="Arial" w:eastAsia="Arial" w:hAnsi="Arial"/>
                <w:sz w:val="17"/>
                <w:szCs w:val="17"/>
                <w:color w:val="0000FF"/>
              </w:rPr>
            </w:pPr>
            <w:hyperlink w:anchor="page26">
              <w:r>
                <w:rPr>
                  <w:rFonts w:ascii="Arial" w:cs="Arial" w:eastAsia="Arial" w:hAnsi="Arial"/>
                  <w:sz w:val="17"/>
                  <w:szCs w:val="17"/>
                  <w:color w:val="0000FF"/>
                </w:rPr>
                <w:t>26</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20" w:type="dxa"/>
            <w:vAlign w:val="bottom"/>
            <w:gridSpan w:val="3"/>
            <w:shd w:val="clear" w:color="auto" w:fill="0000FF"/>
          </w:tcPr>
          <w:p>
            <w:pPr>
              <w:spacing w:after="0" w:line="20" w:lineRule="exact"/>
              <w:rPr>
                <w:sz w:val="1"/>
                <w:szCs w:val="1"/>
                <w:color w:val="auto"/>
              </w:rPr>
            </w:pPr>
          </w:p>
        </w:tc>
        <w:tc>
          <w:tcPr>
            <w:tcW w:w="248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40" w:type="dxa"/>
            <w:vAlign w:val="bottom"/>
            <w:gridSpan w:val="2"/>
            <w:shd w:val="clear" w:color="auto" w:fill="0000FF"/>
          </w:tcPr>
          <w:p>
            <w:pPr>
              <w:spacing w:after="0" w:line="20" w:lineRule="exact"/>
              <w:rPr>
                <w:sz w:val="1"/>
                <w:szCs w:val="1"/>
                <w:color w:val="auto"/>
              </w:rPr>
            </w:pPr>
          </w:p>
        </w:tc>
        <w:tc>
          <w:tcPr>
            <w:tcW w:w="2660" w:type="dxa"/>
            <w:vAlign w:val="bottom"/>
            <w:gridSpan w:val="4"/>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1320" w:type="dxa"/>
            <w:vAlign w:val="bottom"/>
            <w:gridSpan w:val="2"/>
          </w:tcPr>
          <w:p>
            <w:pPr>
              <w:ind w:left="200"/>
              <w:spacing w:after="0"/>
              <w:rPr>
                <w:sz w:val="20"/>
                <w:szCs w:val="20"/>
                <w:color w:val="auto"/>
              </w:rPr>
            </w:pPr>
            <w:r>
              <w:rPr>
                <w:rFonts w:ascii="Arial" w:cs="Arial" w:eastAsia="Arial" w:hAnsi="Arial"/>
                <w:sz w:val="17"/>
                <w:szCs w:val="17"/>
                <w:color w:val="auto"/>
              </w:rPr>
              <w:t>Item 3.</w:t>
            </w:r>
          </w:p>
        </w:tc>
        <w:tc>
          <w:tcPr>
            <w:tcW w:w="6260" w:type="dxa"/>
            <w:vAlign w:val="bottom"/>
            <w:gridSpan w:val="12"/>
          </w:tcPr>
          <w:p>
            <w:pPr>
              <w:spacing w:after="0"/>
              <w:rPr>
                <w:rFonts w:ascii="Arial" w:cs="Arial" w:eastAsia="Arial" w:hAnsi="Arial"/>
                <w:sz w:val="17"/>
                <w:szCs w:val="17"/>
                <w:color w:val="0000FF"/>
              </w:rPr>
            </w:pPr>
            <w:hyperlink w:anchor="page41">
              <w:r>
                <w:rPr>
                  <w:rFonts w:ascii="Arial" w:cs="Arial" w:eastAsia="Arial" w:hAnsi="Arial"/>
                  <w:sz w:val="17"/>
                  <w:szCs w:val="17"/>
                  <w:color w:val="0000FF"/>
                </w:rPr>
                <w:t>Quantitative and Qualitative Disclosures About Market Risk</w:t>
              </w:r>
            </w:hyperlink>
          </w:p>
        </w:tc>
        <w:tc>
          <w:tcPr>
            <w:tcW w:w="2660" w:type="dxa"/>
            <w:vAlign w:val="bottom"/>
            <w:gridSpan w:val="4"/>
          </w:tcPr>
          <w:p>
            <w:pPr>
              <w:spacing w:after="0"/>
              <w:rPr>
                <w:sz w:val="24"/>
                <w:szCs w:val="24"/>
                <w:color w:val="auto"/>
              </w:rPr>
            </w:pPr>
          </w:p>
        </w:tc>
        <w:tc>
          <w:tcPr>
            <w:tcW w:w="940" w:type="dxa"/>
            <w:vAlign w:val="bottom"/>
            <w:gridSpan w:val="4"/>
          </w:tcPr>
          <w:p>
            <w:pPr>
              <w:jc w:val="right"/>
              <w:ind w:right="20"/>
              <w:spacing w:after="0"/>
              <w:rPr>
                <w:rFonts w:ascii="Arial" w:cs="Arial" w:eastAsia="Arial" w:hAnsi="Arial"/>
                <w:sz w:val="17"/>
                <w:szCs w:val="17"/>
                <w:color w:val="0000FF"/>
              </w:rPr>
            </w:pPr>
            <w:hyperlink w:anchor="page41">
              <w:r>
                <w:rPr>
                  <w:rFonts w:ascii="Arial" w:cs="Arial" w:eastAsia="Arial" w:hAnsi="Arial"/>
                  <w:sz w:val="17"/>
                  <w:szCs w:val="17"/>
                  <w:color w:val="0000FF"/>
                </w:rPr>
                <w:t>40</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20" w:type="dxa"/>
            <w:vAlign w:val="bottom"/>
            <w:gridSpan w:val="3"/>
            <w:shd w:val="clear" w:color="auto" w:fill="0000FF"/>
          </w:tcPr>
          <w:p>
            <w:pPr>
              <w:spacing w:after="0" w:line="20" w:lineRule="exact"/>
              <w:rPr>
                <w:sz w:val="1"/>
                <w:szCs w:val="1"/>
                <w:color w:val="auto"/>
              </w:rPr>
            </w:pPr>
          </w:p>
        </w:tc>
        <w:tc>
          <w:tcPr>
            <w:tcW w:w="2480" w:type="dxa"/>
            <w:vAlign w:val="bottom"/>
            <w:gridSpan w:val="2"/>
            <w:shd w:val="clear" w:color="auto" w:fill="0000FF"/>
          </w:tcPr>
          <w:p>
            <w:pPr>
              <w:spacing w:after="0" w:line="20" w:lineRule="exact"/>
              <w:rPr>
                <w:sz w:val="1"/>
                <w:szCs w:val="1"/>
                <w:color w:val="auto"/>
              </w:rPr>
            </w:pPr>
          </w:p>
        </w:tc>
        <w:tc>
          <w:tcPr>
            <w:tcW w:w="4720" w:type="dxa"/>
            <w:vAlign w:val="bottom"/>
            <w:gridSpan w:val="7"/>
            <w:shd w:val="clear" w:color="auto" w:fill="0000FF"/>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1320" w:type="dxa"/>
            <w:vAlign w:val="bottom"/>
            <w:gridSpan w:val="2"/>
          </w:tcPr>
          <w:p>
            <w:pPr>
              <w:ind w:left="200"/>
              <w:spacing w:after="0"/>
              <w:rPr>
                <w:sz w:val="20"/>
                <w:szCs w:val="20"/>
                <w:color w:val="auto"/>
              </w:rPr>
            </w:pPr>
            <w:r>
              <w:rPr>
                <w:rFonts w:ascii="Arial" w:cs="Arial" w:eastAsia="Arial" w:hAnsi="Arial"/>
                <w:sz w:val="17"/>
                <w:szCs w:val="17"/>
                <w:color w:val="auto"/>
              </w:rPr>
              <w:t>Item 4.</w:t>
            </w:r>
          </w:p>
        </w:tc>
        <w:tc>
          <w:tcPr>
            <w:tcW w:w="1720" w:type="dxa"/>
            <w:vAlign w:val="bottom"/>
            <w:gridSpan w:val="7"/>
          </w:tcPr>
          <w:p>
            <w:pPr>
              <w:spacing w:after="0"/>
              <w:rPr>
                <w:rFonts w:ascii="Arial" w:cs="Arial" w:eastAsia="Arial" w:hAnsi="Arial"/>
                <w:sz w:val="17"/>
                <w:szCs w:val="17"/>
                <w:color w:val="0000FF"/>
                <w:w w:val="90"/>
              </w:rPr>
            </w:pPr>
            <w:hyperlink w:anchor="page41">
              <w:r>
                <w:rPr>
                  <w:rFonts w:ascii="Arial" w:cs="Arial" w:eastAsia="Arial" w:hAnsi="Arial"/>
                  <w:sz w:val="17"/>
                  <w:szCs w:val="17"/>
                  <w:color w:val="0000FF"/>
                  <w:w w:val="90"/>
                </w:rPr>
                <w:t>Controls and Procedures</w:t>
              </w:r>
            </w:hyperlink>
          </w:p>
        </w:tc>
        <w:tc>
          <w:tcPr>
            <w:tcW w:w="7200" w:type="dxa"/>
            <w:vAlign w:val="bottom"/>
            <w:gridSpan w:val="9"/>
          </w:tcPr>
          <w:p>
            <w:pPr>
              <w:spacing w:after="0"/>
              <w:rPr>
                <w:sz w:val="24"/>
                <w:szCs w:val="24"/>
                <w:color w:val="auto"/>
              </w:rPr>
            </w:pPr>
          </w:p>
        </w:tc>
        <w:tc>
          <w:tcPr>
            <w:tcW w:w="940" w:type="dxa"/>
            <w:vAlign w:val="bottom"/>
            <w:gridSpan w:val="4"/>
          </w:tcPr>
          <w:p>
            <w:pPr>
              <w:jc w:val="right"/>
              <w:ind w:right="20"/>
              <w:spacing w:after="0"/>
              <w:rPr>
                <w:rFonts w:ascii="Arial" w:cs="Arial" w:eastAsia="Arial" w:hAnsi="Arial"/>
                <w:sz w:val="17"/>
                <w:szCs w:val="17"/>
                <w:color w:val="0000FF"/>
              </w:rPr>
            </w:pPr>
            <w:hyperlink w:anchor="page41">
              <w:r>
                <w:rPr>
                  <w:rFonts w:ascii="Arial" w:cs="Arial" w:eastAsia="Arial" w:hAnsi="Arial"/>
                  <w:sz w:val="17"/>
                  <w:szCs w:val="17"/>
                  <w:color w:val="0000FF"/>
                </w:rPr>
                <w:t>40</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20" w:type="dxa"/>
            <w:vAlign w:val="bottom"/>
            <w:gridSpan w:val="3"/>
            <w:shd w:val="clear" w:color="auto" w:fill="0000FF"/>
          </w:tcPr>
          <w:p>
            <w:pPr>
              <w:spacing w:after="0" w:line="20" w:lineRule="exact"/>
              <w:rPr>
                <w:sz w:val="1"/>
                <w:szCs w:val="1"/>
                <w:color w:val="auto"/>
              </w:rPr>
            </w:pPr>
          </w:p>
        </w:tc>
        <w:tc>
          <w:tcPr>
            <w:tcW w:w="2480" w:type="dxa"/>
            <w:vAlign w:val="bottom"/>
            <w:gridSpan w:val="2"/>
          </w:tcPr>
          <w:p>
            <w:pPr>
              <w:spacing w:after="0" w:line="20" w:lineRule="exact"/>
              <w:rPr>
                <w:sz w:val="1"/>
                <w:szCs w:val="1"/>
                <w:color w:val="auto"/>
              </w:rPr>
            </w:pPr>
          </w:p>
        </w:tc>
        <w:tc>
          <w:tcPr>
            <w:tcW w:w="4720" w:type="dxa"/>
            <w:vAlign w:val="bottom"/>
            <w:gridSpan w:val="7"/>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600" w:type="dxa"/>
            <w:vAlign w:val="bottom"/>
            <w:tcBorders>
              <w:bottom w:val="single" w:sz="8" w:color="0000FF"/>
            </w:tcBorders>
            <w:gridSpan w:val="5"/>
          </w:tcPr>
          <w:p>
            <w:pPr>
              <w:spacing w:after="0"/>
              <w:rPr>
                <w:rFonts w:ascii="Arial" w:cs="Arial" w:eastAsia="Arial" w:hAnsi="Arial"/>
                <w:sz w:val="17"/>
                <w:szCs w:val="17"/>
                <w:b w:val="1"/>
                <w:bCs w:val="1"/>
                <w:color w:val="0000FF"/>
              </w:rPr>
            </w:pPr>
            <w:hyperlink w:anchor="page42">
              <w:r>
                <w:rPr>
                  <w:rFonts w:ascii="Arial" w:cs="Arial" w:eastAsia="Arial" w:hAnsi="Arial"/>
                  <w:sz w:val="17"/>
                  <w:szCs w:val="17"/>
                  <w:b w:val="1"/>
                  <w:bCs w:val="1"/>
                  <w:color w:val="0000FF"/>
                </w:rPr>
                <w:t>Part II. OTHER INFORMATION</w:t>
              </w:r>
            </w:hyperlink>
          </w:p>
        </w:tc>
        <w:tc>
          <w:tcPr>
            <w:tcW w:w="7640" w:type="dxa"/>
            <w:vAlign w:val="bottom"/>
            <w:gridSpan w:val="13"/>
          </w:tcPr>
          <w:p>
            <w:pPr>
              <w:spacing w:after="0"/>
              <w:rPr>
                <w:sz w:val="24"/>
                <w:szCs w:val="24"/>
                <w:color w:val="auto"/>
              </w:rPr>
            </w:pPr>
          </w:p>
        </w:tc>
        <w:tc>
          <w:tcPr>
            <w:tcW w:w="7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9"/>
        </w:trPr>
        <w:tc>
          <w:tcPr>
            <w:tcW w:w="1320" w:type="dxa"/>
            <w:vAlign w:val="bottom"/>
            <w:gridSpan w:val="2"/>
          </w:tcPr>
          <w:p>
            <w:pPr>
              <w:ind w:left="200"/>
              <w:spacing w:after="0"/>
              <w:rPr>
                <w:sz w:val="20"/>
                <w:szCs w:val="20"/>
                <w:color w:val="auto"/>
              </w:rPr>
            </w:pPr>
            <w:r>
              <w:rPr>
                <w:rFonts w:ascii="Arial" w:cs="Arial" w:eastAsia="Arial" w:hAnsi="Arial"/>
                <w:sz w:val="17"/>
                <w:szCs w:val="17"/>
                <w:color w:val="auto"/>
              </w:rPr>
              <w:t>Item 1.</w:t>
            </w:r>
          </w:p>
        </w:tc>
        <w:tc>
          <w:tcPr>
            <w:tcW w:w="1300" w:type="dxa"/>
            <w:vAlign w:val="bottom"/>
            <w:gridSpan w:val="4"/>
          </w:tcPr>
          <w:p>
            <w:pPr>
              <w:spacing w:after="0"/>
              <w:rPr>
                <w:rFonts w:ascii="Arial" w:cs="Arial" w:eastAsia="Arial" w:hAnsi="Arial"/>
                <w:sz w:val="17"/>
                <w:szCs w:val="17"/>
                <w:color w:val="0000FF"/>
                <w:w w:val="90"/>
              </w:rPr>
            </w:pPr>
            <w:hyperlink w:anchor="page43">
              <w:r>
                <w:rPr>
                  <w:rFonts w:ascii="Arial" w:cs="Arial" w:eastAsia="Arial" w:hAnsi="Arial"/>
                  <w:sz w:val="17"/>
                  <w:szCs w:val="17"/>
                  <w:color w:val="0000FF"/>
                  <w:w w:val="90"/>
                </w:rPr>
                <w:t>Legal Proceedings</w:t>
              </w:r>
            </w:hyperlink>
          </w:p>
        </w:tc>
        <w:tc>
          <w:tcPr>
            <w:tcW w:w="7620" w:type="dxa"/>
            <w:vAlign w:val="bottom"/>
            <w:gridSpan w:val="12"/>
          </w:tcPr>
          <w:p>
            <w:pPr>
              <w:spacing w:after="0"/>
              <w:rPr>
                <w:sz w:val="24"/>
                <w:szCs w:val="24"/>
                <w:color w:val="auto"/>
              </w:rPr>
            </w:pPr>
          </w:p>
        </w:tc>
        <w:tc>
          <w:tcPr>
            <w:tcW w:w="940" w:type="dxa"/>
            <w:vAlign w:val="bottom"/>
            <w:gridSpan w:val="4"/>
          </w:tcPr>
          <w:p>
            <w:pPr>
              <w:jc w:val="right"/>
              <w:ind w:right="20"/>
              <w:spacing w:after="0"/>
              <w:rPr>
                <w:rFonts w:ascii="Arial" w:cs="Arial" w:eastAsia="Arial" w:hAnsi="Arial"/>
                <w:sz w:val="17"/>
                <w:szCs w:val="17"/>
                <w:color w:val="0000FF"/>
              </w:rPr>
            </w:pPr>
            <w:hyperlink w:anchor="page43">
              <w:r>
                <w:rPr>
                  <w:rFonts w:ascii="Arial" w:cs="Arial" w:eastAsia="Arial" w:hAnsi="Arial"/>
                  <w:sz w:val="17"/>
                  <w:szCs w:val="17"/>
                  <w:color w:val="0000FF"/>
                </w:rPr>
                <w:t>42</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2900" w:type="dxa"/>
            <w:vAlign w:val="bottom"/>
            <w:gridSpan w:val="5"/>
          </w:tcPr>
          <w:p>
            <w:pPr>
              <w:spacing w:after="0" w:line="20" w:lineRule="exact"/>
              <w:rPr>
                <w:sz w:val="1"/>
                <w:szCs w:val="1"/>
                <w:color w:val="auto"/>
              </w:rPr>
            </w:pPr>
          </w:p>
        </w:tc>
        <w:tc>
          <w:tcPr>
            <w:tcW w:w="4720" w:type="dxa"/>
            <w:vAlign w:val="bottom"/>
            <w:gridSpan w:val="7"/>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1320" w:type="dxa"/>
            <w:vAlign w:val="bottom"/>
            <w:gridSpan w:val="2"/>
          </w:tcPr>
          <w:p>
            <w:pPr>
              <w:ind w:left="200"/>
              <w:spacing w:after="0"/>
              <w:rPr>
                <w:sz w:val="20"/>
                <w:szCs w:val="20"/>
                <w:color w:val="auto"/>
              </w:rPr>
            </w:pPr>
            <w:r>
              <w:rPr>
                <w:rFonts w:ascii="Arial" w:cs="Arial" w:eastAsia="Arial" w:hAnsi="Arial"/>
                <w:sz w:val="17"/>
                <w:szCs w:val="17"/>
                <w:color w:val="auto"/>
              </w:rPr>
              <w:t>Item 1A.</w:t>
            </w:r>
          </w:p>
        </w:tc>
        <w:tc>
          <w:tcPr>
            <w:tcW w:w="880" w:type="dxa"/>
            <w:vAlign w:val="bottom"/>
            <w:gridSpan w:val="2"/>
          </w:tcPr>
          <w:p>
            <w:pPr>
              <w:spacing w:after="0"/>
              <w:rPr>
                <w:rFonts w:ascii="Arial" w:cs="Arial" w:eastAsia="Arial" w:hAnsi="Arial"/>
                <w:sz w:val="17"/>
                <w:szCs w:val="17"/>
                <w:color w:val="0000FF"/>
                <w:w w:val="90"/>
              </w:rPr>
            </w:pPr>
            <w:hyperlink w:anchor="page43">
              <w:r>
                <w:rPr>
                  <w:rFonts w:ascii="Arial" w:cs="Arial" w:eastAsia="Arial" w:hAnsi="Arial"/>
                  <w:sz w:val="17"/>
                  <w:szCs w:val="17"/>
                  <w:color w:val="0000FF"/>
                  <w:w w:val="90"/>
                </w:rPr>
                <w:t>Risk Factors</w:t>
              </w:r>
            </w:hyperlink>
          </w:p>
        </w:tc>
        <w:tc>
          <w:tcPr>
            <w:tcW w:w="420" w:type="dxa"/>
            <w:vAlign w:val="bottom"/>
            <w:gridSpan w:val="2"/>
          </w:tcPr>
          <w:p>
            <w:pPr>
              <w:spacing w:after="0"/>
              <w:rPr>
                <w:sz w:val="24"/>
                <w:szCs w:val="24"/>
                <w:color w:val="auto"/>
              </w:rPr>
            </w:pPr>
          </w:p>
        </w:tc>
        <w:tc>
          <w:tcPr>
            <w:tcW w:w="7620" w:type="dxa"/>
            <w:vAlign w:val="bottom"/>
            <w:gridSpan w:val="12"/>
          </w:tcPr>
          <w:p>
            <w:pPr>
              <w:spacing w:after="0"/>
              <w:rPr>
                <w:sz w:val="24"/>
                <w:szCs w:val="24"/>
                <w:color w:val="auto"/>
              </w:rPr>
            </w:pPr>
          </w:p>
        </w:tc>
        <w:tc>
          <w:tcPr>
            <w:tcW w:w="940" w:type="dxa"/>
            <w:vAlign w:val="bottom"/>
            <w:gridSpan w:val="4"/>
          </w:tcPr>
          <w:p>
            <w:pPr>
              <w:jc w:val="right"/>
              <w:ind w:right="20"/>
              <w:spacing w:after="0"/>
              <w:rPr>
                <w:rFonts w:ascii="Arial" w:cs="Arial" w:eastAsia="Arial" w:hAnsi="Arial"/>
                <w:sz w:val="17"/>
                <w:szCs w:val="17"/>
                <w:color w:val="0000FF"/>
              </w:rPr>
            </w:pPr>
            <w:hyperlink w:anchor="page43">
              <w:r>
                <w:rPr>
                  <w:rFonts w:ascii="Arial" w:cs="Arial" w:eastAsia="Arial" w:hAnsi="Arial"/>
                  <w:sz w:val="17"/>
                  <w:szCs w:val="17"/>
                  <w:color w:val="0000FF"/>
                </w:rPr>
                <w:t>42</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3320" w:type="dxa"/>
            <w:vAlign w:val="bottom"/>
            <w:gridSpan w:val="7"/>
          </w:tcPr>
          <w:p>
            <w:pPr>
              <w:spacing w:after="0" w:line="20" w:lineRule="exact"/>
              <w:rPr>
                <w:sz w:val="1"/>
                <w:szCs w:val="1"/>
                <w:color w:val="auto"/>
              </w:rPr>
            </w:pPr>
          </w:p>
        </w:tc>
        <w:tc>
          <w:tcPr>
            <w:tcW w:w="4720" w:type="dxa"/>
            <w:vAlign w:val="bottom"/>
            <w:gridSpan w:val="7"/>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1320" w:type="dxa"/>
            <w:vAlign w:val="bottom"/>
            <w:gridSpan w:val="2"/>
          </w:tcPr>
          <w:p>
            <w:pPr>
              <w:ind w:left="200"/>
              <w:spacing w:after="0"/>
              <w:rPr>
                <w:sz w:val="20"/>
                <w:szCs w:val="20"/>
                <w:color w:val="auto"/>
              </w:rPr>
            </w:pPr>
            <w:r>
              <w:rPr>
                <w:rFonts w:ascii="Arial" w:cs="Arial" w:eastAsia="Arial" w:hAnsi="Arial"/>
                <w:sz w:val="17"/>
                <w:szCs w:val="17"/>
                <w:color w:val="auto"/>
              </w:rPr>
              <w:t>Item 2.</w:t>
            </w:r>
          </w:p>
        </w:tc>
        <w:tc>
          <w:tcPr>
            <w:tcW w:w="8920" w:type="dxa"/>
            <w:vAlign w:val="bottom"/>
            <w:gridSpan w:val="16"/>
          </w:tcPr>
          <w:p>
            <w:pPr>
              <w:spacing w:after="0"/>
              <w:rPr>
                <w:rFonts w:ascii="Arial" w:cs="Arial" w:eastAsia="Arial" w:hAnsi="Arial"/>
                <w:sz w:val="17"/>
                <w:szCs w:val="17"/>
                <w:color w:val="0000FF"/>
              </w:rPr>
            </w:pPr>
            <w:hyperlink w:anchor="page43">
              <w:r>
                <w:rPr>
                  <w:rFonts w:ascii="Arial" w:cs="Arial" w:eastAsia="Arial" w:hAnsi="Arial"/>
                  <w:sz w:val="17"/>
                  <w:szCs w:val="17"/>
                  <w:color w:val="0000FF"/>
                </w:rPr>
                <w:t>Unregistered Sales of Equity Securities and Use of Proceeds</w:t>
              </w:r>
            </w:hyperlink>
          </w:p>
        </w:tc>
        <w:tc>
          <w:tcPr>
            <w:tcW w:w="940" w:type="dxa"/>
            <w:vAlign w:val="bottom"/>
            <w:gridSpan w:val="4"/>
          </w:tcPr>
          <w:p>
            <w:pPr>
              <w:jc w:val="right"/>
              <w:ind w:right="20"/>
              <w:spacing w:after="0"/>
              <w:rPr>
                <w:rFonts w:ascii="Arial" w:cs="Arial" w:eastAsia="Arial" w:hAnsi="Arial"/>
                <w:sz w:val="17"/>
                <w:szCs w:val="17"/>
                <w:color w:val="0000FF"/>
              </w:rPr>
            </w:pPr>
            <w:hyperlink w:anchor="page43">
              <w:r>
                <w:rPr>
                  <w:rFonts w:ascii="Arial" w:cs="Arial" w:eastAsia="Arial" w:hAnsi="Arial"/>
                  <w:sz w:val="17"/>
                  <w:szCs w:val="17"/>
                  <w:color w:val="0000FF"/>
                </w:rPr>
                <w:t>42</w:t>
              </w:r>
            </w:hyperlink>
          </w:p>
        </w:tc>
        <w:tc>
          <w:tcPr>
            <w:tcW w:w="0" w:type="dxa"/>
            <w:vAlign w:val="bottom"/>
          </w:tcPr>
          <w:p>
            <w:pPr>
              <w:spacing w:after="0"/>
              <w:rPr>
                <w:sz w:val="1"/>
                <w:szCs w:val="1"/>
                <w:color w:val="auto"/>
              </w:rPr>
            </w:pPr>
          </w:p>
        </w:tc>
      </w:tr>
      <w:tr>
        <w:trPr>
          <w:trHeight w:val="20"/>
        </w:trPr>
        <w:tc>
          <w:tcPr>
            <w:tcW w:w="1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3620" w:type="dxa"/>
            <w:vAlign w:val="bottom"/>
            <w:gridSpan w:val="8"/>
            <w:shd w:val="clear" w:color="auto" w:fill="0000FF"/>
          </w:tcPr>
          <w:p>
            <w:pPr>
              <w:spacing w:after="0" w:line="20" w:lineRule="exact"/>
              <w:rPr>
                <w:sz w:val="1"/>
                <w:szCs w:val="1"/>
                <w:color w:val="auto"/>
              </w:rPr>
            </w:pPr>
          </w:p>
        </w:tc>
        <w:tc>
          <w:tcPr>
            <w:tcW w:w="4720" w:type="dxa"/>
            <w:vAlign w:val="bottom"/>
            <w:gridSpan w:val="7"/>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1320" w:type="dxa"/>
            <w:vAlign w:val="bottom"/>
            <w:gridSpan w:val="2"/>
          </w:tcPr>
          <w:p>
            <w:pPr>
              <w:ind w:left="200"/>
              <w:spacing w:after="0"/>
              <w:rPr>
                <w:sz w:val="20"/>
                <w:szCs w:val="20"/>
                <w:color w:val="auto"/>
              </w:rPr>
            </w:pPr>
            <w:r>
              <w:rPr>
                <w:rFonts w:ascii="Arial" w:cs="Arial" w:eastAsia="Arial" w:hAnsi="Arial"/>
                <w:sz w:val="17"/>
                <w:szCs w:val="17"/>
                <w:color w:val="auto"/>
              </w:rPr>
              <w:t>Item 6.</w:t>
            </w:r>
          </w:p>
        </w:tc>
        <w:tc>
          <w:tcPr>
            <w:tcW w:w="4200" w:type="dxa"/>
            <w:vAlign w:val="bottom"/>
            <w:gridSpan w:val="9"/>
          </w:tcPr>
          <w:p>
            <w:pPr>
              <w:spacing w:after="0"/>
              <w:rPr>
                <w:rFonts w:ascii="Arial" w:cs="Arial" w:eastAsia="Arial" w:hAnsi="Arial"/>
                <w:sz w:val="17"/>
                <w:szCs w:val="17"/>
                <w:color w:val="0000FF"/>
              </w:rPr>
            </w:pPr>
            <w:hyperlink w:anchor="page43">
              <w:r>
                <w:rPr>
                  <w:rFonts w:ascii="Arial" w:cs="Arial" w:eastAsia="Arial" w:hAnsi="Arial"/>
                  <w:sz w:val="17"/>
                  <w:szCs w:val="17"/>
                  <w:color w:val="0000FF"/>
                </w:rPr>
                <w:t>Exhibits</w:t>
              </w:r>
            </w:hyperlink>
          </w:p>
        </w:tc>
        <w:tc>
          <w:tcPr>
            <w:tcW w:w="4720" w:type="dxa"/>
            <w:vAlign w:val="bottom"/>
            <w:gridSpan w:val="7"/>
          </w:tcPr>
          <w:p>
            <w:pPr>
              <w:spacing w:after="0"/>
              <w:rPr>
                <w:sz w:val="24"/>
                <w:szCs w:val="24"/>
                <w:color w:val="auto"/>
              </w:rPr>
            </w:pPr>
          </w:p>
        </w:tc>
        <w:tc>
          <w:tcPr>
            <w:tcW w:w="940" w:type="dxa"/>
            <w:vAlign w:val="bottom"/>
            <w:gridSpan w:val="4"/>
          </w:tcPr>
          <w:p>
            <w:pPr>
              <w:jc w:val="right"/>
              <w:ind w:right="20"/>
              <w:spacing w:after="0"/>
              <w:rPr>
                <w:rFonts w:ascii="Arial" w:cs="Arial" w:eastAsia="Arial" w:hAnsi="Arial"/>
                <w:sz w:val="17"/>
                <w:szCs w:val="17"/>
                <w:color w:val="0000FF"/>
              </w:rPr>
            </w:pPr>
            <w:hyperlink w:anchor="page43">
              <w:r>
                <w:rPr>
                  <w:rFonts w:ascii="Arial" w:cs="Arial" w:eastAsia="Arial" w:hAnsi="Arial"/>
                  <w:sz w:val="17"/>
                  <w:szCs w:val="17"/>
                  <w:color w:val="0000FF"/>
                </w:rPr>
                <w:t>43</w:t>
              </w:r>
            </w:hyperlink>
          </w:p>
        </w:tc>
        <w:tc>
          <w:tcPr>
            <w:tcW w:w="0" w:type="dxa"/>
            <w:vAlign w:val="bottom"/>
          </w:tcPr>
          <w:p>
            <w:pPr>
              <w:spacing w:after="0"/>
              <w:rPr>
                <w:sz w:val="1"/>
                <w:szCs w:val="1"/>
                <w:color w:val="auto"/>
              </w:rPr>
            </w:pPr>
          </w:p>
        </w:tc>
      </w:tr>
      <w:tr>
        <w:trPr>
          <w:trHeight w:val="20"/>
        </w:trPr>
        <w:tc>
          <w:tcPr>
            <w:tcW w:w="1320" w:type="dxa"/>
            <w:vAlign w:val="bottom"/>
            <w:gridSpan w:val="2"/>
            <w:vMerge w:val="restart"/>
          </w:tcPr>
          <w:p>
            <w:pPr>
              <w:spacing w:after="0"/>
              <w:rPr>
                <w:rFonts w:ascii="Arial" w:cs="Arial" w:eastAsia="Arial" w:hAnsi="Arial"/>
                <w:sz w:val="17"/>
                <w:szCs w:val="17"/>
                <w:b w:val="1"/>
                <w:bCs w:val="1"/>
                <w:color w:val="0000FF"/>
              </w:rPr>
            </w:pPr>
            <w:hyperlink w:anchor="page44">
              <w:r>
                <w:rPr>
                  <w:rFonts w:ascii="Arial" w:cs="Arial" w:eastAsia="Arial" w:hAnsi="Arial"/>
                  <w:sz w:val="17"/>
                  <w:szCs w:val="17"/>
                  <w:b w:val="1"/>
                  <w:bCs w:val="1"/>
                  <w:color w:val="0000FF"/>
                </w:rPr>
                <w:t>SIGNATURES</w:t>
              </w:r>
            </w:hyperlink>
          </w:p>
        </w:tc>
        <w:tc>
          <w:tcPr>
            <w:tcW w:w="580" w:type="dxa"/>
            <w:vAlign w:val="bottom"/>
            <w:shd w:val="clear" w:color="auto" w:fill="0000FF"/>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1320" w:type="dxa"/>
            <w:vAlign w:val="bottom"/>
            <w:gridSpan w:val="2"/>
            <w:vMerge w:val="continue"/>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40" w:type="dxa"/>
            <w:vAlign w:val="bottom"/>
            <w:gridSpan w:val="4"/>
          </w:tcPr>
          <w:p>
            <w:pPr>
              <w:jc w:val="right"/>
              <w:ind w:right="20"/>
              <w:spacing w:after="0"/>
              <w:rPr>
                <w:rFonts w:ascii="Arial" w:cs="Arial" w:eastAsia="Arial" w:hAnsi="Arial"/>
                <w:sz w:val="17"/>
                <w:szCs w:val="17"/>
                <w:color w:val="0000FF"/>
              </w:rPr>
            </w:pPr>
            <w:hyperlink w:anchor="page44">
              <w:r>
                <w:rPr>
                  <w:rFonts w:ascii="Arial" w:cs="Arial" w:eastAsia="Arial" w:hAnsi="Arial"/>
                  <w:sz w:val="17"/>
                  <w:szCs w:val="17"/>
                  <w:color w:val="0000FF"/>
                </w:rPr>
                <w:t>44</w:t>
              </w:r>
            </w:hyperlink>
          </w:p>
        </w:tc>
        <w:tc>
          <w:tcPr>
            <w:tcW w:w="0" w:type="dxa"/>
            <w:vAlign w:val="bottom"/>
          </w:tcPr>
          <w:p>
            <w:pPr>
              <w:spacing w:after="0"/>
              <w:rPr>
                <w:sz w:val="1"/>
                <w:szCs w:val="1"/>
                <w:color w:val="auto"/>
              </w:rPr>
            </w:pPr>
          </w:p>
        </w:tc>
      </w:tr>
      <w:tr>
        <w:trPr>
          <w:trHeight w:val="20"/>
        </w:trPr>
        <w:tc>
          <w:tcPr>
            <w:tcW w:w="1120" w:type="dxa"/>
            <w:vAlign w:val="bottom"/>
            <w:shd w:val="clear" w:color="auto" w:fill="0000FF"/>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70485</wp:posOffset>
            </wp:positionV>
            <wp:extent cx="7162165" cy="419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180"/>
          </w:cols>
          <w:pgMar w:left="340" w:top="866" w:right="379" w:bottom="1440" w:gutter="0" w:footer="0" w:header="0"/>
        </w:sectPr>
      </w:pPr>
    </w:p>
    <w:bookmarkStart w:id="3" w:name="page4"/>
    <w:bookmarkEnd w:id="3"/>
    <w:p>
      <w:pPr>
        <w:spacing w:after="0"/>
        <w:rPr>
          <w:sz w:val="20"/>
          <w:szCs w:val="20"/>
          <w:color w:val="auto"/>
        </w:rPr>
      </w:pPr>
      <w:r>
        <w:rPr>
          <w:rFonts w:ascii="Arial" w:cs="Arial" w:eastAsia="Arial" w:hAnsi="Arial"/>
          <w:sz w:val="17"/>
          <w:szCs w:val="17"/>
          <w:b w:val="1"/>
          <w:bCs w:val="1"/>
          <w:color w:val="auto"/>
        </w:rPr>
        <w:t>PART I. FINANCIAL INFORMATION</w:t>
      </w:r>
    </w:p>
    <w:p>
      <w:pPr>
        <w:spacing w:after="0" w:line="249" w:lineRule="exact"/>
        <w:rPr>
          <w:sz w:val="20"/>
          <w:szCs w:val="20"/>
          <w:color w:val="auto"/>
        </w:rPr>
      </w:pPr>
    </w:p>
    <w:p>
      <w:pPr>
        <w:spacing w:after="0"/>
        <w:tabs>
          <w:tab w:leader="none" w:pos="680" w:val="left"/>
        </w:tabs>
        <w:rPr>
          <w:sz w:val="20"/>
          <w:szCs w:val="20"/>
          <w:color w:val="auto"/>
        </w:rPr>
      </w:pPr>
      <w:r>
        <w:rPr>
          <w:rFonts w:ascii="Arial" w:cs="Arial" w:eastAsia="Arial" w:hAnsi="Arial"/>
          <w:sz w:val="17"/>
          <w:szCs w:val="17"/>
          <w:b w:val="1"/>
          <w:bCs w:val="1"/>
          <w:color w:val="auto"/>
        </w:rPr>
        <w:t>Item 1.</w:t>
      </w:r>
      <w:r>
        <w:rPr>
          <w:sz w:val="20"/>
          <w:szCs w:val="20"/>
          <w:color w:val="auto"/>
        </w:rPr>
        <w:tab/>
      </w:r>
      <w:r>
        <w:rPr>
          <w:rFonts w:ascii="Arial" w:cs="Arial" w:eastAsia="Arial" w:hAnsi="Arial"/>
          <w:sz w:val="15"/>
          <w:szCs w:val="15"/>
          <w:b w:val="1"/>
          <w:bCs w:val="1"/>
          <w:color w:val="auto"/>
        </w:rPr>
        <w:t>Financial Statements</w:t>
      </w:r>
    </w:p>
    <w:p>
      <w:pPr>
        <w:spacing w:after="0" w:line="249"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TRI POINTE HOMES, INC.</w:t>
      </w:r>
    </w:p>
    <w:p>
      <w:pPr>
        <w:spacing w:after="0" w:line="32"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CONSOLIDATED BALANCE SHEETS</w:t>
      </w:r>
    </w:p>
    <w:p>
      <w:pPr>
        <w:spacing w:after="0" w:line="14"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(in thousands, except share and per share amounts)</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78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500" w:type="dxa"/>
            <w:vAlign w:val="bottom"/>
            <w:gridSpan w:val="2"/>
          </w:tcPr>
          <w:p>
            <w:pPr>
              <w:ind w:left="160"/>
              <w:spacing w:after="0"/>
              <w:rPr>
                <w:sz w:val="20"/>
                <w:szCs w:val="20"/>
                <w:color w:val="auto"/>
              </w:rPr>
            </w:pPr>
            <w:r>
              <w:rPr>
                <w:rFonts w:ascii="Arial" w:cs="Arial" w:eastAsia="Arial" w:hAnsi="Arial"/>
                <w:sz w:val="14"/>
                <w:szCs w:val="14"/>
                <w:b w:val="1"/>
                <w:bCs w:val="1"/>
                <w:color w:val="auto"/>
              </w:rPr>
              <w:t>June 30, 2021</w:t>
            </w:r>
          </w:p>
        </w:tc>
        <w:tc>
          <w:tcPr>
            <w:tcW w:w="180" w:type="dxa"/>
            <w:vAlign w:val="bottom"/>
          </w:tcPr>
          <w:p>
            <w:pPr>
              <w:spacing w:after="0"/>
              <w:rPr>
                <w:sz w:val="16"/>
                <w:szCs w:val="16"/>
                <w:color w:val="auto"/>
              </w:rPr>
            </w:pPr>
          </w:p>
        </w:tc>
        <w:tc>
          <w:tcPr>
            <w:tcW w:w="1460" w:type="dxa"/>
            <w:vAlign w:val="bottom"/>
          </w:tcPr>
          <w:p>
            <w:pPr>
              <w:jc w:val="right"/>
              <w:ind w:right="174"/>
              <w:spacing w:after="0"/>
              <w:rPr>
                <w:sz w:val="20"/>
                <w:szCs w:val="20"/>
                <w:color w:val="auto"/>
              </w:rPr>
            </w:pPr>
            <w:r>
              <w:rPr>
                <w:rFonts w:ascii="Arial" w:cs="Arial" w:eastAsia="Arial" w:hAnsi="Arial"/>
                <w:sz w:val="14"/>
                <w:szCs w:val="14"/>
                <w:b w:val="1"/>
                <w:bCs w:val="1"/>
                <w:color w:val="auto"/>
                <w:w w:val="93"/>
              </w:rPr>
              <w:t>December 31, 2020</w:t>
            </w:r>
          </w:p>
        </w:tc>
        <w:tc>
          <w:tcPr>
            <w:tcW w:w="0" w:type="dxa"/>
            <w:vAlign w:val="bottom"/>
          </w:tcPr>
          <w:p>
            <w:pPr>
              <w:spacing w:after="0"/>
              <w:rPr>
                <w:sz w:val="1"/>
                <w:szCs w:val="1"/>
                <w:color w:val="auto"/>
              </w:rPr>
            </w:pPr>
          </w:p>
        </w:tc>
      </w:tr>
      <w:tr>
        <w:trPr>
          <w:trHeight w:val="179"/>
        </w:trPr>
        <w:tc>
          <w:tcPr>
            <w:tcW w:w="7800" w:type="dxa"/>
            <w:vAlign w:val="bottom"/>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1400" w:type="dxa"/>
            <w:vAlign w:val="bottom"/>
            <w:tcBorders>
              <w:top w:val="single" w:sz="8" w:color="auto"/>
            </w:tcBorders>
          </w:tcPr>
          <w:p>
            <w:pPr>
              <w:jc w:val="right"/>
              <w:ind w:right="414"/>
              <w:spacing w:after="0"/>
              <w:rPr>
                <w:sz w:val="20"/>
                <w:szCs w:val="20"/>
                <w:color w:val="auto"/>
              </w:rPr>
            </w:pPr>
            <w:r>
              <w:rPr>
                <w:rFonts w:ascii="Arial" w:cs="Arial" w:eastAsia="Arial" w:hAnsi="Arial"/>
                <w:sz w:val="14"/>
                <w:szCs w:val="14"/>
                <w:color w:val="auto"/>
              </w:rPr>
              <w:t>(unaudited)</w:t>
            </w:r>
          </w:p>
        </w:tc>
        <w:tc>
          <w:tcPr>
            <w:tcW w:w="10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146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5"/>
        </w:trPr>
        <w:tc>
          <w:tcPr>
            <w:tcW w:w="780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Assets</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00" w:type="dxa"/>
            <w:vAlign w:val="bottom"/>
          </w:tcPr>
          <w:p>
            <w:pPr>
              <w:ind w:left="220"/>
              <w:spacing w:after="0"/>
              <w:rPr>
                <w:sz w:val="20"/>
                <w:szCs w:val="20"/>
                <w:color w:val="auto"/>
              </w:rPr>
            </w:pPr>
            <w:r>
              <w:rPr>
                <w:rFonts w:ascii="Arial" w:cs="Arial" w:eastAsia="Arial" w:hAnsi="Arial"/>
                <w:sz w:val="17"/>
                <w:szCs w:val="17"/>
                <w:color w:val="auto"/>
              </w:rPr>
              <w:t>Cash and cash equivalents</w:t>
            </w:r>
          </w:p>
        </w:tc>
        <w:tc>
          <w:tcPr>
            <w:tcW w:w="260" w:type="dxa"/>
            <w:vAlign w:val="bottom"/>
          </w:tcPr>
          <w:p>
            <w:pPr>
              <w:jc w:val="right"/>
              <w:ind w:right="53"/>
              <w:spacing w:after="0"/>
              <w:rPr>
                <w:sz w:val="20"/>
                <w:szCs w:val="20"/>
                <w:color w:val="auto"/>
              </w:rPr>
            </w:pPr>
            <w:r>
              <w:rPr>
                <w:rFonts w:ascii="Arial" w:cs="Arial" w:eastAsia="Arial" w:hAnsi="Arial"/>
                <w:sz w:val="17"/>
                <w:szCs w:val="17"/>
                <w:color w:val="auto"/>
              </w:rPr>
              <w:t>$</w:t>
            </w:r>
          </w:p>
        </w:tc>
        <w:tc>
          <w:tcPr>
            <w:tcW w:w="1400" w:type="dxa"/>
            <w:vAlign w:val="bottom"/>
          </w:tcPr>
          <w:p>
            <w:pPr>
              <w:jc w:val="right"/>
              <w:spacing w:after="0"/>
              <w:rPr>
                <w:sz w:val="20"/>
                <w:szCs w:val="20"/>
                <w:color w:val="auto"/>
              </w:rPr>
            </w:pPr>
            <w:r>
              <w:rPr>
                <w:rFonts w:ascii="Arial" w:cs="Arial" w:eastAsia="Arial" w:hAnsi="Arial"/>
                <w:sz w:val="17"/>
                <w:szCs w:val="17"/>
                <w:color w:val="auto"/>
              </w:rPr>
              <w:t>556,483</w:t>
            </w:r>
          </w:p>
        </w:tc>
        <w:tc>
          <w:tcPr>
            <w:tcW w:w="10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60" w:type="dxa"/>
            <w:vAlign w:val="bottom"/>
          </w:tcPr>
          <w:p>
            <w:pPr>
              <w:jc w:val="right"/>
              <w:spacing w:after="0"/>
              <w:rPr>
                <w:sz w:val="20"/>
                <w:szCs w:val="20"/>
                <w:color w:val="auto"/>
              </w:rPr>
            </w:pPr>
            <w:r>
              <w:rPr>
                <w:rFonts w:ascii="Arial" w:cs="Arial" w:eastAsia="Arial" w:hAnsi="Arial"/>
                <w:sz w:val="17"/>
                <w:szCs w:val="17"/>
                <w:color w:val="auto"/>
              </w:rPr>
              <w:t>621,295</w:t>
            </w: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Receivables</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91,348</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63,551</w:t>
            </w:r>
          </w:p>
        </w:tc>
        <w:tc>
          <w:tcPr>
            <w:tcW w:w="0" w:type="dxa"/>
            <w:vAlign w:val="bottom"/>
          </w:tcPr>
          <w:p>
            <w:pPr>
              <w:spacing w:after="0"/>
              <w:rPr>
                <w:sz w:val="1"/>
                <w:szCs w:val="1"/>
                <w:color w:val="auto"/>
              </w:rPr>
            </w:pPr>
          </w:p>
        </w:tc>
      </w:tr>
      <w:tr>
        <w:trPr>
          <w:trHeight w:val="222"/>
        </w:trPr>
        <w:tc>
          <w:tcPr>
            <w:tcW w:w="7800" w:type="dxa"/>
            <w:vAlign w:val="bottom"/>
          </w:tcPr>
          <w:p>
            <w:pPr>
              <w:ind w:left="220"/>
              <w:spacing w:after="0"/>
              <w:rPr>
                <w:sz w:val="20"/>
                <w:szCs w:val="20"/>
                <w:color w:val="auto"/>
              </w:rPr>
            </w:pPr>
            <w:r>
              <w:rPr>
                <w:rFonts w:ascii="Arial" w:cs="Arial" w:eastAsia="Arial" w:hAnsi="Arial"/>
                <w:sz w:val="17"/>
                <w:szCs w:val="17"/>
                <w:color w:val="auto"/>
              </w:rPr>
              <w:t>Real estate inventories</w:t>
            </w: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3,085,582</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2,910,142</w:t>
            </w: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Investments in unconsolidated entities</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74,051</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75,056</w:t>
            </w:r>
          </w:p>
        </w:tc>
        <w:tc>
          <w:tcPr>
            <w:tcW w:w="0" w:type="dxa"/>
            <w:vAlign w:val="bottom"/>
          </w:tcPr>
          <w:p>
            <w:pPr>
              <w:spacing w:after="0"/>
              <w:rPr>
                <w:sz w:val="1"/>
                <w:szCs w:val="1"/>
                <w:color w:val="auto"/>
              </w:rPr>
            </w:pPr>
          </w:p>
        </w:tc>
      </w:tr>
      <w:tr>
        <w:trPr>
          <w:trHeight w:val="222"/>
        </w:trPr>
        <w:tc>
          <w:tcPr>
            <w:tcW w:w="7800" w:type="dxa"/>
            <w:vAlign w:val="bottom"/>
          </w:tcPr>
          <w:p>
            <w:pPr>
              <w:ind w:left="220"/>
              <w:spacing w:after="0"/>
              <w:rPr>
                <w:sz w:val="20"/>
                <w:szCs w:val="20"/>
                <w:color w:val="auto"/>
              </w:rPr>
            </w:pPr>
            <w:r>
              <w:rPr>
                <w:rFonts w:ascii="Arial" w:cs="Arial" w:eastAsia="Arial" w:hAnsi="Arial"/>
                <w:sz w:val="17"/>
                <w:szCs w:val="17"/>
                <w:color w:val="auto"/>
              </w:rPr>
              <w:t>Goodwill and other intangible assets, net</w:t>
            </w: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156,604</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158,529</w:t>
            </w: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Deferred tax assets, net</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44,388</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47,525</w:t>
            </w:r>
          </w:p>
        </w:tc>
        <w:tc>
          <w:tcPr>
            <w:tcW w:w="0" w:type="dxa"/>
            <w:vAlign w:val="bottom"/>
          </w:tcPr>
          <w:p>
            <w:pPr>
              <w:spacing w:after="0"/>
              <w:rPr>
                <w:sz w:val="1"/>
                <w:szCs w:val="1"/>
                <w:color w:val="auto"/>
              </w:rPr>
            </w:pPr>
          </w:p>
        </w:tc>
      </w:tr>
      <w:tr>
        <w:trPr>
          <w:trHeight w:val="222"/>
        </w:trPr>
        <w:tc>
          <w:tcPr>
            <w:tcW w:w="780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Other assets</w:t>
            </w:r>
          </w:p>
        </w:tc>
        <w:tc>
          <w:tcPr>
            <w:tcW w:w="26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151,701</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145,882</w:t>
            </w:r>
          </w:p>
        </w:tc>
        <w:tc>
          <w:tcPr>
            <w:tcW w:w="0" w:type="dxa"/>
            <w:vAlign w:val="bottom"/>
          </w:tcPr>
          <w:p>
            <w:pPr>
              <w:spacing w:after="0"/>
              <w:rPr>
                <w:sz w:val="1"/>
                <w:szCs w:val="1"/>
                <w:color w:val="auto"/>
              </w:rPr>
            </w:pPr>
          </w:p>
        </w:tc>
      </w:tr>
      <w:tr>
        <w:trPr>
          <w:trHeight w:val="240"/>
        </w:trPr>
        <w:tc>
          <w:tcPr>
            <w:tcW w:w="780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7"/>
                <w:szCs w:val="17"/>
                <w:color w:val="auto"/>
              </w:rPr>
              <w:t>Total assets</w:t>
            </w:r>
          </w:p>
        </w:tc>
        <w:tc>
          <w:tcPr>
            <w:tcW w:w="26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4,160,157</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4,021,980</w:t>
            </w:r>
          </w:p>
        </w:tc>
        <w:tc>
          <w:tcPr>
            <w:tcW w:w="0" w:type="dxa"/>
            <w:vAlign w:val="bottom"/>
          </w:tcPr>
          <w:p>
            <w:pPr>
              <w:spacing w:after="0"/>
              <w:rPr>
                <w:sz w:val="1"/>
                <w:szCs w:val="1"/>
                <w:color w:val="auto"/>
              </w:rPr>
            </w:pPr>
          </w:p>
        </w:tc>
      </w:tr>
      <w:tr>
        <w:trPr>
          <w:trHeight w:val="20"/>
        </w:trPr>
        <w:tc>
          <w:tcPr>
            <w:tcW w:w="780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b w:val="1"/>
                <w:bCs w:val="1"/>
                <w:color w:val="auto"/>
              </w:rPr>
              <w:t>Liabilities</w:t>
            </w: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4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7800" w:type="dxa"/>
            <w:vAlign w:val="bottom"/>
            <w:vMerge w:val="continue"/>
          </w:tcPr>
          <w:p>
            <w:pPr>
              <w:spacing w:after="0"/>
              <w:rPr>
                <w:sz w:val="16"/>
                <w:szCs w:val="16"/>
                <w:color w:val="auto"/>
              </w:rPr>
            </w:pPr>
          </w:p>
        </w:tc>
        <w:tc>
          <w:tcPr>
            <w:tcW w:w="26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Accounts payable</w:t>
            </w:r>
          </w:p>
        </w:tc>
        <w:tc>
          <w:tcPr>
            <w:tcW w:w="26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141,143</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79,690</w:t>
            </w:r>
          </w:p>
        </w:tc>
        <w:tc>
          <w:tcPr>
            <w:tcW w:w="0" w:type="dxa"/>
            <w:vAlign w:val="bottom"/>
          </w:tcPr>
          <w:p>
            <w:pPr>
              <w:spacing w:after="0"/>
              <w:rPr>
                <w:sz w:val="1"/>
                <w:szCs w:val="1"/>
                <w:color w:val="auto"/>
              </w:rPr>
            </w:pPr>
          </w:p>
        </w:tc>
      </w:tr>
      <w:tr>
        <w:trPr>
          <w:trHeight w:val="222"/>
        </w:trPr>
        <w:tc>
          <w:tcPr>
            <w:tcW w:w="7800" w:type="dxa"/>
            <w:vAlign w:val="bottom"/>
          </w:tcPr>
          <w:p>
            <w:pPr>
              <w:ind w:left="220"/>
              <w:spacing w:after="0"/>
              <w:rPr>
                <w:sz w:val="20"/>
                <w:szCs w:val="20"/>
                <w:color w:val="auto"/>
              </w:rPr>
            </w:pPr>
            <w:r>
              <w:rPr>
                <w:rFonts w:ascii="Arial" w:cs="Arial" w:eastAsia="Arial" w:hAnsi="Arial"/>
                <w:sz w:val="17"/>
                <w:szCs w:val="17"/>
                <w:color w:val="auto"/>
              </w:rPr>
              <w:t>Accrued expenses and other liabilities</w:t>
            </w: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395,138</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366,740</w:t>
            </w: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Loans payable</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258,979</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258,979</w:t>
            </w:r>
          </w:p>
        </w:tc>
        <w:tc>
          <w:tcPr>
            <w:tcW w:w="0" w:type="dxa"/>
            <w:vAlign w:val="bottom"/>
          </w:tcPr>
          <w:p>
            <w:pPr>
              <w:spacing w:after="0"/>
              <w:rPr>
                <w:sz w:val="1"/>
                <w:szCs w:val="1"/>
                <w:color w:val="auto"/>
              </w:rPr>
            </w:pPr>
          </w:p>
        </w:tc>
      </w:tr>
      <w:tr>
        <w:trPr>
          <w:trHeight w:val="222"/>
        </w:trPr>
        <w:tc>
          <w:tcPr>
            <w:tcW w:w="780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Senior notes, net</w:t>
            </w:r>
          </w:p>
        </w:tc>
        <w:tc>
          <w:tcPr>
            <w:tcW w:w="26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1,085,595</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1,084,022</w:t>
            </w:r>
          </w:p>
        </w:tc>
        <w:tc>
          <w:tcPr>
            <w:tcW w:w="0" w:type="dxa"/>
            <w:vAlign w:val="bottom"/>
          </w:tcPr>
          <w:p>
            <w:pPr>
              <w:spacing w:after="0"/>
              <w:rPr>
                <w:sz w:val="1"/>
                <w:szCs w:val="1"/>
                <w:color w:val="auto"/>
              </w:rPr>
            </w:pPr>
          </w:p>
        </w:tc>
      </w:tr>
      <w:tr>
        <w:trPr>
          <w:trHeight w:val="215"/>
        </w:trPr>
        <w:tc>
          <w:tcPr>
            <w:tcW w:w="7800" w:type="dxa"/>
            <w:vAlign w:val="bottom"/>
            <w:shd w:val="clear" w:color="auto" w:fill="CCEEFF"/>
          </w:tcPr>
          <w:p>
            <w:pPr>
              <w:ind w:left="460"/>
              <w:spacing w:after="0"/>
              <w:rPr>
                <w:sz w:val="20"/>
                <w:szCs w:val="20"/>
                <w:color w:val="auto"/>
              </w:rPr>
            </w:pPr>
            <w:r>
              <w:rPr>
                <w:rFonts w:ascii="Arial" w:cs="Arial" w:eastAsia="Arial" w:hAnsi="Arial"/>
                <w:sz w:val="17"/>
                <w:szCs w:val="17"/>
                <w:color w:val="auto"/>
              </w:rPr>
              <w:t>Total liabilities</w:t>
            </w:r>
          </w:p>
        </w:tc>
        <w:tc>
          <w:tcPr>
            <w:tcW w:w="260" w:type="dxa"/>
            <w:vAlign w:val="bottom"/>
            <w:tcBorders>
              <w:bottom w:val="single" w:sz="8" w:color="auto"/>
            </w:tcBorders>
            <w:shd w:val="clear" w:color="auto" w:fill="CCEEFF"/>
          </w:tcPr>
          <w:p>
            <w:pPr>
              <w:spacing w:after="0"/>
              <w:rPr>
                <w:sz w:val="18"/>
                <w:szCs w:val="18"/>
                <w:color w:val="auto"/>
              </w:rPr>
            </w:pP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1,880,855</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1,789,431</w:t>
            </w:r>
          </w:p>
        </w:tc>
        <w:tc>
          <w:tcPr>
            <w:tcW w:w="0" w:type="dxa"/>
            <w:vAlign w:val="bottom"/>
          </w:tcPr>
          <w:p>
            <w:pPr>
              <w:spacing w:after="0"/>
              <w:rPr>
                <w:sz w:val="1"/>
                <w:szCs w:val="1"/>
                <w:color w:val="auto"/>
              </w:rPr>
            </w:pPr>
          </w:p>
        </w:tc>
      </w:tr>
      <w:tr>
        <w:trPr>
          <w:trHeight w:val="124"/>
        </w:trPr>
        <w:tc>
          <w:tcPr>
            <w:tcW w:w="78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4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Commitments and contingencies (Note 13)</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57"/>
        </w:trPr>
        <w:tc>
          <w:tcPr>
            <w:tcW w:w="78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Equity</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00" w:type="dxa"/>
            <w:vAlign w:val="bottom"/>
          </w:tcPr>
          <w:p>
            <w:pPr>
              <w:ind w:left="220"/>
              <w:spacing w:after="0"/>
              <w:rPr>
                <w:sz w:val="20"/>
                <w:szCs w:val="20"/>
                <w:color w:val="auto"/>
              </w:rPr>
            </w:pPr>
            <w:r>
              <w:rPr>
                <w:rFonts w:ascii="Arial" w:cs="Arial" w:eastAsia="Arial" w:hAnsi="Arial"/>
                <w:sz w:val="17"/>
                <w:szCs w:val="17"/>
                <w:color w:val="auto"/>
              </w:rPr>
              <w:t>Stockholders’ equity:</w:t>
            </w:r>
          </w:p>
        </w:tc>
        <w:tc>
          <w:tcPr>
            <w:tcW w:w="26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1"/>
        </w:trPr>
        <w:tc>
          <w:tcPr>
            <w:tcW w:w="7800" w:type="dxa"/>
            <w:vAlign w:val="bottom"/>
            <w:shd w:val="clear" w:color="auto" w:fill="CCEEFF"/>
          </w:tcPr>
          <w:p>
            <w:pPr>
              <w:ind w:left="500"/>
              <w:spacing w:after="0" w:line="171" w:lineRule="exact"/>
              <w:rPr>
                <w:sz w:val="20"/>
                <w:szCs w:val="20"/>
                <w:color w:val="auto"/>
              </w:rPr>
            </w:pPr>
            <w:r>
              <w:rPr>
                <w:rFonts w:ascii="Arial" w:cs="Arial" w:eastAsia="Arial" w:hAnsi="Arial"/>
                <w:sz w:val="17"/>
                <w:szCs w:val="17"/>
                <w:color w:val="auto"/>
              </w:rPr>
              <w:t>Preferred stock, $0.01 par value, 50,000,000 shares authorized; no</w:t>
            </w:r>
          </w:p>
        </w:tc>
        <w:tc>
          <w:tcPr>
            <w:tcW w:w="26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7800" w:type="dxa"/>
            <w:vAlign w:val="bottom"/>
            <w:shd w:val="clear" w:color="auto" w:fill="CCEEFF"/>
          </w:tcPr>
          <w:p>
            <w:pPr>
              <w:ind w:left="620"/>
              <w:spacing w:after="0" w:line="170" w:lineRule="exact"/>
              <w:rPr>
                <w:sz w:val="20"/>
                <w:szCs w:val="20"/>
                <w:color w:val="auto"/>
              </w:rPr>
            </w:pPr>
            <w:r>
              <w:rPr>
                <w:rFonts w:ascii="Arial" w:cs="Arial" w:eastAsia="Arial" w:hAnsi="Arial"/>
                <w:sz w:val="17"/>
                <w:szCs w:val="17"/>
                <w:color w:val="auto"/>
              </w:rPr>
              <w:t>shares issued and outstanding as of June 30, 2021 and</w:t>
            </w:r>
          </w:p>
        </w:tc>
        <w:tc>
          <w:tcPr>
            <w:tcW w:w="260" w:type="dxa"/>
            <w:vAlign w:val="bottom"/>
            <w:shd w:val="clear" w:color="auto" w:fill="CCEEFF"/>
          </w:tcPr>
          <w:p>
            <w:pPr>
              <w:spacing w:after="0"/>
              <w:rPr>
                <w:sz w:val="14"/>
                <w:szCs w:val="14"/>
                <w:color w:val="auto"/>
              </w:rPr>
            </w:pPr>
          </w:p>
        </w:tc>
        <w:tc>
          <w:tcPr>
            <w:tcW w:w="150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4"/>
                <w:szCs w:val="14"/>
                <w:color w:val="auto"/>
              </w:rPr>
            </w:pPr>
          </w:p>
        </w:tc>
        <w:tc>
          <w:tcPr>
            <w:tcW w:w="14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1"/>
        </w:trPr>
        <w:tc>
          <w:tcPr>
            <w:tcW w:w="7800" w:type="dxa"/>
            <w:vAlign w:val="bottom"/>
            <w:shd w:val="clear" w:color="auto" w:fill="CCEEFF"/>
          </w:tcPr>
          <w:p>
            <w:pPr>
              <w:ind w:left="620"/>
              <w:spacing w:after="0"/>
              <w:rPr>
                <w:sz w:val="20"/>
                <w:szCs w:val="20"/>
                <w:color w:val="auto"/>
              </w:rPr>
            </w:pPr>
            <w:r>
              <w:rPr>
                <w:rFonts w:ascii="Arial" w:cs="Arial" w:eastAsia="Arial" w:hAnsi="Arial"/>
                <w:sz w:val="17"/>
                <w:szCs w:val="17"/>
                <w:color w:val="auto"/>
              </w:rPr>
              <w:t>December 31, 2020, respectively</w:t>
            </w:r>
          </w:p>
        </w:tc>
        <w:tc>
          <w:tcPr>
            <w:tcW w:w="260" w:type="dxa"/>
            <w:vAlign w:val="bottom"/>
            <w:shd w:val="clear" w:color="auto" w:fill="CCEEFF"/>
          </w:tcPr>
          <w:p>
            <w:pPr>
              <w:spacing w:after="0"/>
              <w:rPr>
                <w:sz w:val="19"/>
                <w:szCs w:val="19"/>
                <w:color w:val="auto"/>
              </w:rPr>
            </w:pPr>
          </w:p>
        </w:tc>
        <w:tc>
          <w:tcPr>
            <w:tcW w:w="1500" w:type="dxa"/>
            <w:vAlign w:val="bottom"/>
            <w:gridSpan w:val="2"/>
            <w:vMerge w:val="continue"/>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1"/>
        </w:trPr>
        <w:tc>
          <w:tcPr>
            <w:tcW w:w="7800" w:type="dxa"/>
            <w:vAlign w:val="bottom"/>
          </w:tcPr>
          <w:p>
            <w:pPr>
              <w:ind w:left="500"/>
              <w:spacing w:after="0" w:line="171" w:lineRule="exact"/>
              <w:rPr>
                <w:sz w:val="20"/>
                <w:szCs w:val="20"/>
                <w:color w:val="auto"/>
              </w:rPr>
            </w:pPr>
            <w:r>
              <w:rPr>
                <w:rFonts w:ascii="Arial" w:cs="Arial" w:eastAsia="Arial" w:hAnsi="Arial"/>
                <w:sz w:val="17"/>
                <w:szCs w:val="17"/>
                <w:color w:val="auto"/>
              </w:rPr>
              <w:t>Common stock, $0.01 par value, 500,000,000 shares authorized;</w:t>
            </w:r>
          </w:p>
        </w:tc>
        <w:tc>
          <w:tcPr>
            <w:tcW w:w="26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7800" w:type="dxa"/>
            <w:vAlign w:val="bottom"/>
          </w:tcPr>
          <w:p>
            <w:pPr>
              <w:ind w:left="620"/>
              <w:spacing w:after="0" w:line="170" w:lineRule="exact"/>
              <w:rPr>
                <w:sz w:val="20"/>
                <w:szCs w:val="20"/>
                <w:color w:val="auto"/>
              </w:rPr>
            </w:pPr>
            <w:r>
              <w:rPr>
                <w:rFonts w:ascii="Arial" w:cs="Arial" w:eastAsia="Arial" w:hAnsi="Arial"/>
                <w:sz w:val="17"/>
                <w:szCs w:val="17"/>
                <w:color w:val="auto"/>
              </w:rPr>
              <w:t>115,211,206 and 121,882,778 shares issued and outstanding at</w:t>
            </w:r>
          </w:p>
        </w:tc>
        <w:tc>
          <w:tcPr>
            <w:tcW w:w="260" w:type="dxa"/>
            <w:vAlign w:val="bottom"/>
          </w:tcPr>
          <w:p>
            <w:pPr>
              <w:spacing w:after="0"/>
              <w:rPr>
                <w:sz w:val="14"/>
                <w:szCs w:val="14"/>
                <w:color w:val="auto"/>
              </w:rPr>
            </w:pPr>
          </w:p>
        </w:tc>
        <w:tc>
          <w:tcPr>
            <w:tcW w:w="1400" w:type="dxa"/>
            <w:vAlign w:val="bottom"/>
            <w:vMerge w:val="restart"/>
          </w:tcPr>
          <w:p>
            <w:pPr>
              <w:jc w:val="right"/>
              <w:spacing w:after="0"/>
              <w:rPr>
                <w:sz w:val="20"/>
                <w:szCs w:val="20"/>
                <w:color w:val="auto"/>
              </w:rPr>
            </w:pPr>
            <w:r>
              <w:rPr>
                <w:rFonts w:ascii="Arial" w:cs="Arial" w:eastAsia="Arial" w:hAnsi="Arial"/>
                <w:sz w:val="17"/>
                <w:szCs w:val="17"/>
                <w:color w:val="auto"/>
              </w:rPr>
              <w:t>1,150</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60" w:type="dxa"/>
            <w:vAlign w:val="bottom"/>
            <w:vMerge w:val="restart"/>
          </w:tcPr>
          <w:p>
            <w:pPr>
              <w:jc w:val="right"/>
              <w:spacing w:after="0"/>
              <w:rPr>
                <w:sz w:val="20"/>
                <w:szCs w:val="20"/>
                <w:color w:val="auto"/>
              </w:rPr>
            </w:pPr>
            <w:r>
              <w:rPr>
                <w:rFonts w:ascii="Arial" w:cs="Arial" w:eastAsia="Arial" w:hAnsi="Arial"/>
                <w:sz w:val="17"/>
                <w:szCs w:val="17"/>
                <w:color w:val="auto"/>
              </w:rPr>
              <w:t>1,219</w:t>
            </w:r>
          </w:p>
        </w:tc>
        <w:tc>
          <w:tcPr>
            <w:tcW w:w="0" w:type="dxa"/>
            <w:vAlign w:val="bottom"/>
          </w:tcPr>
          <w:p>
            <w:pPr>
              <w:spacing w:after="0"/>
              <w:rPr>
                <w:sz w:val="1"/>
                <w:szCs w:val="1"/>
                <w:color w:val="auto"/>
              </w:rPr>
            </w:pPr>
          </w:p>
        </w:tc>
      </w:tr>
      <w:tr>
        <w:trPr>
          <w:trHeight w:val="221"/>
        </w:trPr>
        <w:tc>
          <w:tcPr>
            <w:tcW w:w="7800" w:type="dxa"/>
            <w:vAlign w:val="bottom"/>
          </w:tcPr>
          <w:p>
            <w:pPr>
              <w:ind w:left="620"/>
              <w:spacing w:after="0"/>
              <w:rPr>
                <w:sz w:val="20"/>
                <w:szCs w:val="20"/>
                <w:color w:val="auto"/>
              </w:rPr>
            </w:pPr>
            <w:r>
              <w:rPr>
                <w:rFonts w:ascii="Arial" w:cs="Arial" w:eastAsia="Arial" w:hAnsi="Arial"/>
                <w:sz w:val="17"/>
                <w:szCs w:val="17"/>
                <w:color w:val="auto"/>
              </w:rPr>
              <w:t>June 30, 2021 and December 31, 2020, respectively</w:t>
            </w:r>
          </w:p>
        </w:tc>
        <w:tc>
          <w:tcPr>
            <w:tcW w:w="260" w:type="dxa"/>
            <w:vAlign w:val="bottom"/>
          </w:tcPr>
          <w:p>
            <w:pPr>
              <w:spacing w:after="0"/>
              <w:rPr>
                <w:sz w:val="19"/>
                <w:szCs w:val="19"/>
                <w:color w:val="auto"/>
              </w:rPr>
            </w:pPr>
          </w:p>
        </w:tc>
        <w:tc>
          <w:tcPr>
            <w:tcW w:w="140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460"/>
              <w:spacing w:after="0"/>
              <w:rPr>
                <w:sz w:val="20"/>
                <w:szCs w:val="20"/>
                <w:color w:val="auto"/>
              </w:rPr>
            </w:pPr>
            <w:r>
              <w:rPr>
                <w:rFonts w:ascii="Arial" w:cs="Arial" w:eastAsia="Arial" w:hAnsi="Arial"/>
                <w:sz w:val="17"/>
                <w:szCs w:val="17"/>
                <w:color w:val="auto"/>
              </w:rPr>
              <w:t>Additional paid-in capital</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203,288</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345,137</w:t>
            </w:r>
          </w:p>
        </w:tc>
        <w:tc>
          <w:tcPr>
            <w:tcW w:w="0" w:type="dxa"/>
            <w:vAlign w:val="bottom"/>
          </w:tcPr>
          <w:p>
            <w:pPr>
              <w:spacing w:after="0"/>
              <w:rPr>
                <w:sz w:val="1"/>
                <w:szCs w:val="1"/>
                <w:color w:val="auto"/>
              </w:rPr>
            </w:pPr>
          </w:p>
        </w:tc>
      </w:tr>
      <w:tr>
        <w:trPr>
          <w:trHeight w:val="222"/>
        </w:trPr>
        <w:tc>
          <w:tcPr>
            <w:tcW w:w="7800" w:type="dxa"/>
            <w:vAlign w:val="bottom"/>
            <w:tcBorders>
              <w:bottom w:val="single" w:sz="8" w:color="CCEEFF"/>
            </w:tcBorders>
          </w:tcPr>
          <w:p>
            <w:pPr>
              <w:ind w:left="460"/>
              <w:spacing w:after="0"/>
              <w:rPr>
                <w:sz w:val="20"/>
                <w:szCs w:val="20"/>
                <w:color w:val="auto"/>
              </w:rPr>
            </w:pPr>
            <w:r>
              <w:rPr>
                <w:rFonts w:ascii="Arial" w:cs="Arial" w:eastAsia="Arial" w:hAnsi="Arial"/>
                <w:sz w:val="17"/>
                <w:szCs w:val="17"/>
                <w:color w:val="auto"/>
              </w:rPr>
              <w:t>Retained earnings</w:t>
            </w:r>
          </w:p>
        </w:tc>
        <w:tc>
          <w:tcPr>
            <w:tcW w:w="26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2,074,852</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1,886,181</w:t>
            </w:r>
          </w:p>
        </w:tc>
        <w:tc>
          <w:tcPr>
            <w:tcW w:w="0" w:type="dxa"/>
            <w:vAlign w:val="bottom"/>
          </w:tcPr>
          <w:p>
            <w:pPr>
              <w:spacing w:after="0"/>
              <w:rPr>
                <w:sz w:val="1"/>
                <w:szCs w:val="1"/>
                <w:color w:val="auto"/>
              </w:rPr>
            </w:pPr>
          </w:p>
        </w:tc>
      </w:tr>
      <w:tr>
        <w:trPr>
          <w:trHeight w:val="215"/>
        </w:trPr>
        <w:tc>
          <w:tcPr>
            <w:tcW w:w="7800" w:type="dxa"/>
            <w:vAlign w:val="bottom"/>
            <w:shd w:val="clear" w:color="auto" w:fill="CCEEFF"/>
          </w:tcPr>
          <w:p>
            <w:pPr>
              <w:ind w:left="460"/>
              <w:spacing w:after="0"/>
              <w:rPr>
                <w:sz w:val="20"/>
                <w:szCs w:val="20"/>
                <w:color w:val="auto"/>
              </w:rPr>
            </w:pPr>
            <w:r>
              <w:rPr>
                <w:rFonts w:ascii="Arial" w:cs="Arial" w:eastAsia="Arial" w:hAnsi="Arial"/>
                <w:sz w:val="17"/>
                <w:szCs w:val="17"/>
                <w:color w:val="auto"/>
              </w:rPr>
              <w:t>Total stockholders’ equity</w:t>
            </w:r>
          </w:p>
        </w:tc>
        <w:tc>
          <w:tcPr>
            <w:tcW w:w="26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2,279,290</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2,232,537</w:t>
            </w:r>
          </w:p>
        </w:tc>
        <w:tc>
          <w:tcPr>
            <w:tcW w:w="0" w:type="dxa"/>
            <w:vAlign w:val="bottom"/>
          </w:tcPr>
          <w:p>
            <w:pPr>
              <w:spacing w:after="0"/>
              <w:rPr>
                <w:sz w:val="1"/>
                <w:szCs w:val="1"/>
                <w:color w:val="auto"/>
              </w:rPr>
            </w:pPr>
          </w:p>
        </w:tc>
      </w:tr>
      <w:tr>
        <w:trPr>
          <w:trHeight w:val="222"/>
        </w:trPr>
        <w:tc>
          <w:tcPr>
            <w:tcW w:w="780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Noncontrolling interests</w:t>
            </w:r>
          </w:p>
        </w:tc>
        <w:tc>
          <w:tcPr>
            <w:tcW w:w="26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w:t>
            </w:r>
          </w:p>
        </w:tc>
        <w:tc>
          <w:tcPr>
            <w:tcW w:w="0" w:type="dxa"/>
            <w:vAlign w:val="bottom"/>
          </w:tcPr>
          <w:p>
            <w:pPr>
              <w:spacing w:after="0"/>
              <w:rPr>
                <w:sz w:val="1"/>
                <w:szCs w:val="1"/>
                <w:color w:val="auto"/>
              </w:rPr>
            </w:pPr>
          </w:p>
        </w:tc>
      </w:tr>
      <w:tr>
        <w:trPr>
          <w:trHeight w:val="215"/>
        </w:trPr>
        <w:tc>
          <w:tcPr>
            <w:tcW w:w="7800" w:type="dxa"/>
            <w:vAlign w:val="bottom"/>
            <w:shd w:val="clear" w:color="auto" w:fill="CCEEFF"/>
          </w:tcPr>
          <w:p>
            <w:pPr>
              <w:ind w:left="460"/>
              <w:spacing w:after="0"/>
              <w:rPr>
                <w:sz w:val="20"/>
                <w:szCs w:val="20"/>
                <w:color w:val="auto"/>
              </w:rPr>
            </w:pPr>
            <w:r>
              <w:rPr>
                <w:rFonts w:ascii="Arial" w:cs="Arial" w:eastAsia="Arial" w:hAnsi="Arial"/>
                <w:sz w:val="17"/>
                <w:szCs w:val="17"/>
                <w:color w:val="auto"/>
              </w:rPr>
              <w:t>Total equity</w:t>
            </w:r>
          </w:p>
        </w:tc>
        <w:tc>
          <w:tcPr>
            <w:tcW w:w="260" w:type="dxa"/>
            <w:vAlign w:val="bottom"/>
            <w:tcBorders>
              <w:bottom w:val="single" w:sz="8" w:color="auto"/>
            </w:tcBorders>
            <w:shd w:val="clear" w:color="auto" w:fill="CCEEFF"/>
          </w:tcPr>
          <w:p>
            <w:pPr>
              <w:spacing w:after="0"/>
              <w:rPr>
                <w:sz w:val="18"/>
                <w:szCs w:val="18"/>
                <w:color w:val="auto"/>
              </w:rPr>
            </w:pP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2,279,302</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2,232,549</w:t>
            </w:r>
          </w:p>
        </w:tc>
        <w:tc>
          <w:tcPr>
            <w:tcW w:w="0" w:type="dxa"/>
            <w:vAlign w:val="bottom"/>
          </w:tcPr>
          <w:p>
            <w:pPr>
              <w:spacing w:after="0"/>
              <w:rPr>
                <w:sz w:val="1"/>
                <w:szCs w:val="1"/>
                <w:color w:val="auto"/>
              </w:rPr>
            </w:pPr>
          </w:p>
        </w:tc>
      </w:tr>
      <w:tr>
        <w:trPr>
          <w:trHeight w:val="215"/>
        </w:trPr>
        <w:tc>
          <w:tcPr>
            <w:tcW w:w="7800" w:type="dxa"/>
            <w:vAlign w:val="bottom"/>
          </w:tcPr>
          <w:p>
            <w:pPr>
              <w:ind w:left="460"/>
              <w:spacing w:after="0"/>
              <w:rPr>
                <w:sz w:val="20"/>
                <w:szCs w:val="20"/>
                <w:color w:val="auto"/>
              </w:rPr>
            </w:pPr>
            <w:r>
              <w:rPr>
                <w:rFonts w:ascii="Arial" w:cs="Arial" w:eastAsia="Arial" w:hAnsi="Arial"/>
                <w:sz w:val="17"/>
                <w:szCs w:val="17"/>
                <w:color w:val="auto"/>
              </w:rPr>
              <w:t>Total liabilities and equity</w:t>
            </w:r>
          </w:p>
        </w:tc>
        <w:tc>
          <w:tcPr>
            <w:tcW w:w="26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color w:val="auto"/>
              </w:rPr>
              <w:t>$</w:t>
            </w: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4,160,157</w:t>
            </w:r>
          </w:p>
        </w:tc>
        <w:tc>
          <w:tcPr>
            <w:tcW w:w="10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4,021,980</w:t>
            </w:r>
          </w:p>
        </w:tc>
        <w:tc>
          <w:tcPr>
            <w:tcW w:w="0" w:type="dxa"/>
            <w:vAlign w:val="bottom"/>
          </w:tcPr>
          <w:p>
            <w:pPr>
              <w:spacing w:after="0"/>
              <w:rPr>
                <w:sz w:val="1"/>
                <w:szCs w:val="1"/>
                <w:color w:val="auto"/>
              </w:rPr>
            </w:pPr>
          </w:p>
        </w:tc>
      </w:tr>
      <w:tr>
        <w:trPr>
          <w:trHeight w:val="20"/>
        </w:trPr>
        <w:tc>
          <w:tcPr>
            <w:tcW w:w="78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See accompanying condensed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- 3 -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00"/>
          </w:cols>
          <w:pgMar w:left="320" w:top="866" w:right="379" w:bottom="1440" w:gutter="0" w:footer="0" w:header="0"/>
        </w:sectPr>
      </w:pPr>
    </w:p>
    <w:bookmarkStart w:id="4" w:name="page5"/>
    <w:bookmarkEnd w:id="4"/>
    <w:p>
      <w:pPr>
        <w:jc w:val="center"/>
        <w:spacing w:after="0"/>
        <w:rPr>
          <w:sz w:val="20"/>
          <w:szCs w:val="20"/>
          <w:color w:val="auto"/>
        </w:rPr>
      </w:pPr>
      <w:r>
        <w:rPr>
          <w:rFonts w:ascii="Arial" w:cs="Arial" w:eastAsia="Arial" w:hAnsi="Arial"/>
          <w:sz w:val="17"/>
          <w:szCs w:val="17"/>
          <w:b w:val="1"/>
          <w:bCs w:val="1"/>
          <w:color w:val="auto"/>
        </w:rPr>
        <w:t>TRI POINTE HOMES, INC.</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CONSOLIDATED STATEMENTS OF OPERATIONS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share and per share amounts)</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40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240" w:type="dxa"/>
            <w:vAlign w:val="bottom"/>
            <w:gridSpan w:val="5"/>
          </w:tcPr>
          <w:p>
            <w:pPr>
              <w:ind w:left="480"/>
              <w:spacing w:after="0"/>
              <w:rPr>
                <w:sz w:val="20"/>
                <w:szCs w:val="20"/>
                <w:color w:val="auto"/>
              </w:rPr>
            </w:pPr>
            <w:r>
              <w:rPr>
                <w:rFonts w:ascii="Arial" w:cs="Arial" w:eastAsia="Arial" w:hAnsi="Arial"/>
                <w:sz w:val="14"/>
                <w:szCs w:val="14"/>
                <w:b w:val="1"/>
                <w:bCs w:val="1"/>
                <w:color w:val="auto"/>
              </w:rPr>
              <w:t>Three Months Ended June 30,</w:t>
            </w:r>
          </w:p>
        </w:tc>
        <w:tc>
          <w:tcPr>
            <w:tcW w:w="420" w:type="dxa"/>
            <w:vAlign w:val="bottom"/>
          </w:tcPr>
          <w:p>
            <w:pPr>
              <w:spacing w:after="0"/>
              <w:rPr>
                <w:sz w:val="16"/>
                <w:szCs w:val="16"/>
                <w:color w:val="auto"/>
              </w:rPr>
            </w:pPr>
          </w:p>
        </w:tc>
        <w:tc>
          <w:tcPr>
            <w:tcW w:w="3140" w:type="dxa"/>
            <w:vAlign w:val="bottom"/>
            <w:gridSpan w:val="4"/>
          </w:tcPr>
          <w:p>
            <w:pPr>
              <w:jc w:val="right"/>
              <w:ind w:right="882"/>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81"/>
        </w:trPr>
        <w:tc>
          <w:tcPr>
            <w:tcW w:w="4040" w:type="dxa"/>
            <w:vAlign w:val="bottom"/>
            <w:tcBorders>
              <w:bottom w:val="single" w:sz="8" w:color="CCEEFF"/>
            </w:tcBorders>
          </w:tcPr>
          <w:p>
            <w:pPr>
              <w:spacing w:after="0"/>
              <w:rPr>
                <w:sz w:val="15"/>
                <w:szCs w:val="15"/>
                <w:color w:val="auto"/>
              </w:rPr>
            </w:pPr>
          </w:p>
        </w:tc>
        <w:tc>
          <w:tcPr>
            <w:tcW w:w="400" w:type="dxa"/>
            <w:vAlign w:val="bottom"/>
            <w:tcBorders>
              <w:top w:val="single" w:sz="8" w:color="auto"/>
              <w:bottom w:val="single" w:sz="8" w:color="auto"/>
            </w:tcBorders>
          </w:tcPr>
          <w:p>
            <w:pPr>
              <w:spacing w:after="0"/>
              <w:rPr>
                <w:sz w:val="15"/>
                <w:szCs w:val="15"/>
                <w:color w:val="auto"/>
              </w:rPr>
            </w:pPr>
          </w:p>
        </w:tc>
        <w:tc>
          <w:tcPr>
            <w:tcW w:w="1320" w:type="dxa"/>
            <w:vAlign w:val="bottom"/>
            <w:tcBorders>
              <w:top w:val="single" w:sz="8" w:color="auto"/>
              <w:bottom w:val="single" w:sz="8" w:color="auto"/>
            </w:tcBorders>
          </w:tcPr>
          <w:p>
            <w:pPr>
              <w:jc w:val="right"/>
              <w:ind w:right="64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5"/>
                <w:szCs w:val="15"/>
                <w:color w:val="auto"/>
              </w:rPr>
            </w:pPr>
          </w:p>
        </w:tc>
        <w:tc>
          <w:tcPr>
            <w:tcW w:w="400" w:type="dxa"/>
            <w:vAlign w:val="bottom"/>
            <w:tcBorders>
              <w:top w:val="single" w:sz="8" w:color="auto"/>
              <w:bottom w:val="single" w:sz="8" w:color="auto"/>
            </w:tcBorders>
          </w:tcPr>
          <w:p>
            <w:pPr>
              <w:spacing w:after="0"/>
              <w:rPr>
                <w:sz w:val="15"/>
                <w:szCs w:val="15"/>
                <w:color w:val="auto"/>
              </w:rPr>
            </w:pPr>
          </w:p>
        </w:tc>
        <w:tc>
          <w:tcPr>
            <w:tcW w:w="1320" w:type="dxa"/>
            <w:vAlign w:val="bottom"/>
            <w:tcBorders>
              <w:top w:val="single" w:sz="8" w:color="auto"/>
              <w:bottom w:val="single" w:sz="8" w:color="auto"/>
            </w:tcBorders>
          </w:tcPr>
          <w:p>
            <w:pPr>
              <w:jc w:val="right"/>
              <w:ind w:right="642"/>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5"/>
                <w:szCs w:val="15"/>
                <w:color w:val="auto"/>
              </w:rPr>
            </w:pPr>
          </w:p>
        </w:tc>
        <w:tc>
          <w:tcPr>
            <w:tcW w:w="420" w:type="dxa"/>
            <w:vAlign w:val="bottom"/>
            <w:tcBorders>
              <w:top w:val="single" w:sz="8" w:color="auto"/>
              <w:bottom w:val="single" w:sz="8" w:color="auto"/>
            </w:tcBorders>
          </w:tcPr>
          <w:p>
            <w:pPr>
              <w:spacing w:after="0"/>
              <w:rPr>
                <w:sz w:val="15"/>
                <w:szCs w:val="15"/>
                <w:color w:val="auto"/>
              </w:rPr>
            </w:pPr>
          </w:p>
        </w:tc>
        <w:tc>
          <w:tcPr>
            <w:tcW w:w="1320" w:type="dxa"/>
            <w:vAlign w:val="bottom"/>
            <w:tcBorders>
              <w:top w:val="single" w:sz="8" w:color="auto"/>
              <w:bottom w:val="single" w:sz="8" w:color="auto"/>
            </w:tcBorders>
          </w:tcPr>
          <w:p>
            <w:pPr>
              <w:jc w:val="right"/>
              <w:ind w:right="64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5"/>
                <w:szCs w:val="15"/>
                <w:color w:val="auto"/>
              </w:rPr>
            </w:pPr>
          </w:p>
        </w:tc>
        <w:tc>
          <w:tcPr>
            <w:tcW w:w="400" w:type="dxa"/>
            <w:vAlign w:val="bottom"/>
            <w:tcBorders>
              <w:top w:val="single" w:sz="8" w:color="auto"/>
              <w:bottom w:val="single" w:sz="8" w:color="auto"/>
            </w:tcBorders>
          </w:tcPr>
          <w:p>
            <w:pPr>
              <w:spacing w:after="0"/>
              <w:rPr>
                <w:sz w:val="15"/>
                <w:szCs w:val="15"/>
                <w:color w:val="auto"/>
              </w:rPr>
            </w:pPr>
          </w:p>
        </w:tc>
        <w:tc>
          <w:tcPr>
            <w:tcW w:w="1320" w:type="dxa"/>
            <w:vAlign w:val="bottom"/>
            <w:tcBorders>
              <w:top w:val="single" w:sz="8" w:color="auto"/>
              <w:bottom w:val="single" w:sz="8" w:color="auto"/>
            </w:tcBorders>
          </w:tcPr>
          <w:p>
            <w:pPr>
              <w:jc w:val="right"/>
              <w:ind w:right="642"/>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90"/>
        </w:trPr>
        <w:tc>
          <w:tcPr>
            <w:tcW w:w="40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Homebuilding:</w:t>
            </w:r>
          </w:p>
        </w:tc>
        <w:tc>
          <w:tcPr>
            <w:tcW w:w="400" w:type="dxa"/>
            <w:vAlign w:val="bottom"/>
            <w:shd w:val="clear" w:color="auto" w:fill="CCEEFF"/>
          </w:tcPr>
          <w:p>
            <w:pPr>
              <w:spacing w:after="0"/>
              <w:rPr>
                <w:sz w:val="16"/>
                <w:szCs w:val="16"/>
                <w:color w:val="auto"/>
              </w:rPr>
            </w:pPr>
          </w:p>
        </w:tc>
        <w:tc>
          <w:tcPr>
            <w:tcW w:w="13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3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3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3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4040" w:type="dxa"/>
            <w:vAlign w:val="bottom"/>
          </w:tcPr>
          <w:p>
            <w:pPr>
              <w:ind w:left="140"/>
              <w:spacing w:after="0"/>
              <w:rPr>
                <w:sz w:val="20"/>
                <w:szCs w:val="20"/>
                <w:color w:val="auto"/>
              </w:rPr>
            </w:pPr>
            <w:r>
              <w:rPr>
                <w:rFonts w:ascii="Arial" w:cs="Arial" w:eastAsia="Arial" w:hAnsi="Arial"/>
                <w:sz w:val="16"/>
                <w:szCs w:val="16"/>
                <w:color w:val="auto"/>
              </w:rPr>
              <w:t>Home sales revenue</w:t>
            </w:r>
          </w:p>
        </w:tc>
        <w:tc>
          <w:tcPr>
            <w:tcW w:w="400" w:type="dxa"/>
            <w:vAlign w:val="bottom"/>
          </w:tcPr>
          <w:p>
            <w:pPr>
              <w:jc w:val="right"/>
              <w:ind w:right="222"/>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ind w:right="2"/>
              <w:spacing w:after="0"/>
              <w:rPr>
                <w:sz w:val="20"/>
                <w:szCs w:val="20"/>
                <w:color w:val="auto"/>
              </w:rPr>
            </w:pPr>
            <w:r>
              <w:rPr>
                <w:rFonts w:ascii="Arial" w:cs="Arial" w:eastAsia="Arial" w:hAnsi="Arial"/>
                <w:sz w:val="16"/>
                <w:szCs w:val="16"/>
                <w:color w:val="auto"/>
              </w:rPr>
              <w:t>1,009,307</w:t>
            </w:r>
          </w:p>
        </w:tc>
        <w:tc>
          <w:tcPr>
            <w:tcW w:w="100" w:type="dxa"/>
            <w:vAlign w:val="bottom"/>
          </w:tcPr>
          <w:p>
            <w:pPr>
              <w:spacing w:after="0"/>
              <w:rPr>
                <w:sz w:val="17"/>
                <w:szCs w:val="17"/>
                <w:color w:val="auto"/>
              </w:rPr>
            </w:pPr>
          </w:p>
        </w:tc>
        <w:tc>
          <w:tcPr>
            <w:tcW w:w="400" w:type="dxa"/>
            <w:vAlign w:val="bottom"/>
          </w:tcPr>
          <w:p>
            <w:pPr>
              <w:jc w:val="right"/>
              <w:ind w:right="222"/>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766,942</w:t>
            </w:r>
          </w:p>
        </w:tc>
        <w:tc>
          <w:tcPr>
            <w:tcW w:w="100" w:type="dxa"/>
            <w:vAlign w:val="bottom"/>
          </w:tcPr>
          <w:p>
            <w:pPr>
              <w:spacing w:after="0"/>
              <w:rPr>
                <w:sz w:val="17"/>
                <w:szCs w:val="17"/>
                <w:color w:val="auto"/>
              </w:rPr>
            </w:pPr>
          </w:p>
        </w:tc>
        <w:tc>
          <w:tcPr>
            <w:tcW w:w="420" w:type="dxa"/>
            <w:vAlign w:val="bottom"/>
          </w:tcPr>
          <w:p>
            <w:pPr>
              <w:jc w:val="right"/>
              <w:ind w:right="242"/>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ind w:right="2"/>
              <w:spacing w:after="0"/>
              <w:rPr>
                <w:sz w:val="20"/>
                <w:szCs w:val="20"/>
                <w:color w:val="auto"/>
              </w:rPr>
            </w:pPr>
            <w:r>
              <w:rPr>
                <w:rFonts w:ascii="Arial" w:cs="Arial" w:eastAsia="Arial" w:hAnsi="Arial"/>
                <w:sz w:val="16"/>
                <w:szCs w:val="16"/>
                <w:color w:val="auto"/>
              </w:rPr>
              <w:t>1,725,982</w:t>
            </w:r>
          </w:p>
        </w:tc>
        <w:tc>
          <w:tcPr>
            <w:tcW w:w="100" w:type="dxa"/>
            <w:vAlign w:val="bottom"/>
          </w:tcPr>
          <w:p>
            <w:pPr>
              <w:spacing w:after="0"/>
              <w:rPr>
                <w:sz w:val="17"/>
                <w:szCs w:val="17"/>
                <w:color w:val="auto"/>
              </w:rPr>
            </w:pPr>
          </w:p>
        </w:tc>
        <w:tc>
          <w:tcPr>
            <w:tcW w:w="400" w:type="dxa"/>
            <w:vAlign w:val="bottom"/>
          </w:tcPr>
          <w:p>
            <w:pPr>
              <w:jc w:val="right"/>
              <w:ind w:right="222"/>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1,361,780</w:t>
            </w:r>
          </w:p>
        </w:tc>
        <w:tc>
          <w:tcPr>
            <w:tcW w:w="0" w:type="dxa"/>
            <w:vAlign w:val="bottom"/>
          </w:tcPr>
          <w:p>
            <w:pPr>
              <w:spacing w:after="0"/>
              <w:rPr>
                <w:sz w:val="1"/>
                <w:szCs w:val="1"/>
                <w:color w:val="auto"/>
              </w:rPr>
            </w:pPr>
          </w:p>
        </w:tc>
      </w:tr>
      <w:tr>
        <w:trPr>
          <w:trHeight w:val="212"/>
        </w:trPr>
        <w:tc>
          <w:tcPr>
            <w:tcW w:w="40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Land and lot sales revenue</w:t>
            </w: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5,416</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220</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6,939</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220</w:t>
            </w:r>
          </w:p>
        </w:tc>
        <w:tc>
          <w:tcPr>
            <w:tcW w:w="0" w:type="dxa"/>
            <w:vAlign w:val="bottom"/>
          </w:tcPr>
          <w:p>
            <w:pPr>
              <w:spacing w:after="0"/>
              <w:rPr>
                <w:sz w:val="1"/>
                <w:szCs w:val="1"/>
                <w:color w:val="auto"/>
              </w:rPr>
            </w:pPr>
          </w:p>
        </w:tc>
      </w:tr>
      <w:tr>
        <w:trPr>
          <w:trHeight w:val="206"/>
        </w:trPr>
        <w:tc>
          <w:tcPr>
            <w:tcW w:w="4040" w:type="dxa"/>
            <w:vAlign w:val="bottom"/>
            <w:tcBorders>
              <w:bottom w:val="single" w:sz="8" w:color="CCEEFF"/>
            </w:tcBorders>
          </w:tcPr>
          <w:p>
            <w:pPr>
              <w:ind w:left="140"/>
              <w:spacing w:after="0"/>
              <w:rPr>
                <w:sz w:val="20"/>
                <w:szCs w:val="20"/>
                <w:color w:val="auto"/>
              </w:rPr>
            </w:pPr>
            <w:r>
              <w:rPr>
                <w:rFonts w:ascii="Arial" w:cs="Arial" w:eastAsia="Arial" w:hAnsi="Arial"/>
                <w:sz w:val="16"/>
                <w:szCs w:val="16"/>
                <w:color w:val="auto"/>
              </w:rPr>
              <w:t>Other operations revenue</w:t>
            </w:r>
          </w:p>
        </w:tc>
        <w:tc>
          <w:tcPr>
            <w:tcW w:w="4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660</w:t>
            </w:r>
          </w:p>
        </w:tc>
        <w:tc>
          <w:tcPr>
            <w:tcW w:w="10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648</w:t>
            </w:r>
          </w:p>
        </w:tc>
        <w:tc>
          <w:tcPr>
            <w:tcW w:w="10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1,323</w:t>
            </w:r>
          </w:p>
        </w:tc>
        <w:tc>
          <w:tcPr>
            <w:tcW w:w="10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1,266</w:t>
            </w:r>
          </w:p>
        </w:tc>
        <w:tc>
          <w:tcPr>
            <w:tcW w:w="0" w:type="dxa"/>
            <w:vAlign w:val="bottom"/>
          </w:tcPr>
          <w:p>
            <w:pPr>
              <w:spacing w:after="0"/>
              <w:rPr>
                <w:sz w:val="1"/>
                <w:szCs w:val="1"/>
                <w:color w:val="auto"/>
              </w:rPr>
            </w:pPr>
          </w:p>
        </w:tc>
      </w:tr>
      <w:tr>
        <w:trPr>
          <w:trHeight w:val="205"/>
        </w:trPr>
        <w:tc>
          <w:tcPr>
            <w:tcW w:w="4040" w:type="dxa"/>
            <w:vAlign w:val="bottom"/>
            <w:shd w:val="clear" w:color="auto" w:fill="CCEEFF"/>
          </w:tcPr>
          <w:p>
            <w:pPr>
              <w:ind w:left="460"/>
              <w:spacing w:after="0"/>
              <w:rPr>
                <w:sz w:val="20"/>
                <w:szCs w:val="20"/>
                <w:color w:val="auto"/>
              </w:rPr>
            </w:pPr>
            <w:r>
              <w:rPr>
                <w:rFonts w:ascii="Arial" w:cs="Arial" w:eastAsia="Arial" w:hAnsi="Arial"/>
                <w:sz w:val="16"/>
                <w:szCs w:val="16"/>
                <w:color w:val="auto"/>
              </w:rPr>
              <w:t>Total revenues</w:t>
            </w:r>
          </w:p>
        </w:tc>
        <w:tc>
          <w:tcPr>
            <w:tcW w:w="40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1,015,383</w:t>
            </w: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767,810</w:t>
            </w:r>
          </w:p>
        </w:tc>
        <w:tc>
          <w:tcPr>
            <w:tcW w:w="1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1,734,244</w:t>
            </w: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1,363,266</w:t>
            </w:r>
          </w:p>
        </w:tc>
        <w:tc>
          <w:tcPr>
            <w:tcW w:w="0" w:type="dxa"/>
            <w:vAlign w:val="bottom"/>
          </w:tcPr>
          <w:p>
            <w:pPr>
              <w:spacing w:after="0"/>
              <w:rPr>
                <w:sz w:val="1"/>
                <w:szCs w:val="1"/>
                <w:color w:val="auto"/>
              </w:rPr>
            </w:pPr>
          </w:p>
        </w:tc>
      </w:tr>
      <w:tr>
        <w:trPr>
          <w:trHeight w:val="206"/>
        </w:trPr>
        <w:tc>
          <w:tcPr>
            <w:tcW w:w="4040" w:type="dxa"/>
            <w:vAlign w:val="bottom"/>
          </w:tcPr>
          <w:p>
            <w:pPr>
              <w:ind w:left="140"/>
              <w:spacing w:after="0"/>
              <w:rPr>
                <w:sz w:val="20"/>
                <w:szCs w:val="20"/>
                <w:color w:val="auto"/>
              </w:rPr>
            </w:pPr>
            <w:r>
              <w:rPr>
                <w:rFonts w:ascii="Arial" w:cs="Arial" w:eastAsia="Arial" w:hAnsi="Arial"/>
                <w:sz w:val="16"/>
                <w:szCs w:val="16"/>
                <w:color w:val="auto"/>
              </w:rPr>
              <w:t>Cost of home sales</w:t>
            </w:r>
          </w:p>
        </w:tc>
        <w:tc>
          <w:tcPr>
            <w:tcW w:w="400" w:type="dxa"/>
            <w:vAlign w:val="bottom"/>
          </w:tcPr>
          <w:p>
            <w:pPr>
              <w:spacing w:after="0"/>
              <w:rPr>
                <w:sz w:val="17"/>
                <w:szCs w:val="17"/>
                <w:color w:val="auto"/>
              </w:rPr>
            </w:pPr>
          </w:p>
        </w:tc>
        <w:tc>
          <w:tcPr>
            <w:tcW w:w="1320" w:type="dxa"/>
            <w:vAlign w:val="bottom"/>
          </w:tcPr>
          <w:p>
            <w:pPr>
              <w:jc w:val="right"/>
              <w:ind w:right="2"/>
              <w:spacing w:after="0"/>
              <w:rPr>
                <w:sz w:val="20"/>
                <w:szCs w:val="20"/>
                <w:color w:val="auto"/>
              </w:rPr>
            </w:pPr>
            <w:r>
              <w:rPr>
                <w:rFonts w:ascii="Arial" w:cs="Arial" w:eastAsia="Arial" w:hAnsi="Arial"/>
                <w:sz w:val="16"/>
                <w:szCs w:val="16"/>
                <w:color w:val="auto"/>
              </w:rPr>
              <w:t>761,215</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601,434</w:t>
            </w: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320" w:type="dxa"/>
            <w:vAlign w:val="bottom"/>
          </w:tcPr>
          <w:p>
            <w:pPr>
              <w:jc w:val="right"/>
              <w:ind w:right="2"/>
              <w:spacing w:after="0"/>
              <w:rPr>
                <w:sz w:val="20"/>
                <w:szCs w:val="20"/>
                <w:color w:val="auto"/>
              </w:rPr>
            </w:pPr>
            <w:r>
              <w:rPr>
                <w:rFonts w:ascii="Arial" w:cs="Arial" w:eastAsia="Arial" w:hAnsi="Arial"/>
                <w:sz w:val="16"/>
                <w:szCs w:val="16"/>
                <w:color w:val="auto"/>
              </w:rPr>
              <w:t>1,306,571</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1,074,316</w:t>
            </w:r>
          </w:p>
        </w:tc>
        <w:tc>
          <w:tcPr>
            <w:tcW w:w="0" w:type="dxa"/>
            <w:vAlign w:val="bottom"/>
          </w:tcPr>
          <w:p>
            <w:pPr>
              <w:spacing w:after="0"/>
              <w:rPr>
                <w:sz w:val="1"/>
                <w:szCs w:val="1"/>
                <w:color w:val="auto"/>
              </w:rPr>
            </w:pPr>
          </w:p>
        </w:tc>
      </w:tr>
      <w:tr>
        <w:trPr>
          <w:trHeight w:val="212"/>
        </w:trPr>
        <w:tc>
          <w:tcPr>
            <w:tcW w:w="40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Cost of land and lot sales</w:t>
            </w: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4,874</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374</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5,027</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576</w:t>
            </w:r>
          </w:p>
        </w:tc>
        <w:tc>
          <w:tcPr>
            <w:tcW w:w="0" w:type="dxa"/>
            <w:vAlign w:val="bottom"/>
          </w:tcPr>
          <w:p>
            <w:pPr>
              <w:spacing w:after="0"/>
              <w:rPr>
                <w:sz w:val="1"/>
                <w:szCs w:val="1"/>
                <w:color w:val="auto"/>
              </w:rPr>
            </w:pPr>
          </w:p>
        </w:tc>
      </w:tr>
      <w:tr>
        <w:trPr>
          <w:trHeight w:val="206"/>
        </w:trPr>
        <w:tc>
          <w:tcPr>
            <w:tcW w:w="4040" w:type="dxa"/>
            <w:vAlign w:val="bottom"/>
          </w:tcPr>
          <w:p>
            <w:pPr>
              <w:ind w:left="140"/>
              <w:spacing w:after="0"/>
              <w:rPr>
                <w:sz w:val="20"/>
                <w:szCs w:val="20"/>
                <w:color w:val="auto"/>
              </w:rPr>
            </w:pPr>
            <w:r>
              <w:rPr>
                <w:rFonts w:ascii="Arial" w:cs="Arial" w:eastAsia="Arial" w:hAnsi="Arial"/>
                <w:sz w:val="16"/>
                <w:szCs w:val="16"/>
                <w:color w:val="auto"/>
              </w:rPr>
              <w:t>Other operations expense</w:t>
            </w:r>
          </w:p>
        </w:tc>
        <w:tc>
          <w:tcPr>
            <w:tcW w:w="400" w:type="dxa"/>
            <w:vAlign w:val="bottom"/>
          </w:tcPr>
          <w:p>
            <w:pPr>
              <w:spacing w:after="0"/>
              <w:rPr>
                <w:sz w:val="17"/>
                <w:szCs w:val="17"/>
                <w:color w:val="auto"/>
              </w:rPr>
            </w:pPr>
          </w:p>
        </w:tc>
        <w:tc>
          <w:tcPr>
            <w:tcW w:w="1320" w:type="dxa"/>
            <w:vAlign w:val="bottom"/>
          </w:tcPr>
          <w:p>
            <w:pPr>
              <w:jc w:val="right"/>
              <w:ind w:right="2"/>
              <w:spacing w:after="0"/>
              <w:rPr>
                <w:sz w:val="20"/>
                <w:szCs w:val="20"/>
                <w:color w:val="auto"/>
              </w:rPr>
            </w:pPr>
            <w:r>
              <w:rPr>
                <w:rFonts w:ascii="Arial" w:cs="Arial" w:eastAsia="Arial" w:hAnsi="Arial"/>
                <w:sz w:val="16"/>
                <w:szCs w:val="16"/>
                <w:color w:val="auto"/>
              </w:rPr>
              <w:t>686</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624</w:t>
            </w: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320" w:type="dxa"/>
            <w:vAlign w:val="bottom"/>
          </w:tcPr>
          <w:p>
            <w:pPr>
              <w:jc w:val="right"/>
              <w:ind w:right="2"/>
              <w:spacing w:after="0"/>
              <w:rPr>
                <w:sz w:val="20"/>
                <w:szCs w:val="20"/>
                <w:color w:val="auto"/>
              </w:rPr>
            </w:pPr>
            <w:r>
              <w:rPr>
                <w:rFonts w:ascii="Arial" w:cs="Arial" w:eastAsia="Arial" w:hAnsi="Arial"/>
                <w:sz w:val="16"/>
                <w:szCs w:val="16"/>
                <w:color w:val="auto"/>
              </w:rPr>
              <w:t>1,310</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1,248</w:t>
            </w:r>
          </w:p>
        </w:tc>
        <w:tc>
          <w:tcPr>
            <w:tcW w:w="0" w:type="dxa"/>
            <w:vAlign w:val="bottom"/>
          </w:tcPr>
          <w:p>
            <w:pPr>
              <w:spacing w:after="0"/>
              <w:rPr>
                <w:sz w:val="1"/>
                <w:szCs w:val="1"/>
                <w:color w:val="auto"/>
              </w:rPr>
            </w:pPr>
          </w:p>
        </w:tc>
      </w:tr>
      <w:tr>
        <w:trPr>
          <w:trHeight w:val="212"/>
        </w:trPr>
        <w:tc>
          <w:tcPr>
            <w:tcW w:w="40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Sales and marketing</w:t>
            </w: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45,489</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45,194</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85,949</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87,831</w:t>
            </w:r>
          </w:p>
        </w:tc>
        <w:tc>
          <w:tcPr>
            <w:tcW w:w="0" w:type="dxa"/>
            <w:vAlign w:val="bottom"/>
          </w:tcPr>
          <w:p>
            <w:pPr>
              <w:spacing w:after="0"/>
              <w:rPr>
                <w:sz w:val="1"/>
                <w:szCs w:val="1"/>
                <w:color w:val="auto"/>
              </w:rPr>
            </w:pPr>
          </w:p>
        </w:tc>
      </w:tr>
      <w:tr>
        <w:trPr>
          <w:trHeight w:val="206"/>
        </w:trPr>
        <w:tc>
          <w:tcPr>
            <w:tcW w:w="4040" w:type="dxa"/>
            <w:vAlign w:val="bottom"/>
          </w:tcPr>
          <w:p>
            <w:pPr>
              <w:ind w:left="140"/>
              <w:spacing w:after="0"/>
              <w:rPr>
                <w:sz w:val="20"/>
                <w:szCs w:val="20"/>
                <w:color w:val="auto"/>
              </w:rPr>
            </w:pPr>
            <w:r>
              <w:rPr>
                <w:rFonts w:ascii="Arial" w:cs="Arial" w:eastAsia="Arial" w:hAnsi="Arial"/>
                <w:sz w:val="16"/>
                <w:szCs w:val="16"/>
                <w:color w:val="auto"/>
              </w:rPr>
              <w:t>General and administrative</w:t>
            </w:r>
          </w:p>
        </w:tc>
        <w:tc>
          <w:tcPr>
            <w:tcW w:w="400" w:type="dxa"/>
            <w:vAlign w:val="bottom"/>
          </w:tcPr>
          <w:p>
            <w:pPr>
              <w:spacing w:after="0"/>
              <w:rPr>
                <w:sz w:val="17"/>
                <w:szCs w:val="17"/>
                <w:color w:val="auto"/>
              </w:rPr>
            </w:pPr>
          </w:p>
        </w:tc>
        <w:tc>
          <w:tcPr>
            <w:tcW w:w="1320" w:type="dxa"/>
            <w:vAlign w:val="bottom"/>
          </w:tcPr>
          <w:p>
            <w:pPr>
              <w:jc w:val="right"/>
              <w:ind w:right="2"/>
              <w:spacing w:after="0"/>
              <w:rPr>
                <w:sz w:val="20"/>
                <w:szCs w:val="20"/>
                <w:color w:val="auto"/>
              </w:rPr>
            </w:pPr>
            <w:r>
              <w:rPr>
                <w:rFonts w:ascii="Arial" w:cs="Arial" w:eastAsia="Arial" w:hAnsi="Arial"/>
                <w:sz w:val="16"/>
                <w:szCs w:val="16"/>
                <w:color w:val="auto"/>
              </w:rPr>
              <w:t>51,263</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37,554</w:t>
            </w: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320" w:type="dxa"/>
            <w:vAlign w:val="bottom"/>
          </w:tcPr>
          <w:p>
            <w:pPr>
              <w:jc w:val="right"/>
              <w:ind w:right="2"/>
              <w:spacing w:after="0"/>
              <w:rPr>
                <w:sz w:val="20"/>
                <w:szCs w:val="20"/>
                <w:color w:val="auto"/>
              </w:rPr>
            </w:pPr>
            <w:r>
              <w:rPr>
                <w:rFonts w:ascii="Arial" w:cs="Arial" w:eastAsia="Arial" w:hAnsi="Arial"/>
                <w:sz w:val="16"/>
                <w:szCs w:val="16"/>
                <w:color w:val="auto"/>
              </w:rPr>
              <w:t>92,612</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77,391</w:t>
            </w:r>
          </w:p>
        </w:tc>
        <w:tc>
          <w:tcPr>
            <w:tcW w:w="0" w:type="dxa"/>
            <w:vAlign w:val="bottom"/>
          </w:tcPr>
          <w:p>
            <w:pPr>
              <w:spacing w:after="0"/>
              <w:rPr>
                <w:sz w:val="1"/>
                <w:szCs w:val="1"/>
                <w:color w:val="auto"/>
              </w:rPr>
            </w:pPr>
          </w:p>
        </w:tc>
      </w:tr>
      <w:tr>
        <w:trPr>
          <w:trHeight w:val="212"/>
        </w:trPr>
        <w:tc>
          <w:tcPr>
            <w:tcW w:w="40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Restructuring charges</w:t>
            </w:r>
          </w:p>
        </w:tc>
        <w:tc>
          <w:tcPr>
            <w:tcW w:w="4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5,549</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5,549</w:t>
            </w:r>
          </w:p>
        </w:tc>
        <w:tc>
          <w:tcPr>
            <w:tcW w:w="0" w:type="dxa"/>
            <w:vAlign w:val="bottom"/>
          </w:tcPr>
          <w:p>
            <w:pPr>
              <w:spacing w:after="0"/>
              <w:rPr>
                <w:sz w:val="1"/>
                <w:szCs w:val="1"/>
                <w:color w:val="auto"/>
              </w:rPr>
            </w:pPr>
          </w:p>
        </w:tc>
      </w:tr>
      <w:tr>
        <w:trPr>
          <w:trHeight w:val="199"/>
        </w:trPr>
        <w:tc>
          <w:tcPr>
            <w:tcW w:w="4040" w:type="dxa"/>
            <w:vAlign w:val="bottom"/>
          </w:tcPr>
          <w:p>
            <w:pPr>
              <w:ind w:left="220"/>
              <w:spacing w:after="0"/>
              <w:rPr>
                <w:sz w:val="20"/>
                <w:szCs w:val="20"/>
                <w:color w:val="auto"/>
              </w:rPr>
            </w:pPr>
            <w:r>
              <w:rPr>
                <w:rFonts w:ascii="Arial" w:cs="Arial" w:eastAsia="Arial" w:hAnsi="Arial"/>
                <w:sz w:val="16"/>
                <w:szCs w:val="16"/>
                <w:color w:val="auto"/>
              </w:rPr>
              <w:t>Homebuilding income from operations</w:t>
            </w:r>
          </w:p>
        </w:tc>
        <w:tc>
          <w:tcPr>
            <w:tcW w:w="40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jc w:val="right"/>
              <w:ind w:right="2"/>
              <w:spacing w:after="0"/>
              <w:rPr>
                <w:sz w:val="20"/>
                <w:szCs w:val="20"/>
                <w:color w:val="auto"/>
              </w:rPr>
            </w:pPr>
            <w:r>
              <w:rPr>
                <w:rFonts w:ascii="Arial" w:cs="Arial" w:eastAsia="Arial" w:hAnsi="Arial"/>
                <w:sz w:val="16"/>
                <w:szCs w:val="16"/>
                <w:color w:val="auto"/>
              </w:rPr>
              <w:t>151,856</w:t>
            </w:r>
          </w:p>
        </w:tc>
        <w:tc>
          <w:tcPr>
            <w:tcW w:w="100" w:type="dxa"/>
            <w:vAlign w:val="bottom"/>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77,081</w:t>
            </w:r>
          </w:p>
        </w:tc>
        <w:tc>
          <w:tcPr>
            <w:tcW w:w="100" w:type="dxa"/>
            <w:vAlign w:val="bottom"/>
          </w:tcPr>
          <w:p>
            <w:pPr>
              <w:spacing w:after="0"/>
              <w:rPr>
                <w:sz w:val="17"/>
                <w:szCs w:val="17"/>
                <w:color w:val="auto"/>
              </w:rPr>
            </w:pPr>
          </w:p>
        </w:tc>
        <w:tc>
          <w:tcPr>
            <w:tcW w:w="42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jc w:val="right"/>
              <w:ind w:right="2"/>
              <w:spacing w:after="0"/>
              <w:rPr>
                <w:sz w:val="20"/>
                <w:szCs w:val="20"/>
                <w:color w:val="auto"/>
              </w:rPr>
            </w:pPr>
            <w:r>
              <w:rPr>
                <w:rFonts w:ascii="Arial" w:cs="Arial" w:eastAsia="Arial" w:hAnsi="Arial"/>
                <w:sz w:val="16"/>
                <w:szCs w:val="16"/>
                <w:color w:val="auto"/>
              </w:rPr>
              <w:t>242,775</w:t>
            </w:r>
          </w:p>
        </w:tc>
        <w:tc>
          <w:tcPr>
            <w:tcW w:w="100" w:type="dxa"/>
            <w:vAlign w:val="bottom"/>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116,355</w:t>
            </w:r>
          </w:p>
        </w:tc>
        <w:tc>
          <w:tcPr>
            <w:tcW w:w="0" w:type="dxa"/>
            <w:vAlign w:val="bottom"/>
          </w:tcPr>
          <w:p>
            <w:pPr>
              <w:spacing w:after="0"/>
              <w:rPr>
                <w:sz w:val="1"/>
                <w:szCs w:val="1"/>
                <w:color w:val="auto"/>
              </w:rPr>
            </w:pPr>
          </w:p>
        </w:tc>
      </w:tr>
      <w:tr>
        <w:trPr>
          <w:trHeight w:val="212"/>
        </w:trPr>
        <w:tc>
          <w:tcPr>
            <w:tcW w:w="40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Equity in loss of unconsolidated entities</w:t>
            </w: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w:t>
            </w:r>
          </w:p>
        </w:tc>
        <w:tc>
          <w:tcPr>
            <w:tcW w:w="0" w:type="dxa"/>
            <w:vAlign w:val="bottom"/>
          </w:tcPr>
          <w:p>
            <w:pPr>
              <w:spacing w:after="0"/>
              <w:rPr>
                <w:sz w:val="1"/>
                <w:szCs w:val="1"/>
                <w:color w:val="auto"/>
              </w:rPr>
            </w:pPr>
          </w:p>
        </w:tc>
      </w:tr>
      <w:tr>
        <w:trPr>
          <w:trHeight w:val="206"/>
        </w:trPr>
        <w:tc>
          <w:tcPr>
            <w:tcW w:w="4040" w:type="dxa"/>
            <w:vAlign w:val="bottom"/>
            <w:tcBorders>
              <w:bottom w:val="single" w:sz="8" w:color="CCEEFF"/>
            </w:tcBorders>
          </w:tcPr>
          <w:p>
            <w:pPr>
              <w:ind w:left="140"/>
              <w:spacing w:after="0"/>
              <w:rPr>
                <w:sz w:val="20"/>
                <w:szCs w:val="20"/>
                <w:color w:val="auto"/>
              </w:rPr>
            </w:pPr>
            <w:r>
              <w:rPr>
                <w:rFonts w:ascii="Arial" w:cs="Arial" w:eastAsia="Arial" w:hAnsi="Arial"/>
                <w:sz w:val="16"/>
                <w:szCs w:val="16"/>
                <w:color w:val="auto"/>
              </w:rPr>
              <w:t>Other income (loss), net</w:t>
            </w:r>
          </w:p>
        </w:tc>
        <w:tc>
          <w:tcPr>
            <w:tcW w:w="4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149</w:t>
            </w:r>
          </w:p>
        </w:tc>
        <w:tc>
          <w:tcPr>
            <w:tcW w:w="10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(6,328)</w:t>
            </w:r>
          </w:p>
        </w:tc>
        <w:tc>
          <w:tcPr>
            <w:tcW w:w="10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257</w:t>
            </w:r>
          </w:p>
        </w:tc>
        <w:tc>
          <w:tcPr>
            <w:tcW w:w="10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(5,955)</w:t>
            </w:r>
          </w:p>
        </w:tc>
        <w:tc>
          <w:tcPr>
            <w:tcW w:w="0" w:type="dxa"/>
            <w:vAlign w:val="bottom"/>
          </w:tcPr>
          <w:p>
            <w:pPr>
              <w:spacing w:after="0"/>
              <w:rPr>
                <w:sz w:val="1"/>
                <w:szCs w:val="1"/>
                <w:color w:val="auto"/>
              </w:rPr>
            </w:pPr>
          </w:p>
        </w:tc>
      </w:tr>
      <w:tr>
        <w:trPr>
          <w:trHeight w:val="205"/>
        </w:trPr>
        <w:tc>
          <w:tcPr>
            <w:tcW w:w="4040" w:type="dxa"/>
            <w:vAlign w:val="bottom"/>
            <w:shd w:val="clear" w:color="auto" w:fill="CCEEFF"/>
          </w:tcPr>
          <w:p>
            <w:pPr>
              <w:ind w:left="460"/>
              <w:spacing w:after="0"/>
              <w:rPr>
                <w:sz w:val="20"/>
                <w:szCs w:val="20"/>
                <w:color w:val="auto"/>
              </w:rPr>
            </w:pPr>
            <w:r>
              <w:rPr>
                <w:rFonts w:ascii="Arial" w:cs="Arial" w:eastAsia="Arial" w:hAnsi="Arial"/>
                <w:sz w:val="16"/>
                <w:szCs w:val="16"/>
                <w:color w:val="auto"/>
              </w:rPr>
              <w:t>Homebuilding income before income taxes</w:t>
            </w:r>
          </w:p>
        </w:tc>
        <w:tc>
          <w:tcPr>
            <w:tcW w:w="400" w:type="dxa"/>
            <w:vAlign w:val="bottom"/>
            <w:tcBorders>
              <w:bottom w:val="single" w:sz="8" w:color="auto"/>
            </w:tcBorders>
            <w:shd w:val="clear" w:color="auto" w:fill="CCEEFF"/>
          </w:tcPr>
          <w:p>
            <w:pPr>
              <w:spacing w:after="0"/>
              <w:rPr>
                <w:sz w:val="17"/>
                <w:szCs w:val="17"/>
                <w:color w:val="auto"/>
              </w:rPr>
            </w:pPr>
          </w:p>
        </w:tc>
        <w:tc>
          <w:tcPr>
            <w:tcW w:w="13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151,989</w:t>
            </w:r>
          </w:p>
        </w:tc>
        <w:tc>
          <w:tcPr>
            <w:tcW w:w="100" w:type="dxa"/>
            <w:vAlign w:val="bottom"/>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spacing w:after="0"/>
              <w:rPr>
                <w:sz w:val="17"/>
                <w:szCs w:val="17"/>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70,728</w:t>
            </w:r>
          </w:p>
        </w:tc>
        <w:tc>
          <w:tcPr>
            <w:tcW w:w="100" w:type="dxa"/>
            <w:vAlign w:val="bottom"/>
            <w:shd w:val="clear" w:color="auto" w:fill="CCEEFF"/>
          </w:tcPr>
          <w:p>
            <w:pPr>
              <w:spacing w:after="0"/>
              <w:rPr>
                <w:sz w:val="17"/>
                <w:szCs w:val="17"/>
                <w:color w:val="auto"/>
              </w:rPr>
            </w:pPr>
          </w:p>
        </w:tc>
        <w:tc>
          <w:tcPr>
            <w:tcW w:w="420" w:type="dxa"/>
            <w:vAlign w:val="bottom"/>
            <w:tcBorders>
              <w:bottom w:val="single" w:sz="8" w:color="auto"/>
            </w:tcBorders>
            <w:shd w:val="clear" w:color="auto" w:fill="CCEEFF"/>
          </w:tcPr>
          <w:p>
            <w:pPr>
              <w:spacing w:after="0"/>
              <w:rPr>
                <w:sz w:val="17"/>
                <w:szCs w:val="17"/>
                <w:color w:val="auto"/>
              </w:rPr>
            </w:pPr>
          </w:p>
        </w:tc>
        <w:tc>
          <w:tcPr>
            <w:tcW w:w="13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243,003</w:t>
            </w:r>
          </w:p>
        </w:tc>
        <w:tc>
          <w:tcPr>
            <w:tcW w:w="100" w:type="dxa"/>
            <w:vAlign w:val="bottom"/>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spacing w:after="0"/>
              <w:rPr>
                <w:sz w:val="17"/>
                <w:szCs w:val="17"/>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110,361</w:t>
            </w:r>
          </w:p>
        </w:tc>
        <w:tc>
          <w:tcPr>
            <w:tcW w:w="0" w:type="dxa"/>
            <w:vAlign w:val="bottom"/>
          </w:tcPr>
          <w:p>
            <w:pPr>
              <w:spacing w:after="0"/>
              <w:rPr>
                <w:sz w:val="1"/>
                <w:szCs w:val="1"/>
                <w:color w:val="auto"/>
              </w:rPr>
            </w:pPr>
          </w:p>
        </w:tc>
      </w:tr>
      <w:tr>
        <w:trPr>
          <w:trHeight w:val="186"/>
        </w:trPr>
        <w:tc>
          <w:tcPr>
            <w:tcW w:w="4040" w:type="dxa"/>
            <w:vAlign w:val="bottom"/>
          </w:tcPr>
          <w:p>
            <w:pPr>
              <w:ind w:left="20"/>
              <w:spacing w:after="0"/>
              <w:rPr>
                <w:sz w:val="20"/>
                <w:szCs w:val="20"/>
                <w:color w:val="auto"/>
              </w:rPr>
            </w:pPr>
            <w:r>
              <w:rPr>
                <w:rFonts w:ascii="Arial" w:cs="Arial" w:eastAsia="Arial" w:hAnsi="Arial"/>
                <w:sz w:val="16"/>
                <w:szCs w:val="16"/>
                <w:b w:val="1"/>
                <w:bCs w:val="1"/>
                <w:color w:val="auto"/>
              </w:rPr>
              <w:t>Financial Services:</w:t>
            </w:r>
          </w:p>
        </w:tc>
        <w:tc>
          <w:tcPr>
            <w:tcW w:w="4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40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Revenues</w:t>
            </w: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2,681</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2,296</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4,786</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3,890</w:t>
            </w:r>
          </w:p>
        </w:tc>
        <w:tc>
          <w:tcPr>
            <w:tcW w:w="0" w:type="dxa"/>
            <w:vAlign w:val="bottom"/>
          </w:tcPr>
          <w:p>
            <w:pPr>
              <w:spacing w:after="0"/>
              <w:rPr>
                <w:sz w:val="1"/>
                <w:szCs w:val="1"/>
                <w:color w:val="auto"/>
              </w:rPr>
            </w:pPr>
          </w:p>
        </w:tc>
      </w:tr>
      <w:tr>
        <w:trPr>
          <w:trHeight w:val="206"/>
        </w:trPr>
        <w:tc>
          <w:tcPr>
            <w:tcW w:w="4040" w:type="dxa"/>
            <w:vAlign w:val="bottom"/>
          </w:tcPr>
          <w:p>
            <w:pPr>
              <w:ind w:left="140"/>
              <w:spacing w:after="0"/>
              <w:rPr>
                <w:sz w:val="20"/>
                <w:szCs w:val="20"/>
                <w:color w:val="auto"/>
              </w:rPr>
            </w:pPr>
            <w:r>
              <w:rPr>
                <w:rFonts w:ascii="Arial" w:cs="Arial" w:eastAsia="Arial" w:hAnsi="Arial"/>
                <w:sz w:val="16"/>
                <w:szCs w:val="16"/>
                <w:color w:val="auto"/>
              </w:rPr>
              <w:t>Expenses</w:t>
            </w:r>
          </w:p>
        </w:tc>
        <w:tc>
          <w:tcPr>
            <w:tcW w:w="400" w:type="dxa"/>
            <w:vAlign w:val="bottom"/>
          </w:tcPr>
          <w:p>
            <w:pPr>
              <w:spacing w:after="0"/>
              <w:rPr>
                <w:sz w:val="17"/>
                <w:szCs w:val="17"/>
                <w:color w:val="auto"/>
              </w:rPr>
            </w:pPr>
          </w:p>
        </w:tc>
        <w:tc>
          <w:tcPr>
            <w:tcW w:w="1320" w:type="dxa"/>
            <w:vAlign w:val="bottom"/>
          </w:tcPr>
          <w:p>
            <w:pPr>
              <w:jc w:val="right"/>
              <w:ind w:right="2"/>
              <w:spacing w:after="0"/>
              <w:rPr>
                <w:sz w:val="20"/>
                <w:szCs w:val="20"/>
                <w:color w:val="auto"/>
              </w:rPr>
            </w:pPr>
            <w:r>
              <w:rPr>
                <w:rFonts w:ascii="Arial" w:cs="Arial" w:eastAsia="Arial" w:hAnsi="Arial"/>
                <w:sz w:val="16"/>
                <w:szCs w:val="16"/>
                <w:color w:val="auto"/>
              </w:rPr>
              <w:t>1,485</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1,285</w:t>
            </w: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320" w:type="dxa"/>
            <w:vAlign w:val="bottom"/>
          </w:tcPr>
          <w:p>
            <w:pPr>
              <w:jc w:val="right"/>
              <w:ind w:right="2"/>
              <w:spacing w:after="0"/>
              <w:rPr>
                <w:sz w:val="20"/>
                <w:szCs w:val="20"/>
                <w:color w:val="auto"/>
              </w:rPr>
            </w:pPr>
            <w:r>
              <w:rPr>
                <w:rFonts w:ascii="Arial" w:cs="Arial" w:eastAsia="Arial" w:hAnsi="Arial"/>
                <w:sz w:val="16"/>
                <w:szCs w:val="16"/>
                <w:color w:val="auto"/>
              </w:rPr>
              <w:t>2,892</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2,364</w:t>
            </w:r>
          </w:p>
        </w:tc>
        <w:tc>
          <w:tcPr>
            <w:tcW w:w="0" w:type="dxa"/>
            <w:vAlign w:val="bottom"/>
          </w:tcPr>
          <w:p>
            <w:pPr>
              <w:spacing w:after="0"/>
              <w:rPr>
                <w:sz w:val="1"/>
                <w:szCs w:val="1"/>
                <w:color w:val="auto"/>
              </w:rPr>
            </w:pPr>
          </w:p>
        </w:tc>
      </w:tr>
      <w:tr>
        <w:trPr>
          <w:trHeight w:val="212"/>
        </w:trPr>
        <w:tc>
          <w:tcPr>
            <w:tcW w:w="40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Equity in income of unconsolidated entities</w:t>
            </w:r>
          </w:p>
        </w:tc>
        <w:tc>
          <w:tcPr>
            <w:tcW w:w="40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3,949</w:t>
            </w:r>
          </w:p>
        </w:tc>
        <w:tc>
          <w:tcPr>
            <w:tcW w:w="10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2,932</w:t>
            </w:r>
          </w:p>
        </w:tc>
        <w:tc>
          <w:tcPr>
            <w:tcW w:w="10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6,640</w:t>
            </w:r>
          </w:p>
        </w:tc>
        <w:tc>
          <w:tcPr>
            <w:tcW w:w="10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4,488</w:t>
            </w:r>
          </w:p>
        </w:tc>
        <w:tc>
          <w:tcPr>
            <w:tcW w:w="0" w:type="dxa"/>
            <w:vAlign w:val="bottom"/>
          </w:tcPr>
          <w:p>
            <w:pPr>
              <w:spacing w:after="0"/>
              <w:rPr>
                <w:sz w:val="1"/>
                <w:szCs w:val="1"/>
                <w:color w:val="auto"/>
              </w:rPr>
            </w:pPr>
          </w:p>
        </w:tc>
      </w:tr>
      <w:tr>
        <w:trPr>
          <w:trHeight w:val="199"/>
        </w:trPr>
        <w:tc>
          <w:tcPr>
            <w:tcW w:w="4040" w:type="dxa"/>
            <w:vAlign w:val="bottom"/>
            <w:tcBorders>
              <w:bottom w:val="single" w:sz="8" w:color="CCEEFF"/>
            </w:tcBorders>
          </w:tcPr>
          <w:p>
            <w:pPr>
              <w:ind w:left="460"/>
              <w:spacing w:after="0" w:line="183" w:lineRule="exact"/>
              <w:rPr>
                <w:sz w:val="20"/>
                <w:szCs w:val="20"/>
                <w:color w:val="auto"/>
              </w:rPr>
            </w:pPr>
            <w:r>
              <w:rPr>
                <w:rFonts w:ascii="Arial" w:cs="Arial" w:eastAsia="Arial" w:hAnsi="Arial"/>
                <w:sz w:val="16"/>
                <w:szCs w:val="16"/>
                <w:color w:val="auto"/>
              </w:rPr>
              <w:t>Financial services income before income taxes</w:t>
            </w:r>
          </w:p>
        </w:tc>
        <w:tc>
          <w:tcPr>
            <w:tcW w:w="4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5,145</w:t>
            </w:r>
          </w:p>
        </w:tc>
        <w:tc>
          <w:tcPr>
            <w:tcW w:w="10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3,943</w:t>
            </w:r>
          </w:p>
        </w:tc>
        <w:tc>
          <w:tcPr>
            <w:tcW w:w="10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8,534</w:t>
            </w:r>
          </w:p>
        </w:tc>
        <w:tc>
          <w:tcPr>
            <w:tcW w:w="10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6,014</w:t>
            </w:r>
          </w:p>
        </w:tc>
        <w:tc>
          <w:tcPr>
            <w:tcW w:w="0" w:type="dxa"/>
            <w:vAlign w:val="bottom"/>
          </w:tcPr>
          <w:p>
            <w:pPr>
              <w:spacing w:after="0"/>
              <w:rPr>
                <w:sz w:val="1"/>
                <w:szCs w:val="1"/>
                <w:color w:val="auto"/>
              </w:rPr>
            </w:pPr>
          </w:p>
        </w:tc>
      </w:tr>
      <w:tr>
        <w:trPr>
          <w:trHeight w:val="205"/>
        </w:trPr>
        <w:tc>
          <w:tcPr>
            <w:tcW w:w="40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Income before income taxes</w:t>
            </w:r>
          </w:p>
        </w:tc>
        <w:tc>
          <w:tcPr>
            <w:tcW w:w="40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157,134</w:t>
            </w: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74,671</w:t>
            </w:r>
          </w:p>
        </w:tc>
        <w:tc>
          <w:tcPr>
            <w:tcW w:w="1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251,537</w:t>
            </w: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116,375</w:t>
            </w:r>
          </w:p>
        </w:tc>
        <w:tc>
          <w:tcPr>
            <w:tcW w:w="0" w:type="dxa"/>
            <w:vAlign w:val="bottom"/>
          </w:tcPr>
          <w:p>
            <w:pPr>
              <w:spacing w:after="0"/>
              <w:rPr>
                <w:sz w:val="1"/>
                <w:szCs w:val="1"/>
                <w:color w:val="auto"/>
              </w:rPr>
            </w:pPr>
          </w:p>
        </w:tc>
      </w:tr>
      <w:tr>
        <w:trPr>
          <w:trHeight w:val="206"/>
        </w:trPr>
        <w:tc>
          <w:tcPr>
            <w:tcW w:w="404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Provision for income taxes</w:t>
            </w:r>
          </w:p>
        </w:tc>
        <w:tc>
          <w:tcPr>
            <w:tcW w:w="4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(39,265)</w:t>
            </w:r>
          </w:p>
        </w:tc>
        <w:tc>
          <w:tcPr>
            <w:tcW w:w="10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(18,143)</w:t>
            </w:r>
          </w:p>
        </w:tc>
        <w:tc>
          <w:tcPr>
            <w:tcW w:w="10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(62,866)</w:t>
            </w:r>
          </w:p>
        </w:tc>
        <w:tc>
          <w:tcPr>
            <w:tcW w:w="10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(27,964)</w:t>
            </w:r>
          </w:p>
        </w:tc>
        <w:tc>
          <w:tcPr>
            <w:tcW w:w="0" w:type="dxa"/>
            <w:vAlign w:val="bottom"/>
          </w:tcPr>
          <w:p>
            <w:pPr>
              <w:spacing w:after="0"/>
              <w:rPr>
                <w:sz w:val="1"/>
                <w:szCs w:val="1"/>
                <w:color w:val="auto"/>
              </w:rPr>
            </w:pPr>
          </w:p>
        </w:tc>
      </w:tr>
      <w:tr>
        <w:trPr>
          <w:trHeight w:val="204"/>
        </w:trPr>
        <w:tc>
          <w:tcPr>
            <w:tcW w:w="4040" w:type="dxa"/>
            <w:vAlign w:val="bottom"/>
            <w:tcBorders>
              <w:bottom w:val="single" w:sz="8" w:color="CCEEFF"/>
            </w:tcBorders>
            <w:shd w:val="clear" w:color="auto" w:fill="CCEEFF"/>
          </w:tcPr>
          <w:p>
            <w:pPr>
              <w:ind w:left="20"/>
              <w:spacing w:after="0" w:line="179" w:lineRule="exact"/>
              <w:rPr>
                <w:sz w:val="20"/>
                <w:szCs w:val="20"/>
                <w:color w:val="auto"/>
              </w:rPr>
            </w:pPr>
            <w:r>
              <w:rPr>
                <w:rFonts w:ascii="Arial" w:cs="Arial" w:eastAsia="Arial" w:hAnsi="Arial"/>
                <w:sz w:val="16"/>
                <w:szCs w:val="16"/>
                <w:color w:val="auto"/>
              </w:rPr>
              <w:t>Net income</w:t>
            </w:r>
          </w:p>
        </w:tc>
        <w:tc>
          <w:tcPr>
            <w:tcW w:w="400" w:type="dxa"/>
            <w:vAlign w:val="bottom"/>
            <w:tcBorders>
              <w:bottom w:val="single" w:sz="8" w:color="auto"/>
            </w:tcBorders>
            <w:shd w:val="clear" w:color="auto" w:fill="CCEEFF"/>
          </w:tcPr>
          <w:p>
            <w:pPr>
              <w:jc w:val="right"/>
              <w:ind w:right="222"/>
              <w:spacing w:after="0" w:line="179" w:lineRule="exact"/>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shd w:val="clear" w:color="auto" w:fill="CCEEFF"/>
          </w:tcPr>
          <w:p>
            <w:pPr>
              <w:jc w:val="right"/>
              <w:ind w:right="2"/>
              <w:spacing w:after="0" w:line="179" w:lineRule="exact"/>
              <w:rPr>
                <w:sz w:val="20"/>
                <w:szCs w:val="20"/>
                <w:color w:val="auto"/>
              </w:rPr>
            </w:pPr>
            <w:r>
              <w:rPr>
                <w:rFonts w:ascii="Arial" w:cs="Arial" w:eastAsia="Arial" w:hAnsi="Arial"/>
                <w:sz w:val="16"/>
                <w:szCs w:val="16"/>
                <w:color w:val="auto"/>
              </w:rPr>
              <w:t>117,869</w:t>
            </w:r>
          </w:p>
        </w:tc>
        <w:tc>
          <w:tcPr>
            <w:tcW w:w="100" w:type="dxa"/>
            <w:vAlign w:val="bottom"/>
            <w:tcBorders>
              <w:bottom w:val="single" w:sz="8" w:color="CCEEFF"/>
            </w:tcBorders>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jc w:val="right"/>
              <w:ind w:right="222"/>
              <w:spacing w:after="0" w:line="179" w:lineRule="exact"/>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shd w:val="clear" w:color="auto" w:fill="CCEEFF"/>
          </w:tcPr>
          <w:p>
            <w:pPr>
              <w:jc w:val="right"/>
              <w:spacing w:after="0" w:line="179" w:lineRule="exact"/>
              <w:rPr>
                <w:sz w:val="20"/>
                <w:szCs w:val="20"/>
                <w:color w:val="auto"/>
              </w:rPr>
            </w:pPr>
            <w:r>
              <w:rPr>
                <w:rFonts w:ascii="Arial" w:cs="Arial" w:eastAsia="Arial" w:hAnsi="Arial"/>
                <w:sz w:val="16"/>
                <w:szCs w:val="16"/>
                <w:color w:val="auto"/>
              </w:rPr>
              <w:t>56,528</w:t>
            </w:r>
          </w:p>
        </w:tc>
        <w:tc>
          <w:tcPr>
            <w:tcW w:w="100" w:type="dxa"/>
            <w:vAlign w:val="bottom"/>
            <w:tcBorders>
              <w:bottom w:val="single" w:sz="8" w:color="CCEEFF"/>
            </w:tcBorders>
            <w:shd w:val="clear" w:color="auto" w:fill="CCEEFF"/>
          </w:tcPr>
          <w:p>
            <w:pPr>
              <w:spacing w:after="0"/>
              <w:rPr>
                <w:sz w:val="17"/>
                <w:szCs w:val="17"/>
                <w:color w:val="auto"/>
              </w:rPr>
            </w:pPr>
          </w:p>
        </w:tc>
        <w:tc>
          <w:tcPr>
            <w:tcW w:w="420" w:type="dxa"/>
            <w:vAlign w:val="bottom"/>
            <w:tcBorders>
              <w:bottom w:val="single" w:sz="8" w:color="auto"/>
            </w:tcBorders>
            <w:shd w:val="clear" w:color="auto" w:fill="CCEEFF"/>
          </w:tcPr>
          <w:p>
            <w:pPr>
              <w:jc w:val="right"/>
              <w:ind w:right="242"/>
              <w:spacing w:after="0" w:line="179" w:lineRule="exact"/>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shd w:val="clear" w:color="auto" w:fill="CCEEFF"/>
          </w:tcPr>
          <w:p>
            <w:pPr>
              <w:jc w:val="right"/>
              <w:ind w:right="2"/>
              <w:spacing w:after="0" w:line="179" w:lineRule="exact"/>
              <w:rPr>
                <w:sz w:val="20"/>
                <w:szCs w:val="20"/>
                <w:color w:val="auto"/>
              </w:rPr>
            </w:pPr>
            <w:r>
              <w:rPr>
                <w:rFonts w:ascii="Arial" w:cs="Arial" w:eastAsia="Arial" w:hAnsi="Arial"/>
                <w:sz w:val="16"/>
                <w:szCs w:val="16"/>
                <w:color w:val="auto"/>
              </w:rPr>
              <w:t>188,671</w:t>
            </w:r>
          </w:p>
        </w:tc>
        <w:tc>
          <w:tcPr>
            <w:tcW w:w="100" w:type="dxa"/>
            <w:vAlign w:val="bottom"/>
            <w:tcBorders>
              <w:bottom w:val="single" w:sz="8" w:color="CCEEFF"/>
            </w:tcBorders>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jc w:val="right"/>
              <w:ind w:right="222"/>
              <w:spacing w:after="0" w:line="179" w:lineRule="exact"/>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shd w:val="clear" w:color="auto" w:fill="CCEEFF"/>
          </w:tcPr>
          <w:p>
            <w:pPr>
              <w:jc w:val="right"/>
              <w:spacing w:after="0" w:line="179" w:lineRule="exact"/>
              <w:rPr>
                <w:sz w:val="20"/>
                <w:szCs w:val="20"/>
                <w:color w:val="auto"/>
              </w:rPr>
            </w:pPr>
            <w:r>
              <w:rPr>
                <w:rFonts w:ascii="Arial" w:cs="Arial" w:eastAsia="Arial" w:hAnsi="Arial"/>
                <w:sz w:val="16"/>
                <w:szCs w:val="16"/>
                <w:color w:val="auto"/>
              </w:rPr>
              <w:t>88,411</w:t>
            </w:r>
          </w:p>
        </w:tc>
        <w:tc>
          <w:tcPr>
            <w:tcW w:w="0" w:type="dxa"/>
            <w:vAlign w:val="bottom"/>
          </w:tcPr>
          <w:p>
            <w:pPr>
              <w:spacing w:after="0"/>
              <w:rPr>
                <w:sz w:val="1"/>
                <w:szCs w:val="1"/>
                <w:color w:val="auto"/>
              </w:rPr>
            </w:pPr>
          </w:p>
        </w:tc>
      </w:tr>
      <w:tr>
        <w:trPr>
          <w:trHeight w:val="20"/>
        </w:trPr>
        <w:tc>
          <w:tcPr>
            <w:tcW w:w="40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color w:val="auto"/>
              </w:rPr>
              <w:t>Earnings per share</w:t>
            </w: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4040" w:type="dxa"/>
            <w:vAlign w:val="bottom"/>
            <w:vMerge w:val="continue"/>
          </w:tcPr>
          <w:p>
            <w:pPr>
              <w:spacing w:after="0"/>
              <w:rPr>
                <w:sz w:val="12"/>
                <w:szCs w:val="12"/>
                <w:color w:val="auto"/>
              </w:rPr>
            </w:pPr>
          </w:p>
        </w:tc>
        <w:tc>
          <w:tcPr>
            <w:tcW w:w="4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40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9"/>
        </w:trPr>
        <w:tc>
          <w:tcPr>
            <w:tcW w:w="40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Basic</w:t>
            </w:r>
          </w:p>
        </w:tc>
        <w:tc>
          <w:tcPr>
            <w:tcW w:w="400" w:type="dxa"/>
            <w:vAlign w:val="bottom"/>
            <w:shd w:val="clear" w:color="auto" w:fill="CCEEFF"/>
          </w:tcPr>
          <w:p>
            <w:pPr>
              <w:jc w:val="right"/>
              <w:ind w:right="222"/>
              <w:spacing w:after="0"/>
              <w:rPr>
                <w:sz w:val="20"/>
                <w:szCs w:val="20"/>
                <w:color w:val="auto"/>
              </w:rPr>
            </w:pPr>
            <w:r>
              <w:rPr>
                <w:rFonts w:ascii="Arial" w:cs="Arial" w:eastAsia="Arial" w:hAnsi="Arial"/>
                <w:sz w:val="16"/>
                <w:szCs w:val="16"/>
                <w:color w:val="auto"/>
                <w:w w:val="89"/>
              </w:rPr>
              <w:t>$</w:t>
            </w: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1.01</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ind w:right="222"/>
              <w:spacing w:after="0"/>
              <w:rPr>
                <w:sz w:val="20"/>
                <w:szCs w:val="20"/>
                <w:color w:val="auto"/>
              </w:rPr>
            </w:pPr>
            <w:r>
              <w:rPr>
                <w:rFonts w:ascii="Arial" w:cs="Arial" w:eastAsia="Arial" w:hAnsi="Arial"/>
                <w:sz w:val="16"/>
                <w:szCs w:val="16"/>
                <w:color w:val="auto"/>
                <w:w w:val="89"/>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0.43</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42"/>
              <w:spacing w:after="0"/>
              <w:rPr>
                <w:sz w:val="20"/>
                <w:szCs w:val="20"/>
                <w:color w:val="auto"/>
              </w:rPr>
            </w:pPr>
            <w:r>
              <w:rPr>
                <w:rFonts w:ascii="Arial" w:cs="Arial" w:eastAsia="Arial" w:hAnsi="Arial"/>
                <w:sz w:val="16"/>
                <w:szCs w:val="16"/>
                <w:color w:val="auto"/>
                <w:w w:val="89"/>
              </w:rPr>
              <w:t>$</w:t>
            </w: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1.60</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ind w:right="222"/>
              <w:spacing w:after="0"/>
              <w:rPr>
                <w:sz w:val="20"/>
                <w:szCs w:val="20"/>
                <w:color w:val="auto"/>
              </w:rPr>
            </w:pPr>
            <w:r>
              <w:rPr>
                <w:rFonts w:ascii="Arial" w:cs="Arial" w:eastAsia="Arial" w:hAnsi="Arial"/>
                <w:sz w:val="16"/>
                <w:szCs w:val="16"/>
                <w:color w:val="auto"/>
                <w:w w:val="89"/>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0.67</w:t>
            </w:r>
          </w:p>
        </w:tc>
        <w:tc>
          <w:tcPr>
            <w:tcW w:w="0" w:type="dxa"/>
            <w:vAlign w:val="bottom"/>
          </w:tcPr>
          <w:p>
            <w:pPr>
              <w:spacing w:after="0"/>
              <w:rPr>
                <w:sz w:val="1"/>
                <w:szCs w:val="1"/>
                <w:color w:val="auto"/>
              </w:rPr>
            </w:pPr>
          </w:p>
        </w:tc>
      </w:tr>
      <w:tr>
        <w:trPr>
          <w:trHeight w:val="206"/>
        </w:trPr>
        <w:tc>
          <w:tcPr>
            <w:tcW w:w="4040" w:type="dxa"/>
            <w:vAlign w:val="bottom"/>
          </w:tcPr>
          <w:p>
            <w:pPr>
              <w:ind w:left="220"/>
              <w:spacing w:after="0"/>
              <w:rPr>
                <w:sz w:val="20"/>
                <w:szCs w:val="20"/>
                <w:color w:val="auto"/>
              </w:rPr>
            </w:pPr>
            <w:r>
              <w:rPr>
                <w:rFonts w:ascii="Arial" w:cs="Arial" w:eastAsia="Arial" w:hAnsi="Arial"/>
                <w:sz w:val="16"/>
                <w:szCs w:val="16"/>
                <w:color w:val="auto"/>
              </w:rPr>
              <w:t>Diluted</w:t>
            </w:r>
          </w:p>
        </w:tc>
        <w:tc>
          <w:tcPr>
            <w:tcW w:w="400" w:type="dxa"/>
            <w:vAlign w:val="bottom"/>
          </w:tcPr>
          <w:p>
            <w:pPr>
              <w:jc w:val="right"/>
              <w:ind w:right="222"/>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ind w:right="2"/>
              <w:spacing w:after="0"/>
              <w:rPr>
                <w:sz w:val="20"/>
                <w:szCs w:val="20"/>
                <w:color w:val="auto"/>
              </w:rPr>
            </w:pPr>
            <w:r>
              <w:rPr>
                <w:rFonts w:ascii="Arial" w:cs="Arial" w:eastAsia="Arial" w:hAnsi="Arial"/>
                <w:sz w:val="16"/>
                <w:szCs w:val="16"/>
                <w:color w:val="auto"/>
              </w:rPr>
              <w:t>1.00</w:t>
            </w:r>
          </w:p>
        </w:tc>
        <w:tc>
          <w:tcPr>
            <w:tcW w:w="100" w:type="dxa"/>
            <w:vAlign w:val="bottom"/>
          </w:tcPr>
          <w:p>
            <w:pPr>
              <w:spacing w:after="0"/>
              <w:rPr>
                <w:sz w:val="17"/>
                <w:szCs w:val="17"/>
                <w:color w:val="auto"/>
              </w:rPr>
            </w:pPr>
          </w:p>
        </w:tc>
        <w:tc>
          <w:tcPr>
            <w:tcW w:w="400" w:type="dxa"/>
            <w:vAlign w:val="bottom"/>
          </w:tcPr>
          <w:p>
            <w:pPr>
              <w:jc w:val="right"/>
              <w:ind w:right="222"/>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0.43</w:t>
            </w:r>
          </w:p>
        </w:tc>
        <w:tc>
          <w:tcPr>
            <w:tcW w:w="100" w:type="dxa"/>
            <w:vAlign w:val="bottom"/>
          </w:tcPr>
          <w:p>
            <w:pPr>
              <w:spacing w:after="0"/>
              <w:rPr>
                <w:sz w:val="17"/>
                <w:szCs w:val="17"/>
                <w:color w:val="auto"/>
              </w:rPr>
            </w:pPr>
          </w:p>
        </w:tc>
        <w:tc>
          <w:tcPr>
            <w:tcW w:w="420" w:type="dxa"/>
            <w:vAlign w:val="bottom"/>
          </w:tcPr>
          <w:p>
            <w:pPr>
              <w:jc w:val="right"/>
              <w:ind w:right="242"/>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ind w:right="2"/>
              <w:spacing w:after="0"/>
              <w:rPr>
                <w:sz w:val="20"/>
                <w:szCs w:val="20"/>
                <w:color w:val="auto"/>
              </w:rPr>
            </w:pPr>
            <w:r>
              <w:rPr>
                <w:rFonts w:ascii="Arial" w:cs="Arial" w:eastAsia="Arial" w:hAnsi="Arial"/>
                <w:sz w:val="16"/>
                <w:szCs w:val="16"/>
                <w:color w:val="auto"/>
              </w:rPr>
              <w:t>1.59</w:t>
            </w:r>
          </w:p>
        </w:tc>
        <w:tc>
          <w:tcPr>
            <w:tcW w:w="100" w:type="dxa"/>
            <w:vAlign w:val="bottom"/>
          </w:tcPr>
          <w:p>
            <w:pPr>
              <w:spacing w:after="0"/>
              <w:rPr>
                <w:sz w:val="17"/>
                <w:szCs w:val="17"/>
                <w:color w:val="auto"/>
              </w:rPr>
            </w:pPr>
          </w:p>
        </w:tc>
        <w:tc>
          <w:tcPr>
            <w:tcW w:w="400" w:type="dxa"/>
            <w:vAlign w:val="bottom"/>
          </w:tcPr>
          <w:p>
            <w:pPr>
              <w:jc w:val="right"/>
              <w:ind w:right="222"/>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0.67</w:t>
            </w:r>
          </w:p>
        </w:tc>
        <w:tc>
          <w:tcPr>
            <w:tcW w:w="0" w:type="dxa"/>
            <w:vAlign w:val="bottom"/>
          </w:tcPr>
          <w:p>
            <w:pPr>
              <w:spacing w:after="0"/>
              <w:rPr>
                <w:sz w:val="1"/>
                <w:szCs w:val="1"/>
                <w:color w:val="auto"/>
              </w:rPr>
            </w:pPr>
          </w:p>
        </w:tc>
      </w:tr>
      <w:tr>
        <w:trPr>
          <w:trHeight w:val="212"/>
        </w:trPr>
        <w:tc>
          <w:tcPr>
            <w:tcW w:w="4040" w:type="dxa"/>
            <w:vAlign w:val="bottom"/>
            <w:shd w:val="clear" w:color="auto" w:fill="CCEEFF"/>
          </w:tcPr>
          <w:p>
            <w:pPr>
              <w:ind w:left="20"/>
              <w:spacing w:after="0"/>
              <w:rPr>
                <w:sz w:val="20"/>
                <w:szCs w:val="20"/>
                <w:color w:val="auto"/>
              </w:rPr>
            </w:pPr>
            <w:r>
              <w:rPr>
                <w:rFonts w:ascii="Arial" w:cs="Arial" w:eastAsia="Arial" w:hAnsi="Arial"/>
                <w:sz w:val="16"/>
                <w:szCs w:val="16"/>
                <w:color w:val="auto"/>
              </w:rPr>
              <w:t>Weighted average shares outstanding</w:t>
            </w: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4040" w:type="dxa"/>
            <w:vAlign w:val="bottom"/>
          </w:tcPr>
          <w:p>
            <w:pPr>
              <w:ind w:left="220"/>
              <w:spacing w:after="0"/>
              <w:rPr>
                <w:sz w:val="20"/>
                <w:szCs w:val="20"/>
                <w:color w:val="auto"/>
              </w:rPr>
            </w:pPr>
            <w:r>
              <w:rPr>
                <w:rFonts w:ascii="Arial" w:cs="Arial" w:eastAsia="Arial" w:hAnsi="Arial"/>
                <w:sz w:val="16"/>
                <w:szCs w:val="16"/>
                <w:color w:val="auto"/>
              </w:rPr>
              <w:t>Basic</w:t>
            </w:r>
          </w:p>
        </w:tc>
        <w:tc>
          <w:tcPr>
            <w:tcW w:w="400" w:type="dxa"/>
            <w:vAlign w:val="bottom"/>
          </w:tcPr>
          <w:p>
            <w:pPr>
              <w:spacing w:after="0"/>
              <w:rPr>
                <w:sz w:val="17"/>
                <w:szCs w:val="17"/>
                <w:color w:val="auto"/>
              </w:rPr>
            </w:pPr>
          </w:p>
        </w:tc>
        <w:tc>
          <w:tcPr>
            <w:tcW w:w="1320" w:type="dxa"/>
            <w:vAlign w:val="bottom"/>
          </w:tcPr>
          <w:p>
            <w:pPr>
              <w:jc w:val="right"/>
              <w:ind w:right="2"/>
              <w:spacing w:after="0"/>
              <w:rPr>
                <w:sz w:val="20"/>
                <w:szCs w:val="20"/>
                <w:color w:val="auto"/>
              </w:rPr>
            </w:pPr>
            <w:r>
              <w:rPr>
                <w:rFonts w:ascii="Arial" w:cs="Arial" w:eastAsia="Arial" w:hAnsi="Arial"/>
                <w:sz w:val="16"/>
                <w:szCs w:val="16"/>
                <w:color w:val="auto"/>
              </w:rPr>
              <w:t>116,824,108</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130,292,563</w:t>
            </w: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320" w:type="dxa"/>
            <w:vAlign w:val="bottom"/>
          </w:tcPr>
          <w:p>
            <w:pPr>
              <w:jc w:val="right"/>
              <w:ind w:right="2"/>
              <w:spacing w:after="0"/>
              <w:rPr>
                <w:sz w:val="20"/>
                <w:szCs w:val="20"/>
                <w:color w:val="auto"/>
              </w:rPr>
            </w:pPr>
            <w:r>
              <w:rPr>
                <w:rFonts w:ascii="Arial" w:cs="Arial" w:eastAsia="Arial" w:hAnsi="Arial"/>
                <w:sz w:val="16"/>
                <w:szCs w:val="16"/>
                <w:color w:val="auto"/>
              </w:rPr>
              <w:t>118,082,691</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132,326,856</w:t>
            </w:r>
          </w:p>
        </w:tc>
        <w:tc>
          <w:tcPr>
            <w:tcW w:w="0" w:type="dxa"/>
            <w:vAlign w:val="bottom"/>
          </w:tcPr>
          <w:p>
            <w:pPr>
              <w:spacing w:after="0"/>
              <w:rPr>
                <w:sz w:val="1"/>
                <w:szCs w:val="1"/>
                <w:color w:val="auto"/>
              </w:rPr>
            </w:pPr>
          </w:p>
        </w:tc>
      </w:tr>
      <w:tr>
        <w:trPr>
          <w:trHeight w:val="212"/>
        </w:trPr>
        <w:tc>
          <w:tcPr>
            <w:tcW w:w="40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Diluted</w:t>
            </w: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117,770,084</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130,506,567</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118,921,340</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132,763,775</w:t>
            </w:r>
          </w:p>
        </w:tc>
        <w:tc>
          <w:tcPr>
            <w:tcW w:w="0" w:type="dxa"/>
            <w:vAlign w:val="bottom"/>
          </w:tcPr>
          <w:p>
            <w:pPr>
              <w:spacing w:after="0"/>
              <w:rPr>
                <w:sz w:val="1"/>
                <w:szCs w:val="1"/>
                <w:color w:val="auto"/>
              </w:rPr>
            </w:pPr>
          </w:p>
        </w:tc>
      </w:tr>
    </w:tbl>
    <w:p>
      <w:pPr>
        <w:spacing w:after="0" w:line="31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See accompanying condensed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5" w:name="page6"/>
    <w:bookmarkEnd w:id="5"/>
    <w:p>
      <w:pPr>
        <w:jc w:val="center"/>
        <w:ind w:right="-79"/>
        <w:spacing w:after="0"/>
        <w:rPr>
          <w:sz w:val="20"/>
          <w:szCs w:val="20"/>
          <w:color w:val="auto"/>
        </w:rPr>
      </w:pPr>
      <w:r>
        <w:rPr>
          <w:rFonts w:ascii="Arial" w:cs="Arial" w:eastAsia="Arial" w:hAnsi="Arial"/>
          <w:sz w:val="17"/>
          <w:szCs w:val="17"/>
          <w:b w:val="1"/>
          <w:bCs w:val="1"/>
          <w:color w:val="auto"/>
        </w:rPr>
        <w:t>TRI POINTE HOMES, INC.</w:t>
      </w:r>
    </w:p>
    <w:p>
      <w:pPr>
        <w:spacing w:after="0" w:line="32"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CONSOLIDATED STATEMENTS OF EQUITY</w:t>
      </w:r>
    </w:p>
    <w:p>
      <w:pPr>
        <w:spacing w:after="0" w:line="14"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(in thousands, except share amounts)</w:t>
      </w: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138"/>
        </w:trPr>
        <w:tc>
          <w:tcPr>
            <w:tcW w:w="2860" w:type="dxa"/>
            <w:vAlign w:val="bottom"/>
          </w:tcPr>
          <w:p>
            <w:pPr>
              <w:spacing w:after="0"/>
              <w:rPr>
                <w:sz w:val="12"/>
                <w:szCs w:val="12"/>
                <w:color w:val="auto"/>
              </w:rPr>
            </w:pPr>
          </w:p>
        </w:tc>
        <w:tc>
          <w:tcPr>
            <w:tcW w:w="1540" w:type="dxa"/>
            <w:vAlign w:val="bottom"/>
            <w:gridSpan w:val="2"/>
          </w:tcPr>
          <w:p>
            <w:pPr>
              <w:jc w:val="center"/>
              <w:ind w:right="100"/>
              <w:spacing w:after="0"/>
              <w:rPr>
                <w:sz w:val="20"/>
                <w:szCs w:val="20"/>
                <w:color w:val="auto"/>
              </w:rPr>
            </w:pPr>
            <w:r>
              <w:rPr>
                <w:rFonts w:ascii="Arial" w:cs="Arial" w:eastAsia="Arial" w:hAnsi="Arial"/>
                <w:sz w:val="12"/>
                <w:szCs w:val="12"/>
                <w:b w:val="1"/>
                <w:bCs w:val="1"/>
                <w:color w:val="auto"/>
                <w:w w:val="93"/>
              </w:rPr>
              <w:t>Number of</w:t>
            </w:r>
          </w:p>
        </w:tc>
        <w:tc>
          <w:tcPr>
            <w:tcW w:w="140" w:type="dxa"/>
            <w:vAlign w:val="bottom"/>
          </w:tcPr>
          <w:p>
            <w:pPr>
              <w:spacing w:after="0"/>
              <w:rPr>
                <w:sz w:val="12"/>
                <w:szCs w:val="12"/>
                <w:color w:val="auto"/>
              </w:rPr>
            </w:pPr>
          </w:p>
        </w:tc>
        <w:tc>
          <w:tcPr>
            <w:tcW w:w="780" w:type="dxa"/>
            <w:vAlign w:val="bottom"/>
            <w:gridSpan w:val="2"/>
            <w:vMerge w:val="restart"/>
          </w:tcPr>
          <w:p>
            <w:pPr>
              <w:jc w:val="center"/>
              <w:ind w:right="220"/>
              <w:spacing w:after="0"/>
              <w:rPr>
                <w:sz w:val="20"/>
                <w:szCs w:val="20"/>
                <w:color w:val="auto"/>
              </w:rPr>
            </w:pPr>
            <w:r>
              <w:rPr>
                <w:rFonts w:ascii="Arial" w:cs="Arial" w:eastAsia="Arial" w:hAnsi="Arial"/>
                <w:sz w:val="12"/>
                <w:szCs w:val="12"/>
                <w:b w:val="1"/>
                <w:bCs w:val="1"/>
                <w:color w:val="auto"/>
                <w:w w:val="92"/>
              </w:rPr>
              <w:t>Common</w:t>
            </w:r>
          </w:p>
        </w:tc>
        <w:tc>
          <w:tcPr>
            <w:tcW w:w="140" w:type="dxa"/>
            <w:vAlign w:val="bottom"/>
          </w:tcPr>
          <w:p>
            <w:pPr>
              <w:spacing w:after="0"/>
              <w:rPr>
                <w:sz w:val="12"/>
                <w:szCs w:val="12"/>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5"/>
              </w:rPr>
              <w:t>Additional</w:t>
            </w:r>
          </w:p>
        </w:tc>
        <w:tc>
          <w:tcPr>
            <w:tcW w:w="200" w:type="dxa"/>
            <w:vAlign w:val="bottom"/>
          </w:tcPr>
          <w:p>
            <w:pPr>
              <w:spacing w:after="0"/>
              <w:rPr>
                <w:sz w:val="12"/>
                <w:szCs w:val="12"/>
                <w:color w:val="auto"/>
              </w:rPr>
            </w:pPr>
          </w:p>
        </w:tc>
        <w:tc>
          <w:tcPr>
            <w:tcW w:w="100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Retained</w:t>
            </w:r>
          </w:p>
        </w:tc>
        <w:tc>
          <w:tcPr>
            <w:tcW w:w="140" w:type="dxa"/>
            <w:vAlign w:val="bottom"/>
          </w:tcPr>
          <w:p>
            <w:pPr>
              <w:spacing w:after="0"/>
              <w:rPr>
                <w:sz w:val="12"/>
                <w:szCs w:val="12"/>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2"/>
                <w:szCs w:val="12"/>
                <w:b w:val="1"/>
                <w:bCs w:val="1"/>
                <w:color w:val="auto"/>
                <w:w w:val="90"/>
              </w:rPr>
              <w:t>Total</w:t>
            </w:r>
          </w:p>
        </w:tc>
        <w:tc>
          <w:tcPr>
            <w:tcW w:w="140" w:type="dxa"/>
            <w:vAlign w:val="bottom"/>
          </w:tcPr>
          <w:p>
            <w:pPr>
              <w:spacing w:after="0"/>
              <w:rPr>
                <w:sz w:val="12"/>
                <w:szCs w:val="12"/>
                <w:color w:val="auto"/>
              </w:rPr>
            </w:pPr>
          </w:p>
        </w:tc>
        <w:tc>
          <w:tcPr>
            <w:tcW w:w="1160" w:type="dxa"/>
            <w:vAlign w:val="bottom"/>
            <w:gridSpan w:val="2"/>
            <w:vMerge w:val="restart"/>
          </w:tcPr>
          <w:p>
            <w:pPr>
              <w:jc w:val="center"/>
              <w:ind w:right="220"/>
              <w:spacing w:after="0"/>
              <w:rPr>
                <w:sz w:val="20"/>
                <w:szCs w:val="20"/>
                <w:color w:val="auto"/>
              </w:rPr>
            </w:pPr>
            <w:r>
              <w:rPr>
                <w:rFonts w:ascii="Arial" w:cs="Arial" w:eastAsia="Arial" w:hAnsi="Arial"/>
                <w:sz w:val="12"/>
                <w:szCs w:val="12"/>
                <w:b w:val="1"/>
                <w:bCs w:val="1"/>
                <w:color w:val="auto"/>
                <w:w w:val="91"/>
              </w:rPr>
              <w:t>Noncontrolling</w:t>
            </w:r>
          </w:p>
        </w:tc>
        <w:tc>
          <w:tcPr>
            <w:tcW w:w="240" w:type="dxa"/>
            <w:vAlign w:val="bottom"/>
          </w:tcPr>
          <w:p>
            <w:pPr>
              <w:spacing w:after="0"/>
              <w:rPr>
                <w:sz w:val="12"/>
                <w:szCs w:val="12"/>
                <w:color w:val="auto"/>
              </w:rPr>
            </w:pPr>
          </w:p>
        </w:tc>
        <w:tc>
          <w:tcPr>
            <w:tcW w:w="860" w:type="dxa"/>
            <w:vAlign w:val="bottom"/>
            <w:vMerge w:val="restart"/>
          </w:tcPr>
          <w:p>
            <w:pPr>
              <w:jc w:val="center"/>
              <w:ind w:right="172"/>
              <w:spacing w:after="0"/>
              <w:rPr>
                <w:sz w:val="20"/>
                <w:szCs w:val="20"/>
                <w:color w:val="auto"/>
              </w:rPr>
            </w:pPr>
            <w:r>
              <w:rPr>
                <w:rFonts w:ascii="Arial" w:cs="Arial" w:eastAsia="Arial" w:hAnsi="Arial"/>
                <w:sz w:val="12"/>
                <w:szCs w:val="12"/>
                <w:b w:val="1"/>
                <w:bCs w:val="1"/>
                <w:color w:val="auto"/>
                <w:w w:val="90"/>
              </w:rPr>
              <w:t>Total</w:t>
            </w:r>
          </w:p>
        </w:tc>
        <w:tc>
          <w:tcPr>
            <w:tcW w:w="0" w:type="dxa"/>
            <w:vAlign w:val="bottom"/>
          </w:tcPr>
          <w:p>
            <w:pPr>
              <w:spacing w:after="0"/>
              <w:rPr>
                <w:sz w:val="1"/>
                <w:szCs w:val="1"/>
                <w:color w:val="auto"/>
              </w:rPr>
            </w:pPr>
          </w:p>
        </w:tc>
      </w:tr>
      <w:tr>
        <w:trPr>
          <w:trHeight w:val="118"/>
        </w:trPr>
        <w:tc>
          <w:tcPr>
            <w:tcW w:w="2860" w:type="dxa"/>
            <w:vAlign w:val="bottom"/>
          </w:tcPr>
          <w:p>
            <w:pPr>
              <w:spacing w:after="0"/>
              <w:rPr>
                <w:sz w:val="10"/>
                <w:szCs w:val="10"/>
                <w:color w:val="auto"/>
              </w:rPr>
            </w:pPr>
          </w:p>
        </w:tc>
        <w:tc>
          <w:tcPr>
            <w:tcW w:w="1540" w:type="dxa"/>
            <w:vAlign w:val="bottom"/>
            <w:gridSpan w:val="2"/>
          </w:tcPr>
          <w:p>
            <w:pPr>
              <w:jc w:val="center"/>
              <w:ind w:right="100"/>
              <w:spacing w:after="0" w:line="118" w:lineRule="exact"/>
              <w:rPr>
                <w:sz w:val="20"/>
                <w:szCs w:val="20"/>
                <w:color w:val="auto"/>
              </w:rPr>
            </w:pPr>
            <w:r>
              <w:rPr>
                <w:rFonts w:ascii="Arial" w:cs="Arial" w:eastAsia="Arial" w:hAnsi="Arial"/>
                <w:sz w:val="12"/>
                <w:szCs w:val="12"/>
                <w:b w:val="1"/>
                <w:bCs w:val="1"/>
                <w:color w:val="auto"/>
                <w:w w:val="90"/>
              </w:rPr>
              <w:t>Shares of Common</w:t>
            </w:r>
          </w:p>
        </w:tc>
        <w:tc>
          <w:tcPr>
            <w:tcW w:w="14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880" w:type="dxa"/>
            <w:vAlign w:val="bottom"/>
            <w:gridSpan w:val="2"/>
          </w:tcPr>
          <w:p>
            <w:pPr>
              <w:jc w:val="center"/>
              <w:ind w:right="220"/>
              <w:spacing w:after="0" w:line="118" w:lineRule="exact"/>
              <w:rPr>
                <w:sz w:val="20"/>
                <w:szCs w:val="20"/>
                <w:color w:val="auto"/>
              </w:rPr>
            </w:pPr>
            <w:r>
              <w:rPr>
                <w:rFonts w:ascii="Arial" w:cs="Arial" w:eastAsia="Arial" w:hAnsi="Arial"/>
                <w:sz w:val="12"/>
                <w:szCs w:val="12"/>
                <w:b w:val="1"/>
                <w:bCs w:val="1"/>
                <w:color w:val="auto"/>
                <w:w w:val="94"/>
              </w:rPr>
              <w:t>Paid-in</w:t>
            </w:r>
          </w:p>
        </w:tc>
        <w:tc>
          <w:tcPr>
            <w:tcW w:w="200" w:type="dxa"/>
            <w:vAlign w:val="bottom"/>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gridSpan w:val="2"/>
          </w:tcPr>
          <w:p>
            <w:pPr>
              <w:jc w:val="center"/>
              <w:ind w:right="240"/>
              <w:spacing w:after="0" w:line="118" w:lineRule="exact"/>
              <w:rPr>
                <w:sz w:val="20"/>
                <w:szCs w:val="20"/>
                <w:color w:val="auto"/>
              </w:rPr>
            </w:pPr>
            <w:r>
              <w:rPr>
                <w:rFonts w:ascii="Arial" w:cs="Arial" w:eastAsia="Arial" w:hAnsi="Arial"/>
                <w:sz w:val="12"/>
                <w:szCs w:val="12"/>
                <w:b w:val="1"/>
                <w:bCs w:val="1"/>
                <w:color w:val="auto"/>
                <w:w w:val="90"/>
              </w:rPr>
              <w:t>Stockholders’</w:t>
            </w:r>
          </w:p>
        </w:tc>
        <w:tc>
          <w:tcPr>
            <w:tcW w:w="140" w:type="dxa"/>
            <w:vAlign w:val="bottom"/>
          </w:tcPr>
          <w:p>
            <w:pPr>
              <w:spacing w:after="0"/>
              <w:rPr>
                <w:sz w:val="10"/>
                <w:szCs w:val="10"/>
                <w:color w:val="auto"/>
              </w:rPr>
            </w:pPr>
          </w:p>
        </w:tc>
        <w:tc>
          <w:tcPr>
            <w:tcW w:w="1160" w:type="dxa"/>
            <w:vAlign w:val="bottom"/>
            <w:gridSpan w:val="2"/>
            <w:vMerge w:val="continue"/>
          </w:tcPr>
          <w:p>
            <w:pPr>
              <w:spacing w:after="0"/>
              <w:rPr>
                <w:sz w:val="10"/>
                <w:szCs w:val="10"/>
                <w:color w:val="auto"/>
              </w:rPr>
            </w:pPr>
          </w:p>
        </w:tc>
        <w:tc>
          <w:tcPr>
            <w:tcW w:w="240" w:type="dxa"/>
            <w:vAlign w:val="bottom"/>
          </w:tcPr>
          <w:p>
            <w:pPr>
              <w:spacing w:after="0"/>
              <w:rPr>
                <w:sz w:val="10"/>
                <w:szCs w:val="10"/>
                <w:color w:val="auto"/>
              </w:rPr>
            </w:pP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860" w:type="dxa"/>
            <w:vAlign w:val="bottom"/>
          </w:tcPr>
          <w:p>
            <w:pPr>
              <w:spacing w:after="0"/>
              <w:rPr>
                <w:sz w:val="14"/>
                <w:szCs w:val="14"/>
                <w:color w:val="auto"/>
              </w:rPr>
            </w:pPr>
          </w:p>
        </w:tc>
        <w:tc>
          <w:tcPr>
            <w:tcW w:w="1540" w:type="dxa"/>
            <w:vAlign w:val="bottom"/>
            <w:gridSpan w:val="2"/>
          </w:tcPr>
          <w:p>
            <w:pPr>
              <w:jc w:val="center"/>
              <w:ind w:right="120"/>
              <w:spacing w:after="0"/>
              <w:rPr>
                <w:sz w:val="20"/>
                <w:szCs w:val="20"/>
                <w:color w:val="auto"/>
              </w:rPr>
            </w:pPr>
            <w:r>
              <w:rPr>
                <w:rFonts w:ascii="Arial" w:cs="Arial" w:eastAsia="Arial" w:hAnsi="Arial"/>
                <w:sz w:val="12"/>
                <w:szCs w:val="12"/>
                <w:b w:val="1"/>
                <w:bCs w:val="1"/>
                <w:color w:val="auto"/>
                <w:w w:val="91"/>
              </w:rPr>
              <w:t>Stock (Note 1)</w:t>
            </w:r>
          </w:p>
        </w:tc>
        <w:tc>
          <w:tcPr>
            <w:tcW w:w="140" w:type="dxa"/>
            <w:vAlign w:val="bottom"/>
          </w:tcPr>
          <w:p>
            <w:pPr>
              <w:spacing w:after="0"/>
              <w:rPr>
                <w:sz w:val="14"/>
                <w:szCs w:val="14"/>
                <w:color w:val="auto"/>
              </w:rPr>
            </w:pPr>
          </w:p>
        </w:tc>
        <w:tc>
          <w:tcPr>
            <w:tcW w:w="7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1"/>
              </w:rPr>
              <w:t>Stock</w:t>
            </w:r>
          </w:p>
        </w:tc>
        <w:tc>
          <w:tcPr>
            <w:tcW w:w="140" w:type="dxa"/>
            <w:vAlign w:val="bottom"/>
          </w:tcPr>
          <w:p>
            <w:pPr>
              <w:spacing w:after="0"/>
              <w:rPr>
                <w:sz w:val="14"/>
                <w:szCs w:val="14"/>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9"/>
              </w:rPr>
              <w:t>Capital</w:t>
            </w:r>
          </w:p>
        </w:tc>
        <w:tc>
          <w:tcPr>
            <w:tcW w:w="200" w:type="dxa"/>
            <w:vAlign w:val="bottom"/>
          </w:tcPr>
          <w:p>
            <w:pPr>
              <w:spacing w:after="0"/>
              <w:rPr>
                <w:sz w:val="14"/>
                <w:szCs w:val="14"/>
                <w:color w:val="auto"/>
              </w:rPr>
            </w:pPr>
          </w:p>
        </w:tc>
        <w:tc>
          <w:tcPr>
            <w:tcW w:w="1000" w:type="dxa"/>
            <w:vAlign w:val="bottom"/>
            <w:gridSpan w:val="2"/>
          </w:tcPr>
          <w:p>
            <w:pPr>
              <w:ind w:left="100"/>
              <w:spacing w:after="0"/>
              <w:rPr>
                <w:sz w:val="20"/>
                <w:szCs w:val="20"/>
                <w:color w:val="auto"/>
              </w:rPr>
            </w:pPr>
            <w:r>
              <w:rPr>
                <w:rFonts w:ascii="Arial" w:cs="Arial" w:eastAsia="Arial" w:hAnsi="Arial"/>
                <w:sz w:val="12"/>
                <w:szCs w:val="12"/>
                <w:b w:val="1"/>
                <w:bCs w:val="1"/>
                <w:color w:val="auto"/>
              </w:rPr>
              <w:t>Earnings</w:t>
            </w:r>
          </w:p>
        </w:tc>
        <w:tc>
          <w:tcPr>
            <w:tcW w:w="14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8"/>
              </w:rPr>
              <w:t>Equity</w:t>
            </w:r>
          </w:p>
        </w:tc>
        <w:tc>
          <w:tcPr>
            <w:tcW w:w="140" w:type="dxa"/>
            <w:vAlign w:val="bottom"/>
          </w:tcPr>
          <w:p>
            <w:pPr>
              <w:spacing w:after="0"/>
              <w:rPr>
                <w:sz w:val="14"/>
                <w:szCs w:val="14"/>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87"/>
              </w:rPr>
              <w:t>Interests</w:t>
            </w:r>
          </w:p>
        </w:tc>
        <w:tc>
          <w:tcPr>
            <w:tcW w:w="240" w:type="dxa"/>
            <w:vAlign w:val="bottom"/>
          </w:tcPr>
          <w:p>
            <w:pPr>
              <w:spacing w:after="0"/>
              <w:rPr>
                <w:sz w:val="14"/>
                <w:szCs w:val="14"/>
                <w:color w:val="auto"/>
              </w:rPr>
            </w:pPr>
          </w:p>
        </w:tc>
        <w:tc>
          <w:tcPr>
            <w:tcW w:w="860" w:type="dxa"/>
            <w:vAlign w:val="bottom"/>
          </w:tcPr>
          <w:p>
            <w:pPr>
              <w:jc w:val="center"/>
              <w:ind w:right="152"/>
              <w:spacing w:after="0"/>
              <w:rPr>
                <w:sz w:val="20"/>
                <w:szCs w:val="20"/>
                <w:color w:val="auto"/>
              </w:rPr>
            </w:pPr>
            <w:r>
              <w:rPr>
                <w:rFonts w:ascii="Arial" w:cs="Arial" w:eastAsia="Arial" w:hAnsi="Arial"/>
                <w:sz w:val="12"/>
                <w:szCs w:val="12"/>
                <w:b w:val="1"/>
                <w:bCs w:val="1"/>
                <w:color w:val="auto"/>
                <w:w w:val="98"/>
              </w:rPr>
              <w:t>Equity</w:t>
            </w:r>
          </w:p>
        </w:tc>
        <w:tc>
          <w:tcPr>
            <w:tcW w:w="0" w:type="dxa"/>
            <w:vAlign w:val="bottom"/>
          </w:tcPr>
          <w:p>
            <w:pPr>
              <w:spacing w:after="0"/>
              <w:rPr>
                <w:sz w:val="1"/>
                <w:szCs w:val="1"/>
                <w:color w:val="auto"/>
              </w:rPr>
            </w:pPr>
          </w:p>
        </w:tc>
      </w:tr>
      <w:tr>
        <w:trPr>
          <w:trHeight w:val="182"/>
        </w:trPr>
        <w:tc>
          <w:tcPr>
            <w:tcW w:w="28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Balance at March 31, 2021</w:t>
            </w:r>
          </w:p>
        </w:tc>
        <w:tc>
          <w:tcPr>
            <w:tcW w:w="1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118,824,242</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1,188</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281,591</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1,956,983</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2,239,762</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2,239,774</w:t>
            </w:r>
          </w:p>
        </w:tc>
        <w:tc>
          <w:tcPr>
            <w:tcW w:w="0" w:type="dxa"/>
            <w:vAlign w:val="bottom"/>
          </w:tcPr>
          <w:p>
            <w:pPr>
              <w:spacing w:after="0"/>
              <w:rPr>
                <w:sz w:val="1"/>
                <w:szCs w:val="1"/>
                <w:color w:val="auto"/>
              </w:rPr>
            </w:pPr>
          </w:p>
        </w:tc>
      </w:tr>
      <w:tr>
        <w:trPr>
          <w:trHeight w:val="181"/>
        </w:trPr>
        <w:tc>
          <w:tcPr>
            <w:tcW w:w="2860" w:type="dxa"/>
            <w:vAlign w:val="bottom"/>
          </w:tcPr>
          <w:p>
            <w:pPr>
              <w:ind w:left="220"/>
              <w:spacing w:after="0"/>
              <w:rPr>
                <w:sz w:val="20"/>
                <w:szCs w:val="20"/>
                <w:color w:val="auto"/>
              </w:rPr>
            </w:pPr>
            <w:r>
              <w:rPr>
                <w:rFonts w:ascii="Arial" w:cs="Arial" w:eastAsia="Arial" w:hAnsi="Arial"/>
                <w:sz w:val="14"/>
                <w:szCs w:val="14"/>
                <w:color w:val="auto"/>
              </w:rPr>
              <w:t>Net income</w:t>
            </w:r>
          </w:p>
        </w:tc>
        <w:tc>
          <w:tcPr>
            <w:tcW w:w="15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117,869</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117,869</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117,869</w:t>
            </w:r>
          </w:p>
        </w:tc>
        <w:tc>
          <w:tcPr>
            <w:tcW w:w="0" w:type="dxa"/>
            <w:vAlign w:val="bottom"/>
          </w:tcPr>
          <w:p>
            <w:pPr>
              <w:spacing w:after="0"/>
              <w:rPr>
                <w:sz w:val="1"/>
                <w:szCs w:val="1"/>
                <w:color w:val="auto"/>
              </w:rPr>
            </w:pPr>
          </w:p>
        </w:tc>
      </w:tr>
      <w:tr>
        <w:trPr>
          <w:trHeight w:val="185"/>
        </w:trPr>
        <w:tc>
          <w:tcPr>
            <w:tcW w:w="2860" w:type="dxa"/>
            <w:vAlign w:val="bottom"/>
            <w:shd w:val="clear" w:color="auto" w:fill="CCEEFF"/>
          </w:tcPr>
          <w:p>
            <w:pPr>
              <w:ind w:left="220"/>
              <w:spacing w:after="0"/>
              <w:rPr>
                <w:sz w:val="20"/>
                <w:szCs w:val="20"/>
                <w:color w:val="auto"/>
              </w:rPr>
            </w:pPr>
            <w:r>
              <w:rPr>
                <w:rFonts w:ascii="Arial" w:cs="Arial" w:eastAsia="Arial" w:hAnsi="Arial"/>
                <w:sz w:val="14"/>
                <w:szCs w:val="14"/>
                <w:color w:val="auto"/>
              </w:rPr>
              <w:t>Shares issued under share-based awards</w:t>
            </w: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53,640</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131"/>
        </w:trPr>
        <w:tc>
          <w:tcPr>
            <w:tcW w:w="2860" w:type="dxa"/>
            <w:vAlign w:val="bottom"/>
          </w:tcPr>
          <w:p>
            <w:pPr>
              <w:ind w:left="220"/>
              <w:spacing w:after="0" w:line="131" w:lineRule="exact"/>
              <w:rPr>
                <w:sz w:val="20"/>
                <w:szCs w:val="20"/>
                <w:color w:val="auto"/>
              </w:rPr>
            </w:pPr>
            <w:r>
              <w:rPr>
                <w:rFonts w:ascii="Arial" w:cs="Arial" w:eastAsia="Arial" w:hAnsi="Arial"/>
                <w:sz w:val="14"/>
                <w:szCs w:val="14"/>
                <w:color w:val="auto"/>
              </w:rPr>
              <w:t>Minimum tax withholding paid on behalf of</w:t>
            </w:r>
          </w:p>
        </w:tc>
        <w:tc>
          <w:tcPr>
            <w:tcW w:w="154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78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Arial" w:cs="Arial" w:eastAsia="Arial" w:hAnsi="Arial"/>
                <w:sz w:val="14"/>
                <w:szCs w:val="14"/>
                <w:color w:val="auto"/>
              </w:rPr>
              <w:t>(14)</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0" w:type="dxa"/>
            <w:vAlign w:val="bottom"/>
            <w:gridSpan w:val="2"/>
            <w:vMerge w:val="restart"/>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(14)</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1"/>
                <w:szCs w:val="11"/>
                <w:color w:val="auto"/>
              </w:rPr>
            </w:pPr>
          </w:p>
        </w:tc>
        <w:tc>
          <w:tcPr>
            <w:tcW w:w="860" w:type="dxa"/>
            <w:vAlign w:val="bottom"/>
            <w:vMerge w:val="restart"/>
          </w:tcPr>
          <w:p>
            <w:pPr>
              <w:jc w:val="right"/>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181"/>
        </w:trPr>
        <w:tc>
          <w:tcPr>
            <w:tcW w:w="2860" w:type="dxa"/>
            <w:vAlign w:val="bottom"/>
          </w:tcPr>
          <w:p>
            <w:pPr>
              <w:ind w:left="220"/>
              <w:spacing w:after="0"/>
              <w:rPr>
                <w:sz w:val="20"/>
                <w:szCs w:val="20"/>
                <w:color w:val="auto"/>
              </w:rPr>
            </w:pPr>
            <w:r>
              <w:rPr>
                <w:rFonts w:ascii="Arial" w:cs="Arial" w:eastAsia="Arial" w:hAnsi="Arial"/>
                <w:sz w:val="14"/>
                <w:szCs w:val="14"/>
                <w:color w:val="auto"/>
              </w:rPr>
              <w:t>employees for restricted stock units</w:t>
            </w:r>
          </w:p>
        </w:tc>
        <w:tc>
          <w:tcPr>
            <w:tcW w:w="154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860" w:type="dxa"/>
            <w:vAlign w:val="bottom"/>
            <w:shd w:val="clear" w:color="auto" w:fill="CCEEFF"/>
          </w:tcPr>
          <w:p>
            <w:pPr>
              <w:ind w:left="220"/>
              <w:spacing w:after="0"/>
              <w:rPr>
                <w:sz w:val="20"/>
                <w:szCs w:val="20"/>
                <w:color w:val="auto"/>
              </w:rPr>
            </w:pPr>
            <w:r>
              <w:rPr>
                <w:rFonts w:ascii="Arial" w:cs="Arial" w:eastAsia="Arial" w:hAnsi="Arial"/>
                <w:sz w:val="14"/>
                <w:szCs w:val="14"/>
                <w:color w:val="auto"/>
              </w:rPr>
              <w:t>Stock-based compensation expense</w:t>
            </w:r>
          </w:p>
        </w:tc>
        <w:tc>
          <w:tcPr>
            <w:tcW w:w="15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4,506</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4,506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4,506</w:t>
            </w:r>
          </w:p>
        </w:tc>
        <w:tc>
          <w:tcPr>
            <w:tcW w:w="0" w:type="dxa"/>
            <w:vAlign w:val="bottom"/>
          </w:tcPr>
          <w:p>
            <w:pPr>
              <w:spacing w:after="0"/>
              <w:rPr>
                <w:sz w:val="1"/>
                <w:szCs w:val="1"/>
                <w:color w:val="auto"/>
              </w:rPr>
            </w:pPr>
          </w:p>
        </w:tc>
      </w:tr>
      <w:tr>
        <w:trPr>
          <w:trHeight w:val="181"/>
        </w:trPr>
        <w:tc>
          <w:tcPr>
            <w:tcW w:w="2860" w:type="dxa"/>
            <w:vAlign w:val="bottom"/>
          </w:tcPr>
          <w:p>
            <w:pPr>
              <w:ind w:left="220"/>
              <w:spacing w:after="0"/>
              <w:rPr>
                <w:sz w:val="20"/>
                <w:szCs w:val="20"/>
                <w:color w:val="auto"/>
              </w:rPr>
            </w:pPr>
            <w:r>
              <w:rPr>
                <w:rFonts w:ascii="Arial" w:cs="Arial" w:eastAsia="Arial" w:hAnsi="Arial"/>
                <w:sz w:val="14"/>
                <w:szCs w:val="14"/>
                <w:color w:val="auto"/>
              </w:rPr>
              <w:t>Share repurchases</w:t>
            </w:r>
          </w:p>
        </w:tc>
        <w:tc>
          <w:tcPr>
            <w:tcW w:w="1440" w:type="dxa"/>
            <w:vAlign w:val="bottom"/>
          </w:tcPr>
          <w:p>
            <w:pPr>
              <w:jc w:val="right"/>
              <w:spacing w:after="0"/>
              <w:rPr>
                <w:sz w:val="20"/>
                <w:szCs w:val="20"/>
                <w:color w:val="auto"/>
              </w:rPr>
            </w:pPr>
            <w:r>
              <w:rPr>
                <w:rFonts w:ascii="Arial" w:cs="Arial" w:eastAsia="Arial" w:hAnsi="Arial"/>
                <w:sz w:val="14"/>
                <w:szCs w:val="14"/>
                <w:color w:val="auto"/>
              </w:rPr>
              <w:t>(3,666,676)</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(39)</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(82,812)</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(82,851)</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(82,851)</w:t>
            </w:r>
          </w:p>
        </w:tc>
        <w:tc>
          <w:tcPr>
            <w:tcW w:w="0" w:type="dxa"/>
            <w:vAlign w:val="bottom"/>
          </w:tcPr>
          <w:p>
            <w:pPr>
              <w:spacing w:after="0"/>
              <w:rPr>
                <w:sz w:val="1"/>
                <w:szCs w:val="1"/>
                <w:color w:val="auto"/>
              </w:rPr>
            </w:pPr>
          </w:p>
        </w:tc>
      </w:tr>
      <w:tr>
        <w:trPr>
          <w:trHeight w:val="201"/>
        </w:trPr>
        <w:tc>
          <w:tcPr>
            <w:tcW w:w="28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Balance at June 30, 2021</w:t>
            </w:r>
          </w:p>
        </w:tc>
        <w:tc>
          <w:tcPr>
            <w:tcW w:w="1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115,211,206</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1,150</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203,288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2,074,852</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2,279,290</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4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2,279,302</w:t>
            </w:r>
          </w:p>
        </w:tc>
        <w:tc>
          <w:tcPr>
            <w:tcW w:w="0" w:type="dxa"/>
            <w:vAlign w:val="bottom"/>
          </w:tcPr>
          <w:p>
            <w:pPr>
              <w:spacing w:after="0"/>
              <w:rPr>
                <w:sz w:val="1"/>
                <w:szCs w:val="1"/>
                <w:color w:val="auto"/>
              </w:rPr>
            </w:pPr>
          </w:p>
        </w:tc>
      </w:tr>
      <w:tr>
        <w:trPr>
          <w:trHeight w:val="20"/>
        </w:trPr>
        <w:tc>
          <w:tcPr>
            <w:tcW w:w="2860" w:type="dxa"/>
            <w:vAlign w:val="bottom"/>
            <w:tcBorders>
              <w:top w:val="single" w:sz="8" w:color="CCEEFF"/>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60" w:type="dxa"/>
            <w:vAlign w:val="bottom"/>
          </w:tcPr>
          <w:p>
            <w:pPr>
              <w:spacing w:after="0"/>
              <w:rPr>
                <w:sz w:val="18"/>
                <w:szCs w:val="18"/>
                <w:color w:val="auto"/>
              </w:rPr>
            </w:pPr>
          </w:p>
        </w:tc>
        <w:tc>
          <w:tcPr>
            <w:tcW w:w="1540" w:type="dxa"/>
            <w:vAlign w:val="bottom"/>
            <w:gridSpan w:val="2"/>
          </w:tcPr>
          <w:p>
            <w:pPr>
              <w:jc w:val="center"/>
              <w:ind w:right="100"/>
              <w:spacing w:after="0"/>
              <w:rPr>
                <w:sz w:val="20"/>
                <w:szCs w:val="20"/>
                <w:color w:val="auto"/>
              </w:rPr>
            </w:pPr>
            <w:r>
              <w:rPr>
                <w:rFonts w:ascii="Arial" w:cs="Arial" w:eastAsia="Arial" w:hAnsi="Arial"/>
                <w:sz w:val="12"/>
                <w:szCs w:val="12"/>
                <w:b w:val="1"/>
                <w:bCs w:val="1"/>
                <w:color w:val="auto"/>
                <w:w w:val="93"/>
              </w:rPr>
              <w:t>Number of</w:t>
            </w:r>
          </w:p>
        </w:tc>
        <w:tc>
          <w:tcPr>
            <w:tcW w:w="140" w:type="dxa"/>
            <w:vAlign w:val="bottom"/>
          </w:tcPr>
          <w:p>
            <w:pPr>
              <w:spacing w:after="0"/>
              <w:rPr>
                <w:sz w:val="18"/>
                <w:szCs w:val="18"/>
                <w:color w:val="auto"/>
              </w:rPr>
            </w:pPr>
          </w:p>
        </w:tc>
        <w:tc>
          <w:tcPr>
            <w:tcW w:w="780" w:type="dxa"/>
            <w:vAlign w:val="bottom"/>
            <w:gridSpan w:val="2"/>
            <w:vMerge w:val="restart"/>
          </w:tcPr>
          <w:p>
            <w:pPr>
              <w:jc w:val="center"/>
              <w:ind w:right="220"/>
              <w:spacing w:after="0"/>
              <w:rPr>
                <w:sz w:val="20"/>
                <w:szCs w:val="20"/>
                <w:color w:val="auto"/>
              </w:rPr>
            </w:pPr>
            <w:r>
              <w:rPr>
                <w:rFonts w:ascii="Arial" w:cs="Arial" w:eastAsia="Arial" w:hAnsi="Arial"/>
                <w:sz w:val="12"/>
                <w:szCs w:val="12"/>
                <w:b w:val="1"/>
                <w:bCs w:val="1"/>
                <w:color w:val="auto"/>
                <w:w w:val="92"/>
              </w:rPr>
              <w:t>Common</w:t>
            </w:r>
          </w:p>
        </w:tc>
        <w:tc>
          <w:tcPr>
            <w:tcW w:w="140" w:type="dxa"/>
            <w:vAlign w:val="bottom"/>
          </w:tcPr>
          <w:p>
            <w:pPr>
              <w:spacing w:after="0"/>
              <w:rPr>
                <w:sz w:val="18"/>
                <w:szCs w:val="18"/>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5"/>
              </w:rPr>
              <w:t>Additional</w:t>
            </w:r>
          </w:p>
        </w:tc>
        <w:tc>
          <w:tcPr>
            <w:tcW w:w="200" w:type="dxa"/>
            <w:vAlign w:val="bottom"/>
          </w:tcPr>
          <w:p>
            <w:pPr>
              <w:spacing w:after="0"/>
              <w:rPr>
                <w:sz w:val="18"/>
                <w:szCs w:val="18"/>
                <w:color w:val="auto"/>
              </w:rPr>
            </w:pPr>
          </w:p>
        </w:tc>
        <w:tc>
          <w:tcPr>
            <w:tcW w:w="100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Retained</w:t>
            </w:r>
          </w:p>
        </w:tc>
        <w:tc>
          <w:tcPr>
            <w:tcW w:w="140" w:type="dxa"/>
            <w:vAlign w:val="bottom"/>
          </w:tcPr>
          <w:p>
            <w:pPr>
              <w:spacing w:after="0"/>
              <w:rPr>
                <w:sz w:val="18"/>
                <w:szCs w:val="18"/>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2"/>
                <w:szCs w:val="12"/>
                <w:b w:val="1"/>
                <w:bCs w:val="1"/>
                <w:color w:val="auto"/>
                <w:w w:val="90"/>
              </w:rPr>
              <w:t>Total</w:t>
            </w:r>
          </w:p>
        </w:tc>
        <w:tc>
          <w:tcPr>
            <w:tcW w:w="140" w:type="dxa"/>
            <w:vAlign w:val="bottom"/>
          </w:tcPr>
          <w:p>
            <w:pPr>
              <w:spacing w:after="0"/>
              <w:rPr>
                <w:sz w:val="18"/>
                <w:szCs w:val="18"/>
                <w:color w:val="auto"/>
              </w:rPr>
            </w:pPr>
          </w:p>
        </w:tc>
        <w:tc>
          <w:tcPr>
            <w:tcW w:w="1160" w:type="dxa"/>
            <w:vAlign w:val="bottom"/>
            <w:gridSpan w:val="2"/>
            <w:vMerge w:val="restart"/>
          </w:tcPr>
          <w:p>
            <w:pPr>
              <w:jc w:val="center"/>
              <w:ind w:right="220"/>
              <w:spacing w:after="0"/>
              <w:rPr>
                <w:sz w:val="20"/>
                <w:szCs w:val="20"/>
                <w:color w:val="auto"/>
              </w:rPr>
            </w:pPr>
            <w:r>
              <w:rPr>
                <w:rFonts w:ascii="Arial" w:cs="Arial" w:eastAsia="Arial" w:hAnsi="Arial"/>
                <w:sz w:val="12"/>
                <w:szCs w:val="12"/>
                <w:b w:val="1"/>
                <w:bCs w:val="1"/>
                <w:color w:val="auto"/>
                <w:w w:val="91"/>
              </w:rPr>
              <w:t>Noncontrolling</w:t>
            </w:r>
          </w:p>
        </w:tc>
        <w:tc>
          <w:tcPr>
            <w:tcW w:w="240" w:type="dxa"/>
            <w:vAlign w:val="bottom"/>
          </w:tcPr>
          <w:p>
            <w:pPr>
              <w:spacing w:after="0"/>
              <w:rPr>
                <w:sz w:val="18"/>
                <w:szCs w:val="18"/>
                <w:color w:val="auto"/>
              </w:rPr>
            </w:pPr>
          </w:p>
        </w:tc>
        <w:tc>
          <w:tcPr>
            <w:tcW w:w="860" w:type="dxa"/>
            <w:vAlign w:val="bottom"/>
            <w:vMerge w:val="restart"/>
          </w:tcPr>
          <w:p>
            <w:pPr>
              <w:jc w:val="center"/>
              <w:ind w:right="172"/>
              <w:spacing w:after="0"/>
              <w:rPr>
                <w:sz w:val="20"/>
                <w:szCs w:val="20"/>
                <w:color w:val="auto"/>
              </w:rPr>
            </w:pPr>
            <w:r>
              <w:rPr>
                <w:rFonts w:ascii="Arial" w:cs="Arial" w:eastAsia="Arial" w:hAnsi="Arial"/>
                <w:sz w:val="12"/>
                <w:szCs w:val="12"/>
                <w:b w:val="1"/>
                <w:bCs w:val="1"/>
                <w:color w:val="auto"/>
                <w:w w:val="90"/>
              </w:rPr>
              <w:t>Total</w:t>
            </w:r>
          </w:p>
        </w:tc>
        <w:tc>
          <w:tcPr>
            <w:tcW w:w="0" w:type="dxa"/>
            <w:vAlign w:val="bottom"/>
          </w:tcPr>
          <w:p>
            <w:pPr>
              <w:spacing w:after="0"/>
              <w:rPr>
                <w:sz w:val="1"/>
                <w:szCs w:val="1"/>
                <w:color w:val="auto"/>
              </w:rPr>
            </w:pPr>
          </w:p>
        </w:tc>
      </w:tr>
      <w:tr>
        <w:trPr>
          <w:trHeight w:val="118"/>
        </w:trPr>
        <w:tc>
          <w:tcPr>
            <w:tcW w:w="2860" w:type="dxa"/>
            <w:vAlign w:val="bottom"/>
          </w:tcPr>
          <w:p>
            <w:pPr>
              <w:spacing w:after="0"/>
              <w:rPr>
                <w:sz w:val="10"/>
                <w:szCs w:val="10"/>
                <w:color w:val="auto"/>
              </w:rPr>
            </w:pPr>
          </w:p>
        </w:tc>
        <w:tc>
          <w:tcPr>
            <w:tcW w:w="1540" w:type="dxa"/>
            <w:vAlign w:val="bottom"/>
            <w:gridSpan w:val="2"/>
          </w:tcPr>
          <w:p>
            <w:pPr>
              <w:jc w:val="center"/>
              <w:ind w:right="100"/>
              <w:spacing w:after="0" w:line="118" w:lineRule="exact"/>
              <w:rPr>
                <w:sz w:val="20"/>
                <w:szCs w:val="20"/>
                <w:color w:val="auto"/>
              </w:rPr>
            </w:pPr>
            <w:r>
              <w:rPr>
                <w:rFonts w:ascii="Arial" w:cs="Arial" w:eastAsia="Arial" w:hAnsi="Arial"/>
                <w:sz w:val="12"/>
                <w:szCs w:val="12"/>
                <w:b w:val="1"/>
                <w:bCs w:val="1"/>
                <w:color w:val="auto"/>
                <w:w w:val="90"/>
              </w:rPr>
              <w:t>Shares of Common</w:t>
            </w:r>
          </w:p>
        </w:tc>
        <w:tc>
          <w:tcPr>
            <w:tcW w:w="14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880" w:type="dxa"/>
            <w:vAlign w:val="bottom"/>
            <w:gridSpan w:val="2"/>
          </w:tcPr>
          <w:p>
            <w:pPr>
              <w:jc w:val="center"/>
              <w:ind w:right="220"/>
              <w:spacing w:after="0" w:line="118" w:lineRule="exact"/>
              <w:rPr>
                <w:sz w:val="20"/>
                <w:szCs w:val="20"/>
                <w:color w:val="auto"/>
              </w:rPr>
            </w:pPr>
            <w:r>
              <w:rPr>
                <w:rFonts w:ascii="Arial" w:cs="Arial" w:eastAsia="Arial" w:hAnsi="Arial"/>
                <w:sz w:val="12"/>
                <w:szCs w:val="12"/>
                <w:b w:val="1"/>
                <w:bCs w:val="1"/>
                <w:color w:val="auto"/>
                <w:w w:val="94"/>
              </w:rPr>
              <w:t>Paid-in</w:t>
            </w:r>
          </w:p>
        </w:tc>
        <w:tc>
          <w:tcPr>
            <w:tcW w:w="200" w:type="dxa"/>
            <w:vAlign w:val="bottom"/>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gridSpan w:val="2"/>
          </w:tcPr>
          <w:p>
            <w:pPr>
              <w:jc w:val="center"/>
              <w:ind w:right="260"/>
              <w:spacing w:after="0" w:line="118" w:lineRule="exact"/>
              <w:rPr>
                <w:sz w:val="20"/>
                <w:szCs w:val="20"/>
                <w:color w:val="auto"/>
              </w:rPr>
            </w:pPr>
            <w:r>
              <w:rPr>
                <w:rFonts w:ascii="Arial" w:cs="Arial" w:eastAsia="Arial" w:hAnsi="Arial"/>
                <w:sz w:val="12"/>
                <w:szCs w:val="12"/>
                <w:b w:val="1"/>
                <w:bCs w:val="1"/>
                <w:color w:val="auto"/>
                <w:w w:val="88"/>
              </w:rPr>
              <w:t>Stockholders'</w:t>
            </w:r>
          </w:p>
        </w:tc>
        <w:tc>
          <w:tcPr>
            <w:tcW w:w="140" w:type="dxa"/>
            <w:vAlign w:val="bottom"/>
          </w:tcPr>
          <w:p>
            <w:pPr>
              <w:spacing w:after="0"/>
              <w:rPr>
                <w:sz w:val="10"/>
                <w:szCs w:val="10"/>
                <w:color w:val="auto"/>
              </w:rPr>
            </w:pPr>
          </w:p>
        </w:tc>
        <w:tc>
          <w:tcPr>
            <w:tcW w:w="1160" w:type="dxa"/>
            <w:vAlign w:val="bottom"/>
            <w:gridSpan w:val="2"/>
            <w:vMerge w:val="continue"/>
          </w:tcPr>
          <w:p>
            <w:pPr>
              <w:spacing w:after="0"/>
              <w:rPr>
                <w:sz w:val="10"/>
                <w:szCs w:val="10"/>
                <w:color w:val="auto"/>
              </w:rPr>
            </w:pPr>
          </w:p>
        </w:tc>
        <w:tc>
          <w:tcPr>
            <w:tcW w:w="240" w:type="dxa"/>
            <w:vAlign w:val="bottom"/>
          </w:tcPr>
          <w:p>
            <w:pPr>
              <w:spacing w:after="0"/>
              <w:rPr>
                <w:sz w:val="10"/>
                <w:szCs w:val="10"/>
                <w:color w:val="auto"/>
              </w:rPr>
            </w:pP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860" w:type="dxa"/>
            <w:vAlign w:val="bottom"/>
          </w:tcPr>
          <w:p>
            <w:pPr>
              <w:spacing w:after="0"/>
              <w:rPr>
                <w:sz w:val="14"/>
                <w:szCs w:val="14"/>
                <w:color w:val="auto"/>
              </w:rPr>
            </w:pPr>
          </w:p>
        </w:tc>
        <w:tc>
          <w:tcPr>
            <w:tcW w:w="1540" w:type="dxa"/>
            <w:vAlign w:val="bottom"/>
            <w:gridSpan w:val="2"/>
          </w:tcPr>
          <w:p>
            <w:pPr>
              <w:jc w:val="center"/>
              <w:ind w:right="120"/>
              <w:spacing w:after="0"/>
              <w:rPr>
                <w:sz w:val="20"/>
                <w:szCs w:val="20"/>
                <w:color w:val="auto"/>
              </w:rPr>
            </w:pPr>
            <w:r>
              <w:rPr>
                <w:rFonts w:ascii="Arial" w:cs="Arial" w:eastAsia="Arial" w:hAnsi="Arial"/>
                <w:sz w:val="12"/>
                <w:szCs w:val="12"/>
                <w:b w:val="1"/>
                <w:bCs w:val="1"/>
                <w:color w:val="auto"/>
                <w:w w:val="91"/>
              </w:rPr>
              <w:t>Stock (Note 1)</w:t>
            </w:r>
          </w:p>
        </w:tc>
        <w:tc>
          <w:tcPr>
            <w:tcW w:w="140" w:type="dxa"/>
            <w:vAlign w:val="bottom"/>
          </w:tcPr>
          <w:p>
            <w:pPr>
              <w:spacing w:after="0"/>
              <w:rPr>
                <w:sz w:val="14"/>
                <w:szCs w:val="14"/>
                <w:color w:val="auto"/>
              </w:rPr>
            </w:pPr>
          </w:p>
        </w:tc>
        <w:tc>
          <w:tcPr>
            <w:tcW w:w="7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1"/>
              </w:rPr>
              <w:t>Stock</w:t>
            </w:r>
          </w:p>
        </w:tc>
        <w:tc>
          <w:tcPr>
            <w:tcW w:w="140" w:type="dxa"/>
            <w:vAlign w:val="bottom"/>
          </w:tcPr>
          <w:p>
            <w:pPr>
              <w:spacing w:after="0"/>
              <w:rPr>
                <w:sz w:val="14"/>
                <w:szCs w:val="14"/>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9"/>
              </w:rPr>
              <w:t>Capital</w:t>
            </w:r>
          </w:p>
        </w:tc>
        <w:tc>
          <w:tcPr>
            <w:tcW w:w="200" w:type="dxa"/>
            <w:vAlign w:val="bottom"/>
          </w:tcPr>
          <w:p>
            <w:pPr>
              <w:spacing w:after="0"/>
              <w:rPr>
                <w:sz w:val="14"/>
                <w:szCs w:val="14"/>
                <w:color w:val="auto"/>
              </w:rPr>
            </w:pPr>
          </w:p>
        </w:tc>
        <w:tc>
          <w:tcPr>
            <w:tcW w:w="1000" w:type="dxa"/>
            <w:vAlign w:val="bottom"/>
            <w:gridSpan w:val="2"/>
          </w:tcPr>
          <w:p>
            <w:pPr>
              <w:ind w:left="100"/>
              <w:spacing w:after="0"/>
              <w:rPr>
                <w:sz w:val="20"/>
                <w:szCs w:val="20"/>
                <w:color w:val="auto"/>
              </w:rPr>
            </w:pPr>
            <w:r>
              <w:rPr>
                <w:rFonts w:ascii="Arial" w:cs="Arial" w:eastAsia="Arial" w:hAnsi="Arial"/>
                <w:sz w:val="12"/>
                <w:szCs w:val="12"/>
                <w:b w:val="1"/>
                <w:bCs w:val="1"/>
                <w:color w:val="auto"/>
              </w:rPr>
              <w:t>Earnings</w:t>
            </w:r>
          </w:p>
        </w:tc>
        <w:tc>
          <w:tcPr>
            <w:tcW w:w="14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8"/>
              </w:rPr>
              <w:t>Equity</w:t>
            </w:r>
          </w:p>
        </w:tc>
        <w:tc>
          <w:tcPr>
            <w:tcW w:w="140" w:type="dxa"/>
            <w:vAlign w:val="bottom"/>
          </w:tcPr>
          <w:p>
            <w:pPr>
              <w:spacing w:after="0"/>
              <w:rPr>
                <w:sz w:val="14"/>
                <w:szCs w:val="14"/>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87"/>
              </w:rPr>
              <w:t>Interests</w:t>
            </w:r>
          </w:p>
        </w:tc>
        <w:tc>
          <w:tcPr>
            <w:tcW w:w="240" w:type="dxa"/>
            <w:vAlign w:val="bottom"/>
          </w:tcPr>
          <w:p>
            <w:pPr>
              <w:spacing w:after="0"/>
              <w:rPr>
                <w:sz w:val="14"/>
                <w:szCs w:val="14"/>
                <w:color w:val="auto"/>
              </w:rPr>
            </w:pPr>
          </w:p>
        </w:tc>
        <w:tc>
          <w:tcPr>
            <w:tcW w:w="860" w:type="dxa"/>
            <w:vAlign w:val="bottom"/>
          </w:tcPr>
          <w:p>
            <w:pPr>
              <w:jc w:val="center"/>
              <w:ind w:right="152"/>
              <w:spacing w:after="0"/>
              <w:rPr>
                <w:sz w:val="20"/>
                <w:szCs w:val="20"/>
                <w:color w:val="auto"/>
              </w:rPr>
            </w:pPr>
            <w:r>
              <w:rPr>
                <w:rFonts w:ascii="Arial" w:cs="Arial" w:eastAsia="Arial" w:hAnsi="Arial"/>
                <w:sz w:val="12"/>
                <w:szCs w:val="12"/>
                <w:b w:val="1"/>
                <w:bCs w:val="1"/>
                <w:color w:val="auto"/>
                <w:w w:val="98"/>
              </w:rPr>
              <w:t>Equity</w:t>
            </w:r>
          </w:p>
        </w:tc>
        <w:tc>
          <w:tcPr>
            <w:tcW w:w="0" w:type="dxa"/>
            <w:vAlign w:val="bottom"/>
          </w:tcPr>
          <w:p>
            <w:pPr>
              <w:spacing w:after="0"/>
              <w:rPr>
                <w:sz w:val="1"/>
                <w:szCs w:val="1"/>
                <w:color w:val="auto"/>
              </w:rPr>
            </w:pPr>
          </w:p>
        </w:tc>
      </w:tr>
      <w:tr>
        <w:trPr>
          <w:trHeight w:val="182"/>
        </w:trPr>
        <w:tc>
          <w:tcPr>
            <w:tcW w:w="28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Balance at December 31, 2020</w:t>
            </w:r>
          </w:p>
        </w:tc>
        <w:tc>
          <w:tcPr>
            <w:tcW w:w="1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121,882,778</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1,219</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345,137</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1,886,181</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2,232,537</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2,232,549</w:t>
            </w:r>
          </w:p>
        </w:tc>
        <w:tc>
          <w:tcPr>
            <w:tcW w:w="0" w:type="dxa"/>
            <w:vAlign w:val="bottom"/>
          </w:tcPr>
          <w:p>
            <w:pPr>
              <w:spacing w:after="0"/>
              <w:rPr>
                <w:sz w:val="1"/>
                <w:szCs w:val="1"/>
                <w:color w:val="auto"/>
              </w:rPr>
            </w:pPr>
          </w:p>
        </w:tc>
      </w:tr>
      <w:tr>
        <w:trPr>
          <w:trHeight w:val="181"/>
        </w:trPr>
        <w:tc>
          <w:tcPr>
            <w:tcW w:w="2860" w:type="dxa"/>
            <w:vAlign w:val="bottom"/>
          </w:tcPr>
          <w:p>
            <w:pPr>
              <w:ind w:left="220"/>
              <w:spacing w:after="0"/>
              <w:rPr>
                <w:sz w:val="20"/>
                <w:szCs w:val="20"/>
                <w:color w:val="auto"/>
              </w:rPr>
            </w:pPr>
            <w:r>
              <w:rPr>
                <w:rFonts w:ascii="Arial" w:cs="Arial" w:eastAsia="Arial" w:hAnsi="Arial"/>
                <w:sz w:val="14"/>
                <w:szCs w:val="14"/>
                <w:color w:val="auto"/>
              </w:rPr>
              <w:t>Net income</w:t>
            </w:r>
          </w:p>
        </w:tc>
        <w:tc>
          <w:tcPr>
            <w:tcW w:w="15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188,671</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188,671</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188,671</w:t>
            </w:r>
          </w:p>
        </w:tc>
        <w:tc>
          <w:tcPr>
            <w:tcW w:w="0" w:type="dxa"/>
            <w:vAlign w:val="bottom"/>
          </w:tcPr>
          <w:p>
            <w:pPr>
              <w:spacing w:after="0"/>
              <w:rPr>
                <w:sz w:val="1"/>
                <w:szCs w:val="1"/>
                <w:color w:val="auto"/>
              </w:rPr>
            </w:pPr>
          </w:p>
        </w:tc>
      </w:tr>
      <w:tr>
        <w:trPr>
          <w:trHeight w:val="185"/>
        </w:trPr>
        <w:tc>
          <w:tcPr>
            <w:tcW w:w="2860" w:type="dxa"/>
            <w:vAlign w:val="bottom"/>
            <w:shd w:val="clear" w:color="auto" w:fill="CCEEFF"/>
          </w:tcPr>
          <w:p>
            <w:pPr>
              <w:ind w:left="220"/>
              <w:spacing w:after="0"/>
              <w:rPr>
                <w:sz w:val="20"/>
                <w:szCs w:val="20"/>
                <w:color w:val="auto"/>
              </w:rPr>
            </w:pPr>
            <w:r>
              <w:rPr>
                <w:rFonts w:ascii="Arial" w:cs="Arial" w:eastAsia="Arial" w:hAnsi="Arial"/>
                <w:sz w:val="14"/>
                <w:szCs w:val="14"/>
                <w:color w:val="auto"/>
              </w:rPr>
              <w:t>Shares issued under share-based awards</w:t>
            </w: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654,665</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2,828</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2,834</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2,834</w:t>
            </w:r>
          </w:p>
        </w:tc>
        <w:tc>
          <w:tcPr>
            <w:tcW w:w="0" w:type="dxa"/>
            <w:vAlign w:val="bottom"/>
          </w:tcPr>
          <w:p>
            <w:pPr>
              <w:spacing w:after="0"/>
              <w:rPr>
                <w:sz w:val="1"/>
                <w:szCs w:val="1"/>
                <w:color w:val="auto"/>
              </w:rPr>
            </w:pPr>
          </w:p>
        </w:tc>
      </w:tr>
      <w:tr>
        <w:trPr>
          <w:trHeight w:val="131"/>
        </w:trPr>
        <w:tc>
          <w:tcPr>
            <w:tcW w:w="2860" w:type="dxa"/>
            <w:vAlign w:val="bottom"/>
          </w:tcPr>
          <w:p>
            <w:pPr>
              <w:ind w:left="220"/>
              <w:spacing w:after="0" w:line="131" w:lineRule="exact"/>
              <w:rPr>
                <w:sz w:val="20"/>
                <w:szCs w:val="20"/>
                <w:color w:val="auto"/>
              </w:rPr>
            </w:pPr>
            <w:r>
              <w:rPr>
                <w:rFonts w:ascii="Arial" w:cs="Arial" w:eastAsia="Arial" w:hAnsi="Arial"/>
                <w:sz w:val="14"/>
                <w:szCs w:val="14"/>
                <w:color w:val="auto"/>
              </w:rPr>
              <w:t>Minimum tax withholding paid on behalf of</w:t>
            </w:r>
          </w:p>
        </w:tc>
        <w:tc>
          <w:tcPr>
            <w:tcW w:w="154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78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Arial" w:cs="Arial" w:eastAsia="Arial" w:hAnsi="Arial"/>
                <w:sz w:val="14"/>
                <w:szCs w:val="14"/>
                <w:color w:val="auto"/>
              </w:rPr>
              <w:t>(4,636)</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0" w:type="dxa"/>
            <w:vAlign w:val="bottom"/>
            <w:gridSpan w:val="2"/>
            <w:vMerge w:val="restart"/>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(4,636)</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1"/>
                <w:szCs w:val="11"/>
                <w:color w:val="auto"/>
              </w:rPr>
            </w:pPr>
          </w:p>
        </w:tc>
        <w:tc>
          <w:tcPr>
            <w:tcW w:w="860" w:type="dxa"/>
            <w:vAlign w:val="bottom"/>
            <w:vMerge w:val="restart"/>
          </w:tcPr>
          <w:p>
            <w:pPr>
              <w:jc w:val="right"/>
              <w:spacing w:after="0"/>
              <w:rPr>
                <w:sz w:val="20"/>
                <w:szCs w:val="20"/>
                <w:color w:val="auto"/>
              </w:rPr>
            </w:pPr>
            <w:r>
              <w:rPr>
                <w:rFonts w:ascii="Arial" w:cs="Arial" w:eastAsia="Arial" w:hAnsi="Arial"/>
                <w:sz w:val="14"/>
                <w:szCs w:val="14"/>
                <w:color w:val="auto"/>
              </w:rPr>
              <w:t>(4,636)</w:t>
            </w:r>
          </w:p>
        </w:tc>
        <w:tc>
          <w:tcPr>
            <w:tcW w:w="0" w:type="dxa"/>
            <w:vAlign w:val="bottom"/>
          </w:tcPr>
          <w:p>
            <w:pPr>
              <w:spacing w:after="0"/>
              <w:rPr>
                <w:sz w:val="1"/>
                <w:szCs w:val="1"/>
                <w:color w:val="auto"/>
              </w:rPr>
            </w:pPr>
          </w:p>
        </w:tc>
      </w:tr>
      <w:tr>
        <w:trPr>
          <w:trHeight w:val="181"/>
        </w:trPr>
        <w:tc>
          <w:tcPr>
            <w:tcW w:w="2860" w:type="dxa"/>
            <w:vAlign w:val="bottom"/>
          </w:tcPr>
          <w:p>
            <w:pPr>
              <w:ind w:left="220"/>
              <w:spacing w:after="0"/>
              <w:rPr>
                <w:sz w:val="20"/>
                <w:szCs w:val="20"/>
                <w:color w:val="auto"/>
              </w:rPr>
            </w:pPr>
            <w:r>
              <w:rPr>
                <w:rFonts w:ascii="Arial" w:cs="Arial" w:eastAsia="Arial" w:hAnsi="Arial"/>
                <w:sz w:val="14"/>
                <w:szCs w:val="14"/>
                <w:color w:val="auto"/>
              </w:rPr>
              <w:t>employees for restricted stock units</w:t>
            </w:r>
          </w:p>
        </w:tc>
        <w:tc>
          <w:tcPr>
            <w:tcW w:w="154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860" w:type="dxa"/>
            <w:vAlign w:val="bottom"/>
            <w:shd w:val="clear" w:color="auto" w:fill="CCEEFF"/>
          </w:tcPr>
          <w:p>
            <w:pPr>
              <w:ind w:left="220"/>
              <w:spacing w:after="0"/>
              <w:rPr>
                <w:sz w:val="20"/>
                <w:szCs w:val="20"/>
                <w:color w:val="auto"/>
              </w:rPr>
            </w:pPr>
            <w:r>
              <w:rPr>
                <w:rFonts w:ascii="Arial" w:cs="Arial" w:eastAsia="Arial" w:hAnsi="Arial"/>
                <w:sz w:val="14"/>
                <w:szCs w:val="14"/>
                <w:color w:val="auto"/>
              </w:rPr>
              <w:t>Stock-based compensation expense</w:t>
            </w:r>
          </w:p>
        </w:tc>
        <w:tc>
          <w:tcPr>
            <w:tcW w:w="15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8,162</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8,162</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8,162</w:t>
            </w:r>
          </w:p>
        </w:tc>
        <w:tc>
          <w:tcPr>
            <w:tcW w:w="0" w:type="dxa"/>
            <w:vAlign w:val="bottom"/>
          </w:tcPr>
          <w:p>
            <w:pPr>
              <w:spacing w:after="0"/>
              <w:rPr>
                <w:sz w:val="1"/>
                <w:szCs w:val="1"/>
                <w:color w:val="auto"/>
              </w:rPr>
            </w:pPr>
          </w:p>
        </w:tc>
      </w:tr>
      <w:tr>
        <w:trPr>
          <w:trHeight w:val="181"/>
        </w:trPr>
        <w:tc>
          <w:tcPr>
            <w:tcW w:w="2860" w:type="dxa"/>
            <w:vAlign w:val="bottom"/>
          </w:tcPr>
          <w:p>
            <w:pPr>
              <w:ind w:left="220"/>
              <w:spacing w:after="0"/>
              <w:rPr>
                <w:sz w:val="20"/>
                <w:szCs w:val="20"/>
                <w:color w:val="auto"/>
              </w:rPr>
            </w:pPr>
            <w:r>
              <w:rPr>
                <w:rFonts w:ascii="Arial" w:cs="Arial" w:eastAsia="Arial" w:hAnsi="Arial"/>
                <w:sz w:val="14"/>
                <w:szCs w:val="14"/>
                <w:color w:val="auto"/>
              </w:rPr>
              <w:t>Share repurchases</w:t>
            </w:r>
          </w:p>
        </w:tc>
        <w:tc>
          <w:tcPr>
            <w:tcW w:w="1440" w:type="dxa"/>
            <w:vAlign w:val="bottom"/>
          </w:tcPr>
          <w:p>
            <w:pPr>
              <w:jc w:val="right"/>
              <w:spacing w:after="0"/>
              <w:rPr>
                <w:sz w:val="20"/>
                <w:szCs w:val="20"/>
                <w:color w:val="auto"/>
              </w:rPr>
            </w:pPr>
            <w:r>
              <w:rPr>
                <w:rFonts w:ascii="Arial" w:cs="Arial" w:eastAsia="Arial" w:hAnsi="Arial"/>
                <w:sz w:val="14"/>
                <w:szCs w:val="14"/>
                <w:color w:val="auto"/>
              </w:rPr>
              <w:t>(7,326,237)</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(75)</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(148,203)</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(148,278)</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(148,278)</w:t>
            </w:r>
          </w:p>
        </w:tc>
        <w:tc>
          <w:tcPr>
            <w:tcW w:w="0" w:type="dxa"/>
            <w:vAlign w:val="bottom"/>
          </w:tcPr>
          <w:p>
            <w:pPr>
              <w:spacing w:after="0"/>
              <w:rPr>
                <w:sz w:val="1"/>
                <w:szCs w:val="1"/>
                <w:color w:val="auto"/>
              </w:rPr>
            </w:pPr>
          </w:p>
        </w:tc>
      </w:tr>
      <w:tr>
        <w:trPr>
          <w:trHeight w:val="201"/>
        </w:trPr>
        <w:tc>
          <w:tcPr>
            <w:tcW w:w="28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Balance at June 30, 2021</w:t>
            </w:r>
          </w:p>
        </w:tc>
        <w:tc>
          <w:tcPr>
            <w:tcW w:w="1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115,211,206</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1,150</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203,288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2,074,852</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2,279,290</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4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2,279,302</w:t>
            </w:r>
          </w:p>
        </w:tc>
        <w:tc>
          <w:tcPr>
            <w:tcW w:w="0" w:type="dxa"/>
            <w:vAlign w:val="bottom"/>
          </w:tcPr>
          <w:p>
            <w:pPr>
              <w:spacing w:after="0"/>
              <w:rPr>
                <w:sz w:val="1"/>
                <w:szCs w:val="1"/>
                <w:color w:val="auto"/>
              </w:rPr>
            </w:pPr>
          </w:p>
        </w:tc>
      </w:tr>
      <w:tr>
        <w:trPr>
          <w:trHeight w:val="20"/>
        </w:trPr>
        <w:tc>
          <w:tcPr>
            <w:tcW w:w="2860" w:type="dxa"/>
            <w:vAlign w:val="bottom"/>
            <w:tcBorders>
              <w:top w:val="single" w:sz="8" w:color="CCEEFF"/>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8"/>
        </w:trPr>
        <w:tc>
          <w:tcPr>
            <w:tcW w:w="2860" w:type="dxa"/>
            <w:vAlign w:val="bottom"/>
          </w:tcPr>
          <w:p>
            <w:pPr>
              <w:spacing w:after="0"/>
              <w:rPr>
                <w:sz w:val="10"/>
                <w:szCs w:val="10"/>
                <w:color w:val="auto"/>
              </w:rPr>
            </w:pPr>
          </w:p>
        </w:tc>
        <w:tc>
          <w:tcPr>
            <w:tcW w:w="1540" w:type="dxa"/>
            <w:vAlign w:val="bottom"/>
            <w:gridSpan w:val="2"/>
          </w:tcPr>
          <w:p>
            <w:pPr>
              <w:jc w:val="center"/>
              <w:ind w:right="100"/>
              <w:spacing w:after="0" w:line="119" w:lineRule="exact"/>
              <w:rPr>
                <w:sz w:val="20"/>
                <w:szCs w:val="20"/>
                <w:color w:val="auto"/>
              </w:rPr>
            </w:pPr>
            <w:r>
              <w:rPr>
                <w:rFonts w:ascii="Arial" w:cs="Arial" w:eastAsia="Arial" w:hAnsi="Arial"/>
                <w:sz w:val="12"/>
                <w:szCs w:val="12"/>
                <w:b w:val="1"/>
                <w:bCs w:val="1"/>
                <w:color w:val="auto"/>
                <w:w w:val="93"/>
              </w:rPr>
              <w:t>Number of</w:t>
            </w:r>
          </w:p>
        </w:tc>
        <w:tc>
          <w:tcPr>
            <w:tcW w:w="140" w:type="dxa"/>
            <w:vAlign w:val="bottom"/>
          </w:tcPr>
          <w:p>
            <w:pPr>
              <w:spacing w:after="0"/>
              <w:rPr>
                <w:sz w:val="10"/>
                <w:szCs w:val="10"/>
                <w:color w:val="auto"/>
              </w:rPr>
            </w:pPr>
          </w:p>
        </w:tc>
        <w:tc>
          <w:tcPr>
            <w:tcW w:w="780" w:type="dxa"/>
            <w:vAlign w:val="bottom"/>
            <w:gridSpan w:val="2"/>
            <w:vMerge w:val="restart"/>
          </w:tcPr>
          <w:p>
            <w:pPr>
              <w:jc w:val="center"/>
              <w:ind w:right="220"/>
              <w:spacing w:after="0"/>
              <w:rPr>
                <w:sz w:val="20"/>
                <w:szCs w:val="20"/>
                <w:color w:val="auto"/>
              </w:rPr>
            </w:pPr>
            <w:r>
              <w:rPr>
                <w:rFonts w:ascii="Arial" w:cs="Arial" w:eastAsia="Arial" w:hAnsi="Arial"/>
                <w:sz w:val="12"/>
                <w:szCs w:val="12"/>
                <w:b w:val="1"/>
                <w:bCs w:val="1"/>
                <w:color w:val="auto"/>
                <w:w w:val="92"/>
              </w:rPr>
              <w:t>Common</w:t>
            </w:r>
          </w:p>
        </w:tc>
        <w:tc>
          <w:tcPr>
            <w:tcW w:w="140" w:type="dxa"/>
            <w:vAlign w:val="bottom"/>
          </w:tcPr>
          <w:p>
            <w:pPr>
              <w:spacing w:after="0"/>
              <w:rPr>
                <w:sz w:val="10"/>
                <w:szCs w:val="10"/>
                <w:color w:val="auto"/>
              </w:rPr>
            </w:pPr>
          </w:p>
        </w:tc>
        <w:tc>
          <w:tcPr>
            <w:tcW w:w="880" w:type="dxa"/>
            <w:vAlign w:val="bottom"/>
            <w:gridSpan w:val="2"/>
          </w:tcPr>
          <w:p>
            <w:pPr>
              <w:jc w:val="center"/>
              <w:ind w:right="240"/>
              <w:spacing w:after="0" w:line="119" w:lineRule="exact"/>
              <w:rPr>
                <w:sz w:val="20"/>
                <w:szCs w:val="20"/>
                <w:color w:val="auto"/>
              </w:rPr>
            </w:pPr>
            <w:r>
              <w:rPr>
                <w:rFonts w:ascii="Arial" w:cs="Arial" w:eastAsia="Arial" w:hAnsi="Arial"/>
                <w:sz w:val="12"/>
                <w:szCs w:val="12"/>
                <w:b w:val="1"/>
                <w:bCs w:val="1"/>
                <w:color w:val="auto"/>
                <w:w w:val="95"/>
              </w:rPr>
              <w:t>Additional</w:t>
            </w:r>
          </w:p>
        </w:tc>
        <w:tc>
          <w:tcPr>
            <w:tcW w:w="200" w:type="dxa"/>
            <w:vAlign w:val="bottom"/>
          </w:tcPr>
          <w:p>
            <w:pPr>
              <w:spacing w:after="0"/>
              <w:rPr>
                <w:sz w:val="10"/>
                <w:szCs w:val="10"/>
                <w:color w:val="auto"/>
              </w:rPr>
            </w:pPr>
          </w:p>
        </w:tc>
        <w:tc>
          <w:tcPr>
            <w:tcW w:w="100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Retained</w:t>
            </w:r>
          </w:p>
        </w:tc>
        <w:tc>
          <w:tcPr>
            <w:tcW w:w="140" w:type="dxa"/>
            <w:vAlign w:val="bottom"/>
          </w:tcPr>
          <w:p>
            <w:pPr>
              <w:spacing w:after="0"/>
              <w:rPr>
                <w:sz w:val="10"/>
                <w:szCs w:val="10"/>
                <w:color w:val="auto"/>
              </w:rPr>
            </w:pPr>
          </w:p>
        </w:tc>
        <w:tc>
          <w:tcPr>
            <w:tcW w:w="1080" w:type="dxa"/>
            <w:vAlign w:val="bottom"/>
            <w:gridSpan w:val="2"/>
          </w:tcPr>
          <w:p>
            <w:pPr>
              <w:jc w:val="center"/>
              <w:ind w:right="260"/>
              <w:spacing w:after="0" w:line="119" w:lineRule="exact"/>
              <w:rPr>
                <w:sz w:val="20"/>
                <w:szCs w:val="20"/>
                <w:color w:val="auto"/>
              </w:rPr>
            </w:pPr>
            <w:r>
              <w:rPr>
                <w:rFonts w:ascii="Arial" w:cs="Arial" w:eastAsia="Arial" w:hAnsi="Arial"/>
                <w:sz w:val="12"/>
                <w:szCs w:val="12"/>
                <w:b w:val="1"/>
                <w:bCs w:val="1"/>
                <w:color w:val="auto"/>
                <w:w w:val="90"/>
              </w:rPr>
              <w:t>Total</w:t>
            </w:r>
          </w:p>
        </w:tc>
        <w:tc>
          <w:tcPr>
            <w:tcW w:w="140" w:type="dxa"/>
            <w:vAlign w:val="bottom"/>
          </w:tcPr>
          <w:p>
            <w:pPr>
              <w:spacing w:after="0"/>
              <w:rPr>
                <w:sz w:val="10"/>
                <w:szCs w:val="10"/>
                <w:color w:val="auto"/>
              </w:rPr>
            </w:pPr>
          </w:p>
        </w:tc>
        <w:tc>
          <w:tcPr>
            <w:tcW w:w="1160" w:type="dxa"/>
            <w:vAlign w:val="bottom"/>
            <w:gridSpan w:val="2"/>
            <w:vMerge w:val="restart"/>
          </w:tcPr>
          <w:p>
            <w:pPr>
              <w:jc w:val="center"/>
              <w:ind w:right="220"/>
              <w:spacing w:after="0"/>
              <w:rPr>
                <w:sz w:val="20"/>
                <w:szCs w:val="20"/>
                <w:color w:val="auto"/>
              </w:rPr>
            </w:pPr>
            <w:r>
              <w:rPr>
                <w:rFonts w:ascii="Arial" w:cs="Arial" w:eastAsia="Arial" w:hAnsi="Arial"/>
                <w:sz w:val="12"/>
                <w:szCs w:val="12"/>
                <w:b w:val="1"/>
                <w:bCs w:val="1"/>
                <w:color w:val="auto"/>
                <w:w w:val="91"/>
              </w:rPr>
              <w:t>Noncontrolling</w:t>
            </w:r>
          </w:p>
        </w:tc>
        <w:tc>
          <w:tcPr>
            <w:tcW w:w="240" w:type="dxa"/>
            <w:vAlign w:val="bottom"/>
          </w:tcPr>
          <w:p>
            <w:pPr>
              <w:spacing w:after="0"/>
              <w:rPr>
                <w:sz w:val="10"/>
                <w:szCs w:val="10"/>
                <w:color w:val="auto"/>
              </w:rPr>
            </w:pPr>
          </w:p>
        </w:tc>
        <w:tc>
          <w:tcPr>
            <w:tcW w:w="860" w:type="dxa"/>
            <w:vAlign w:val="bottom"/>
            <w:vMerge w:val="restart"/>
          </w:tcPr>
          <w:p>
            <w:pPr>
              <w:jc w:val="center"/>
              <w:ind w:right="172"/>
              <w:spacing w:after="0"/>
              <w:rPr>
                <w:sz w:val="20"/>
                <w:szCs w:val="20"/>
                <w:color w:val="auto"/>
              </w:rPr>
            </w:pPr>
            <w:r>
              <w:rPr>
                <w:rFonts w:ascii="Arial" w:cs="Arial" w:eastAsia="Arial" w:hAnsi="Arial"/>
                <w:sz w:val="12"/>
                <w:szCs w:val="12"/>
                <w:b w:val="1"/>
                <w:bCs w:val="1"/>
                <w:color w:val="auto"/>
                <w:w w:val="90"/>
              </w:rPr>
              <w:t>Total</w:t>
            </w:r>
          </w:p>
        </w:tc>
        <w:tc>
          <w:tcPr>
            <w:tcW w:w="0" w:type="dxa"/>
            <w:vAlign w:val="bottom"/>
          </w:tcPr>
          <w:p>
            <w:pPr>
              <w:spacing w:after="0"/>
              <w:rPr>
                <w:sz w:val="1"/>
                <w:szCs w:val="1"/>
                <w:color w:val="auto"/>
              </w:rPr>
            </w:pPr>
          </w:p>
        </w:tc>
      </w:tr>
      <w:tr>
        <w:trPr>
          <w:trHeight w:val="118"/>
        </w:trPr>
        <w:tc>
          <w:tcPr>
            <w:tcW w:w="2860" w:type="dxa"/>
            <w:vAlign w:val="bottom"/>
          </w:tcPr>
          <w:p>
            <w:pPr>
              <w:spacing w:after="0"/>
              <w:rPr>
                <w:sz w:val="10"/>
                <w:szCs w:val="10"/>
                <w:color w:val="auto"/>
              </w:rPr>
            </w:pPr>
          </w:p>
        </w:tc>
        <w:tc>
          <w:tcPr>
            <w:tcW w:w="1540" w:type="dxa"/>
            <w:vAlign w:val="bottom"/>
            <w:gridSpan w:val="2"/>
          </w:tcPr>
          <w:p>
            <w:pPr>
              <w:jc w:val="center"/>
              <w:ind w:right="100"/>
              <w:spacing w:after="0" w:line="118" w:lineRule="exact"/>
              <w:rPr>
                <w:sz w:val="20"/>
                <w:szCs w:val="20"/>
                <w:color w:val="auto"/>
              </w:rPr>
            </w:pPr>
            <w:r>
              <w:rPr>
                <w:rFonts w:ascii="Arial" w:cs="Arial" w:eastAsia="Arial" w:hAnsi="Arial"/>
                <w:sz w:val="12"/>
                <w:szCs w:val="12"/>
                <w:b w:val="1"/>
                <w:bCs w:val="1"/>
                <w:color w:val="auto"/>
                <w:w w:val="90"/>
              </w:rPr>
              <w:t>Shares of Common</w:t>
            </w:r>
          </w:p>
        </w:tc>
        <w:tc>
          <w:tcPr>
            <w:tcW w:w="14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880" w:type="dxa"/>
            <w:vAlign w:val="bottom"/>
            <w:gridSpan w:val="2"/>
          </w:tcPr>
          <w:p>
            <w:pPr>
              <w:jc w:val="center"/>
              <w:ind w:right="220"/>
              <w:spacing w:after="0" w:line="118" w:lineRule="exact"/>
              <w:rPr>
                <w:sz w:val="20"/>
                <w:szCs w:val="20"/>
                <w:color w:val="auto"/>
              </w:rPr>
            </w:pPr>
            <w:r>
              <w:rPr>
                <w:rFonts w:ascii="Arial" w:cs="Arial" w:eastAsia="Arial" w:hAnsi="Arial"/>
                <w:sz w:val="12"/>
                <w:szCs w:val="12"/>
                <w:b w:val="1"/>
                <w:bCs w:val="1"/>
                <w:color w:val="auto"/>
                <w:w w:val="94"/>
              </w:rPr>
              <w:t>Paid-in</w:t>
            </w:r>
          </w:p>
        </w:tc>
        <w:tc>
          <w:tcPr>
            <w:tcW w:w="200" w:type="dxa"/>
            <w:vAlign w:val="bottom"/>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gridSpan w:val="2"/>
          </w:tcPr>
          <w:p>
            <w:pPr>
              <w:jc w:val="center"/>
              <w:ind w:right="260"/>
              <w:spacing w:after="0" w:line="118" w:lineRule="exact"/>
              <w:rPr>
                <w:sz w:val="20"/>
                <w:szCs w:val="20"/>
                <w:color w:val="auto"/>
              </w:rPr>
            </w:pPr>
            <w:r>
              <w:rPr>
                <w:rFonts w:ascii="Arial" w:cs="Arial" w:eastAsia="Arial" w:hAnsi="Arial"/>
                <w:sz w:val="12"/>
                <w:szCs w:val="12"/>
                <w:b w:val="1"/>
                <w:bCs w:val="1"/>
                <w:color w:val="auto"/>
                <w:w w:val="88"/>
              </w:rPr>
              <w:t>Stockholders'</w:t>
            </w:r>
          </w:p>
        </w:tc>
        <w:tc>
          <w:tcPr>
            <w:tcW w:w="140" w:type="dxa"/>
            <w:vAlign w:val="bottom"/>
          </w:tcPr>
          <w:p>
            <w:pPr>
              <w:spacing w:after="0"/>
              <w:rPr>
                <w:sz w:val="10"/>
                <w:szCs w:val="10"/>
                <w:color w:val="auto"/>
              </w:rPr>
            </w:pPr>
          </w:p>
        </w:tc>
        <w:tc>
          <w:tcPr>
            <w:tcW w:w="1160" w:type="dxa"/>
            <w:vAlign w:val="bottom"/>
            <w:gridSpan w:val="2"/>
            <w:vMerge w:val="continue"/>
          </w:tcPr>
          <w:p>
            <w:pPr>
              <w:spacing w:after="0"/>
              <w:rPr>
                <w:sz w:val="10"/>
                <w:szCs w:val="10"/>
                <w:color w:val="auto"/>
              </w:rPr>
            </w:pPr>
          </w:p>
        </w:tc>
        <w:tc>
          <w:tcPr>
            <w:tcW w:w="240" w:type="dxa"/>
            <w:vAlign w:val="bottom"/>
          </w:tcPr>
          <w:p>
            <w:pPr>
              <w:spacing w:after="0"/>
              <w:rPr>
                <w:sz w:val="10"/>
                <w:szCs w:val="10"/>
                <w:color w:val="auto"/>
              </w:rPr>
            </w:pP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860" w:type="dxa"/>
            <w:vAlign w:val="bottom"/>
          </w:tcPr>
          <w:p>
            <w:pPr>
              <w:spacing w:after="0"/>
              <w:rPr>
                <w:sz w:val="14"/>
                <w:szCs w:val="14"/>
                <w:color w:val="auto"/>
              </w:rPr>
            </w:pPr>
          </w:p>
        </w:tc>
        <w:tc>
          <w:tcPr>
            <w:tcW w:w="1540" w:type="dxa"/>
            <w:vAlign w:val="bottom"/>
            <w:gridSpan w:val="2"/>
          </w:tcPr>
          <w:p>
            <w:pPr>
              <w:jc w:val="center"/>
              <w:ind w:right="120"/>
              <w:spacing w:after="0"/>
              <w:rPr>
                <w:sz w:val="20"/>
                <w:szCs w:val="20"/>
                <w:color w:val="auto"/>
              </w:rPr>
            </w:pPr>
            <w:r>
              <w:rPr>
                <w:rFonts w:ascii="Arial" w:cs="Arial" w:eastAsia="Arial" w:hAnsi="Arial"/>
                <w:sz w:val="12"/>
                <w:szCs w:val="12"/>
                <w:b w:val="1"/>
                <w:bCs w:val="1"/>
                <w:color w:val="auto"/>
                <w:w w:val="91"/>
              </w:rPr>
              <w:t>Stock (Note 1)</w:t>
            </w:r>
          </w:p>
        </w:tc>
        <w:tc>
          <w:tcPr>
            <w:tcW w:w="140" w:type="dxa"/>
            <w:vAlign w:val="bottom"/>
          </w:tcPr>
          <w:p>
            <w:pPr>
              <w:spacing w:after="0"/>
              <w:rPr>
                <w:sz w:val="14"/>
                <w:szCs w:val="14"/>
                <w:color w:val="auto"/>
              </w:rPr>
            </w:pPr>
          </w:p>
        </w:tc>
        <w:tc>
          <w:tcPr>
            <w:tcW w:w="7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1"/>
              </w:rPr>
              <w:t>Stock</w:t>
            </w:r>
          </w:p>
        </w:tc>
        <w:tc>
          <w:tcPr>
            <w:tcW w:w="140" w:type="dxa"/>
            <w:vAlign w:val="bottom"/>
          </w:tcPr>
          <w:p>
            <w:pPr>
              <w:spacing w:after="0"/>
              <w:rPr>
                <w:sz w:val="14"/>
                <w:szCs w:val="14"/>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9"/>
              </w:rPr>
              <w:t>Capital</w:t>
            </w:r>
          </w:p>
        </w:tc>
        <w:tc>
          <w:tcPr>
            <w:tcW w:w="200" w:type="dxa"/>
            <w:vAlign w:val="bottom"/>
          </w:tcPr>
          <w:p>
            <w:pPr>
              <w:spacing w:after="0"/>
              <w:rPr>
                <w:sz w:val="14"/>
                <w:szCs w:val="14"/>
                <w:color w:val="auto"/>
              </w:rPr>
            </w:pPr>
          </w:p>
        </w:tc>
        <w:tc>
          <w:tcPr>
            <w:tcW w:w="1000" w:type="dxa"/>
            <w:vAlign w:val="bottom"/>
            <w:gridSpan w:val="2"/>
          </w:tcPr>
          <w:p>
            <w:pPr>
              <w:ind w:left="100"/>
              <w:spacing w:after="0"/>
              <w:rPr>
                <w:sz w:val="20"/>
                <w:szCs w:val="20"/>
                <w:color w:val="auto"/>
              </w:rPr>
            </w:pPr>
            <w:r>
              <w:rPr>
                <w:rFonts w:ascii="Arial" w:cs="Arial" w:eastAsia="Arial" w:hAnsi="Arial"/>
                <w:sz w:val="12"/>
                <w:szCs w:val="12"/>
                <w:b w:val="1"/>
                <w:bCs w:val="1"/>
                <w:color w:val="auto"/>
              </w:rPr>
              <w:t>Earnings</w:t>
            </w:r>
          </w:p>
        </w:tc>
        <w:tc>
          <w:tcPr>
            <w:tcW w:w="14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8"/>
              </w:rPr>
              <w:t>Equity</w:t>
            </w:r>
          </w:p>
        </w:tc>
        <w:tc>
          <w:tcPr>
            <w:tcW w:w="140" w:type="dxa"/>
            <w:vAlign w:val="bottom"/>
          </w:tcPr>
          <w:p>
            <w:pPr>
              <w:spacing w:after="0"/>
              <w:rPr>
                <w:sz w:val="14"/>
                <w:szCs w:val="14"/>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87"/>
              </w:rPr>
              <w:t>Interests</w:t>
            </w:r>
          </w:p>
        </w:tc>
        <w:tc>
          <w:tcPr>
            <w:tcW w:w="240" w:type="dxa"/>
            <w:vAlign w:val="bottom"/>
          </w:tcPr>
          <w:p>
            <w:pPr>
              <w:spacing w:after="0"/>
              <w:rPr>
                <w:sz w:val="14"/>
                <w:szCs w:val="14"/>
                <w:color w:val="auto"/>
              </w:rPr>
            </w:pPr>
          </w:p>
        </w:tc>
        <w:tc>
          <w:tcPr>
            <w:tcW w:w="860" w:type="dxa"/>
            <w:vAlign w:val="bottom"/>
          </w:tcPr>
          <w:p>
            <w:pPr>
              <w:jc w:val="center"/>
              <w:ind w:right="152"/>
              <w:spacing w:after="0"/>
              <w:rPr>
                <w:sz w:val="20"/>
                <w:szCs w:val="20"/>
                <w:color w:val="auto"/>
              </w:rPr>
            </w:pPr>
            <w:r>
              <w:rPr>
                <w:rFonts w:ascii="Arial" w:cs="Arial" w:eastAsia="Arial" w:hAnsi="Arial"/>
                <w:sz w:val="12"/>
                <w:szCs w:val="12"/>
                <w:b w:val="1"/>
                <w:bCs w:val="1"/>
                <w:color w:val="auto"/>
                <w:w w:val="98"/>
              </w:rPr>
              <w:t>Equity</w:t>
            </w:r>
          </w:p>
        </w:tc>
        <w:tc>
          <w:tcPr>
            <w:tcW w:w="0" w:type="dxa"/>
            <w:vAlign w:val="bottom"/>
          </w:tcPr>
          <w:p>
            <w:pPr>
              <w:spacing w:after="0"/>
              <w:rPr>
                <w:sz w:val="1"/>
                <w:szCs w:val="1"/>
                <w:color w:val="auto"/>
              </w:rPr>
            </w:pPr>
          </w:p>
        </w:tc>
      </w:tr>
      <w:tr>
        <w:trPr>
          <w:trHeight w:val="182"/>
        </w:trPr>
        <w:tc>
          <w:tcPr>
            <w:tcW w:w="28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Balance at March 31, 2020</w:t>
            </w:r>
          </w:p>
        </w:tc>
        <w:tc>
          <w:tcPr>
            <w:tcW w:w="1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130,236,981</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1,302</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478,122</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1,635,857</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2,115,281</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2,115,293</w:t>
            </w:r>
          </w:p>
        </w:tc>
        <w:tc>
          <w:tcPr>
            <w:tcW w:w="0" w:type="dxa"/>
            <w:vAlign w:val="bottom"/>
          </w:tcPr>
          <w:p>
            <w:pPr>
              <w:spacing w:after="0"/>
              <w:rPr>
                <w:sz w:val="1"/>
                <w:szCs w:val="1"/>
                <w:color w:val="auto"/>
              </w:rPr>
            </w:pPr>
          </w:p>
        </w:tc>
      </w:tr>
      <w:tr>
        <w:trPr>
          <w:trHeight w:val="181"/>
        </w:trPr>
        <w:tc>
          <w:tcPr>
            <w:tcW w:w="2860" w:type="dxa"/>
            <w:vAlign w:val="bottom"/>
          </w:tcPr>
          <w:p>
            <w:pPr>
              <w:ind w:left="220"/>
              <w:spacing w:after="0"/>
              <w:rPr>
                <w:sz w:val="20"/>
                <w:szCs w:val="20"/>
                <w:color w:val="auto"/>
              </w:rPr>
            </w:pPr>
            <w:r>
              <w:rPr>
                <w:rFonts w:ascii="Arial" w:cs="Arial" w:eastAsia="Arial" w:hAnsi="Arial"/>
                <w:sz w:val="14"/>
                <w:szCs w:val="14"/>
                <w:color w:val="auto"/>
              </w:rPr>
              <w:t>Net income</w:t>
            </w:r>
          </w:p>
        </w:tc>
        <w:tc>
          <w:tcPr>
            <w:tcW w:w="15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56,528</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56,528</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56,528</w:t>
            </w:r>
          </w:p>
        </w:tc>
        <w:tc>
          <w:tcPr>
            <w:tcW w:w="0" w:type="dxa"/>
            <w:vAlign w:val="bottom"/>
          </w:tcPr>
          <w:p>
            <w:pPr>
              <w:spacing w:after="0"/>
              <w:rPr>
                <w:sz w:val="1"/>
                <w:szCs w:val="1"/>
                <w:color w:val="auto"/>
              </w:rPr>
            </w:pPr>
          </w:p>
        </w:tc>
      </w:tr>
      <w:tr>
        <w:trPr>
          <w:trHeight w:val="185"/>
        </w:trPr>
        <w:tc>
          <w:tcPr>
            <w:tcW w:w="2860" w:type="dxa"/>
            <w:vAlign w:val="bottom"/>
            <w:shd w:val="clear" w:color="auto" w:fill="CCEEFF"/>
          </w:tcPr>
          <w:p>
            <w:pPr>
              <w:ind w:left="220"/>
              <w:spacing w:after="0"/>
              <w:rPr>
                <w:sz w:val="20"/>
                <w:szCs w:val="20"/>
                <w:color w:val="auto"/>
              </w:rPr>
            </w:pPr>
            <w:r>
              <w:rPr>
                <w:rFonts w:ascii="Arial" w:cs="Arial" w:eastAsia="Arial" w:hAnsi="Arial"/>
                <w:sz w:val="14"/>
                <w:szCs w:val="14"/>
                <w:color w:val="auto"/>
              </w:rPr>
              <w:t>Shares issued under share-based awards</w:t>
            </w: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88,884</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230</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231</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231</w:t>
            </w:r>
          </w:p>
        </w:tc>
        <w:tc>
          <w:tcPr>
            <w:tcW w:w="0" w:type="dxa"/>
            <w:vAlign w:val="bottom"/>
          </w:tcPr>
          <w:p>
            <w:pPr>
              <w:spacing w:after="0"/>
              <w:rPr>
                <w:sz w:val="1"/>
                <w:szCs w:val="1"/>
                <w:color w:val="auto"/>
              </w:rPr>
            </w:pPr>
          </w:p>
        </w:tc>
      </w:tr>
      <w:tr>
        <w:trPr>
          <w:trHeight w:val="131"/>
        </w:trPr>
        <w:tc>
          <w:tcPr>
            <w:tcW w:w="2860" w:type="dxa"/>
            <w:vAlign w:val="bottom"/>
          </w:tcPr>
          <w:p>
            <w:pPr>
              <w:ind w:left="220"/>
              <w:spacing w:after="0" w:line="131" w:lineRule="exact"/>
              <w:rPr>
                <w:sz w:val="20"/>
                <w:szCs w:val="20"/>
                <w:color w:val="auto"/>
              </w:rPr>
            </w:pPr>
            <w:r>
              <w:rPr>
                <w:rFonts w:ascii="Arial" w:cs="Arial" w:eastAsia="Arial" w:hAnsi="Arial"/>
                <w:sz w:val="14"/>
                <w:szCs w:val="14"/>
                <w:color w:val="auto"/>
              </w:rPr>
              <w:t>Minimum tax withholding paid on behalf of</w:t>
            </w:r>
          </w:p>
        </w:tc>
        <w:tc>
          <w:tcPr>
            <w:tcW w:w="154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78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Arial" w:cs="Arial" w:eastAsia="Arial" w:hAnsi="Arial"/>
                <w:sz w:val="14"/>
                <w:szCs w:val="14"/>
                <w:color w:val="auto"/>
              </w:rPr>
              <w:t>(27)</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0" w:type="dxa"/>
            <w:vAlign w:val="bottom"/>
            <w:gridSpan w:val="2"/>
            <w:vMerge w:val="restart"/>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(27)</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1"/>
                <w:szCs w:val="11"/>
                <w:color w:val="auto"/>
              </w:rPr>
            </w:pPr>
          </w:p>
        </w:tc>
        <w:tc>
          <w:tcPr>
            <w:tcW w:w="860" w:type="dxa"/>
            <w:vAlign w:val="bottom"/>
            <w:vMerge w:val="restart"/>
          </w:tcPr>
          <w:p>
            <w:pPr>
              <w:jc w:val="right"/>
              <w:spacing w:after="0"/>
              <w:rPr>
                <w:sz w:val="20"/>
                <w:szCs w:val="20"/>
                <w:color w:val="auto"/>
              </w:rPr>
            </w:pPr>
            <w:r>
              <w:rPr>
                <w:rFonts w:ascii="Arial" w:cs="Arial" w:eastAsia="Arial" w:hAnsi="Arial"/>
                <w:sz w:val="14"/>
                <w:szCs w:val="14"/>
                <w:color w:val="auto"/>
              </w:rPr>
              <w:t>(27)</w:t>
            </w:r>
          </w:p>
        </w:tc>
        <w:tc>
          <w:tcPr>
            <w:tcW w:w="0" w:type="dxa"/>
            <w:vAlign w:val="bottom"/>
          </w:tcPr>
          <w:p>
            <w:pPr>
              <w:spacing w:after="0"/>
              <w:rPr>
                <w:sz w:val="1"/>
                <w:szCs w:val="1"/>
                <w:color w:val="auto"/>
              </w:rPr>
            </w:pPr>
          </w:p>
        </w:tc>
      </w:tr>
      <w:tr>
        <w:trPr>
          <w:trHeight w:val="181"/>
        </w:trPr>
        <w:tc>
          <w:tcPr>
            <w:tcW w:w="2860" w:type="dxa"/>
            <w:vAlign w:val="bottom"/>
          </w:tcPr>
          <w:p>
            <w:pPr>
              <w:ind w:left="220"/>
              <w:spacing w:after="0"/>
              <w:rPr>
                <w:sz w:val="20"/>
                <w:szCs w:val="20"/>
                <w:color w:val="auto"/>
              </w:rPr>
            </w:pPr>
            <w:r>
              <w:rPr>
                <w:rFonts w:ascii="Arial" w:cs="Arial" w:eastAsia="Arial" w:hAnsi="Arial"/>
                <w:sz w:val="14"/>
                <w:szCs w:val="14"/>
                <w:color w:val="auto"/>
              </w:rPr>
              <w:t>employees for restricted stock units</w:t>
            </w:r>
          </w:p>
        </w:tc>
        <w:tc>
          <w:tcPr>
            <w:tcW w:w="154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860" w:type="dxa"/>
            <w:vAlign w:val="bottom"/>
            <w:shd w:val="clear" w:color="auto" w:fill="CCEEFF"/>
          </w:tcPr>
          <w:p>
            <w:pPr>
              <w:ind w:left="220"/>
              <w:spacing w:after="0"/>
              <w:rPr>
                <w:sz w:val="20"/>
                <w:szCs w:val="20"/>
                <w:color w:val="auto"/>
              </w:rPr>
            </w:pPr>
            <w:r>
              <w:rPr>
                <w:rFonts w:ascii="Arial" w:cs="Arial" w:eastAsia="Arial" w:hAnsi="Arial"/>
                <w:sz w:val="14"/>
                <w:szCs w:val="14"/>
                <w:color w:val="auto"/>
              </w:rPr>
              <w:t>Stock-based compensation expense</w:t>
            </w:r>
          </w:p>
        </w:tc>
        <w:tc>
          <w:tcPr>
            <w:tcW w:w="15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3,786</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3,786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3,786</w:t>
            </w:r>
          </w:p>
        </w:tc>
        <w:tc>
          <w:tcPr>
            <w:tcW w:w="0" w:type="dxa"/>
            <w:vAlign w:val="bottom"/>
          </w:tcPr>
          <w:p>
            <w:pPr>
              <w:spacing w:after="0"/>
              <w:rPr>
                <w:sz w:val="1"/>
                <w:szCs w:val="1"/>
                <w:color w:val="auto"/>
              </w:rPr>
            </w:pPr>
          </w:p>
        </w:tc>
      </w:tr>
      <w:tr>
        <w:trPr>
          <w:trHeight w:val="174"/>
        </w:trPr>
        <w:tc>
          <w:tcPr>
            <w:tcW w:w="2860" w:type="dxa"/>
            <w:vAlign w:val="bottom"/>
          </w:tcPr>
          <w:p>
            <w:pPr>
              <w:ind w:left="20"/>
              <w:spacing w:after="0" w:line="158" w:lineRule="exact"/>
              <w:rPr>
                <w:sz w:val="20"/>
                <w:szCs w:val="20"/>
                <w:color w:val="auto"/>
              </w:rPr>
            </w:pPr>
            <w:r>
              <w:rPr>
                <w:rFonts w:ascii="Arial" w:cs="Arial" w:eastAsia="Arial" w:hAnsi="Arial"/>
                <w:sz w:val="14"/>
                <w:szCs w:val="14"/>
                <w:color w:val="auto"/>
              </w:rPr>
              <w:t>Balance at June 30, 2020</w:t>
            </w: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130,325,865</w:t>
            </w:r>
          </w:p>
        </w:tc>
        <w:tc>
          <w:tcPr>
            <w:tcW w:w="100" w:type="dxa"/>
            <w:vAlign w:val="bottom"/>
          </w:tcPr>
          <w:p>
            <w:pPr>
              <w:spacing w:after="0"/>
              <w:rPr>
                <w:sz w:val="15"/>
                <w:szCs w:val="15"/>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1,303</w:t>
            </w:r>
          </w:p>
        </w:tc>
        <w:tc>
          <w:tcPr>
            <w:tcW w:w="100" w:type="dxa"/>
            <w:vAlign w:val="bottom"/>
          </w:tcPr>
          <w:p>
            <w:pPr>
              <w:spacing w:after="0"/>
              <w:rPr>
                <w:sz w:val="15"/>
                <w:szCs w:val="15"/>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482,111</w:t>
            </w:r>
          </w:p>
        </w:tc>
        <w:tc>
          <w:tcPr>
            <w:tcW w:w="100" w:type="dxa"/>
            <w:vAlign w:val="bottom"/>
          </w:tcPr>
          <w:p>
            <w:pPr>
              <w:spacing w:after="0"/>
              <w:rPr>
                <w:sz w:val="15"/>
                <w:szCs w:val="15"/>
                <w:color w:val="auto"/>
              </w:rPr>
            </w:pPr>
          </w:p>
        </w:tc>
        <w:tc>
          <w:tcPr>
            <w:tcW w:w="20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1,692,385</w:t>
            </w:r>
          </w:p>
        </w:tc>
        <w:tc>
          <w:tcPr>
            <w:tcW w:w="120" w:type="dxa"/>
            <w:vAlign w:val="bottom"/>
          </w:tcPr>
          <w:p>
            <w:pPr>
              <w:spacing w:after="0"/>
              <w:rPr>
                <w:sz w:val="15"/>
                <w:szCs w:val="15"/>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2,175,799</w:t>
            </w:r>
          </w:p>
        </w:tc>
        <w:tc>
          <w:tcPr>
            <w:tcW w:w="100" w:type="dxa"/>
            <w:vAlign w:val="bottom"/>
          </w:tcPr>
          <w:p>
            <w:pPr>
              <w:spacing w:after="0"/>
              <w:rPr>
                <w:sz w:val="15"/>
                <w:szCs w:val="15"/>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12</w:t>
            </w:r>
          </w:p>
        </w:tc>
        <w:tc>
          <w:tcPr>
            <w:tcW w:w="100" w:type="dxa"/>
            <w:vAlign w:val="bottom"/>
          </w:tcPr>
          <w:p>
            <w:pPr>
              <w:spacing w:after="0"/>
              <w:rPr>
                <w:sz w:val="15"/>
                <w:szCs w:val="15"/>
                <w:color w:val="auto"/>
              </w:rPr>
            </w:pPr>
          </w:p>
        </w:tc>
        <w:tc>
          <w:tcPr>
            <w:tcW w:w="24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2,175,811</w:t>
            </w:r>
          </w:p>
        </w:tc>
        <w:tc>
          <w:tcPr>
            <w:tcW w:w="0" w:type="dxa"/>
            <w:vAlign w:val="bottom"/>
          </w:tcPr>
          <w:p>
            <w:pPr>
              <w:spacing w:after="0"/>
              <w:rPr>
                <w:sz w:val="1"/>
                <w:szCs w:val="1"/>
                <w:color w:val="auto"/>
              </w:rPr>
            </w:pPr>
          </w:p>
        </w:tc>
      </w:tr>
      <w:tr>
        <w:trPr>
          <w:trHeight w:val="22"/>
        </w:trPr>
        <w:tc>
          <w:tcPr>
            <w:tcW w:w="286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7"/>
        </w:trPr>
        <w:tc>
          <w:tcPr>
            <w:tcW w:w="2860" w:type="dxa"/>
            <w:vAlign w:val="bottom"/>
          </w:tcPr>
          <w:p>
            <w:pPr>
              <w:spacing w:after="0"/>
              <w:rPr>
                <w:sz w:val="11"/>
                <w:szCs w:val="11"/>
                <w:color w:val="auto"/>
              </w:rPr>
            </w:pPr>
          </w:p>
        </w:tc>
        <w:tc>
          <w:tcPr>
            <w:tcW w:w="1540" w:type="dxa"/>
            <w:vAlign w:val="bottom"/>
            <w:gridSpan w:val="2"/>
          </w:tcPr>
          <w:p>
            <w:pPr>
              <w:jc w:val="center"/>
              <w:ind w:right="100"/>
              <w:spacing w:after="0" w:line="137" w:lineRule="exact"/>
              <w:rPr>
                <w:sz w:val="20"/>
                <w:szCs w:val="20"/>
                <w:color w:val="auto"/>
              </w:rPr>
            </w:pPr>
            <w:r>
              <w:rPr>
                <w:rFonts w:ascii="Arial" w:cs="Arial" w:eastAsia="Arial" w:hAnsi="Arial"/>
                <w:sz w:val="12"/>
                <w:szCs w:val="12"/>
                <w:b w:val="1"/>
                <w:bCs w:val="1"/>
                <w:color w:val="auto"/>
                <w:w w:val="93"/>
              </w:rPr>
              <w:t>Number of</w:t>
            </w:r>
          </w:p>
        </w:tc>
        <w:tc>
          <w:tcPr>
            <w:tcW w:w="140" w:type="dxa"/>
            <w:vAlign w:val="bottom"/>
          </w:tcPr>
          <w:p>
            <w:pPr>
              <w:spacing w:after="0"/>
              <w:rPr>
                <w:sz w:val="11"/>
                <w:szCs w:val="11"/>
                <w:color w:val="auto"/>
              </w:rPr>
            </w:pPr>
          </w:p>
        </w:tc>
        <w:tc>
          <w:tcPr>
            <w:tcW w:w="780" w:type="dxa"/>
            <w:vAlign w:val="bottom"/>
            <w:gridSpan w:val="2"/>
            <w:vMerge w:val="restart"/>
          </w:tcPr>
          <w:p>
            <w:pPr>
              <w:jc w:val="center"/>
              <w:ind w:right="220"/>
              <w:spacing w:after="0"/>
              <w:rPr>
                <w:sz w:val="20"/>
                <w:szCs w:val="20"/>
                <w:color w:val="auto"/>
              </w:rPr>
            </w:pPr>
            <w:r>
              <w:rPr>
                <w:rFonts w:ascii="Arial" w:cs="Arial" w:eastAsia="Arial" w:hAnsi="Arial"/>
                <w:sz w:val="12"/>
                <w:szCs w:val="12"/>
                <w:b w:val="1"/>
                <w:bCs w:val="1"/>
                <w:color w:val="auto"/>
                <w:w w:val="92"/>
              </w:rPr>
              <w:t>Common</w:t>
            </w:r>
          </w:p>
        </w:tc>
        <w:tc>
          <w:tcPr>
            <w:tcW w:w="140" w:type="dxa"/>
            <w:vAlign w:val="bottom"/>
          </w:tcPr>
          <w:p>
            <w:pPr>
              <w:spacing w:after="0"/>
              <w:rPr>
                <w:sz w:val="11"/>
                <w:szCs w:val="11"/>
                <w:color w:val="auto"/>
              </w:rPr>
            </w:pPr>
          </w:p>
        </w:tc>
        <w:tc>
          <w:tcPr>
            <w:tcW w:w="880" w:type="dxa"/>
            <w:vAlign w:val="bottom"/>
            <w:gridSpan w:val="2"/>
          </w:tcPr>
          <w:p>
            <w:pPr>
              <w:jc w:val="center"/>
              <w:ind w:right="240"/>
              <w:spacing w:after="0" w:line="137" w:lineRule="exact"/>
              <w:rPr>
                <w:sz w:val="20"/>
                <w:szCs w:val="20"/>
                <w:color w:val="auto"/>
              </w:rPr>
            </w:pPr>
            <w:r>
              <w:rPr>
                <w:rFonts w:ascii="Arial" w:cs="Arial" w:eastAsia="Arial" w:hAnsi="Arial"/>
                <w:sz w:val="12"/>
                <w:szCs w:val="12"/>
                <w:b w:val="1"/>
                <w:bCs w:val="1"/>
                <w:color w:val="auto"/>
                <w:w w:val="95"/>
              </w:rPr>
              <w:t>Additional</w:t>
            </w:r>
          </w:p>
        </w:tc>
        <w:tc>
          <w:tcPr>
            <w:tcW w:w="200" w:type="dxa"/>
            <w:vAlign w:val="bottom"/>
          </w:tcPr>
          <w:p>
            <w:pPr>
              <w:spacing w:after="0"/>
              <w:rPr>
                <w:sz w:val="11"/>
                <w:szCs w:val="11"/>
                <w:color w:val="auto"/>
              </w:rPr>
            </w:pPr>
          </w:p>
        </w:tc>
        <w:tc>
          <w:tcPr>
            <w:tcW w:w="100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Retained</w:t>
            </w:r>
          </w:p>
        </w:tc>
        <w:tc>
          <w:tcPr>
            <w:tcW w:w="140" w:type="dxa"/>
            <w:vAlign w:val="bottom"/>
          </w:tcPr>
          <w:p>
            <w:pPr>
              <w:spacing w:after="0"/>
              <w:rPr>
                <w:sz w:val="11"/>
                <w:szCs w:val="11"/>
                <w:color w:val="auto"/>
              </w:rPr>
            </w:pPr>
          </w:p>
        </w:tc>
        <w:tc>
          <w:tcPr>
            <w:tcW w:w="1080" w:type="dxa"/>
            <w:vAlign w:val="bottom"/>
            <w:gridSpan w:val="2"/>
          </w:tcPr>
          <w:p>
            <w:pPr>
              <w:jc w:val="center"/>
              <w:ind w:right="260"/>
              <w:spacing w:after="0" w:line="137" w:lineRule="exact"/>
              <w:rPr>
                <w:sz w:val="20"/>
                <w:szCs w:val="20"/>
                <w:color w:val="auto"/>
              </w:rPr>
            </w:pPr>
            <w:r>
              <w:rPr>
                <w:rFonts w:ascii="Arial" w:cs="Arial" w:eastAsia="Arial" w:hAnsi="Arial"/>
                <w:sz w:val="12"/>
                <w:szCs w:val="12"/>
                <w:b w:val="1"/>
                <w:bCs w:val="1"/>
                <w:color w:val="auto"/>
                <w:w w:val="90"/>
              </w:rPr>
              <w:t>Total</w:t>
            </w:r>
          </w:p>
        </w:tc>
        <w:tc>
          <w:tcPr>
            <w:tcW w:w="140" w:type="dxa"/>
            <w:vAlign w:val="bottom"/>
          </w:tcPr>
          <w:p>
            <w:pPr>
              <w:spacing w:after="0"/>
              <w:rPr>
                <w:sz w:val="11"/>
                <w:szCs w:val="11"/>
                <w:color w:val="auto"/>
              </w:rPr>
            </w:pPr>
          </w:p>
        </w:tc>
        <w:tc>
          <w:tcPr>
            <w:tcW w:w="1160" w:type="dxa"/>
            <w:vAlign w:val="bottom"/>
            <w:gridSpan w:val="2"/>
            <w:vMerge w:val="restart"/>
          </w:tcPr>
          <w:p>
            <w:pPr>
              <w:jc w:val="center"/>
              <w:ind w:right="220"/>
              <w:spacing w:after="0"/>
              <w:rPr>
                <w:sz w:val="20"/>
                <w:szCs w:val="20"/>
                <w:color w:val="auto"/>
              </w:rPr>
            </w:pPr>
            <w:r>
              <w:rPr>
                <w:rFonts w:ascii="Arial" w:cs="Arial" w:eastAsia="Arial" w:hAnsi="Arial"/>
                <w:sz w:val="12"/>
                <w:szCs w:val="12"/>
                <w:b w:val="1"/>
                <w:bCs w:val="1"/>
                <w:color w:val="auto"/>
                <w:w w:val="91"/>
              </w:rPr>
              <w:t>Noncontrolling</w:t>
            </w:r>
          </w:p>
        </w:tc>
        <w:tc>
          <w:tcPr>
            <w:tcW w:w="240" w:type="dxa"/>
            <w:vAlign w:val="bottom"/>
          </w:tcPr>
          <w:p>
            <w:pPr>
              <w:spacing w:after="0"/>
              <w:rPr>
                <w:sz w:val="11"/>
                <w:szCs w:val="11"/>
                <w:color w:val="auto"/>
              </w:rPr>
            </w:pPr>
          </w:p>
        </w:tc>
        <w:tc>
          <w:tcPr>
            <w:tcW w:w="860" w:type="dxa"/>
            <w:vAlign w:val="bottom"/>
            <w:vMerge w:val="restart"/>
          </w:tcPr>
          <w:p>
            <w:pPr>
              <w:jc w:val="center"/>
              <w:ind w:right="172"/>
              <w:spacing w:after="0"/>
              <w:rPr>
                <w:sz w:val="20"/>
                <w:szCs w:val="20"/>
                <w:color w:val="auto"/>
              </w:rPr>
            </w:pPr>
            <w:r>
              <w:rPr>
                <w:rFonts w:ascii="Arial" w:cs="Arial" w:eastAsia="Arial" w:hAnsi="Arial"/>
                <w:sz w:val="12"/>
                <w:szCs w:val="12"/>
                <w:b w:val="1"/>
                <w:bCs w:val="1"/>
                <w:color w:val="auto"/>
                <w:w w:val="90"/>
              </w:rPr>
              <w:t>Total</w:t>
            </w:r>
          </w:p>
        </w:tc>
        <w:tc>
          <w:tcPr>
            <w:tcW w:w="0" w:type="dxa"/>
            <w:vAlign w:val="bottom"/>
          </w:tcPr>
          <w:p>
            <w:pPr>
              <w:spacing w:after="0"/>
              <w:rPr>
                <w:sz w:val="1"/>
                <w:szCs w:val="1"/>
                <w:color w:val="auto"/>
              </w:rPr>
            </w:pPr>
          </w:p>
        </w:tc>
      </w:tr>
      <w:tr>
        <w:trPr>
          <w:trHeight w:val="118"/>
        </w:trPr>
        <w:tc>
          <w:tcPr>
            <w:tcW w:w="2860" w:type="dxa"/>
            <w:vAlign w:val="bottom"/>
          </w:tcPr>
          <w:p>
            <w:pPr>
              <w:spacing w:after="0"/>
              <w:rPr>
                <w:sz w:val="10"/>
                <w:szCs w:val="10"/>
                <w:color w:val="auto"/>
              </w:rPr>
            </w:pPr>
          </w:p>
        </w:tc>
        <w:tc>
          <w:tcPr>
            <w:tcW w:w="1540" w:type="dxa"/>
            <w:vAlign w:val="bottom"/>
            <w:gridSpan w:val="2"/>
          </w:tcPr>
          <w:p>
            <w:pPr>
              <w:jc w:val="center"/>
              <w:ind w:right="100"/>
              <w:spacing w:after="0" w:line="118" w:lineRule="exact"/>
              <w:rPr>
                <w:sz w:val="20"/>
                <w:szCs w:val="20"/>
                <w:color w:val="auto"/>
              </w:rPr>
            </w:pPr>
            <w:r>
              <w:rPr>
                <w:rFonts w:ascii="Arial" w:cs="Arial" w:eastAsia="Arial" w:hAnsi="Arial"/>
                <w:sz w:val="12"/>
                <w:szCs w:val="12"/>
                <w:b w:val="1"/>
                <w:bCs w:val="1"/>
                <w:color w:val="auto"/>
                <w:w w:val="90"/>
              </w:rPr>
              <w:t>Shares of Common</w:t>
            </w:r>
          </w:p>
        </w:tc>
        <w:tc>
          <w:tcPr>
            <w:tcW w:w="14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880" w:type="dxa"/>
            <w:vAlign w:val="bottom"/>
            <w:gridSpan w:val="2"/>
          </w:tcPr>
          <w:p>
            <w:pPr>
              <w:jc w:val="center"/>
              <w:ind w:right="220"/>
              <w:spacing w:after="0" w:line="118" w:lineRule="exact"/>
              <w:rPr>
                <w:sz w:val="20"/>
                <w:szCs w:val="20"/>
                <w:color w:val="auto"/>
              </w:rPr>
            </w:pPr>
            <w:r>
              <w:rPr>
                <w:rFonts w:ascii="Arial" w:cs="Arial" w:eastAsia="Arial" w:hAnsi="Arial"/>
                <w:sz w:val="12"/>
                <w:szCs w:val="12"/>
                <w:b w:val="1"/>
                <w:bCs w:val="1"/>
                <w:color w:val="auto"/>
                <w:w w:val="94"/>
              </w:rPr>
              <w:t>Paid-in</w:t>
            </w:r>
          </w:p>
        </w:tc>
        <w:tc>
          <w:tcPr>
            <w:tcW w:w="200" w:type="dxa"/>
            <w:vAlign w:val="bottom"/>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gridSpan w:val="2"/>
          </w:tcPr>
          <w:p>
            <w:pPr>
              <w:jc w:val="center"/>
              <w:ind w:right="260"/>
              <w:spacing w:after="0" w:line="118" w:lineRule="exact"/>
              <w:rPr>
                <w:sz w:val="20"/>
                <w:szCs w:val="20"/>
                <w:color w:val="auto"/>
              </w:rPr>
            </w:pPr>
            <w:r>
              <w:rPr>
                <w:rFonts w:ascii="Arial" w:cs="Arial" w:eastAsia="Arial" w:hAnsi="Arial"/>
                <w:sz w:val="12"/>
                <w:szCs w:val="12"/>
                <w:b w:val="1"/>
                <w:bCs w:val="1"/>
                <w:color w:val="auto"/>
                <w:w w:val="88"/>
              </w:rPr>
              <w:t>Stockholders'</w:t>
            </w:r>
          </w:p>
        </w:tc>
        <w:tc>
          <w:tcPr>
            <w:tcW w:w="140" w:type="dxa"/>
            <w:vAlign w:val="bottom"/>
          </w:tcPr>
          <w:p>
            <w:pPr>
              <w:spacing w:after="0"/>
              <w:rPr>
                <w:sz w:val="10"/>
                <w:szCs w:val="10"/>
                <w:color w:val="auto"/>
              </w:rPr>
            </w:pPr>
          </w:p>
        </w:tc>
        <w:tc>
          <w:tcPr>
            <w:tcW w:w="1160" w:type="dxa"/>
            <w:vAlign w:val="bottom"/>
            <w:gridSpan w:val="2"/>
            <w:vMerge w:val="continue"/>
          </w:tcPr>
          <w:p>
            <w:pPr>
              <w:spacing w:after="0"/>
              <w:rPr>
                <w:sz w:val="10"/>
                <w:szCs w:val="10"/>
                <w:color w:val="auto"/>
              </w:rPr>
            </w:pPr>
          </w:p>
        </w:tc>
        <w:tc>
          <w:tcPr>
            <w:tcW w:w="240" w:type="dxa"/>
            <w:vAlign w:val="bottom"/>
          </w:tcPr>
          <w:p>
            <w:pPr>
              <w:spacing w:after="0"/>
              <w:rPr>
                <w:sz w:val="10"/>
                <w:szCs w:val="10"/>
                <w:color w:val="auto"/>
              </w:rPr>
            </w:pPr>
          </w:p>
        </w:tc>
        <w:tc>
          <w:tcPr>
            <w:tcW w:w="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860" w:type="dxa"/>
            <w:vAlign w:val="bottom"/>
          </w:tcPr>
          <w:p>
            <w:pPr>
              <w:spacing w:after="0"/>
              <w:rPr>
                <w:sz w:val="14"/>
                <w:szCs w:val="14"/>
                <w:color w:val="auto"/>
              </w:rPr>
            </w:pPr>
          </w:p>
        </w:tc>
        <w:tc>
          <w:tcPr>
            <w:tcW w:w="1540" w:type="dxa"/>
            <w:vAlign w:val="bottom"/>
            <w:gridSpan w:val="2"/>
          </w:tcPr>
          <w:p>
            <w:pPr>
              <w:jc w:val="center"/>
              <w:ind w:right="120"/>
              <w:spacing w:after="0"/>
              <w:rPr>
                <w:sz w:val="20"/>
                <w:szCs w:val="20"/>
                <w:color w:val="auto"/>
              </w:rPr>
            </w:pPr>
            <w:r>
              <w:rPr>
                <w:rFonts w:ascii="Arial" w:cs="Arial" w:eastAsia="Arial" w:hAnsi="Arial"/>
                <w:sz w:val="12"/>
                <w:szCs w:val="12"/>
                <w:b w:val="1"/>
                <w:bCs w:val="1"/>
                <w:color w:val="auto"/>
                <w:w w:val="91"/>
              </w:rPr>
              <w:t>Stock (Note 1)</w:t>
            </w:r>
          </w:p>
        </w:tc>
        <w:tc>
          <w:tcPr>
            <w:tcW w:w="140" w:type="dxa"/>
            <w:vAlign w:val="bottom"/>
          </w:tcPr>
          <w:p>
            <w:pPr>
              <w:spacing w:after="0"/>
              <w:rPr>
                <w:sz w:val="14"/>
                <w:szCs w:val="14"/>
                <w:color w:val="auto"/>
              </w:rPr>
            </w:pPr>
          </w:p>
        </w:tc>
        <w:tc>
          <w:tcPr>
            <w:tcW w:w="7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1"/>
              </w:rPr>
              <w:t>Stock</w:t>
            </w:r>
          </w:p>
        </w:tc>
        <w:tc>
          <w:tcPr>
            <w:tcW w:w="140" w:type="dxa"/>
            <w:vAlign w:val="bottom"/>
          </w:tcPr>
          <w:p>
            <w:pPr>
              <w:spacing w:after="0"/>
              <w:rPr>
                <w:sz w:val="14"/>
                <w:szCs w:val="14"/>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9"/>
              </w:rPr>
              <w:t>Capital</w:t>
            </w:r>
          </w:p>
        </w:tc>
        <w:tc>
          <w:tcPr>
            <w:tcW w:w="200" w:type="dxa"/>
            <w:vAlign w:val="bottom"/>
          </w:tcPr>
          <w:p>
            <w:pPr>
              <w:spacing w:after="0"/>
              <w:rPr>
                <w:sz w:val="14"/>
                <w:szCs w:val="14"/>
                <w:color w:val="auto"/>
              </w:rPr>
            </w:pPr>
          </w:p>
        </w:tc>
        <w:tc>
          <w:tcPr>
            <w:tcW w:w="1000" w:type="dxa"/>
            <w:vAlign w:val="bottom"/>
            <w:gridSpan w:val="2"/>
          </w:tcPr>
          <w:p>
            <w:pPr>
              <w:ind w:left="100"/>
              <w:spacing w:after="0"/>
              <w:rPr>
                <w:sz w:val="20"/>
                <w:szCs w:val="20"/>
                <w:color w:val="auto"/>
              </w:rPr>
            </w:pPr>
            <w:r>
              <w:rPr>
                <w:rFonts w:ascii="Arial" w:cs="Arial" w:eastAsia="Arial" w:hAnsi="Arial"/>
                <w:sz w:val="12"/>
                <w:szCs w:val="12"/>
                <w:b w:val="1"/>
                <w:bCs w:val="1"/>
                <w:color w:val="auto"/>
              </w:rPr>
              <w:t>Earnings</w:t>
            </w:r>
          </w:p>
        </w:tc>
        <w:tc>
          <w:tcPr>
            <w:tcW w:w="14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8"/>
              </w:rPr>
              <w:t>Equity</w:t>
            </w:r>
          </w:p>
        </w:tc>
        <w:tc>
          <w:tcPr>
            <w:tcW w:w="140" w:type="dxa"/>
            <w:vAlign w:val="bottom"/>
          </w:tcPr>
          <w:p>
            <w:pPr>
              <w:spacing w:after="0"/>
              <w:rPr>
                <w:sz w:val="14"/>
                <w:szCs w:val="14"/>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87"/>
              </w:rPr>
              <w:t>Interests</w:t>
            </w:r>
          </w:p>
        </w:tc>
        <w:tc>
          <w:tcPr>
            <w:tcW w:w="240" w:type="dxa"/>
            <w:vAlign w:val="bottom"/>
          </w:tcPr>
          <w:p>
            <w:pPr>
              <w:spacing w:after="0"/>
              <w:rPr>
                <w:sz w:val="14"/>
                <w:szCs w:val="14"/>
                <w:color w:val="auto"/>
              </w:rPr>
            </w:pPr>
          </w:p>
        </w:tc>
        <w:tc>
          <w:tcPr>
            <w:tcW w:w="860" w:type="dxa"/>
            <w:vAlign w:val="bottom"/>
          </w:tcPr>
          <w:p>
            <w:pPr>
              <w:jc w:val="center"/>
              <w:ind w:right="152"/>
              <w:spacing w:after="0"/>
              <w:rPr>
                <w:sz w:val="20"/>
                <w:szCs w:val="20"/>
                <w:color w:val="auto"/>
              </w:rPr>
            </w:pPr>
            <w:r>
              <w:rPr>
                <w:rFonts w:ascii="Arial" w:cs="Arial" w:eastAsia="Arial" w:hAnsi="Arial"/>
                <w:sz w:val="12"/>
                <w:szCs w:val="12"/>
                <w:b w:val="1"/>
                <w:bCs w:val="1"/>
                <w:color w:val="auto"/>
                <w:w w:val="98"/>
              </w:rPr>
              <w:t>Equity</w:t>
            </w:r>
          </w:p>
        </w:tc>
        <w:tc>
          <w:tcPr>
            <w:tcW w:w="0" w:type="dxa"/>
            <w:vAlign w:val="bottom"/>
          </w:tcPr>
          <w:p>
            <w:pPr>
              <w:spacing w:after="0"/>
              <w:rPr>
                <w:sz w:val="1"/>
                <w:szCs w:val="1"/>
                <w:color w:val="auto"/>
              </w:rPr>
            </w:pPr>
          </w:p>
        </w:tc>
      </w:tr>
      <w:tr>
        <w:trPr>
          <w:trHeight w:val="182"/>
        </w:trPr>
        <w:tc>
          <w:tcPr>
            <w:tcW w:w="28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Balance at December 31, 2019</w:t>
            </w:r>
          </w:p>
        </w:tc>
        <w:tc>
          <w:tcPr>
            <w:tcW w:w="1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136,149,633</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1,361</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581,195</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1,603,974</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2,186,530</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2,186,542</w:t>
            </w:r>
          </w:p>
        </w:tc>
        <w:tc>
          <w:tcPr>
            <w:tcW w:w="0" w:type="dxa"/>
            <w:vAlign w:val="bottom"/>
          </w:tcPr>
          <w:p>
            <w:pPr>
              <w:spacing w:after="0"/>
              <w:rPr>
                <w:sz w:val="1"/>
                <w:szCs w:val="1"/>
                <w:color w:val="auto"/>
              </w:rPr>
            </w:pPr>
          </w:p>
        </w:tc>
      </w:tr>
      <w:tr>
        <w:trPr>
          <w:trHeight w:val="181"/>
        </w:trPr>
        <w:tc>
          <w:tcPr>
            <w:tcW w:w="2860" w:type="dxa"/>
            <w:vAlign w:val="bottom"/>
          </w:tcPr>
          <w:p>
            <w:pPr>
              <w:ind w:left="220"/>
              <w:spacing w:after="0"/>
              <w:rPr>
                <w:sz w:val="20"/>
                <w:szCs w:val="20"/>
                <w:color w:val="auto"/>
              </w:rPr>
            </w:pPr>
            <w:r>
              <w:rPr>
                <w:rFonts w:ascii="Arial" w:cs="Arial" w:eastAsia="Arial" w:hAnsi="Arial"/>
                <w:sz w:val="14"/>
                <w:szCs w:val="14"/>
                <w:color w:val="auto"/>
              </w:rPr>
              <w:t>Net income</w:t>
            </w:r>
          </w:p>
        </w:tc>
        <w:tc>
          <w:tcPr>
            <w:tcW w:w="15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88,411</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88,411</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88,411</w:t>
            </w:r>
          </w:p>
        </w:tc>
        <w:tc>
          <w:tcPr>
            <w:tcW w:w="0" w:type="dxa"/>
            <w:vAlign w:val="bottom"/>
          </w:tcPr>
          <w:p>
            <w:pPr>
              <w:spacing w:after="0"/>
              <w:rPr>
                <w:sz w:val="1"/>
                <w:szCs w:val="1"/>
                <w:color w:val="auto"/>
              </w:rPr>
            </w:pPr>
          </w:p>
        </w:tc>
      </w:tr>
      <w:tr>
        <w:trPr>
          <w:trHeight w:val="185"/>
        </w:trPr>
        <w:tc>
          <w:tcPr>
            <w:tcW w:w="2860" w:type="dxa"/>
            <w:vAlign w:val="bottom"/>
            <w:shd w:val="clear" w:color="auto" w:fill="CCEEFF"/>
          </w:tcPr>
          <w:p>
            <w:pPr>
              <w:ind w:left="220"/>
              <w:spacing w:after="0"/>
              <w:rPr>
                <w:sz w:val="20"/>
                <w:szCs w:val="20"/>
                <w:color w:val="auto"/>
              </w:rPr>
            </w:pPr>
            <w:r>
              <w:rPr>
                <w:rFonts w:ascii="Arial" w:cs="Arial" w:eastAsia="Arial" w:hAnsi="Arial"/>
                <w:sz w:val="14"/>
                <w:szCs w:val="14"/>
                <w:color w:val="auto"/>
              </w:rPr>
              <w:t>Shares issued under share-based awards</w:t>
            </w: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734,555</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913</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921</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921</w:t>
            </w:r>
          </w:p>
        </w:tc>
        <w:tc>
          <w:tcPr>
            <w:tcW w:w="0" w:type="dxa"/>
            <w:vAlign w:val="bottom"/>
          </w:tcPr>
          <w:p>
            <w:pPr>
              <w:spacing w:after="0"/>
              <w:rPr>
                <w:sz w:val="1"/>
                <w:szCs w:val="1"/>
                <w:color w:val="auto"/>
              </w:rPr>
            </w:pPr>
          </w:p>
        </w:tc>
      </w:tr>
      <w:tr>
        <w:trPr>
          <w:trHeight w:val="131"/>
        </w:trPr>
        <w:tc>
          <w:tcPr>
            <w:tcW w:w="2860" w:type="dxa"/>
            <w:vAlign w:val="bottom"/>
          </w:tcPr>
          <w:p>
            <w:pPr>
              <w:ind w:left="220"/>
              <w:spacing w:after="0" w:line="131" w:lineRule="exact"/>
              <w:rPr>
                <w:sz w:val="20"/>
                <w:szCs w:val="20"/>
                <w:color w:val="auto"/>
              </w:rPr>
            </w:pPr>
            <w:r>
              <w:rPr>
                <w:rFonts w:ascii="Arial" w:cs="Arial" w:eastAsia="Arial" w:hAnsi="Arial"/>
                <w:sz w:val="14"/>
                <w:szCs w:val="14"/>
                <w:color w:val="auto"/>
              </w:rPr>
              <w:t>Minimum tax withholding paid on behalf of</w:t>
            </w:r>
          </w:p>
        </w:tc>
        <w:tc>
          <w:tcPr>
            <w:tcW w:w="154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78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Arial" w:cs="Arial" w:eastAsia="Arial" w:hAnsi="Arial"/>
                <w:sz w:val="14"/>
                <w:szCs w:val="14"/>
                <w:color w:val="auto"/>
              </w:rPr>
              <w:t>(5,473)</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0" w:type="dxa"/>
            <w:vAlign w:val="bottom"/>
            <w:gridSpan w:val="2"/>
            <w:vMerge w:val="restart"/>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(5,473)</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6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1"/>
                <w:szCs w:val="11"/>
                <w:color w:val="auto"/>
              </w:rPr>
            </w:pPr>
          </w:p>
        </w:tc>
        <w:tc>
          <w:tcPr>
            <w:tcW w:w="860" w:type="dxa"/>
            <w:vAlign w:val="bottom"/>
            <w:vMerge w:val="restart"/>
          </w:tcPr>
          <w:p>
            <w:pPr>
              <w:jc w:val="right"/>
              <w:spacing w:after="0"/>
              <w:rPr>
                <w:sz w:val="20"/>
                <w:szCs w:val="20"/>
                <w:color w:val="auto"/>
              </w:rPr>
            </w:pPr>
            <w:r>
              <w:rPr>
                <w:rFonts w:ascii="Arial" w:cs="Arial" w:eastAsia="Arial" w:hAnsi="Arial"/>
                <w:sz w:val="14"/>
                <w:szCs w:val="14"/>
                <w:color w:val="auto"/>
              </w:rPr>
              <w:t>(5,473)</w:t>
            </w:r>
          </w:p>
        </w:tc>
        <w:tc>
          <w:tcPr>
            <w:tcW w:w="0" w:type="dxa"/>
            <w:vAlign w:val="bottom"/>
          </w:tcPr>
          <w:p>
            <w:pPr>
              <w:spacing w:after="0"/>
              <w:rPr>
                <w:sz w:val="1"/>
                <w:szCs w:val="1"/>
                <w:color w:val="auto"/>
              </w:rPr>
            </w:pPr>
          </w:p>
        </w:tc>
      </w:tr>
      <w:tr>
        <w:trPr>
          <w:trHeight w:val="181"/>
        </w:trPr>
        <w:tc>
          <w:tcPr>
            <w:tcW w:w="2860" w:type="dxa"/>
            <w:vAlign w:val="bottom"/>
          </w:tcPr>
          <w:p>
            <w:pPr>
              <w:ind w:left="220"/>
              <w:spacing w:after="0"/>
              <w:rPr>
                <w:sz w:val="20"/>
                <w:szCs w:val="20"/>
                <w:color w:val="auto"/>
              </w:rPr>
            </w:pPr>
            <w:r>
              <w:rPr>
                <w:rFonts w:ascii="Arial" w:cs="Arial" w:eastAsia="Arial" w:hAnsi="Arial"/>
                <w:sz w:val="14"/>
                <w:szCs w:val="14"/>
                <w:color w:val="auto"/>
              </w:rPr>
              <w:t>employees for restricted stock units</w:t>
            </w:r>
          </w:p>
        </w:tc>
        <w:tc>
          <w:tcPr>
            <w:tcW w:w="154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860" w:type="dxa"/>
            <w:vAlign w:val="bottom"/>
            <w:shd w:val="clear" w:color="auto" w:fill="CCEEFF"/>
          </w:tcPr>
          <w:p>
            <w:pPr>
              <w:ind w:left="220"/>
              <w:spacing w:after="0"/>
              <w:rPr>
                <w:sz w:val="20"/>
                <w:szCs w:val="20"/>
                <w:color w:val="auto"/>
              </w:rPr>
            </w:pPr>
            <w:r>
              <w:rPr>
                <w:rFonts w:ascii="Arial" w:cs="Arial" w:eastAsia="Arial" w:hAnsi="Arial"/>
                <w:sz w:val="14"/>
                <w:szCs w:val="14"/>
                <w:color w:val="auto"/>
              </w:rPr>
              <w:t>Stock-based compensation expense</w:t>
            </w:r>
          </w:p>
        </w:tc>
        <w:tc>
          <w:tcPr>
            <w:tcW w:w="14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7,411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7,411</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7,411</w:t>
            </w:r>
          </w:p>
        </w:tc>
        <w:tc>
          <w:tcPr>
            <w:tcW w:w="0" w:type="dxa"/>
            <w:vAlign w:val="bottom"/>
          </w:tcPr>
          <w:p>
            <w:pPr>
              <w:spacing w:after="0"/>
              <w:rPr>
                <w:sz w:val="1"/>
                <w:szCs w:val="1"/>
                <w:color w:val="auto"/>
              </w:rPr>
            </w:pPr>
          </w:p>
        </w:tc>
      </w:tr>
      <w:tr>
        <w:trPr>
          <w:trHeight w:val="181"/>
        </w:trPr>
        <w:tc>
          <w:tcPr>
            <w:tcW w:w="2860" w:type="dxa"/>
            <w:vAlign w:val="bottom"/>
          </w:tcPr>
          <w:p>
            <w:pPr>
              <w:ind w:left="220"/>
              <w:spacing w:after="0"/>
              <w:rPr>
                <w:sz w:val="20"/>
                <w:szCs w:val="20"/>
                <w:color w:val="auto"/>
              </w:rPr>
            </w:pPr>
            <w:r>
              <w:rPr>
                <w:rFonts w:ascii="Arial" w:cs="Arial" w:eastAsia="Arial" w:hAnsi="Arial"/>
                <w:sz w:val="14"/>
                <w:szCs w:val="14"/>
                <w:color w:val="auto"/>
              </w:rPr>
              <w:t>Share repurchases</w:t>
            </w:r>
          </w:p>
        </w:tc>
        <w:tc>
          <w:tcPr>
            <w:tcW w:w="1440" w:type="dxa"/>
            <w:vAlign w:val="bottom"/>
          </w:tcPr>
          <w:p>
            <w:pPr>
              <w:jc w:val="right"/>
              <w:spacing w:after="0"/>
              <w:rPr>
                <w:sz w:val="20"/>
                <w:szCs w:val="20"/>
                <w:color w:val="auto"/>
              </w:rPr>
            </w:pPr>
            <w:r>
              <w:rPr>
                <w:rFonts w:ascii="Arial" w:cs="Arial" w:eastAsia="Arial" w:hAnsi="Arial"/>
                <w:sz w:val="14"/>
                <w:szCs w:val="14"/>
                <w:color w:val="auto"/>
              </w:rPr>
              <w:t>(6,558,323)</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(66)</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(101,935)</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(102,001)</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(102,001)</w:t>
            </w:r>
          </w:p>
        </w:tc>
        <w:tc>
          <w:tcPr>
            <w:tcW w:w="0" w:type="dxa"/>
            <w:vAlign w:val="bottom"/>
          </w:tcPr>
          <w:p>
            <w:pPr>
              <w:spacing w:after="0"/>
              <w:rPr>
                <w:sz w:val="1"/>
                <w:szCs w:val="1"/>
                <w:color w:val="auto"/>
              </w:rPr>
            </w:pPr>
          </w:p>
        </w:tc>
      </w:tr>
      <w:tr>
        <w:trPr>
          <w:trHeight w:val="201"/>
        </w:trPr>
        <w:tc>
          <w:tcPr>
            <w:tcW w:w="28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Balance at June 30, 2020</w:t>
            </w:r>
          </w:p>
        </w:tc>
        <w:tc>
          <w:tcPr>
            <w:tcW w:w="1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130,325,865</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1,303</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482,111</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1,692,385</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2,175,799</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4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2,175,811</w:t>
            </w:r>
          </w:p>
        </w:tc>
        <w:tc>
          <w:tcPr>
            <w:tcW w:w="0" w:type="dxa"/>
            <w:vAlign w:val="bottom"/>
          </w:tcPr>
          <w:p>
            <w:pPr>
              <w:spacing w:after="0"/>
              <w:rPr>
                <w:sz w:val="1"/>
                <w:szCs w:val="1"/>
                <w:color w:val="auto"/>
              </w:rPr>
            </w:pPr>
          </w:p>
        </w:tc>
      </w:tr>
      <w:tr>
        <w:trPr>
          <w:trHeight w:val="20"/>
        </w:trPr>
        <w:tc>
          <w:tcPr>
            <w:tcW w:w="2860" w:type="dxa"/>
            <w:vAlign w:val="bottom"/>
            <w:tcBorders>
              <w:top w:val="single" w:sz="8" w:color="CCEEFF"/>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40"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See accompanying condensed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- 5 -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160"/>
          </w:cols>
          <w:pgMar w:left="320" w:top="866" w:right="419" w:bottom="1440" w:gutter="0" w:footer="0" w:header="0"/>
        </w:sectPr>
      </w:pPr>
    </w:p>
    <w:bookmarkStart w:id="6" w:name="page7"/>
    <w:bookmarkEnd w:id="6"/>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- 6 -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-720090</wp:posOffset>
            </wp:positionH>
            <wp:positionV relativeFrom="paragraph">
              <wp:posOffset>85090</wp:posOffset>
            </wp:positionV>
            <wp:extent cx="7162165" cy="419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9019"/>
          </w:cols>
          <w:pgMar w:left="1440" w:top="1440" w:right="1440" w:bottom="1440" w:gutter="0" w:footer="0" w:header="0"/>
        </w:sectPr>
      </w:pPr>
    </w:p>
    <w:bookmarkStart w:id="7" w:name="page8"/>
    <w:bookmarkEnd w:id="7"/>
    <w:p>
      <w:pPr>
        <w:jc w:val="center"/>
        <w:ind w:right="-19"/>
        <w:spacing w:after="0"/>
        <w:rPr>
          <w:sz w:val="20"/>
          <w:szCs w:val="20"/>
          <w:color w:val="auto"/>
        </w:rPr>
      </w:pPr>
      <w:r>
        <w:rPr>
          <w:rFonts w:ascii="Arial" w:cs="Arial" w:eastAsia="Arial" w:hAnsi="Arial"/>
          <w:sz w:val="17"/>
          <w:szCs w:val="17"/>
          <w:b w:val="1"/>
          <w:bCs w:val="1"/>
          <w:color w:val="auto"/>
        </w:rPr>
        <w:t>TRI POINTE HOMES, INC.</w:t>
      </w:r>
    </w:p>
    <w:p>
      <w:pPr>
        <w:spacing w:after="0" w:line="32"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CONSOLIDATED STATEMENTS OF CASH FLOWS</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(unaudited)</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(in thousands)</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826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620" w:type="dxa"/>
            <w:vAlign w:val="bottom"/>
            <w:tcBorders>
              <w:bottom w:val="single" w:sz="8" w:color="auto"/>
            </w:tcBorders>
            <w:gridSpan w:val="4"/>
          </w:tcPr>
          <w:p>
            <w:pPr>
              <w:jc w:val="right"/>
              <w:ind w:right="574"/>
              <w:spacing w:after="0"/>
              <w:rPr>
                <w:sz w:val="20"/>
                <w:szCs w:val="20"/>
                <w:color w:val="auto"/>
              </w:rPr>
            </w:pPr>
            <w:r>
              <w:rPr>
                <w:rFonts w:ascii="Arial" w:cs="Arial" w:eastAsia="Arial" w:hAnsi="Arial"/>
                <w:sz w:val="14"/>
                <w:szCs w:val="14"/>
                <w:b w:val="1"/>
                <w:bCs w:val="1"/>
                <w:color w:val="auto"/>
              </w:rPr>
              <w:t>Six Months Ended June 30,</w:t>
            </w:r>
          </w:p>
        </w:tc>
      </w:tr>
      <w:tr>
        <w:trPr>
          <w:trHeight w:val="181"/>
        </w:trPr>
        <w:tc>
          <w:tcPr>
            <w:tcW w:w="826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474"/>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2020</w:t>
            </w:r>
          </w:p>
        </w:tc>
      </w:tr>
      <w:tr>
        <w:trPr>
          <w:trHeight w:val="216"/>
        </w:trPr>
        <w:tc>
          <w:tcPr>
            <w:tcW w:w="826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Cash flows from operating activities:</w:t>
            </w:r>
          </w:p>
        </w:tc>
        <w:tc>
          <w:tcPr>
            <w:tcW w:w="3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r>
      <w:tr>
        <w:trPr>
          <w:trHeight w:val="222"/>
        </w:trPr>
        <w:tc>
          <w:tcPr>
            <w:tcW w:w="8260" w:type="dxa"/>
            <w:vAlign w:val="bottom"/>
          </w:tcPr>
          <w:p>
            <w:pPr>
              <w:ind w:left="220"/>
              <w:spacing w:after="0"/>
              <w:rPr>
                <w:sz w:val="20"/>
                <w:szCs w:val="20"/>
                <w:color w:val="auto"/>
              </w:rPr>
            </w:pPr>
            <w:r>
              <w:rPr>
                <w:rFonts w:ascii="Arial" w:cs="Arial" w:eastAsia="Arial" w:hAnsi="Arial"/>
                <w:sz w:val="17"/>
                <w:szCs w:val="17"/>
                <w:color w:val="auto"/>
              </w:rPr>
              <w:t>Net income</w:t>
            </w:r>
          </w:p>
        </w:tc>
        <w:tc>
          <w:tcPr>
            <w:tcW w:w="340" w:type="dxa"/>
            <w:vAlign w:val="bottom"/>
          </w:tcPr>
          <w:p>
            <w:pPr>
              <w:jc w:val="right"/>
              <w:ind w:right="153"/>
              <w:spacing w:after="0"/>
              <w:rPr>
                <w:sz w:val="20"/>
                <w:szCs w:val="20"/>
                <w:color w:val="auto"/>
              </w:rPr>
            </w:pPr>
            <w:r>
              <w:rPr>
                <w:rFonts w:ascii="Arial" w:cs="Arial" w:eastAsia="Arial" w:hAnsi="Arial"/>
                <w:sz w:val="17"/>
                <w:szCs w:val="17"/>
                <w:color w:val="auto"/>
                <w:w w:val="84"/>
              </w:rPr>
              <w:t>$</w:t>
            </w:r>
          </w:p>
        </w:tc>
        <w:tc>
          <w:tcPr>
            <w:tcW w:w="1080" w:type="dxa"/>
            <w:vAlign w:val="bottom"/>
          </w:tcPr>
          <w:p>
            <w:pPr>
              <w:jc w:val="right"/>
              <w:spacing w:after="0"/>
              <w:rPr>
                <w:sz w:val="20"/>
                <w:szCs w:val="20"/>
                <w:color w:val="auto"/>
              </w:rPr>
            </w:pPr>
            <w:r>
              <w:rPr>
                <w:rFonts w:ascii="Arial" w:cs="Arial" w:eastAsia="Arial" w:hAnsi="Arial"/>
                <w:sz w:val="17"/>
                <w:szCs w:val="17"/>
                <w:color w:val="auto"/>
              </w:rPr>
              <w:t>188,671</w:t>
            </w:r>
          </w:p>
        </w:tc>
        <w:tc>
          <w:tcPr>
            <w:tcW w:w="120" w:type="dxa"/>
            <w:vAlign w:val="bottom"/>
          </w:tcPr>
          <w:p>
            <w:pPr>
              <w:spacing w:after="0"/>
              <w:rPr>
                <w:sz w:val="19"/>
                <w:szCs w:val="19"/>
                <w:color w:val="auto"/>
              </w:rPr>
            </w:pPr>
          </w:p>
        </w:tc>
        <w:tc>
          <w:tcPr>
            <w:tcW w:w="340" w:type="dxa"/>
            <w:vAlign w:val="bottom"/>
          </w:tcPr>
          <w:p>
            <w:pPr>
              <w:jc w:val="right"/>
              <w:ind w:right="153"/>
              <w:spacing w:after="0"/>
              <w:rPr>
                <w:sz w:val="20"/>
                <w:szCs w:val="20"/>
                <w:color w:val="auto"/>
              </w:rPr>
            </w:pPr>
            <w:r>
              <w:rPr>
                <w:rFonts w:ascii="Arial" w:cs="Arial" w:eastAsia="Arial" w:hAnsi="Arial"/>
                <w:sz w:val="17"/>
                <w:szCs w:val="17"/>
                <w:color w:val="auto"/>
                <w:w w:val="84"/>
              </w:rPr>
              <w:t>$</w:t>
            </w:r>
          </w:p>
        </w:tc>
        <w:tc>
          <w:tcPr>
            <w:tcW w:w="1080" w:type="dxa"/>
            <w:vAlign w:val="bottom"/>
          </w:tcPr>
          <w:p>
            <w:pPr>
              <w:jc w:val="right"/>
              <w:spacing w:after="0"/>
              <w:rPr>
                <w:sz w:val="20"/>
                <w:szCs w:val="20"/>
                <w:color w:val="auto"/>
              </w:rPr>
            </w:pPr>
            <w:r>
              <w:rPr>
                <w:rFonts w:ascii="Arial" w:cs="Arial" w:eastAsia="Arial" w:hAnsi="Arial"/>
                <w:sz w:val="17"/>
                <w:szCs w:val="17"/>
                <w:color w:val="auto"/>
              </w:rPr>
              <w:t>88,411</w:t>
            </w:r>
          </w:p>
        </w:tc>
      </w:tr>
      <w:tr>
        <w:trPr>
          <w:trHeight w:val="222"/>
        </w:trPr>
        <w:tc>
          <w:tcPr>
            <w:tcW w:w="82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Adjustments to reconcile net income to net cash provided by operating activities:</w:t>
            </w: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r>
      <w:tr>
        <w:trPr>
          <w:trHeight w:val="222"/>
        </w:trPr>
        <w:tc>
          <w:tcPr>
            <w:tcW w:w="8260" w:type="dxa"/>
            <w:vAlign w:val="bottom"/>
          </w:tcPr>
          <w:p>
            <w:pPr>
              <w:ind w:left="460"/>
              <w:spacing w:after="0"/>
              <w:rPr>
                <w:sz w:val="20"/>
                <w:szCs w:val="20"/>
                <w:color w:val="auto"/>
              </w:rPr>
            </w:pPr>
            <w:r>
              <w:rPr>
                <w:rFonts w:ascii="Arial" w:cs="Arial" w:eastAsia="Arial" w:hAnsi="Arial"/>
                <w:sz w:val="17"/>
                <w:szCs w:val="17"/>
                <w:color w:val="auto"/>
              </w:rPr>
              <w:t>Depreciation and amortization</w:t>
            </w: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16,120</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12,176</w:t>
            </w:r>
          </w:p>
        </w:tc>
      </w:tr>
      <w:tr>
        <w:trPr>
          <w:trHeight w:val="222"/>
        </w:trPr>
        <w:tc>
          <w:tcPr>
            <w:tcW w:w="8260" w:type="dxa"/>
            <w:vAlign w:val="bottom"/>
            <w:shd w:val="clear" w:color="auto" w:fill="CCEEFF"/>
          </w:tcPr>
          <w:p>
            <w:pPr>
              <w:ind w:left="460"/>
              <w:spacing w:after="0"/>
              <w:rPr>
                <w:sz w:val="20"/>
                <w:szCs w:val="20"/>
                <w:color w:val="auto"/>
              </w:rPr>
            </w:pPr>
            <w:r>
              <w:rPr>
                <w:rFonts w:ascii="Arial" w:cs="Arial" w:eastAsia="Arial" w:hAnsi="Arial"/>
                <w:sz w:val="17"/>
                <w:szCs w:val="17"/>
                <w:color w:val="auto"/>
              </w:rPr>
              <w:t>Equity in income of unconsolidated entities, net</w:t>
            </w: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(6,610)</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(4,449)</w:t>
            </w:r>
          </w:p>
        </w:tc>
      </w:tr>
      <w:tr>
        <w:trPr>
          <w:trHeight w:val="222"/>
        </w:trPr>
        <w:tc>
          <w:tcPr>
            <w:tcW w:w="8260" w:type="dxa"/>
            <w:vAlign w:val="bottom"/>
          </w:tcPr>
          <w:p>
            <w:pPr>
              <w:ind w:left="460"/>
              <w:spacing w:after="0"/>
              <w:rPr>
                <w:sz w:val="20"/>
                <w:szCs w:val="20"/>
                <w:color w:val="auto"/>
              </w:rPr>
            </w:pPr>
            <w:r>
              <w:rPr>
                <w:rFonts w:ascii="Arial" w:cs="Arial" w:eastAsia="Arial" w:hAnsi="Arial"/>
                <w:sz w:val="17"/>
                <w:szCs w:val="17"/>
                <w:color w:val="auto"/>
              </w:rPr>
              <w:t>Deferred income taxes, net</w:t>
            </w: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3,136</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10,160</w:t>
            </w:r>
          </w:p>
        </w:tc>
      </w:tr>
      <w:tr>
        <w:trPr>
          <w:trHeight w:val="222"/>
        </w:trPr>
        <w:tc>
          <w:tcPr>
            <w:tcW w:w="8260" w:type="dxa"/>
            <w:vAlign w:val="bottom"/>
            <w:shd w:val="clear" w:color="auto" w:fill="CCEEFF"/>
          </w:tcPr>
          <w:p>
            <w:pPr>
              <w:ind w:left="460"/>
              <w:spacing w:after="0"/>
              <w:rPr>
                <w:sz w:val="20"/>
                <w:szCs w:val="20"/>
                <w:color w:val="auto"/>
              </w:rPr>
            </w:pPr>
            <w:r>
              <w:rPr>
                <w:rFonts w:ascii="Arial" w:cs="Arial" w:eastAsia="Arial" w:hAnsi="Arial"/>
                <w:sz w:val="17"/>
                <w:szCs w:val="17"/>
                <w:color w:val="auto"/>
              </w:rPr>
              <w:t>Amortization of stock-based compensation</w:t>
            </w: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8,162</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7,411</w:t>
            </w:r>
          </w:p>
        </w:tc>
      </w:tr>
      <w:tr>
        <w:trPr>
          <w:trHeight w:val="222"/>
        </w:trPr>
        <w:tc>
          <w:tcPr>
            <w:tcW w:w="8260" w:type="dxa"/>
            <w:vAlign w:val="bottom"/>
          </w:tcPr>
          <w:p>
            <w:pPr>
              <w:ind w:left="460"/>
              <w:spacing w:after="0"/>
              <w:rPr>
                <w:sz w:val="20"/>
                <w:szCs w:val="20"/>
                <w:color w:val="auto"/>
              </w:rPr>
            </w:pPr>
            <w:r>
              <w:rPr>
                <w:rFonts w:ascii="Arial" w:cs="Arial" w:eastAsia="Arial" w:hAnsi="Arial"/>
                <w:sz w:val="17"/>
                <w:szCs w:val="17"/>
                <w:color w:val="auto"/>
              </w:rPr>
              <w:t>Charges for impairments and lot option abandonments</w:t>
            </w: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445</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1,729</w:t>
            </w:r>
          </w:p>
        </w:tc>
      </w:tr>
      <w:tr>
        <w:trPr>
          <w:trHeight w:val="222"/>
        </w:trPr>
        <w:tc>
          <w:tcPr>
            <w:tcW w:w="8260" w:type="dxa"/>
            <w:vAlign w:val="bottom"/>
            <w:shd w:val="clear" w:color="auto" w:fill="CCEEFF"/>
          </w:tcPr>
          <w:p>
            <w:pPr>
              <w:ind w:left="460"/>
              <w:spacing w:after="0"/>
              <w:rPr>
                <w:sz w:val="20"/>
                <w:szCs w:val="20"/>
                <w:color w:val="auto"/>
              </w:rPr>
            </w:pPr>
            <w:r>
              <w:rPr>
                <w:rFonts w:ascii="Arial" w:cs="Arial" w:eastAsia="Arial" w:hAnsi="Arial"/>
                <w:sz w:val="17"/>
                <w:szCs w:val="17"/>
                <w:color w:val="auto"/>
              </w:rPr>
              <w:t>Changes in assets and liabilities:</w:t>
            </w: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r>
      <w:tr>
        <w:trPr>
          <w:trHeight w:val="222"/>
        </w:trPr>
        <w:tc>
          <w:tcPr>
            <w:tcW w:w="8260" w:type="dxa"/>
            <w:vAlign w:val="bottom"/>
          </w:tcPr>
          <w:p>
            <w:pPr>
              <w:ind w:left="640"/>
              <w:spacing w:after="0"/>
              <w:rPr>
                <w:sz w:val="20"/>
                <w:szCs w:val="20"/>
                <w:color w:val="auto"/>
              </w:rPr>
            </w:pPr>
            <w:r>
              <w:rPr>
                <w:rFonts w:ascii="Arial" w:cs="Arial" w:eastAsia="Arial" w:hAnsi="Arial"/>
                <w:sz w:val="17"/>
                <w:szCs w:val="17"/>
                <w:color w:val="auto"/>
              </w:rPr>
              <w:t>Real estate inventories</w:t>
            </w: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(173,740)</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53,902</w:t>
            </w:r>
          </w:p>
        </w:tc>
      </w:tr>
      <w:tr>
        <w:trPr>
          <w:trHeight w:val="222"/>
        </w:trPr>
        <w:tc>
          <w:tcPr>
            <w:tcW w:w="8260" w:type="dxa"/>
            <w:vAlign w:val="bottom"/>
            <w:shd w:val="clear" w:color="auto" w:fill="CCEEFF"/>
          </w:tcPr>
          <w:p>
            <w:pPr>
              <w:ind w:left="640"/>
              <w:spacing w:after="0"/>
              <w:rPr>
                <w:sz w:val="20"/>
                <w:szCs w:val="20"/>
                <w:color w:val="auto"/>
              </w:rPr>
            </w:pPr>
            <w:r>
              <w:rPr>
                <w:rFonts w:ascii="Arial" w:cs="Arial" w:eastAsia="Arial" w:hAnsi="Arial"/>
                <w:sz w:val="17"/>
                <w:szCs w:val="17"/>
                <w:color w:val="auto"/>
              </w:rPr>
              <w:t>Receivables</w:t>
            </w: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(27,797)</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(18,304)</w:t>
            </w:r>
          </w:p>
        </w:tc>
      </w:tr>
      <w:tr>
        <w:trPr>
          <w:trHeight w:val="222"/>
        </w:trPr>
        <w:tc>
          <w:tcPr>
            <w:tcW w:w="8260" w:type="dxa"/>
            <w:vAlign w:val="bottom"/>
          </w:tcPr>
          <w:p>
            <w:pPr>
              <w:ind w:left="640"/>
              <w:spacing w:after="0"/>
              <w:rPr>
                <w:sz w:val="20"/>
                <w:szCs w:val="20"/>
                <w:color w:val="auto"/>
              </w:rPr>
            </w:pPr>
            <w:r>
              <w:rPr>
                <w:rFonts w:ascii="Arial" w:cs="Arial" w:eastAsia="Arial" w:hAnsi="Arial"/>
                <w:sz w:val="17"/>
                <w:szCs w:val="17"/>
                <w:color w:val="auto"/>
              </w:rPr>
              <w:t>Other assets</w:t>
            </w: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(7,996)</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3,677</w:t>
            </w:r>
          </w:p>
        </w:tc>
      </w:tr>
      <w:tr>
        <w:trPr>
          <w:trHeight w:val="222"/>
        </w:trPr>
        <w:tc>
          <w:tcPr>
            <w:tcW w:w="8260" w:type="dxa"/>
            <w:vAlign w:val="bottom"/>
            <w:shd w:val="clear" w:color="auto" w:fill="CCEEFF"/>
          </w:tcPr>
          <w:p>
            <w:pPr>
              <w:ind w:left="640"/>
              <w:spacing w:after="0"/>
              <w:rPr>
                <w:sz w:val="20"/>
                <w:szCs w:val="20"/>
                <w:color w:val="auto"/>
              </w:rPr>
            </w:pPr>
            <w:r>
              <w:rPr>
                <w:rFonts w:ascii="Arial" w:cs="Arial" w:eastAsia="Arial" w:hAnsi="Arial"/>
                <w:sz w:val="17"/>
                <w:szCs w:val="17"/>
                <w:color w:val="auto"/>
              </w:rPr>
              <w:t>Accounts payable</w:t>
            </w: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61,453</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4,966</w:t>
            </w:r>
          </w:p>
        </w:tc>
      </w:tr>
      <w:tr>
        <w:trPr>
          <w:trHeight w:val="222"/>
        </w:trPr>
        <w:tc>
          <w:tcPr>
            <w:tcW w:w="8260" w:type="dxa"/>
            <w:vAlign w:val="bottom"/>
          </w:tcPr>
          <w:p>
            <w:pPr>
              <w:ind w:left="640"/>
              <w:spacing w:after="0"/>
              <w:rPr>
                <w:sz w:val="20"/>
                <w:szCs w:val="20"/>
                <w:color w:val="auto"/>
              </w:rPr>
            </w:pPr>
            <w:r>
              <w:rPr>
                <w:rFonts w:ascii="Arial" w:cs="Arial" w:eastAsia="Arial" w:hAnsi="Arial"/>
                <w:sz w:val="17"/>
                <w:szCs w:val="17"/>
                <w:color w:val="auto"/>
              </w:rPr>
              <w:t>Accrued expenses and other liabilities</w:t>
            </w: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28,325</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(5,784)</w:t>
            </w:r>
          </w:p>
        </w:tc>
      </w:tr>
      <w:tr>
        <w:trPr>
          <w:trHeight w:val="222"/>
        </w:trPr>
        <w:tc>
          <w:tcPr>
            <w:tcW w:w="8260" w:type="dxa"/>
            <w:vAlign w:val="bottom"/>
            <w:shd w:val="clear" w:color="auto" w:fill="CCEEFF"/>
          </w:tcPr>
          <w:p>
            <w:pPr>
              <w:ind w:left="460"/>
              <w:spacing w:after="0"/>
              <w:rPr>
                <w:sz w:val="20"/>
                <w:szCs w:val="20"/>
                <w:color w:val="auto"/>
              </w:rPr>
            </w:pPr>
            <w:r>
              <w:rPr>
                <w:rFonts w:ascii="Arial" w:cs="Arial" w:eastAsia="Arial" w:hAnsi="Arial"/>
                <w:sz w:val="17"/>
                <w:szCs w:val="17"/>
                <w:color w:val="auto"/>
              </w:rPr>
              <w:t>Returns on investments in unconsolidated entities, net</w:t>
            </w: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7,135</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5,475</w:t>
            </w:r>
          </w:p>
        </w:tc>
      </w:tr>
      <w:tr>
        <w:trPr>
          <w:trHeight w:val="222"/>
        </w:trPr>
        <w:tc>
          <w:tcPr>
            <w:tcW w:w="8260" w:type="dxa"/>
            <w:vAlign w:val="bottom"/>
          </w:tcPr>
          <w:p>
            <w:pPr>
              <w:ind w:left="440"/>
              <w:spacing w:after="0"/>
              <w:rPr>
                <w:sz w:val="20"/>
                <w:szCs w:val="20"/>
                <w:color w:val="auto"/>
              </w:rPr>
            </w:pPr>
            <w:r>
              <w:rPr>
                <w:rFonts w:ascii="Arial" w:cs="Arial" w:eastAsia="Arial" w:hAnsi="Arial"/>
                <w:sz w:val="17"/>
                <w:szCs w:val="17"/>
                <w:color w:val="auto"/>
              </w:rPr>
              <w:t>Loss on extinguishment of debt</w:t>
            </w: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6,858</w:t>
            </w:r>
          </w:p>
        </w:tc>
      </w:tr>
      <w:tr>
        <w:trPr>
          <w:trHeight w:val="215"/>
        </w:trPr>
        <w:tc>
          <w:tcPr>
            <w:tcW w:w="82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cash provided by operating activities</w:t>
            </w:r>
          </w:p>
        </w:tc>
        <w:tc>
          <w:tcPr>
            <w:tcW w:w="340" w:type="dxa"/>
            <w:vAlign w:val="bottom"/>
            <w:tcBorders>
              <w:top w:val="single" w:sz="8" w:color="auto"/>
              <w:bottom w:val="single" w:sz="8" w:color="auto"/>
            </w:tcBorders>
            <w:shd w:val="clear" w:color="auto" w:fill="CCEEFF"/>
          </w:tcPr>
          <w:p>
            <w:pPr>
              <w:spacing w:after="0"/>
              <w:rPr>
                <w:sz w:val="18"/>
                <w:szCs w:val="18"/>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97,304</w:t>
            </w:r>
          </w:p>
        </w:tc>
        <w:tc>
          <w:tcPr>
            <w:tcW w:w="12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spacing w:after="0"/>
              <w:rPr>
                <w:sz w:val="18"/>
                <w:szCs w:val="18"/>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166,228</w:t>
            </w:r>
          </w:p>
        </w:tc>
      </w:tr>
      <w:tr>
        <w:trPr>
          <w:trHeight w:val="202"/>
        </w:trPr>
        <w:tc>
          <w:tcPr>
            <w:tcW w:w="8260" w:type="dxa"/>
            <w:vAlign w:val="bottom"/>
          </w:tcPr>
          <w:p>
            <w:pPr>
              <w:ind w:left="20"/>
              <w:spacing w:after="0"/>
              <w:rPr>
                <w:sz w:val="20"/>
                <w:szCs w:val="20"/>
                <w:color w:val="auto"/>
              </w:rPr>
            </w:pPr>
            <w:r>
              <w:rPr>
                <w:rFonts w:ascii="Arial" w:cs="Arial" w:eastAsia="Arial" w:hAnsi="Arial"/>
                <w:sz w:val="17"/>
                <w:szCs w:val="17"/>
                <w:b w:val="1"/>
                <w:bCs w:val="1"/>
                <w:color w:val="auto"/>
              </w:rPr>
              <w:t>Cash flows from investing activities:</w:t>
            </w:r>
          </w:p>
        </w:tc>
        <w:tc>
          <w:tcPr>
            <w:tcW w:w="3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80" w:type="dxa"/>
            <w:vAlign w:val="bottom"/>
          </w:tcPr>
          <w:p>
            <w:pPr>
              <w:spacing w:after="0"/>
              <w:rPr>
                <w:sz w:val="17"/>
                <w:szCs w:val="17"/>
                <w:color w:val="auto"/>
              </w:rPr>
            </w:pPr>
          </w:p>
        </w:tc>
      </w:tr>
      <w:tr>
        <w:trPr>
          <w:trHeight w:val="222"/>
        </w:trPr>
        <w:tc>
          <w:tcPr>
            <w:tcW w:w="8260" w:type="dxa"/>
            <w:vAlign w:val="bottom"/>
            <w:shd w:val="clear" w:color="auto" w:fill="CCEEFF"/>
          </w:tcPr>
          <w:p>
            <w:pPr>
              <w:ind w:left="460"/>
              <w:spacing w:after="0"/>
              <w:rPr>
                <w:sz w:val="20"/>
                <w:szCs w:val="20"/>
                <w:color w:val="auto"/>
              </w:rPr>
            </w:pPr>
            <w:r>
              <w:rPr>
                <w:rFonts w:ascii="Arial" w:cs="Arial" w:eastAsia="Arial" w:hAnsi="Arial"/>
                <w:sz w:val="17"/>
                <w:szCs w:val="17"/>
                <w:color w:val="auto"/>
              </w:rPr>
              <w:t>Purchases of property and equipment</w:t>
            </w: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(8,946)</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(12,002)</w:t>
            </w:r>
          </w:p>
        </w:tc>
      </w:tr>
      <w:tr>
        <w:trPr>
          <w:trHeight w:val="222"/>
        </w:trPr>
        <w:tc>
          <w:tcPr>
            <w:tcW w:w="8260" w:type="dxa"/>
            <w:vAlign w:val="bottom"/>
          </w:tcPr>
          <w:p>
            <w:pPr>
              <w:ind w:left="460"/>
              <w:spacing w:after="0"/>
              <w:rPr>
                <w:sz w:val="20"/>
                <w:szCs w:val="20"/>
                <w:color w:val="auto"/>
              </w:rPr>
            </w:pPr>
            <w:r>
              <w:rPr>
                <w:rFonts w:ascii="Arial" w:cs="Arial" w:eastAsia="Arial" w:hAnsi="Arial"/>
                <w:sz w:val="17"/>
                <w:szCs w:val="17"/>
                <w:color w:val="auto"/>
              </w:rPr>
              <w:t>Proceeds from sale of property and equipment</w:t>
            </w: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17</w:t>
            </w:r>
          </w:p>
        </w:tc>
      </w:tr>
      <w:tr>
        <w:trPr>
          <w:trHeight w:val="222"/>
        </w:trPr>
        <w:tc>
          <w:tcPr>
            <w:tcW w:w="8260" w:type="dxa"/>
            <w:vAlign w:val="bottom"/>
            <w:shd w:val="clear" w:color="auto" w:fill="CCEEFF"/>
          </w:tcPr>
          <w:p>
            <w:pPr>
              <w:ind w:left="460"/>
              <w:spacing w:after="0"/>
              <w:rPr>
                <w:sz w:val="20"/>
                <w:szCs w:val="20"/>
                <w:color w:val="auto"/>
              </w:rPr>
            </w:pPr>
            <w:r>
              <w:rPr>
                <w:rFonts w:ascii="Arial" w:cs="Arial" w:eastAsia="Arial" w:hAnsi="Arial"/>
                <w:sz w:val="17"/>
                <w:szCs w:val="17"/>
                <w:color w:val="auto"/>
              </w:rPr>
              <w:t>Returns of (investments in) unconsolidated entities, net</w:t>
            </w:r>
          </w:p>
        </w:tc>
        <w:tc>
          <w:tcPr>
            <w:tcW w:w="34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480</w:t>
            </w:r>
          </w:p>
        </w:tc>
        <w:tc>
          <w:tcPr>
            <w:tcW w:w="1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(25,715)</w:t>
            </w:r>
          </w:p>
        </w:tc>
      </w:tr>
      <w:tr>
        <w:trPr>
          <w:trHeight w:val="215"/>
        </w:trPr>
        <w:tc>
          <w:tcPr>
            <w:tcW w:w="82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Net cash used in investing activities</w:t>
            </w:r>
          </w:p>
        </w:tc>
        <w:tc>
          <w:tcPr>
            <w:tcW w:w="3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(8,466)</w:t>
            </w:r>
          </w:p>
        </w:tc>
        <w:tc>
          <w:tcPr>
            <w:tcW w:w="120" w:type="dxa"/>
            <w:vAlign w:val="bottom"/>
            <w:tcBorders>
              <w:bottom w:val="single" w:sz="8" w:color="CCEEFF"/>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(37,700)</w:t>
            </w:r>
          </w:p>
        </w:tc>
      </w:tr>
      <w:tr>
        <w:trPr>
          <w:trHeight w:val="202"/>
        </w:trPr>
        <w:tc>
          <w:tcPr>
            <w:tcW w:w="826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Cash flows from financing activities:</w:t>
            </w:r>
          </w:p>
        </w:tc>
        <w:tc>
          <w:tcPr>
            <w:tcW w:w="34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r>
      <w:tr>
        <w:trPr>
          <w:trHeight w:val="222"/>
        </w:trPr>
        <w:tc>
          <w:tcPr>
            <w:tcW w:w="8260" w:type="dxa"/>
            <w:vAlign w:val="bottom"/>
          </w:tcPr>
          <w:p>
            <w:pPr>
              <w:ind w:left="460"/>
              <w:spacing w:after="0"/>
              <w:rPr>
                <w:sz w:val="20"/>
                <w:szCs w:val="20"/>
                <w:color w:val="auto"/>
              </w:rPr>
            </w:pPr>
            <w:r>
              <w:rPr>
                <w:rFonts w:ascii="Arial" w:cs="Arial" w:eastAsia="Arial" w:hAnsi="Arial"/>
                <w:sz w:val="17"/>
                <w:szCs w:val="17"/>
                <w:color w:val="auto"/>
              </w:rPr>
              <w:t>Borrowings from debt</w:t>
            </w: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850,000</w:t>
            </w:r>
          </w:p>
        </w:tc>
      </w:tr>
      <w:tr>
        <w:trPr>
          <w:trHeight w:val="222"/>
        </w:trPr>
        <w:tc>
          <w:tcPr>
            <w:tcW w:w="8260" w:type="dxa"/>
            <w:vAlign w:val="bottom"/>
            <w:shd w:val="clear" w:color="auto" w:fill="CCEEFF"/>
          </w:tcPr>
          <w:p>
            <w:pPr>
              <w:ind w:left="460"/>
              <w:spacing w:after="0"/>
              <w:rPr>
                <w:sz w:val="20"/>
                <w:szCs w:val="20"/>
                <w:color w:val="auto"/>
              </w:rPr>
            </w:pPr>
            <w:r>
              <w:rPr>
                <w:rFonts w:ascii="Arial" w:cs="Arial" w:eastAsia="Arial" w:hAnsi="Arial"/>
                <w:sz w:val="17"/>
                <w:szCs w:val="17"/>
                <w:color w:val="auto"/>
              </w:rPr>
              <w:t>Repayment of debt</w:t>
            </w:r>
          </w:p>
        </w:tc>
        <w:tc>
          <w:tcPr>
            <w:tcW w:w="3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(721,673)</w:t>
            </w:r>
          </w:p>
        </w:tc>
      </w:tr>
      <w:tr>
        <w:trPr>
          <w:trHeight w:val="222"/>
        </w:trPr>
        <w:tc>
          <w:tcPr>
            <w:tcW w:w="8260" w:type="dxa"/>
            <w:vAlign w:val="bottom"/>
          </w:tcPr>
          <w:p>
            <w:pPr>
              <w:ind w:left="460"/>
              <w:spacing w:after="0"/>
              <w:rPr>
                <w:sz w:val="20"/>
                <w:szCs w:val="20"/>
                <w:color w:val="auto"/>
              </w:rPr>
            </w:pPr>
            <w:r>
              <w:rPr>
                <w:rFonts w:ascii="Arial" w:cs="Arial" w:eastAsia="Arial" w:hAnsi="Arial"/>
                <w:sz w:val="17"/>
                <w:szCs w:val="17"/>
                <w:color w:val="auto"/>
              </w:rPr>
              <w:t>Debt issuance costs</w:t>
            </w: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(3,570)</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(4,768)</w:t>
            </w:r>
          </w:p>
        </w:tc>
      </w:tr>
      <w:tr>
        <w:trPr>
          <w:trHeight w:val="222"/>
        </w:trPr>
        <w:tc>
          <w:tcPr>
            <w:tcW w:w="8260" w:type="dxa"/>
            <w:vAlign w:val="bottom"/>
            <w:shd w:val="clear" w:color="auto" w:fill="CCEEFF"/>
          </w:tcPr>
          <w:p>
            <w:pPr>
              <w:ind w:left="460"/>
              <w:spacing w:after="0"/>
              <w:rPr>
                <w:sz w:val="20"/>
                <w:szCs w:val="20"/>
                <w:color w:val="auto"/>
              </w:rPr>
            </w:pPr>
            <w:r>
              <w:rPr>
                <w:rFonts w:ascii="Arial" w:cs="Arial" w:eastAsia="Arial" w:hAnsi="Arial"/>
                <w:sz w:val="17"/>
                <w:szCs w:val="17"/>
                <w:color w:val="auto"/>
              </w:rPr>
              <w:t>Proceeds from issuance of common stock under share-based awards</w:t>
            </w: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2,834</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921</w:t>
            </w:r>
          </w:p>
        </w:tc>
      </w:tr>
      <w:tr>
        <w:trPr>
          <w:trHeight w:val="222"/>
        </w:trPr>
        <w:tc>
          <w:tcPr>
            <w:tcW w:w="8260" w:type="dxa"/>
            <w:vAlign w:val="bottom"/>
          </w:tcPr>
          <w:p>
            <w:pPr>
              <w:ind w:left="460"/>
              <w:spacing w:after="0"/>
              <w:rPr>
                <w:sz w:val="20"/>
                <w:szCs w:val="20"/>
                <w:color w:val="auto"/>
              </w:rPr>
            </w:pPr>
            <w:r>
              <w:rPr>
                <w:rFonts w:ascii="Arial" w:cs="Arial" w:eastAsia="Arial" w:hAnsi="Arial"/>
                <w:sz w:val="17"/>
                <w:szCs w:val="17"/>
                <w:color w:val="auto"/>
              </w:rPr>
              <w:t>Minimum tax withholding paid on behalf of employees for share-based awards</w:t>
            </w: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(4,636)</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(5,473)</w:t>
            </w:r>
          </w:p>
        </w:tc>
      </w:tr>
      <w:tr>
        <w:trPr>
          <w:trHeight w:val="222"/>
        </w:trPr>
        <w:tc>
          <w:tcPr>
            <w:tcW w:w="8260" w:type="dxa"/>
            <w:vAlign w:val="bottom"/>
            <w:shd w:val="clear" w:color="auto" w:fill="CCEEFF"/>
          </w:tcPr>
          <w:p>
            <w:pPr>
              <w:ind w:left="460"/>
              <w:spacing w:after="0"/>
              <w:rPr>
                <w:sz w:val="20"/>
                <w:szCs w:val="20"/>
                <w:color w:val="auto"/>
              </w:rPr>
            </w:pPr>
            <w:r>
              <w:rPr>
                <w:rFonts w:ascii="Arial" w:cs="Arial" w:eastAsia="Arial" w:hAnsi="Arial"/>
                <w:sz w:val="17"/>
                <w:szCs w:val="17"/>
                <w:color w:val="auto"/>
              </w:rPr>
              <w:t>Share repurchases</w:t>
            </w:r>
          </w:p>
        </w:tc>
        <w:tc>
          <w:tcPr>
            <w:tcW w:w="34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(148,278)</w:t>
            </w:r>
          </w:p>
        </w:tc>
        <w:tc>
          <w:tcPr>
            <w:tcW w:w="1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(102,001)</w:t>
            </w:r>
          </w:p>
        </w:tc>
      </w:tr>
      <w:tr>
        <w:trPr>
          <w:trHeight w:val="215"/>
        </w:trPr>
        <w:tc>
          <w:tcPr>
            <w:tcW w:w="82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Net cash (used in) provided by financing activities</w:t>
            </w:r>
          </w:p>
        </w:tc>
        <w:tc>
          <w:tcPr>
            <w:tcW w:w="3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(153,650)</w:t>
            </w:r>
          </w:p>
        </w:tc>
        <w:tc>
          <w:tcPr>
            <w:tcW w:w="120" w:type="dxa"/>
            <w:vAlign w:val="bottom"/>
            <w:tcBorders>
              <w:bottom w:val="single" w:sz="8" w:color="CCEEFF"/>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17,006</w:t>
            </w:r>
          </w:p>
        </w:tc>
      </w:tr>
      <w:tr>
        <w:trPr>
          <w:trHeight w:val="215"/>
        </w:trPr>
        <w:tc>
          <w:tcPr>
            <w:tcW w:w="826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(decrease) increase in cash and cash equivalents</w:t>
            </w:r>
          </w:p>
        </w:tc>
        <w:tc>
          <w:tcPr>
            <w:tcW w:w="3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(64,812)</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145,534</w:t>
            </w:r>
          </w:p>
        </w:tc>
      </w:tr>
      <w:tr>
        <w:trPr>
          <w:trHeight w:val="222"/>
        </w:trPr>
        <w:tc>
          <w:tcPr>
            <w:tcW w:w="82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Cash and cash equivalents–beginning of period</w:t>
            </w:r>
          </w:p>
        </w:tc>
        <w:tc>
          <w:tcPr>
            <w:tcW w:w="34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621,295</w:t>
            </w:r>
          </w:p>
        </w:tc>
        <w:tc>
          <w:tcPr>
            <w:tcW w:w="12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329,011</w:t>
            </w:r>
          </w:p>
        </w:tc>
      </w:tr>
      <w:tr>
        <w:trPr>
          <w:trHeight w:val="240"/>
        </w:trPr>
        <w:tc>
          <w:tcPr>
            <w:tcW w:w="8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Cash and cash equivalents–end of period</w:t>
            </w:r>
          </w:p>
        </w:tc>
        <w:tc>
          <w:tcPr>
            <w:tcW w:w="34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556,483</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474,545</w:t>
            </w:r>
          </w:p>
        </w:tc>
      </w:tr>
      <w:tr>
        <w:trPr>
          <w:trHeight w:val="20"/>
        </w:trPr>
        <w:tc>
          <w:tcPr>
            <w:tcW w:w="82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See accompanying condensed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- 7 -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866" w:right="359" w:bottom="1440" w:gutter="0" w:footer="0" w:header="0"/>
        </w:sectPr>
      </w:pPr>
    </w:p>
    <w:bookmarkStart w:id="8" w:name="page9"/>
    <w:bookmarkEnd w:id="8"/>
    <w:p>
      <w:pPr>
        <w:jc w:val="center"/>
        <w:ind w:right="-19"/>
        <w:spacing w:after="0"/>
        <w:rPr>
          <w:sz w:val="20"/>
          <w:szCs w:val="20"/>
          <w:color w:val="auto"/>
        </w:rPr>
      </w:pPr>
      <w:r>
        <w:rPr>
          <w:rFonts w:ascii="Arial" w:cs="Arial" w:eastAsia="Arial" w:hAnsi="Arial"/>
          <w:sz w:val="17"/>
          <w:szCs w:val="17"/>
          <w:b w:val="1"/>
          <w:bCs w:val="1"/>
          <w:color w:val="auto"/>
        </w:rPr>
        <w:t>TRI POINTE HOMES, INC.</w:t>
      </w:r>
    </w:p>
    <w:p>
      <w:pPr>
        <w:spacing w:after="0" w:line="32"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CONDENSED NOTES TO CONSOLIDATED FINANCIAL STATEMENTS</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79" w:lineRule="exact"/>
        <w:rPr>
          <w:sz w:val="20"/>
          <w:szCs w:val="20"/>
          <w:color w:val="auto"/>
        </w:rPr>
      </w:pPr>
    </w:p>
    <w:p>
      <w:pPr>
        <w:spacing w:after="0"/>
        <w:tabs>
          <w:tab w:leader="none" w:pos="280" w:val="left"/>
        </w:tabs>
        <w:rPr>
          <w:sz w:val="20"/>
          <w:szCs w:val="20"/>
          <w:color w:val="auto"/>
        </w:rPr>
      </w:pPr>
      <w:r>
        <w:rPr>
          <w:rFonts w:ascii="Arial" w:cs="Arial" w:eastAsia="Arial" w:hAnsi="Arial"/>
          <w:sz w:val="17"/>
          <w:szCs w:val="17"/>
          <w:b w:val="1"/>
          <w:bCs w:val="1"/>
          <w:color w:val="auto"/>
        </w:rPr>
        <w:t>1.</w:t>
      </w:r>
      <w:r>
        <w:rPr>
          <w:sz w:val="20"/>
          <w:szCs w:val="20"/>
          <w:color w:val="auto"/>
        </w:rPr>
        <w:tab/>
      </w:r>
      <w:r>
        <w:rPr>
          <w:rFonts w:ascii="Arial" w:cs="Arial" w:eastAsia="Arial" w:hAnsi="Arial"/>
          <w:sz w:val="15"/>
          <w:szCs w:val="15"/>
          <w:b w:val="1"/>
          <w:bCs w:val="1"/>
          <w:color w:val="auto"/>
        </w:rPr>
        <w:t>Organization, Basis of Presentation and Summary of Significant Accounting Policies</w:t>
      </w:r>
    </w:p>
    <w:p>
      <w:pPr>
        <w:spacing w:after="0" w:line="35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Organization</w:t>
      </w:r>
    </w:p>
    <w:p>
      <w:pPr>
        <w:spacing w:after="0" w:line="124" w:lineRule="exact"/>
        <w:rPr>
          <w:sz w:val="20"/>
          <w:szCs w:val="20"/>
          <w:color w:val="auto"/>
        </w:rPr>
      </w:pPr>
    </w:p>
    <w:p>
      <w:pPr>
        <w:ind w:right="280" w:firstLine="470"/>
        <w:spacing w:after="0" w:line="272" w:lineRule="auto"/>
        <w:rPr>
          <w:sz w:val="20"/>
          <w:szCs w:val="20"/>
          <w:color w:val="auto"/>
        </w:rPr>
      </w:pPr>
      <w:r>
        <w:rPr>
          <w:rFonts w:ascii="Arial" w:cs="Arial" w:eastAsia="Arial" w:hAnsi="Arial"/>
          <w:sz w:val="17"/>
          <w:szCs w:val="17"/>
          <w:color w:val="auto"/>
        </w:rPr>
        <w:t>Effective January 15, 2021, the Company changed its corporate name from “TRI Pointe Group, Inc.” to “Tri Pointe Homes, Inc.” As part of this name change, the Company consolidated its six regional homebuilding brands into one unified name—Tri Pointe Homes. For further details on the impact to our reporting segments, see Note 2, Segment Information.</w:t>
      </w:r>
    </w:p>
    <w:p>
      <w:pPr>
        <w:spacing w:after="0" w:line="67" w:lineRule="exact"/>
        <w:rPr>
          <w:sz w:val="20"/>
          <w:szCs w:val="20"/>
          <w:color w:val="auto"/>
        </w:rPr>
      </w:pPr>
    </w:p>
    <w:p>
      <w:pPr>
        <w:ind w:right="200" w:firstLine="470"/>
        <w:spacing w:after="0" w:line="321" w:lineRule="auto"/>
        <w:rPr>
          <w:sz w:val="20"/>
          <w:szCs w:val="20"/>
          <w:color w:val="auto"/>
        </w:rPr>
      </w:pPr>
      <w:r>
        <w:rPr>
          <w:rFonts w:ascii="Arial" w:cs="Arial" w:eastAsia="Arial" w:hAnsi="Arial"/>
          <w:sz w:val="16"/>
          <w:szCs w:val="16"/>
          <w:color w:val="auto"/>
        </w:rPr>
        <w:t>Tri Pointe is engaged in the design, construction and sale of innovative single-family attached and detached homes across ten states, including Arizona, California, Colorado, Maryland, Nevada, North Carolina, South Carolina, Texas, Virginia and Washington, and the District of Columbia.</w:t>
      </w:r>
    </w:p>
    <w:p>
      <w:pPr>
        <w:spacing w:after="0" w:line="23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Basis of Presentation</w:t>
      </w:r>
    </w:p>
    <w:p>
      <w:pPr>
        <w:spacing w:after="0" w:line="124" w:lineRule="exact"/>
        <w:rPr>
          <w:sz w:val="20"/>
          <w:szCs w:val="20"/>
          <w:color w:val="auto"/>
        </w:rPr>
      </w:pPr>
    </w:p>
    <w:p>
      <w:pPr>
        <w:ind w:firstLine="470"/>
        <w:spacing w:after="0" w:line="280" w:lineRule="auto"/>
        <w:rPr>
          <w:sz w:val="20"/>
          <w:szCs w:val="20"/>
          <w:color w:val="auto"/>
        </w:rPr>
      </w:pPr>
      <w:r>
        <w:rPr>
          <w:rFonts w:ascii="Arial" w:cs="Arial" w:eastAsia="Arial" w:hAnsi="Arial"/>
          <w:sz w:val="16"/>
          <w:szCs w:val="16"/>
          <w:color w:val="auto"/>
        </w:rPr>
        <w:t>The accompanying financial statements have been prepared in accordance with U.S. generally accepted accounting principles (“GAAP”), as contained within the Financial Accounting Standards Board (“FASB”) Accounting Standards Codification (“ASC”), for interim financial information and with the instructions to Form 10-Q and Article 10 of Regulation S-X. They should be read in conjunction with our consolidated financial statements and footnotes thereto included in our Annual Report on Form 10-K for the year ended December 31, 2020. In the opinion of management, all adjustments consisting of normal recurring adjustments, necessary for a fair presentation with respect to interim financial statements, have been included. The results for the three and six months ended June 30, 2021 are not necessarily indicative of the results to be expected for the full year ending December 31, 2021 due to seasonal variations and other factors, such as the effects of the novel coronavirus (“COVID-19”) and its potential impacts on our future results.</w:t>
      </w:r>
    </w:p>
    <w:p>
      <w:pPr>
        <w:spacing w:after="0" w:line="170" w:lineRule="exact"/>
        <w:rPr>
          <w:sz w:val="20"/>
          <w:szCs w:val="20"/>
          <w:color w:val="auto"/>
        </w:rPr>
      </w:pPr>
    </w:p>
    <w:p>
      <w:pPr>
        <w:ind w:firstLine="470"/>
        <w:spacing w:after="0" w:line="267" w:lineRule="auto"/>
        <w:rPr>
          <w:sz w:val="20"/>
          <w:szCs w:val="20"/>
          <w:color w:val="auto"/>
        </w:rPr>
      </w:pPr>
      <w:r>
        <w:rPr>
          <w:rFonts w:ascii="Arial" w:cs="Arial" w:eastAsia="Arial" w:hAnsi="Arial"/>
          <w:sz w:val="17"/>
          <w:szCs w:val="17"/>
          <w:color w:val="auto"/>
        </w:rPr>
        <w:t>The consolidated financial statements include the accounts of Tri Pointe Homes and its wholly owned subsidiaries, as well as other entities in which Tri Pointe Homes has a controlling interest and variable interest entities (“VIEs”) in which Tri Pointe Homes is the primary beneficiary. The noncontrolling interests as of June 30, 2021 and December 31, 2020 represent the outside owners’ interests in the Company’s consolidated entities. All significant intercompany accounts have been eliminated upon consolidation.</w:t>
      </w:r>
    </w:p>
    <w:p>
      <w:pPr>
        <w:spacing w:after="0" w:line="176" w:lineRule="exact"/>
        <w:rPr>
          <w:sz w:val="20"/>
          <w:szCs w:val="20"/>
          <w:color w:val="auto"/>
        </w:rPr>
      </w:pPr>
    </w:p>
    <w:p>
      <w:pPr>
        <w:ind w:right="540" w:firstLine="470"/>
        <w:spacing w:after="0" w:line="288" w:lineRule="auto"/>
        <w:rPr>
          <w:sz w:val="20"/>
          <w:szCs w:val="20"/>
          <w:color w:val="auto"/>
        </w:rPr>
      </w:pPr>
      <w:r>
        <w:rPr>
          <w:rFonts w:ascii="Arial" w:cs="Arial" w:eastAsia="Arial" w:hAnsi="Arial"/>
          <w:sz w:val="17"/>
          <w:szCs w:val="17"/>
          <w:color w:val="auto"/>
        </w:rPr>
        <w:t>Unless the context otherwise requires, the terms “Tri Pointe”, “the Company”, “we”, “us”, and “our” used herein refer to Tri Pointe Homes, Inc., a Delaware corporation, and its consolidated subsidiaries.</w:t>
      </w: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Use of Estimates</w:t>
      </w:r>
    </w:p>
    <w:p>
      <w:pPr>
        <w:spacing w:after="0" w:line="124" w:lineRule="exact"/>
        <w:rPr>
          <w:sz w:val="20"/>
          <w:szCs w:val="20"/>
          <w:color w:val="auto"/>
        </w:rPr>
      </w:pPr>
    </w:p>
    <w:p>
      <w:pPr>
        <w:ind w:right="160" w:firstLine="470"/>
        <w:spacing w:after="0" w:line="297" w:lineRule="auto"/>
        <w:rPr>
          <w:sz w:val="20"/>
          <w:szCs w:val="20"/>
          <w:color w:val="auto"/>
        </w:rPr>
      </w:pPr>
      <w:r>
        <w:rPr>
          <w:rFonts w:ascii="Arial" w:cs="Arial" w:eastAsia="Arial" w:hAnsi="Arial"/>
          <w:sz w:val="16"/>
          <w:szCs w:val="16"/>
          <w:color w:val="auto"/>
        </w:rPr>
        <w:t>Our financial statements have been prepared in accordance with GAAP. The preparation of these financial statements requires our management to make estimates and judgments that affect the reported amounts of assets and liabilities and the disclosures of contingent liabilities at the date of the financial statements and the reported amounts of revenues and expenses during the reporting periods. Actual results could differ from our estimates.</w:t>
      </w:r>
    </w:p>
    <w:p>
      <w:pPr>
        <w:spacing w:after="0" w:line="25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Revenue Recognition</w:t>
      </w:r>
    </w:p>
    <w:p>
      <w:pPr>
        <w:spacing w:after="0" w:line="124" w:lineRule="exact"/>
        <w:rPr>
          <w:sz w:val="20"/>
          <w:szCs w:val="20"/>
          <w:color w:val="auto"/>
        </w:rPr>
      </w:pPr>
    </w:p>
    <w:p>
      <w:pPr>
        <w:ind w:right="120" w:firstLine="470"/>
        <w:spacing w:after="0" w:line="267" w:lineRule="auto"/>
        <w:rPr>
          <w:sz w:val="20"/>
          <w:szCs w:val="20"/>
          <w:color w:val="auto"/>
        </w:rPr>
      </w:pPr>
      <w:r>
        <w:rPr>
          <w:rFonts w:ascii="Arial" w:cs="Arial" w:eastAsia="Arial" w:hAnsi="Arial"/>
          <w:sz w:val="17"/>
          <w:szCs w:val="17"/>
          <w:color w:val="auto"/>
        </w:rPr>
        <w:t xml:space="preserve">We recognize revenue in accordance with Accounting Standards Topic 606 (“ASC 606”), </w:t>
      </w:r>
      <w:r>
        <w:rPr>
          <w:rFonts w:ascii="Arial" w:cs="Arial" w:eastAsia="Arial" w:hAnsi="Arial"/>
          <w:sz w:val="17"/>
          <w:szCs w:val="17"/>
          <w:i w:val="1"/>
          <w:iCs w:val="1"/>
          <w:color w:val="auto"/>
        </w:rPr>
        <w:t>Revenue from Contracts with Customers</w:t>
      </w:r>
      <w:r>
        <w:rPr>
          <w:rFonts w:ascii="Arial" w:cs="Arial" w:eastAsia="Arial" w:hAnsi="Arial"/>
          <w:sz w:val="17"/>
          <w:szCs w:val="17"/>
          <w:color w:val="auto"/>
        </w:rPr>
        <w:t>. Under ASC 606, we apply the following steps to determine the timing and amount of revenue to recognize: (i) identify the contract(s) with a customer; (ii) identify the performance obligations in the contract; (iii) determine the transaction price; (iv) allocate the transaction price to the performance obligations in the contract; and (v) recognize revenue when (or as) the Company satisfies a performance obligation.</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Home sales revenue</w:t>
      </w:r>
    </w:p>
    <w:p>
      <w:pPr>
        <w:spacing w:after="0" w:line="118" w:lineRule="exact"/>
        <w:rPr>
          <w:sz w:val="20"/>
          <w:szCs w:val="20"/>
          <w:color w:val="auto"/>
        </w:rPr>
      </w:pPr>
    </w:p>
    <w:p>
      <w:pPr>
        <w:ind w:right="40" w:firstLine="470"/>
        <w:spacing w:after="0" w:line="267" w:lineRule="auto"/>
        <w:rPr>
          <w:sz w:val="20"/>
          <w:szCs w:val="20"/>
          <w:color w:val="auto"/>
        </w:rPr>
      </w:pPr>
      <w:r>
        <w:rPr>
          <w:rFonts w:ascii="Arial" w:cs="Arial" w:eastAsia="Arial" w:hAnsi="Arial"/>
          <w:sz w:val="17"/>
          <w:szCs w:val="17"/>
          <w:color w:val="auto"/>
        </w:rPr>
        <w:t>We generate the majority of our total revenues from home sales, which consists of our core business operation of building and delivering completed homes to homebuyers. Home sales revenue and related profit is generally recognized when title to and possession of the home are transferred to the homebuyer at the home closing date. Our performance obligation to deliver the agreed-upon home is generally satisfied in less than one year from the original contract date. Included in home sales</w:t>
      </w: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- 8 -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866" w:right="359" w:bottom="1440" w:gutter="0" w:footer="0" w:header="0"/>
        </w:sectPr>
      </w:pPr>
    </w:p>
    <w:bookmarkStart w:id="9" w:name="page10"/>
    <w:bookmarkEnd w:id="9"/>
    <w:p>
      <w:pPr>
        <w:jc w:val="both"/>
        <w:spacing w:after="0" w:line="358" w:lineRule="auto"/>
        <w:rPr>
          <w:sz w:val="20"/>
          <w:szCs w:val="20"/>
          <w:color w:val="auto"/>
        </w:rPr>
      </w:pPr>
      <w:r>
        <w:rPr>
          <w:rFonts w:ascii="Arial" w:cs="Arial" w:eastAsia="Arial" w:hAnsi="Arial"/>
          <w:sz w:val="15"/>
          <w:szCs w:val="15"/>
          <w:color w:val="auto"/>
        </w:rPr>
        <w:t>revenue are forfeited deposits, which occur when homebuyers cancel home purchase contracts that include a nonrefundable deposit. Both revenue from forfeited deposits and deferred revenue resulting from uncompleted performance obligations existing at the time we deliver new homes to our homebuyers are immaterial.</w:t>
      </w:r>
    </w:p>
    <w:p>
      <w:pPr>
        <w:spacing w:after="0" w:line="11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Land and lot sales revenue</w:t>
      </w:r>
    </w:p>
    <w:p>
      <w:pPr>
        <w:spacing w:after="0" w:line="118" w:lineRule="exact"/>
        <w:rPr>
          <w:sz w:val="20"/>
          <w:szCs w:val="20"/>
          <w:color w:val="auto"/>
        </w:rPr>
      </w:pPr>
    </w:p>
    <w:p>
      <w:pPr>
        <w:ind w:right="180" w:firstLine="470"/>
        <w:spacing w:after="0" w:line="284" w:lineRule="auto"/>
        <w:rPr>
          <w:sz w:val="20"/>
          <w:szCs w:val="20"/>
          <w:color w:val="auto"/>
        </w:rPr>
      </w:pPr>
      <w:r>
        <w:rPr>
          <w:rFonts w:ascii="Arial" w:cs="Arial" w:eastAsia="Arial" w:hAnsi="Arial"/>
          <w:sz w:val="16"/>
          <w:szCs w:val="16"/>
          <w:color w:val="auto"/>
        </w:rPr>
        <w:t>We generate revenue from the sale of land and lots to third-parties in the ordinary course of business and these transactions are considered to meet the definition of contracts with customers. Similar to our home sales, revenue from land and lot sales is typically fully recognized when the land and lot sales transactions are consummated, at which time no further performance obligations are left to be satisfied. Some of our historical land and lot sales have included future profit participation rights. We will recognize future land and lot sales revenue in the periods in which all closing conditions are met, subject to the constraint on variable consideration related to profit participation rights, if such rights exist in the sales contract.</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Other operations revenue</w:t>
      </w:r>
    </w:p>
    <w:p>
      <w:pPr>
        <w:spacing w:after="0" w:line="118" w:lineRule="exact"/>
        <w:rPr>
          <w:sz w:val="20"/>
          <w:szCs w:val="20"/>
          <w:color w:val="auto"/>
        </w:rPr>
      </w:pPr>
    </w:p>
    <w:p>
      <w:pPr>
        <w:ind w:right="180" w:firstLine="470"/>
        <w:spacing w:after="0" w:line="272" w:lineRule="auto"/>
        <w:rPr>
          <w:sz w:val="20"/>
          <w:szCs w:val="20"/>
          <w:color w:val="auto"/>
        </w:rPr>
      </w:pPr>
      <w:r>
        <w:rPr>
          <w:rFonts w:ascii="Arial" w:cs="Arial" w:eastAsia="Arial" w:hAnsi="Arial"/>
          <w:sz w:val="17"/>
          <w:szCs w:val="17"/>
          <w:color w:val="auto"/>
        </w:rPr>
        <w:t xml:space="preserve">The majority of our homebuilding other operations revenue relates to a ground lease included in our West segment. We are responsible for making lease payments to the landowner, and we collect sublease payments from the buyers of the buildings. This ground lease is accounted for in accordance with ASC Topic 842, </w:t>
      </w:r>
      <w:r>
        <w:rPr>
          <w:rFonts w:ascii="Arial" w:cs="Arial" w:eastAsia="Arial" w:hAnsi="Arial"/>
          <w:sz w:val="17"/>
          <w:szCs w:val="17"/>
          <w:i w:val="1"/>
          <w:iCs w:val="1"/>
          <w:color w:val="auto"/>
        </w:rPr>
        <w:t>Leases</w:t>
      </w:r>
      <w:r>
        <w:rPr>
          <w:rFonts w:ascii="Arial" w:cs="Arial" w:eastAsia="Arial" w:hAnsi="Arial"/>
          <w:sz w:val="17"/>
          <w:szCs w:val="17"/>
          <w:color w:val="auto"/>
        </w:rPr>
        <w:t>. We do not recognize a material profit on this ground lease.</w:t>
      </w:r>
    </w:p>
    <w:p>
      <w:pPr>
        <w:spacing w:after="0" w:line="17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Financial services revenues</w:t>
      </w:r>
    </w:p>
    <w:p>
      <w:pPr>
        <w:spacing w:after="0" w:line="118" w:lineRule="exact"/>
        <w:rPr>
          <w:sz w:val="20"/>
          <w:szCs w:val="20"/>
          <w:color w:val="auto"/>
        </w:rPr>
      </w:pPr>
    </w:p>
    <w:p>
      <w:pPr>
        <w:ind w:right="320" w:firstLine="470"/>
        <w:spacing w:after="0" w:line="288" w:lineRule="auto"/>
        <w:rPr>
          <w:sz w:val="20"/>
          <w:szCs w:val="20"/>
          <w:color w:val="auto"/>
        </w:rPr>
      </w:pPr>
      <w:r>
        <w:rPr>
          <w:rFonts w:ascii="Arial" w:cs="Arial" w:eastAsia="Arial" w:hAnsi="Arial"/>
          <w:sz w:val="17"/>
          <w:szCs w:val="17"/>
          <w:color w:val="auto"/>
        </w:rPr>
        <w:t>Tri Pointe Solutions is a reportable segment and is comprised of our Tri Pointe Connect mortgage financing operations, Tri Pointe Assurance title and escrow services operations, and Tri Pointe Advantage property and casualty insurance agency operations.</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Mortgage financing operations</w:t>
      </w:r>
    </w:p>
    <w:p>
      <w:pPr>
        <w:spacing w:after="0" w:line="118" w:lineRule="exact"/>
        <w:rPr>
          <w:sz w:val="20"/>
          <w:szCs w:val="20"/>
          <w:color w:val="auto"/>
        </w:rPr>
      </w:pPr>
    </w:p>
    <w:p>
      <w:pPr>
        <w:ind w:right="280" w:firstLine="470"/>
        <w:spacing w:after="0" w:line="297" w:lineRule="auto"/>
        <w:rPr>
          <w:sz w:val="20"/>
          <w:szCs w:val="20"/>
          <w:color w:val="auto"/>
        </w:rPr>
      </w:pPr>
      <w:r>
        <w:rPr>
          <w:rFonts w:ascii="Arial" w:cs="Arial" w:eastAsia="Arial" w:hAnsi="Arial"/>
          <w:sz w:val="16"/>
          <w:szCs w:val="16"/>
          <w:color w:val="auto"/>
        </w:rPr>
        <w:t>Tri Pointe Connect was formed as a joint venture with an established mortgage lender and is accounted for under the equity method of accounting. We record a percentage of income earned by Tri Pointe Connect based on our ownership percentage in this joint venture. Tri Pointe Connect activity appears as equity in income of unconsolidated entities under the Financial Services section of our consolidated statements of operations.</w:t>
      </w:r>
    </w:p>
    <w:p>
      <w:pPr>
        <w:spacing w:after="0" w:line="153"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Title and escrow services operations</w:t>
      </w:r>
    </w:p>
    <w:p>
      <w:pPr>
        <w:spacing w:after="0" w:line="118" w:lineRule="exact"/>
        <w:rPr>
          <w:sz w:val="20"/>
          <w:szCs w:val="20"/>
          <w:color w:val="auto"/>
        </w:rPr>
      </w:pPr>
    </w:p>
    <w:p>
      <w:pPr>
        <w:ind w:right="200" w:firstLine="470"/>
        <w:spacing w:after="0" w:line="264" w:lineRule="auto"/>
        <w:rPr>
          <w:sz w:val="20"/>
          <w:szCs w:val="20"/>
          <w:color w:val="auto"/>
        </w:rPr>
      </w:pPr>
      <w:r>
        <w:rPr>
          <w:rFonts w:ascii="Arial" w:cs="Arial" w:eastAsia="Arial" w:hAnsi="Arial"/>
          <w:sz w:val="17"/>
          <w:szCs w:val="17"/>
          <w:color w:val="auto"/>
        </w:rPr>
        <w:t>Tri Pointe Assurance provides title examinations for our homebuyers in the Carolinas and Colorado and both title examinations and escrow services for our homebuyers in Arizona, Texas, Maryland, Nevada and Virginia. Tri Pointe Assurance is a wholly owned subsidiary of Tri Pointe and acts as a title agency for First American Title Insurance Company. Revenue from our title and escrow services operations is fully recognized at the time of the consummation of the home sales transaction, at which time no further performance obligations are left to be satisfied. Tri Pointe Assurance revenue is included in the Financial Services section of our consolidated statements of operations.</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Property and casualty insurance agency operations</w:t>
      </w:r>
    </w:p>
    <w:p>
      <w:pPr>
        <w:spacing w:after="0" w:line="118" w:lineRule="exact"/>
        <w:rPr>
          <w:sz w:val="20"/>
          <w:szCs w:val="20"/>
          <w:color w:val="auto"/>
        </w:rPr>
      </w:pPr>
    </w:p>
    <w:p>
      <w:pPr>
        <w:ind w:right="60" w:firstLine="470"/>
        <w:spacing w:after="0" w:line="267" w:lineRule="auto"/>
        <w:rPr>
          <w:sz w:val="20"/>
          <w:szCs w:val="20"/>
          <w:color w:val="auto"/>
        </w:rPr>
      </w:pPr>
      <w:r>
        <w:rPr>
          <w:rFonts w:ascii="Arial" w:cs="Arial" w:eastAsia="Arial" w:hAnsi="Arial"/>
          <w:sz w:val="17"/>
          <w:szCs w:val="17"/>
          <w:color w:val="auto"/>
        </w:rPr>
        <w:t>Tri Pointe Advantage is a wholly owned subsidiary of Tri Pointe and provides property and casualty insurance agency services that help facilitate the closing process in all of the markets in which we operate. The total consideration for these services, including renewal options, is estimated upon the issuance of the initial insurance policy, subject to constraint. Tri Pointe Advantage revenue is included in the Financial Services section of our consolidated statements of operations.</w:t>
      </w:r>
    </w:p>
    <w:p>
      <w:pPr>
        <w:spacing w:after="0" w:line="2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Restructuring Charges</w:t>
      </w:r>
    </w:p>
    <w:p>
      <w:pPr>
        <w:spacing w:after="0" w:line="124" w:lineRule="exact"/>
        <w:rPr>
          <w:sz w:val="20"/>
          <w:szCs w:val="20"/>
          <w:color w:val="auto"/>
        </w:rPr>
      </w:pPr>
    </w:p>
    <w:p>
      <w:pPr>
        <w:jc w:val="both"/>
        <w:ind w:right="80" w:firstLine="470"/>
        <w:spacing w:after="0" w:line="272" w:lineRule="auto"/>
        <w:rPr>
          <w:sz w:val="20"/>
          <w:szCs w:val="20"/>
          <w:color w:val="auto"/>
        </w:rPr>
      </w:pPr>
      <w:r>
        <w:rPr>
          <w:rFonts w:ascii="Arial" w:cs="Arial" w:eastAsia="Arial" w:hAnsi="Arial"/>
          <w:sz w:val="17"/>
          <w:szCs w:val="17"/>
          <w:color w:val="auto"/>
        </w:rPr>
        <w:t>In May 2020, due to the existing and anticipated future impact of the COVID-19 pandemic on our business, we implemented a workforce reduction plan. As a result of the workforce reduction plan, during the three months ended June 30, 2020 we incurred $5.5 million of pre-tax restructuring charges consisting of severance and related costs, all of which had been paid as of December 31, 2020.</w:t>
      </w:r>
    </w:p>
    <w:p>
      <w:pPr>
        <w:spacing w:after="0" w:line="200" w:lineRule="exact"/>
        <w:rPr>
          <w:sz w:val="20"/>
          <w:szCs w:val="20"/>
          <w:color w:val="auto"/>
        </w:rPr>
      </w:pPr>
    </w:p>
    <w:p>
      <w:pPr>
        <w:spacing w:after="0" w:line="29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- 9 -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77" w:right="339" w:bottom="1440" w:gutter="0" w:footer="0" w:header="0"/>
        </w:sectPr>
      </w:pPr>
    </w:p>
    <w:bookmarkStart w:id="10" w:name="page11"/>
    <w:bookmarkEnd w:id="10"/>
    <w:p>
      <w:pPr>
        <w:spacing w:after="0"/>
        <w:rPr>
          <w:sz w:val="20"/>
          <w:szCs w:val="20"/>
          <w:color w:val="auto"/>
        </w:rPr>
      </w:pPr>
      <w:r>
        <w:rPr>
          <w:rFonts w:ascii="Arial" w:cs="Arial" w:eastAsia="Arial" w:hAnsi="Arial"/>
          <w:sz w:val="17"/>
          <w:szCs w:val="17"/>
          <w:b w:val="1"/>
          <w:bCs w:val="1"/>
          <w:color w:val="auto"/>
        </w:rPr>
        <w:t>Adoption of New Accounting Standards</w:t>
      </w:r>
    </w:p>
    <w:p>
      <w:pPr>
        <w:spacing w:after="0" w:line="124" w:lineRule="exact"/>
        <w:rPr>
          <w:sz w:val="20"/>
          <w:szCs w:val="20"/>
          <w:color w:val="auto"/>
        </w:rPr>
      </w:pPr>
    </w:p>
    <w:p>
      <w:pPr>
        <w:ind w:firstLine="470"/>
        <w:spacing w:after="0" w:line="267" w:lineRule="auto"/>
        <w:rPr>
          <w:sz w:val="20"/>
          <w:szCs w:val="20"/>
          <w:color w:val="auto"/>
        </w:rPr>
      </w:pPr>
      <w:r>
        <w:rPr>
          <w:rFonts w:ascii="Arial" w:cs="Arial" w:eastAsia="Arial" w:hAnsi="Arial"/>
          <w:sz w:val="17"/>
          <w:szCs w:val="17"/>
          <w:color w:val="auto"/>
        </w:rPr>
        <w:t xml:space="preserve">In December 2019, the FASB issued Accounting Standards Update (“ASU”) No. 2019-12, Income Taxes (Topic 740): </w:t>
      </w:r>
      <w:r>
        <w:rPr>
          <w:rFonts w:ascii="Arial" w:cs="Arial" w:eastAsia="Arial" w:hAnsi="Arial"/>
          <w:sz w:val="17"/>
          <w:szCs w:val="17"/>
          <w:i w:val="1"/>
          <w:iCs w:val="1"/>
          <w:color w:val="auto"/>
        </w:rPr>
        <w:t>Simplifying the Accounting for</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Income Taxes </w:t>
      </w:r>
      <w:r>
        <w:rPr>
          <w:rFonts w:ascii="Arial" w:cs="Arial" w:eastAsia="Arial" w:hAnsi="Arial"/>
          <w:sz w:val="17"/>
          <w:szCs w:val="17"/>
          <w:color w:val="auto"/>
        </w:rPr>
        <w:t>(“ASU 2019-12”), which is intended to simplify various aspects related to accounting for income taxes. ASU 2019-12 removes certain exceptions</w:t>
      </w:r>
      <w:r>
        <w:rPr>
          <w:rFonts w:ascii="Arial" w:cs="Arial" w:eastAsia="Arial" w:hAnsi="Arial"/>
          <w:sz w:val="17"/>
          <w:szCs w:val="17"/>
          <w:i w:val="1"/>
          <w:iCs w:val="1"/>
          <w:color w:val="auto"/>
        </w:rPr>
        <w:t xml:space="preserve"> </w:t>
      </w:r>
      <w:r>
        <w:rPr>
          <w:rFonts w:ascii="Arial" w:cs="Arial" w:eastAsia="Arial" w:hAnsi="Arial"/>
          <w:sz w:val="17"/>
          <w:szCs w:val="17"/>
          <w:color w:val="auto"/>
        </w:rPr>
        <w:t>to the general principles in Topic 740 and also clarifies and amends existing guidance to improve consistent application. We adopted ASU 2019-12 on January 1, 2021 and our adoption did not have a material impact on our consolidated financial statements.</w:t>
      </w:r>
    </w:p>
    <w:p>
      <w:pPr>
        <w:spacing w:after="0" w:line="200" w:lineRule="exact"/>
        <w:rPr>
          <w:sz w:val="20"/>
          <w:szCs w:val="20"/>
          <w:color w:val="auto"/>
        </w:rPr>
      </w:pPr>
    </w:p>
    <w:p>
      <w:pPr>
        <w:spacing w:after="0" w:line="231" w:lineRule="exact"/>
        <w:rPr>
          <w:sz w:val="20"/>
          <w:szCs w:val="20"/>
          <w:color w:val="auto"/>
        </w:rPr>
      </w:pPr>
    </w:p>
    <w:p>
      <w:pPr>
        <w:spacing w:after="0"/>
        <w:tabs>
          <w:tab w:leader="none" w:pos="280" w:val="left"/>
        </w:tabs>
        <w:rPr>
          <w:sz w:val="20"/>
          <w:szCs w:val="20"/>
          <w:color w:val="auto"/>
        </w:rPr>
      </w:pPr>
      <w:r>
        <w:rPr>
          <w:rFonts w:ascii="Arial" w:cs="Arial" w:eastAsia="Arial" w:hAnsi="Arial"/>
          <w:sz w:val="17"/>
          <w:szCs w:val="17"/>
          <w:b w:val="1"/>
          <w:bCs w:val="1"/>
          <w:color w:val="auto"/>
        </w:rPr>
        <w:t>2.</w:t>
      </w:r>
      <w:r>
        <w:rPr>
          <w:sz w:val="20"/>
          <w:szCs w:val="20"/>
          <w:color w:val="auto"/>
        </w:rPr>
        <w:tab/>
      </w:r>
      <w:r>
        <w:rPr>
          <w:rFonts w:ascii="Arial" w:cs="Arial" w:eastAsia="Arial" w:hAnsi="Arial"/>
          <w:sz w:val="15"/>
          <w:szCs w:val="15"/>
          <w:b w:val="1"/>
          <w:bCs w:val="1"/>
          <w:color w:val="auto"/>
        </w:rPr>
        <w:t>Segment Information</w:t>
      </w:r>
    </w:p>
    <w:p>
      <w:pPr>
        <w:spacing w:after="0" w:line="124" w:lineRule="exact"/>
        <w:rPr>
          <w:sz w:val="20"/>
          <w:szCs w:val="20"/>
          <w:color w:val="auto"/>
        </w:rPr>
      </w:pPr>
    </w:p>
    <w:p>
      <w:pPr>
        <w:ind w:left="480"/>
        <w:spacing w:after="0"/>
        <w:rPr>
          <w:sz w:val="20"/>
          <w:szCs w:val="20"/>
          <w:color w:val="auto"/>
        </w:rPr>
      </w:pPr>
      <w:r>
        <w:rPr>
          <w:rFonts w:ascii="Arial" w:cs="Arial" w:eastAsia="Arial" w:hAnsi="Arial"/>
          <w:sz w:val="17"/>
          <w:szCs w:val="17"/>
          <w:color w:val="auto"/>
        </w:rPr>
        <w:t>We operate two principal businesses: homebuilding and financial services.</w:t>
      </w:r>
    </w:p>
    <w:p>
      <w:pPr>
        <w:spacing w:after="0" w:line="223" w:lineRule="exact"/>
        <w:rPr>
          <w:sz w:val="20"/>
          <w:szCs w:val="20"/>
          <w:color w:val="auto"/>
        </w:rPr>
      </w:pPr>
    </w:p>
    <w:p>
      <w:pPr>
        <w:ind w:right="20" w:firstLine="470"/>
        <w:spacing w:after="0" w:line="261" w:lineRule="auto"/>
        <w:rPr>
          <w:sz w:val="20"/>
          <w:szCs w:val="20"/>
          <w:color w:val="auto"/>
        </w:rPr>
      </w:pPr>
      <w:r>
        <w:rPr>
          <w:rFonts w:ascii="Arial" w:cs="Arial" w:eastAsia="Arial" w:hAnsi="Arial"/>
          <w:sz w:val="17"/>
          <w:szCs w:val="17"/>
          <w:color w:val="auto"/>
        </w:rPr>
        <w:t xml:space="preserve">Effective January 15, 2021, we consolidated our six regional homebuilding brands into one unified name, Tri Pointe Homes, under which we continue to acquire and develop land and construct and sell single-family detached and attached homes. In accordance with ASC Topic 280, </w:t>
      </w:r>
      <w:r>
        <w:rPr>
          <w:rFonts w:ascii="Arial" w:cs="Arial" w:eastAsia="Arial" w:hAnsi="Arial"/>
          <w:sz w:val="17"/>
          <w:szCs w:val="17"/>
          <w:i w:val="1"/>
          <w:iCs w:val="1"/>
          <w:color w:val="auto"/>
        </w:rPr>
        <w:t>Segment Reporting</w:t>
      </w:r>
      <w:r>
        <w:rPr>
          <w:rFonts w:ascii="Arial" w:cs="Arial" w:eastAsia="Arial" w:hAnsi="Arial"/>
          <w:sz w:val="17"/>
          <w:szCs w:val="17"/>
          <w:color w:val="auto"/>
        </w:rPr>
        <w:t>, in determining the most appropriate reportable segments, we considered similar economic and other characteristics, including product types, average selling prices, gross profits, production processes, suppliers, subcontractors, regulatory environments, land acquisition results, and underlying demand and supply. Based upon these factors and in consideration of the geographical layout of our homebuilding markets, we have identified three homebuilding operating and reporting segments, and as a result of such change, beginning in the quarter ended March 31, 2021, our homebuilding segments are reported under the following hierarchy:</w:t>
      </w:r>
    </w:p>
    <w:p>
      <w:pPr>
        <w:spacing w:after="0" w:line="132" w:lineRule="exact"/>
        <w:rPr>
          <w:sz w:val="20"/>
          <w:szCs w:val="20"/>
          <w:color w:val="auto"/>
        </w:rPr>
      </w:pPr>
    </w:p>
    <w:p>
      <w:pPr>
        <w:ind w:left="640"/>
        <w:spacing w:after="0"/>
        <w:rPr>
          <w:sz w:val="20"/>
          <w:szCs w:val="20"/>
          <w:color w:val="auto"/>
        </w:rPr>
      </w:pPr>
      <w:r>
        <w:rPr>
          <w:rFonts w:ascii="Arial" w:cs="Arial" w:eastAsia="Arial" w:hAnsi="Arial"/>
          <w:sz w:val="17"/>
          <w:szCs w:val="17"/>
          <w:color w:val="auto"/>
        </w:rPr>
        <w:t>West region: Arizona, California, Nevada and Washington</w:t>
      </w:r>
    </w:p>
    <w:p>
      <w:pPr>
        <w:spacing w:after="0" w:line="26" w:lineRule="exact"/>
        <w:rPr>
          <w:sz w:val="20"/>
          <w:szCs w:val="20"/>
          <w:color w:val="auto"/>
        </w:rPr>
      </w:pPr>
    </w:p>
    <w:p>
      <w:pPr>
        <w:ind w:left="640"/>
        <w:spacing w:after="0"/>
        <w:rPr>
          <w:sz w:val="20"/>
          <w:szCs w:val="20"/>
          <w:color w:val="auto"/>
        </w:rPr>
      </w:pPr>
      <w:r>
        <w:rPr>
          <w:rFonts w:ascii="Arial" w:cs="Arial" w:eastAsia="Arial" w:hAnsi="Arial"/>
          <w:sz w:val="17"/>
          <w:szCs w:val="17"/>
          <w:color w:val="auto"/>
        </w:rPr>
        <w:t>Central region: Colorado and Texas</w:t>
      </w:r>
    </w:p>
    <w:p>
      <w:pPr>
        <w:spacing w:after="0" w:line="14" w:lineRule="exact"/>
        <w:rPr>
          <w:sz w:val="20"/>
          <w:szCs w:val="20"/>
          <w:color w:val="auto"/>
        </w:rPr>
      </w:pPr>
    </w:p>
    <w:p>
      <w:pPr>
        <w:ind w:left="640"/>
        <w:spacing w:after="0"/>
        <w:rPr>
          <w:sz w:val="20"/>
          <w:szCs w:val="20"/>
          <w:color w:val="auto"/>
        </w:rPr>
      </w:pPr>
      <w:r>
        <w:rPr>
          <w:rFonts w:ascii="Arial" w:cs="Arial" w:eastAsia="Arial" w:hAnsi="Arial"/>
          <w:sz w:val="17"/>
          <w:szCs w:val="17"/>
          <w:color w:val="auto"/>
        </w:rPr>
        <w:t>East region: District of Columbia, Maryland, North Carolina, South Carolina and Virginia</w:t>
      </w:r>
    </w:p>
    <w:p>
      <w:pPr>
        <w:spacing w:after="0" w:line="211" w:lineRule="exact"/>
        <w:rPr>
          <w:sz w:val="20"/>
          <w:szCs w:val="20"/>
          <w:color w:val="auto"/>
        </w:rPr>
      </w:pPr>
    </w:p>
    <w:p>
      <w:pPr>
        <w:ind w:firstLine="470"/>
        <w:spacing w:after="0" w:line="263" w:lineRule="auto"/>
        <w:rPr>
          <w:sz w:val="20"/>
          <w:szCs w:val="20"/>
          <w:color w:val="auto"/>
        </w:rPr>
      </w:pPr>
      <w:r>
        <w:rPr>
          <w:rFonts w:ascii="Arial" w:cs="Arial" w:eastAsia="Arial" w:hAnsi="Arial"/>
          <w:sz w:val="17"/>
          <w:szCs w:val="17"/>
          <w:color w:val="auto"/>
        </w:rPr>
        <w:t>Prior to the consolidation of our six regional homebuilding brands into one unified name, Tri Pointe Homes, our homebuilding operations were comprised of the following six reportable segments: Maracay, consisting of operations in Arizona; Pardee Homes, consisting of operations in California and Nevada; Quadrant Homes, consisting of operations in Washington; Trendmaker Homes, consisting of operations in Texas; Tri Pointe Homes, consisting of operations in California, Colorado and the Carolinas; and Winchester Homes, consisting of operations in Maryland, Virginia and the District of Columbia. The realignment of our reporting segments did not have any impact on our historical consolidated results of operations and we have restated prior period segment information in this report to conform to the new segment reporting structure.</w:t>
      </w:r>
    </w:p>
    <w:p>
      <w:pPr>
        <w:spacing w:after="0" w:line="178" w:lineRule="exact"/>
        <w:rPr>
          <w:sz w:val="20"/>
          <w:szCs w:val="20"/>
          <w:color w:val="auto"/>
        </w:rPr>
      </w:pPr>
    </w:p>
    <w:p>
      <w:pPr>
        <w:ind w:right="160" w:firstLine="470"/>
        <w:spacing w:after="0" w:line="272" w:lineRule="auto"/>
        <w:rPr>
          <w:sz w:val="20"/>
          <w:szCs w:val="20"/>
          <w:color w:val="auto"/>
        </w:rPr>
      </w:pPr>
      <w:r>
        <w:rPr>
          <w:rFonts w:ascii="Arial" w:cs="Arial" w:eastAsia="Arial" w:hAnsi="Arial"/>
          <w:sz w:val="17"/>
          <w:szCs w:val="17"/>
          <w:color w:val="auto"/>
        </w:rPr>
        <w:t xml:space="preserve">Our Tri Pointe Solutions financial services operation is a reportable segment and is comprised of our Tri Pointe Connect mortgage financing operations, our Tri Pointe Assurance title and escrow services operations, and our Tri Pointe Advantage property and casualty insurance agency operations. For further details, see Note 1, </w:t>
      </w:r>
      <w:r>
        <w:rPr>
          <w:rFonts w:ascii="Arial" w:cs="Arial" w:eastAsia="Arial" w:hAnsi="Arial"/>
          <w:sz w:val="17"/>
          <w:szCs w:val="17"/>
          <w:i w:val="1"/>
          <w:iCs w:val="1"/>
          <w:color w:val="auto"/>
        </w:rPr>
        <w:t>Organization, Basis of Presentation and Summary of Significant Accounting Policies.</w:t>
      </w:r>
    </w:p>
    <w:p>
      <w:pPr>
        <w:spacing w:after="0" w:line="172" w:lineRule="exact"/>
        <w:rPr>
          <w:sz w:val="20"/>
          <w:szCs w:val="20"/>
          <w:color w:val="auto"/>
        </w:rPr>
      </w:pPr>
    </w:p>
    <w:p>
      <w:pPr>
        <w:ind w:right="40" w:firstLine="470"/>
        <w:spacing w:after="0" w:line="264" w:lineRule="auto"/>
        <w:rPr>
          <w:sz w:val="20"/>
          <w:szCs w:val="20"/>
          <w:color w:val="auto"/>
        </w:rPr>
      </w:pPr>
      <w:r>
        <w:rPr>
          <w:rFonts w:ascii="Arial" w:cs="Arial" w:eastAsia="Arial" w:hAnsi="Arial"/>
          <w:sz w:val="17"/>
          <w:szCs w:val="17"/>
          <w:color w:val="auto"/>
        </w:rPr>
        <w:t>Corporate is a non-operating segment that develops and implements company-wide strategic initiatives and provides support to our homebuilding reporting segments by centralizing certain administrative functions, such as marketing, legal, accounting, treasury, insurance, internal audit and risk management, information technology and human resources, to benefit from economies of scale. Our Corporate non-operating segment also includes general and administrative expenses related to operating our corporate headquarters. All of the expenses incurred by Corporate are allocated to each of the homebuilding reporting segments based on their respective percentage of revenues.</w:t>
      </w:r>
    </w:p>
    <w:p>
      <w:pPr>
        <w:spacing w:after="0" w:line="179" w:lineRule="exact"/>
        <w:rPr>
          <w:sz w:val="20"/>
          <w:szCs w:val="20"/>
          <w:color w:val="auto"/>
        </w:rPr>
      </w:pPr>
    </w:p>
    <w:p>
      <w:pPr>
        <w:jc w:val="both"/>
        <w:ind w:right="80" w:firstLine="470"/>
        <w:spacing w:after="0" w:line="297" w:lineRule="auto"/>
        <w:rPr>
          <w:sz w:val="20"/>
          <w:szCs w:val="20"/>
          <w:color w:val="auto"/>
        </w:rPr>
      </w:pPr>
      <w:r>
        <w:rPr>
          <w:rFonts w:ascii="Arial" w:cs="Arial" w:eastAsia="Arial" w:hAnsi="Arial"/>
          <w:sz w:val="16"/>
          <w:szCs w:val="16"/>
          <w:color w:val="auto"/>
        </w:rPr>
        <w:t xml:space="preserve">The reportable segments follow the same accounting policies used for our consolidated financial statements, as described in Note 1, </w:t>
      </w:r>
      <w:r>
        <w:rPr>
          <w:rFonts w:ascii="Arial" w:cs="Arial" w:eastAsia="Arial" w:hAnsi="Arial"/>
          <w:sz w:val="16"/>
          <w:szCs w:val="16"/>
          <w:i w:val="1"/>
          <w:iCs w:val="1"/>
          <w:color w:val="auto"/>
        </w:rPr>
        <w:t>Organization, Basis</w:t>
      </w:r>
      <w:r>
        <w:rPr>
          <w:rFonts w:ascii="Arial" w:cs="Arial" w:eastAsia="Arial" w:hAnsi="Arial"/>
          <w:sz w:val="16"/>
          <w:szCs w:val="16"/>
          <w:color w:val="auto"/>
        </w:rPr>
        <w:t xml:space="preserve"> </w:t>
      </w:r>
      <w:r>
        <w:rPr>
          <w:rFonts w:ascii="Arial" w:cs="Arial" w:eastAsia="Arial" w:hAnsi="Arial"/>
          <w:sz w:val="16"/>
          <w:szCs w:val="16"/>
          <w:i w:val="1"/>
          <w:iCs w:val="1"/>
          <w:color w:val="auto"/>
        </w:rPr>
        <w:t>of Presentation and Summary of Significant Accounting Policies</w:t>
      </w:r>
      <w:r>
        <w:rPr>
          <w:rFonts w:ascii="Arial" w:cs="Arial" w:eastAsia="Arial" w:hAnsi="Arial"/>
          <w:sz w:val="16"/>
          <w:szCs w:val="16"/>
          <w:color w:val="auto"/>
        </w:rPr>
        <w:t>. Operational results of each reportable segment are not necessarily indicative of the results that</w:t>
      </w:r>
      <w:r>
        <w:rPr>
          <w:rFonts w:ascii="Arial" w:cs="Arial" w:eastAsia="Arial" w:hAnsi="Arial"/>
          <w:sz w:val="16"/>
          <w:szCs w:val="16"/>
          <w:i w:val="1"/>
          <w:iCs w:val="1"/>
          <w:color w:val="auto"/>
        </w:rPr>
        <w:t xml:space="preserve"> </w:t>
      </w:r>
      <w:r>
        <w:rPr>
          <w:rFonts w:ascii="Arial" w:cs="Arial" w:eastAsia="Arial" w:hAnsi="Arial"/>
          <w:sz w:val="16"/>
          <w:szCs w:val="16"/>
          <w:color w:val="auto"/>
        </w:rPr>
        <w:t>would have been achieved had the reportable segment been an independent, stand-alone entity during the periods presented.</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- 10 -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180" w:right="359" w:bottom="1440" w:gutter="0" w:footer="0" w:header="0"/>
        </w:sectPr>
      </w:pPr>
    </w:p>
    <w:bookmarkStart w:id="11" w:name="page12"/>
    <w:bookmarkEnd w:id="11"/>
    <w:p>
      <w:pPr>
        <w:ind w:left="480"/>
        <w:spacing w:after="0"/>
        <w:rPr>
          <w:sz w:val="20"/>
          <w:szCs w:val="20"/>
          <w:color w:val="auto"/>
        </w:rPr>
      </w:pPr>
      <w:r>
        <w:rPr>
          <w:rFonts w:ascii="Arial" w:cs="Arial" w:eastAsia="Arial" w:hAnsi="Arial"/>
          <w:sz w:val="17"/>
          <w:szCs w:val="17"/>
          <w:color w:val="auto"/>
        </w:rPr>
        <w:t>Total revenues and income before income taxes for each of our reportable segments were as follows (in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49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880" w:type="dxa"/>
            <w:vAlign w:val="bottom"/>
            <w:gridSpan w:val="6"/>
          </w:tcPr>
          <w:p>
            <w:pPr>
              <w:ind w:left="300"/>
              <w:spacing w:after="0"/>
              <w:rPr>
                <w:sz w:val="20"/>
                <w:szCs w:val="20"/>
                <w:color w:val="auto"/>
              </w:rPr>
            </w:pPr>
            <w:r>
              <w:rPr>
                <w:rFonts w:ascii="Arial" w:cs="Arial" w:eastAsia="Arial" w:hAnsi="Arial"/>
                <w:sz w:val="14"/>
                <w:szCs w:val="14"/>
                <w:b w:val="1"/>
                <w:bCs w:val="1"/>
                <w:color w:val="auto"/>
              </w:rPr>
              <w:t>Three Months Ended June 30,</w:t>
            </w:r>
          </w:p>
        </w:tc>
        <w:tc>
          <w:tcPr>
            <w:tcW w:w="320" w:type="dxa"/>
            <w:vAlign w:val="bottom"/>
          </w:tcPr>
          <w:p>
            <w:pPr>
              <w:spacing w:after="0"/>
              <w:rPr>
                <w:sz w:val="16"/>
                <w:szCs w:val="16"/>
                <w:color w:val="auto"/>
              </w:rPr>
            </w:pPr>
          </w:p>
        </w:tc>
        <w:tc>
          <w:tcPr>
            <w:tcW w:w="2760" w:type="dxa"/>
            <w:vAlign w:val="bottom"/>
            <w:gridSpan w:val="7"/>
          </w:tcPr>
          <w:p>
            <w:pPr>
              <w:ind w:left="400"/>
              <w:spacing w:after="0"/>
              <w:rPr>
                <w:sz w:val="20"/>
                <w:szCs w:val="20"/>
                <w:color w:val="auto"/>
              </w:rPr>
            </w:pPr>
            <w:r>
              <w:rPr>
                <w:rFonts w:ascii="Arial" w:cs="Arial" w:eastAsia="Arial" w:hAnsi="Arial"/>
                <w:sz w:val="14"/>
                <w:szCs w:val="14"/>
                <w:b w:val="1"/>
                <w:bCs w:val="1"/>
                <w:color w:val="auto"/>
              </w:rPr>
              <w:t>Six Months Ended June 30,</w:t>
            </w:r>
          </w:p>
        </w:tc>
      </w:tr>
      <w:tr>
        <w:trPr>
          <w:trHeight w:val="181"/>
        </w:trPr>
        <w:tc>
          <w:tcPr>
            <w:tcW w:w="4940" w:type="dxa"/>
            <w:vAlign w:val="bottom"/>
            <w:tcBorders>
              <w:bottom w:val="single" w:sz="8" w:color="CCEEFF"/>
            </w:tcBorders>
          </w:tcPr>
          <w:p>
            <w:pPr>
              <w:spacing w:after="0"/>
              <w:rPr>
                <w:sz w:val="15"/>
                <w:szCs w:val="15"/>
                <w:color w:val="auto"/>
              </w:rPr>
            </w:pPr>
          </w:p>
        </w:tc>
        <w:tc>
          <w:tcPr>
            <w:tcW w:w="340" w:type="dxa"/>
            <w:vAlign w:val="bottom"/>
            <w:tcBorders>
              <w:top w:val="single" w:sz="8" w:color="auto"/>
              <w:bottom w:val="single" w:sz="8" w:color="auto"/>
            </w:tcBorders>
          </w:tcPr>
          <w:p>
            <w:pPr>
              <w:spacing w:after="0"/>
              <w:rPr>
                <w:sz w:val="15"/>
                <w:szCs w:val="15"/>
                <w:color w:val="auto"/>
              </w:rPr>
            </w:pPr>
          </w:p>
        </w:tc>
        <w:tc>
          <w:tcPr>
            <w:tcW w:w="1140" w:type="dxa"/>
            <w:vAlign w:val="bottom"/>
            <w:tcBorders>
              <w:top w:val="single" w:sz="8" w:color="auto"/>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5"/>
                <w:szCs w:val="15"/>
                <w:color w:val="auto"/>
              </w:rPr>
            </w:pPr>
          </w:p>
        </w:tc>
        <w:tc>
          <w:tcPr>
            <w:tcW w:w="360" w:type="dxa"/>
            <w:vAlign w:val="bottom"/>
            <w:tcBorders>
              <w:top w:val="single" w:sz="8" w:color="auto"/>
              <w:bottom w:val="single" w:sz="8" w:color="auto"/>
            </w:tcBorders>
          </w:tcPr>
          <w:p>
            <w:pPr>
              <w:spacing w:after="0"/>
              <w:rPr>
                <w:sz w:val="15"/>
                <w:szCs w:val="15"/>
                <w:color w:val="auto"/>
              </w:rPr>
            </w:pPr>
          </w:p>
        </w:tc>
        <w:tc>
          <w:tcPr>
            <w:tcW w:w="920" w:type="dxa"/>
            <w:vAlign w:val="bottom"/>
            <w:tcBorders>
              <w:top w:val="single" w:sz="8" w:color="auto"/>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2020</w:t>
            </w:r>
          </w:p>
        </w:tc>
        <w:tc>
          <w:tcPr>
            <w:tcW w:w="220" w:type="dxa"/>
            <w:vAlign w:val="bottom"/>
            <w:tcBorders>
              <w:top w:val="single" w:sz="8" w:color="auto"/>
              <w:bottom w:val="single" w:sz="8" w:color="auto"/>
            </w:tcBorders>
          </w:tcPr>
          <w:p>
            <w:pPr>
              <w:spacing w:after="0"/>
              <w:rPr>
                <w:sz w:val="15"/>
                <w:szCs w:val="15"/>
                <w:color w:val="auto"/>
              </w:rPr>
            </w:pPr>
          </w:p>
        </w:tc>
        <w:tc>
          <w:tcPr>
            <w:tcW w:w="140" w:type="dxa"/>
            <w:vAlign w:val="bottom"/>
            <w:tcBorders>
              <w:bottom w:val="single" w:sz="8" w:color="CCEEFF"/>
            </w:tcBorders>
          </w:tcPr>
          <w:p>
            <w:pPr>
              <w:spacing w:after="0"/>
              <w:rPr>
                <w:sz w:val="15"/>
                <w:szCs w:val="15"/>
                <w:color w:val="auto"/>
              </w:rPr>
            </w:pPr>
          </w:p>
        </w:tc>
        <w:tc>
          <w:tcPr>
            <w:tcW w:w="320" w:type="dxa"/>
            <w:vAlign w:val="bottom"/>
            <w:tcBorders>
              <w:top w:val="single" w:sz="8" w:color="auto"/>
              <w:bottom w:val="single" w:sz="8" w:color="auto"/>
            </w:tcBorders>
          </w:tcPr>
          <w:p>
            <w:pPr>
              <w:spacing w:after="0"/>
              <w:rPr>
                <w:sz w:val="15"/>
                <w:szCs w:val="15"/>
                <w:color w:val="auto"/>
              </w:rPr>
            </w:pPr>
          </w:p>
        </w:tc>
        <w:tc>
          <w:tcPr>
            <w:tcW w:w="980" w:type="dxa"/>
            <w:vAlign w:val="bottom"/>
            <w:tcBorders>
              <w:top w:val="single" w:sz="8" w:color="auto"/>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auto"/>
            </w:tcBorders>
          </w:tcPr>
          <w:p>
            <w:pPr>
              <w:spacing w:after="0"/>
              <w:rPr>
                <w:sz w:val="15"/>
                <w:szCs w:val="15"/>
                <w:color w:val="auto"/>
              </w:rPr>
            </w:pPr>
          </w:p>
        </w:tc>
        <w:tc>
          <w:tcPr>
            <w:tcW w:w="80" w:type="dxa"/>
            <w:vAlign w:val="bottom"/>
            <w:tcBorders>
              <w:top w:val="single" w:sz="8" w:color="auto"/>
              <w:bottom w:val="single" w:sz="8" w:color="auto"/>
            </w:tcBorders>
          </w:tcPr>
          <w:p>
            <w:pPr>
              <w:spacing w:after="0"/>
              <w:rPr>
                <w:sz w:val="15"/>
                <w:szCs w:val="15"/>
                <w:color w:val="auto"/>
              </w:rPr>
            </w:pPr>
          </w:p>
        </w:tc>
        <w:tc>
          <w:tcPr>
            <w:tcW w:w="120" w:type="dxa"/>
            <w:vAlign w:val="bottom"/>
            <w:tcBorders>
              <w:top w:val="single" w:sz="8" w:color="auto"/>
              <w:bottom w:val="single" w:sz="8" w:color="CCEEFF"/>
            </w:tcBorders>
          </w:tcPr>
          <w:p>
            <w:pPr>
              <w:spacing w:after="0"/>
              <w:rPr>
                <w:sz w:val="15"/>
                <w:szCs w:val="15"/>
                <w:color w:val="auto"/>
              </w:rPr>
            </w:pPr>
          </w:p>
        </w:tc>
        <w:tc>
          <w:tcPr>
            <w:tcW w:w="400" w:type="dxa"/>
            <w:vAlign w:val="bottom"/>
            <w:tcBorders>
              <w:top w:val="single" w:sz="8" w:color="auto"/>
              <w:bottom w:val="single" w:sz="8" w:color="auto"/>
            </w:tcBorders>
          </w:tcPr>
          <w:p>
            <w:pPr>
              <w:spacing w:after="0"/>
              <w:rPr>
                <w:sz w:val="15"/>
                <w:szCs w:val="15"/>
                <w:color w:val="auto"/>
              </w:rPr>
            </w:pPr>
          </w:p>
        </w:tc>
        <w:tc>
          <w:tcPr>
            <w:tcW w:w="1040" w:type="dxa"/>
            <w:vAlign w:val="bottom"/>
            <w:tcBorders>
              <w:top w:val="single" w:sz="8" w:color="auto"/>
              <w:bottom w:val="single" w:sz="8" w:color="auto"/>
            </w:tcBorders>
          </w:tcPr>
          <w:p>
            <w:pPr>
              <w:jc w:val="right"/>
              <w:ind w:right="474"/>
              <w:spacing w:after="0"/>
              <w:rPr>
                <w:sz w:val="20"/>
                <w:szCs w:val="20"/>
                <w:color w:val="auto"/>
              </w:rPr>
            </w:pPr>
            <w:r>
              <w:rPr>
                <w:rFonts w:ascii="Arial" w:cs="Arial" w:eastAsia="Arial" w:hAnsi="Arial"/>
                <w:sz w:val="14"/>
                <w:szCs w:val="14"/>
                <w:b w:val="1"/>
                <w:bCs w:val="1"/>
                <w:color w:val="auto"/>
              </w:rPr>
              <w:t>2020</w:t>
            </w:r>
          </w:p>
        </w:tc>
        <w:tc>
          <w:tcPr>
            <w:tcW w:w="40" w:type="dxa"/>
            <w:vAlign w:val="bottom"/>
            <w:tcBorders>
              <w:top w:val="single" w:sz="8" w:color="auto"/>
              <w:bottom w:val="single" w:sz="8" w:color="auto"/>
            </w:tcBorders>
          </w:tcPr>
          <w:p>
            <w:pPr>
              <w:spacing w:after="0"/>
              <w:rPr>
                <w:sz w:val="15"/>
                <w:szCs w:val="15"/>
                <w:color w:val="auto"/>
              </w:rPr>
            </w:pPr>
          </w:p>
        </w:tc>
      </w:tr>
      <w:tr>
        <w:trPr>
          <w:trHeight w:val="203"/>
        </w:trPr>
        <w:tc>
          <w:tcPr>
            <w:tcW w:w="494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Revenues</w:t>
            </w:r>
          </w:p>
        </w:tc>
        <w:tc>
          <w:tcPr>
            <w:tcW w:w="3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r>
      <w:tr>
        <w:trPr>
          <w:trHeight w:val="222"/>
        </w:trPr>
        <w:tc>
          <w:tcPr>
            <w:tcW w:w="4940" w:type="dxa"/>
            <w:vAlign w:val="bottom"/>
          </w:tcPr>
          <w:p>
            <w:pPr>
              <w:ind w:left="220"/>
              <w:spacing w:after="0"/>
              <w:rPr>
                <w:sz w:val="20"/>
                <w:szCs w:val="20"/>
                <w:color w:val="auto"/>
              </w:rPr>
            </w:pPr>
            <w:r>
              <w:rPr>
                <w:rFonts w:ascii="Arial" w:cs="Arial" w:eastAsia="Arial" w:hAnsi="Arial"/>
                <w:sz w:val="17"/>
                <w:szCs w:val="17"/>
                <w:color w:val="auto"/>
              </w:rPr>
              <w:t>West</w:t>
            </w:r>
          </w:p>
        </w:tc>
        <w:tc>
          <w:tcPr>
            <w:tcW w:w="340" w:type="dxa"/>
            <w:vAlign w:val="bottom"/>
          </w:tcPr>
          <w:p>
            <w:pPr>
              <w:jc w:val="right"/>
              <w:ind w:right="153"/>
              <w:spacing w:after="0"/>
              <w:rPr>
                <w:sz w:val="20"/>
                <w:szCs w:val="20"/>
                <w:color w:val="auto"/>
              </w:rPr>
            </w:pPr>
            <w:r>
              <w:rPr>
                <w:rFonts w:ascii="Arial" w:cs="Arial" w:eastAsia="Arial" w:hAnsi="Arial"/>
                <w:sz w:val="17"/>
                <w:szCs w:val="17"/>
                <w:color w:val="auto"/>
                <w:w w:val="84"/>
              </w:rPr>
              <w:t>$</w:t>
            </w:r>
          </w:p>
        </w:tc>
        <w:tc>
          <w:tcPr>
            <w:tcW w:w="1140" w:type="dxa"/>
            <w:vAlign w:val="bottom"/>
          </w:tcPr>
          <w:p>
            <w:pPr>
              <w:jc w:val="right"/>
              <w:spacing w:after="0"/>
              <w:rPr>
                <w:sz w:val="20"/>
                <w:szCs w:val="20"/>
                <w:color w:val="auto"/>
              </w:rPr>
            </w:pPr>
            <w:r>
              <w:rPr>
                <w:rFonts w:ascii="Arial" w:cs="Arial" w:eastAsia="Arial" w:hAnsi="Arial"/>
                <w:sz w:val="17"/>
                <w:szCs w:val="17"/>
                <w:color w:val="auto"/>
              </w:rPr>
              <w:t>784,952</w:t>
            </w:r>
          </w:p>
        </w:tc>
        <w:tc>
          <w:tcPr>
            <w:tcW w:w="100" w:type="dxa"/>
            <w:vAlign w:val="bottom"/>
          </w:tcPr>
          <w:p>
            <w:pPr>
              <w:spacing w:after="0"/>
              <w:rPr>
                <w:sz w:val="19"/>
                <w:szCs w:val="19"/>
                <w:color w:val="auto"/>
              </w:rPr>
            </w:pPr>
          </w:p>
        </w:tc>
        <w:tc>
          <w:tcPr>
            <w:tcW w:w="360" w:type="dxa"/>
            <w:vAlign w:val="bottom"/>
          </w:tcPr>
          <w:p>
            <w:pPr>
              <w:jc w:val="right"/>
              <w:ind w:right="153"/>
              <w:spacing w:after="0"/>
              <w:rPr>
                <w:sz w:val="20"/>
                <w:szCs w:val="20"/>
                <w:color w:val="auto"/>
              </w:rPr>
            </w:pPr>
            <w:r>
              <w:rPr>
                <w:rFonts w:ascii="Arial" w:cs="Arial" w:eastAsia="Arial" w:hAnsi="Arial"/>
                <w:sz w:val="17"/>
                <w:szCs w:val="17"/>
                <w:color w:val="auto"/>
              </w:rPr>
              <w:t>$</w:t>
            </w:r>
          </w:p>
        </w:tc>
        <w:tc>
          <w:tcPr>
            <w:tcW w:w="1140" w:type="dxa"/>
            <w:vAlign w:val="bottom"/>
            <w:gridSpan w:val="2"/>
          </w:tcPr>
          <w:p>
            <w:pPr>
              <w:jc w:val="right"/>
              <w:ind w:right="80"/>
              <w:spacing w:after="0"/>
              <w:rPr>
                <w:sz w:val="20"/>
                <w:szCs w:val="20"/>
                <w:color w:val="auto"/>
              </w:rPr>
            </w:pPr>
            <w:r>
              <w:rPr>
                <w:rFonts w:ascii="Arial" w:cs="Arial" w:eastAsia="Arial" w:hAnsi="Arial"/>
                <w:sz w:val="17"/>
                <w:szCs w:val="17"/>
                <w:color w:val="auto"/>
              </w:rPr>
              <w:t>540,027</w:t>
            </w:r>
          </w:p>
        </w:tc>
        <w:tc>
          <w:tcPr>
            <w:tcW w:w="140" w:type="dxa"/>
            <w:vAlign w:val="bottom"/>
          </w:tcPr>
          <w:p>
            <w:pPr>
              <w:spacing w:after="0"/>
              <w:rPr>
                <w:sz w:val="19"/>
                <w:szCs w:val="19"/>
                <w:color w:val="auto"/>
              </w:rPr>
            </w:pPr>
          </w:p>
        </w:tc>
        <w:tc>
          <w:tcPr>
            <w:tcW w:w="320" w:type="dxa"/>
            <w:vAlign w:val="bottom"/>
          </w:tcPr>
          <w:p>
            <w:pPr>
              <w:jc w:val="right"/>
              <w:ind w:right="136"/>
              <w:spacing w:after="0"/>
              <w:rPr>
                <w:sz w:val="20"/>
                <w:szCs w:val="20"/>
                <w:color w:val="auto"/>
              </w:rPr>
            </w:pPr>
            <w:r>
              <w:rPr>
                <w:rFonts w:ascii="Arial" w:cs="Arial" w:eastAsia="Arial" w:hAnsi="Arial"/>
                <w:sz w:val="17"/>
                <w:szCs w:val="17"/>
                <w:color w:val="auto"/>
                <w:w w:val="84"/>
              </w:rPr>
              <w:t>$</w:t>
            </w:r>
          </w:p>
        </w:tc>
        <w:tc>
          <w:tcPr>
            <w:tcW w:w="1160" w:type="dxa"/>
            <w:vAlign w:val="bottom"/>
            <w:gridSpan w:val="3"/>
          </w:tcPr>
          <w:p>
            <w:pPr>
              <w:jc w:val="right"/>
              <w:spacing w:after="0"/>
              <w:rPr>
                <w:sz w:val="20"/>
                <w:szCs w:val="20"/>
                <w:color w:val="auto"/>
              </w:rPr>
            </w:pPr>
            <w:r>
              <w:rPr>
                <w:rFonts w:ascii="Arial" w:cs="Arial" w:eastAsia="Arial" w:hAnsi="Arial"/>
                <w:sz w:val="17"/>
                <w:szCs w:val="17"/>
                <w:color w:val="auto"/>
              </w:rPr>
              <w:t>1,324,998</w:t>
            </w:r>
          </w:p>
        </w:tc>
        <w:tc>
          <w:tcPr>
            <w:tcW w:w="120" w:type="dxa"/>
            <w:vAlign w:val="bottom"/>
          </w:tcPr>
          <w:p>
            <w:pPr>
              <w:spacing w:after="0"/>
              <w:rPr>
                <w:sz w:val="19"/>
                <w:szCs w:val="19"/>
                <w:color w:val="auto"/>
              </w:rPr>
            </w:pPr>
          </w:p>
        </w:tc>
        <w:tc>
          <w:tcPr>
            <w:tcW w:w="400" w:type="dxa"/>
            <w:vAlign w:val="bottom"/>
          </w:tcPr>
          <w:p>
            <w:pPr>
              <w:jc w:val="right"/>
              <w:ind w:right="216"/>
              <w:spacing w:after="0"/>
              <w:rPr>
                <w:sz w:val="20"/>
                <w:szCs w:val="20"/>
                <w:color w:val="auto"/>
              </w:rPr>
            </w:pPr>
            <w:r>
              <w:rPr>
                <w:rFonts w:ascii="Arial" w:cs="Arial" w:eastAsia="Arial" w:hAnsi="Arial"/>
                <w:sz w:val="17"/>
                <w:szCs w:val="17"/>
                <w:color w:val="auto"/>
                <w:w w:val="84"/>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956,570</w:t>
            </w:r>
          </w:p>
        </w:tc>
        <w:tc>
          <w:tcPr>
            <w:tcW w:w="40" w:type="dxa"/>
            <w:vAlign w:val="bottom"/>
          </w:tcPr>
          <w:p>
            <w:pPr>
              <w:spacing w:after="0"/>
              <w:rPr>
                <w:sz w:val="19"/>
                <w:szCs w:val="19"/>
                <w:color w:val="auto"/>
              </w:rPr>
            </w:pPr>
          </w:p>
        </w:tc>
      </w:tr>
      <w:tr>
        <w:trPr>
          <w:trHeight w:val="222"/>
        </w:trPr>
        <w:tc>
          <w:tcPr>
            <w:tcW w:w="49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Central</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149,620</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153,957</w:t>
            </w:r>
          </w:p>
        </w:tc>
        <w:tc>
          <w:tcPr>
            <w:tcW w:w="1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6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270,738</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286,433</w:t>
            </w:r>
          </w:p>
        </w:tc>
        <w:tc>
          <w:tcPr>
            <w:tcW w:w="40" w:type="dxa"/>
            <w:vAlign w:val="bottom"/>
            <w:shd w:val="clear" w:color="auto" w:fill="CCEEFF"/>
          </w:tcPr>
          <w:p>
            <w:pPr>
              <w:spacing w:after="0"/>
              <w:rPr>
                <w:sz w:val="19"/>
                <w:szCs w:val="19"/>
                <w:color w:val="auto"/>
              </w:rPr>
            </w:pPr>
          </w:p>
        </w:tc>
      </w:tr>
      <w:tr>
        <w:trPr>
          <w:trHeight w:val="222"/>
        </w:trPr>
        <w:tc>
          <w:tcPr>
            <w:tcW w:w="494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East</w:t>
            </w:r>
          </w:p>
        </w:tc>
        <w:tc>
          <w:tcPr>
            <w:tcW w:w="3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80,811</w:t>
            </w: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7"/>
                <w:szCs w:val="17"/>
                <w:color w:val="auto"/>
              </w:rPr>
              <w:t>73,826</w:t>
            </w:r>
          </w:p>
        </w:tc>
        <w:tc>
          <w:tcPr>
            <w:tcW w:w="14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color w:val="auto"/>
              </w:rPr>
              <w:t>138,508</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120,263</w:t>
            </w:r>
          </w:p>
        </w:tc>
        <w:tc>
          <w:tcPr>
            <w:tcW w:w="40" w:type="dxa"/>
            <w:vAlign w:val="bottom"/>
            <w:tcBorders>
              <w:bottom w:val="single" w:sz="8" w:color="auto"/>
            </w:tcBorders>
          </w:tcPr>
          <w:p>
            <w:pPr>
              <w:spacing w:after="0"/>
              <w:rPr>
                <w:sz w:val="19"/>
                <w:szCs w:val="19"/>
                <w:color w:val="auto"/>
              </w:rPr>
            </w:pPr>
          </w:p>
        </w:tc>
      </w:tr>
      <w:tr>
        <w:trPr>
          <w:trHeight w:val="215"/>
        </w:trPr>
        <w:tc>
          <w:tcPr>
            <w:tcW w:w="4940" w:type="dxa"/>
            <w:vAlign w:val="bottom"/>
            <w:shd w:val="clear" w:color="auto" w:fill="CCEEFF"/>
          </w:tcPr>
          <w:p>
            <w:pPr>
              <w:ind w:left="340"/>
              <w:spacing w:after="0"/>
              <w:rPr>
                <w:sz w:val="20"/>
                <w:szCs w:val="20"/>
                <w:color w:val="auto"/>
              </w:rPr>
            </w:pPr>
            <w:r>
              <w:rPr>
                <w:rFonts w:ascii="Arial" w:cs="Arial" w:eastAsia="Arial" w:hAnsi="Arial"/>
                <w:sz w:val="17"/>
                <w:szCs w:val="17"/>
                <w:color w:val="auto"/>
              </w:rPr>
              <w:t>Total homebuilding revenues</w:t>
            </w:r>
          </w:p>
        </w:tc>
        <w:tc>
          <w:tcPr>
            <w:tcW w:w="3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1,015,383</w:t>
            </w: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767,810</w:t>
            </w: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1,734,244</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1,363,266</w:t>
            </w:r>
          </w:p>
        </w:tc>
        <w:tc>
          <w:tcPr>
            <w:tcW w:w="40" w:type="dxa"/>
            <w:vAlign w:val="bottom"/>
            <w:shd w:val="clear" w:color="auto" w:fill="CCEEFF"/>
          </w:tcPr>
          <w:p>
            <w:pPr>
              <w:spacing w:after="0"/>
              <w:rPr>
                <w:sz w:val="18"/>
                <w:szCs w:val="18"/>
                <w:color w:val="auto"/>
              </w:rPr>
            </w:pPr>
          </w:p>
        </w:tc>
      </w:tr>
      <w:tr>
        <w:trPr>
          <w:trHeight w:val="222"/>
        </w:trPr>
        <w:tc>
          <w:tcPr>
            <w:tcW w:w="494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Financial services</w:t>
            </w:r>
          </w:p>
        </w:tc>
        <w:tc>
          <w:tcPr>
            <w:tcW w:w="3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2,681</w:t>
            </w: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7"/>
                <w:szCs w:val="17"/>
                <w:color w:val="auto"/>
              </w:rPr>
              <w:t>2,296</w:t>
            </w:r>
          </w:p>
        </w:tc>
        <w:tc>
          <w:tcPr>
            <w:tcW w:w="14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color w:val="auto"/>
              </w:rPr>
              <w:t>4,786</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3,890</w:t>
            </w:r>
          </w:p>
        </w:tc>
        <w:tc>
          <w:tcPr>
            <w:tcW w:w="40" w:type="dxa"/>
            <w:vAlign w:val="bottom"/>
            <w:tcBorders>
              <w:bottom w:val="single" w:sz="8" w:color="auto"/>
            </w:tcBorders>
          </w:tcPr>
          <w:p>
            <w:pPr>
              <w:spacing w:after="0"/>
              <w:rPr>
                <w:sz w:val="19"/>
                <w:szCs w:val="19"/>
                <w:color w:val="auto"/>
              </w:rPr>
            </w:pPr>
          </w:p>
        </w:tc>
      </w:tr>
      <w:tr>
        <w:trPr>
          <w:trHeight w:val="240"/>
        </w:trPr>
        <w:tc>
          <w:tcPr>
            <w:tcW w:w="4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34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1,018,064</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rPr>
              <w:t>$</w:t>
            </w:r>
          </w:p>
        </w:tc>
        <w:tc>
          <w:tcPr>
            <w:tcW w:w="1140" w:type="dxa"/>
            <w:vAlign w:val="bottom"/>
            <w:tcBorders>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770,106</w:t>
            </w:r>
          </w:p>
        </w:tc>
        <w:tc>
          <w:tcPr>
            <w:tcW w:w="14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16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7"/>
                <w:szCs w:val="17"/>
                <w:color w:val="auto"/>
              </w:rPr>
              <w:t>1,739,030</w:t>
            </w: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21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1,367,156</w:t>
            </w:r>
          </w:p>
        </w:tc>
        <w:tc>
          <w:tcPr>
            <w:tcW w:w="40" w:type="dxa"/>
            <w:vAlign w:val="bottom"/>
            <w:tcBorders>
              <w:bottom w:val="single" w:sz="8" w:color="auto"/>
            </w:tcBorders>
            <w:shd w:val="clear" w:color="auto" w:fill="CCEEFF"/>
          </w:tcPr>
          <w:p>
            <w:pPr>
              <w:spacing w:after="0"/>
              <w:rPr>
                <w:sz w:val="20"/>
                <w:szCs w:val="20"/>
                <w:color w:val="auto"/>
              </w:rPr>
            </w:pPr>
          </w:p>
        </w:tc>
      </w:tr>
      <w:tr>
        <w:trPr>
          <w:trHeight w:val="20"/>
        </w:trPr>
        <w:tc>
          <w:tcPr>
            <w:tcW w:w="49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r>
      <w:tr>
        <w:trPr>
          <w:trHeight w:val="194"/>
        </w:trPr>
        <w:tc>
          <w:tcPr>
            <w:tcW w:w="49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222"/>
        </w:trPr>
        <w:tc>
          <w:tcPr>
            <w:tcW w:w="494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Income before taxes</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r>
      <w:tr>
        <w:trPr>
          <w:trHeight w:val="222"/>
        </w:trPr>
        <w:tc>
          <w:tcPr>
            <w:tcW w:w="4940" w:type="dxa"/>
            <w:vAlign w:val="bottom"/>
          </w:tcPr>
          <w:p>
            <w:pPr>
              <w:ind w:left="220"/>
              <w:spacing w:after="0"/>
              <w:rPr>
                <w:sz w:val="20"/>
                <w:szCs w:val="20"/>
                <w:color w:val="auto"/>
              </w:rPr>
            </w:pPr>
            <w:r>
              <w:rPr>
                <w:rFonts w:ascii="Arial" w:cs="Arial" w:eastAsia="Arial" w:hAnsi="Arial"/>
                <w:sz w:val="17"/>
                <w:szCs w:val="17"/>
                <w:color w:val="auto"/>
              </w:rPr>
              <w:t>West</w:t>
            </w:r>
          </w:p>
        </w:tc>
        <w:tc>
          <w:tcPr>
            <w:tcW w:w="340" w:type="dxa"/>
            <w:vAlign w:val="bottom"/>
          </w:tcPr>
          <w:p>
            <w:pPr>
              <w:jc w:val="right"/>
              <w:ind w:right="153"/>
              <w:spacing w:after="0"/>
              <w:rPr>
                <w:sz w:val="20"/>
                <w:szCs w:val="20"/>
                <w:color w:val="auto"/>
              </w:rPr>
            </w:pPr>
            <w:r>
              <w:rPr>
                <w:rFonts w:ascii="Arial" w:cs="Arial" w:eastAsia="Arial" w:hAnsi="Arial"/>
                <w:sz w:val="17"/>
                <w:szCs w:val="17"/>
                <w:color w:val="auto"/>
                <w:w w:val="84"/>
              </w:rPr>
              <w:t>$</w:t>
            </w:r>
          </w:p>
        </w:tc>
        <w:tc>
          <w:tcPr>
            <w:tcW w:w="1140" w:type="dxa"/>
            <w:vAlign w:val="bottom"/>
          </w:tcPr>
          <w:p>
            <w:pPr>
              <w:jc w:val="right"/>
              <w:spacing w:after="0"/>
              <w:rPr>
                <w:sz w:val="20"/>
                <w:szCs w:val="20"/>
                <w:color w:val="auto"/>
              </w:rPr>
            </w:pPr>
            <w:r>
              <w:rPr>
                <w:rFonts w:ascii="Arial" w:cs="Arial" w:eastAsia="Arial" w:hAnsi="Arial"/>
                <w:sz w:val="17"/>
                <w:szCs w:val="17"/>
                <w:color w:val="auto"/>
              </w:rPr>
              <w:t>130,254</w:t>
            </w:r>
          </w:p>
        </w:tc>
        <w:tc>
          <w:tcPr>
            <w:tcW w:w="100" w:type="dxa"/>
            <w:vAlign w:val="bottom"/>
          </w:tcPr>
          <w:p>
            <w:pPr>
              <w:spacing w:after="0"/>
              <w:rPr>
                <w:sz w:val="19"/>
                <w:szCs w:val="19"/>
                <w:color w:val="auto"/>
              </w:rPr>
            </w:pPr>
          </w:p>
        </w:tc>
        <w:tc>
          <w:tcPr>
            <w:tcW w:w="360" w:type="dxa"/>
            <w:vAlign w:val="bottom"/>
          </w:tcPr>
          <w:p>
            <w:pPr>
              <w:jc w:val="right"/>
              <w:ind w:right="153"/>
              <w:spacing w:after="0"/>
              <w:rPr>
                <w:sz w:val="20"/>
                <w:szCs w:val="20"/>
                <w:color w:val="auto"/>
              </w:rPr>
            </w:pPr>
            <w:r>
              <w:rPr>
                <w:rFonts w:ascii="Arial" w:cs="Arial" w:eastAsia="Arial" w:hAnsi="Arial"/>
                <w:sz w:val="17"/>
                <w:szCs w:val="17"/>
                <w:color w:val="auto"/>
              </w:rPr>
              <w:t>$</w:t>
            </w:r>
          </w:p>
        </w:tc>
        <w:tc>
          <w:tcPr>
            <w:tcW w:w="1140" w:type="dxa"/>
            <w:vAlign w:val="bottom"/>
            <w:gridSpan w:val="2"/>
          </w:tcPr>
          <w:p>
            <w:pPr>
              <w:jc w:val="right"/>
              <w:ind w:right="80"/>
              <w:spacing w:after="0"/>
              <w:rPr>
                <w:sz w:val="20"/>
                <w:szCs w:val="20"/>
                <w:color w:val="auto"/>
              </w:rPr>
            </w:pPr>
            <w:r>
              <w:rPr>
                <w:rFonts w:ascii="Arial" w:cs="Arial" w:eastAsia="Arial" w:hAnsi="Arial"/>
                <w:sz w:val="17"/>
                <w:szCs w:val="17"/>
                <w:color w:val="auto"/>
              </w:rPr>
              <w:t>61,363</w:t>
            </w:r>
          </w:p>
        </w:tc>
        <w:tc>
          <w:tcPr>
            <w:tcW w:w="140" w:type="dxa"/>
            <w:vAlign w:val="bottom"/>
          </w:tcPr>
          <w:p>
            <w:pPr>
              <w:spacing w:after="0"/>
              <w:rPr>
                <w:sz w:val="19"/>
                <w:szCs w:val="19"/>
                <w:color w:val="auto"/>
              </w:rPr>
            </w:pPr>
          </w:p>
        </w:tc>
        <w:tc>
          <w:tcPr>
            <w:tcW w:w="320" w:type="dxa"/>
            <w:vAlign w:val="bottom"/>
          </w:tcPr>
          <w:p>
            <w:pPr>
              <w:jc w:val="right"/>
              <w:ind w:right="136"/>
              <w:spacing w:after="0"/>
              <w:rPr>
                <w:sz w:val="20"/>
                <w:szCs w:val="20"/>
                <w:color w:val="auto"/>
              </w:rPr>
            </w:pPr>
            <w:r>
              <w:rPr>
                <w:rFonts w:ascii="Arial" w:cs="Arial" w:eastAsia="Arial" w:hAnsi="Arial"/>
                <w:sz w:val="17"/>
                <w:szCs w:val="17"/>
                <w:color w:val="auto"/>
                <w:w w:val="84"/>
              </w:rPr>
              <w:t>$</w:t>
            </w:r>
          </w:p>
        </w:tc>
        <w:tc>
          <w:tcPr>
            <w:tcW w:w="1160" w:type="dxa"/>
            <w:vAlign w:val="bottom"/>
            <w:gridSpan w:val="3"/>
          </w:tcPr>
          <w:p>
            <w:pPr>
              <w:jc w:val="right"/>
              <w:spacing w:after="0"/>
              <w:rPr>
                <w:sz w:val="20"/>
                <w:szCs w:val="20"/>
                <w:color w:val="auto"/>
              </w:rPr>
            </w:pPr>
            <w:r>
              <w:rPr>
                <w:rFonts w:ascii="Arial" w:cs="Arial" w:eastAsia="Arial" w:hAnsi="Arial"/>
                <w:sz w:val="17"/>
                <w:szCs w:val="17"/>
                <w:color w:val="auto"/>
              </w:rPr>
              <w:t>209,831</w:t>
            </w:r>
          </w:p>
        </w:tc>
        <w:tc>
          <w:tcPr>
            <w:tcW w:w="120" w:type="dxa"/>
            <w:vAlign w:val="bottom"/>
          </w:tcPr>
          <w:p>
            <w:pPr>
              <w:spacing w:after="0"/>
              <w:rPr>
                <w:sz w:val="19"/>
                <w:szCs w:val="19"/>
                <w:color w:val="auto"/>
              </w:rPr>
            </w:pPr>
          </w:p>
        </w:tc>
        <w:tc>
          <w:tcPr>
            <w:tcW w:w="400" w:type="dxa"/>
            <w:vAlign w:val="bottom"/>
          </w:tcPr>
          <w:p>
            <w:pPr>
              <w:jc w:val="right"/>
              <w:ind w:right="216"/>
              <w:spacing w:after="0"/>
              <w:rPr>
                <w:sz w:val="20"/>
                <w:szCs w:val="20"/>
                <w:color w:val="auto"/>
              </w:rPr>
            </w:pPr>
            <w:r>
              <w:rPr>
                <w:rFonts w:ascii="Arial" w:cs="Arial" w:eastAsia="Arial" w:hAnsi="Arial"/>
                <w:sz w:val="17"/>
                <w:szCs w:val="17"/>
                <w:color w:val="auto"/>
                <w:w w:val="84"/>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97,217</w:t>
            </w:r>
          </w:p>
        </w:tc>
        <w:tc>
          <w:tcPr>
            <w:tcW w:w="40" w:type="dxa"/>
            <w:vAlign w:val="bottom"/>
          </w:tcPr>
          <w:p>
            <w:pPr>
              <w:spacing w:after="0"/>
              <w:rPr>
                <w:sz w:val="19"/>
                <w:szCs w:val="19"/>
                <w:color w:val="auto"/>
              </w:rPr>
            </w:pPr>
          </w:p>
        </w:tc>
      </w:tr>
      <w:tr>
        <w:trPr>
          <w:trHeight w:val="222"/>
        </w:trPr>
        <w:tc>
          <w:tcPr>
            <w:tcW w:w="49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Central</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15,853</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7,504</w:t>
            </w:r>
          </w:p>
        </w:tc>
        <w:tc>
          <w:tcPr>
            <w:tcW w:w="1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6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25,550</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12,069</w:t>
            </w:r>
          </w:p>
        </w:tc>
        <w:tc>
          <w:tcPr>
            <w:tcW w:w="40" w:type="dxa"/>
            <w:vAlign w:val="bottom"/>
            <w:shd w:val="clear" w:color="auto" w:fill="CCEEFF"/>
          </w:tcPr>
          <w:p>
            <w:pPr>
              <w:spacing w:after="0"/>
              <w:rPr>
                <w:sz w:val="19"/>
                <w:szCs w:val="19"/>
                <w:color w:val="auto"/>
              </w:rPr>
            </w:pPr>
          </w:p>
        </w:tc>
      </w:tr>
      <w:tr>
        <w:trPr>
          <w:trHeight w:val="222"/>
        </w:trPr>
        <w:tc>
          <w:tcPr>
            <w:tcW w:w="494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East</w:t>
            </w:r>
          </w:p>
        </w:tc>
        <w:tc>
          <w:tcPr>
            <w:tcW w:w="3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5,882</w:t>
            </w: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7"/>
                <w:szCs w:val="17"/>
                <w:color w:val="auto"/>
              </w:rPr>
              <w:t>1,861</w:t>
            </w:r>
          </w:p>
        </w:tc>
        <w:tc>
          <w:tcPr>
            <w:tcW w:w="14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color w:val="auto"/>
              </w:rPr>
              <w:t>7,622</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1,075</w:t>
            </w:r>
          </w:p>
        </w:tc>
        <w:tc>
          <w:tcPr>
            <w:tcW w:w="40" w:type="dxa"/>
            <w:vAlign w:val="bottom"/>
            <w:tcBorders>
              <w:bottom w:val="single" w:sz="8" w:color="auto"/>
            </w:tcBorders>
          </w:tcPr>
          <w:p>
            <w:pPr>
              <w:spacing w:after="0"/>
              <w:rPr>
                <w:sz w:val="19"/>
                <w:szCs w:val="19"/>
                <w:color w:val="auto"/>
              </w:rPr>
            </w:pPr>
          </w:p>
        </w:tc>
      </w:tr>
      <w:tr>
        <w:trPr>
          <w:trHeight w:val="215"/>
        </w:trPr>
        <w:tc>
          <w:tcPr>
            <w:tcW w:w="4940" w:type="dxa"/>
            <w:vAlign w:val="bottom"/>
            <w:shd w:val="clear" w:color="auto" w:fill="CCEEFF"/>
          </w:tcPr>
          <w:p>
            <w:pPr>
              <w:ind w:left="340"/>
              <w:spacing w:after="0"/>
              <w:rPr>
                <w:sz w:val="20"/>
                <w:szCs w:val="20"/>
                <w:color w:val="auto"/>
              </w:rPr>
            </w:pPr>
            <w:r>
              <w:rPr>
                <w:rFonts w:ascii="Arial" w:cs="Arial" w:eastAsia="Arial" w:hAnsi="Arial"/>
                <w:sz w:val="17"/>
                <w:szCs w:val="17"/>
                <w:color w:val="auto"/>
              </w:rPr>
              <w:t>Total homebuilding income before income taxes</w:t>
            </w:r>
          </w:p>
        </w:tc>
        <w:tc>
          <w:tcPr>
            <w:tcW w:w="3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151,989</w:t>
            </w: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70,728</w:t>
            </w: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243,003</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110,361</w:t>
            </w:r>
          </w:p>
        </w:tc>
        <w:tc>
          <w:tcPr>
            <w:tcW w:w="40" w:type="dxa"/>
            <w:vAlign w:val="bottom"/>
            <w:shd w:val="clear" w:color="auto" w:fill="CCEEFF"/>
          </w:tcPr>
          <w:p>
            <w:pPr>
              <w:spacing w:after="0"/>
              <w:rPr>
                <w:sz w:val="18"/>
                <w:szCs w:val="18"/>
                <w:color w:val="auto"/>
              </w:rPr>
            </w:pPr>
          </w:p>
        </w:tc>
      </w:tr>
      <w:tr>
        <w:trPr>
          <w:trHeight w:val="222"/>
        </w:trPr>
        <w:tc>
          <w:tcPr>
            <w:tcW w:w="494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Financial services</w:t>
            </w:r>
          </w:p>
        </w:tc>
        <w:tc>
          <w:tcPr>
            <w:tcW w:w="3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5,145</w:t>
            </w: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7"/>
                <w:szCs w:val="17"/>
                <w:color w:val="auto"/>
              </w:rPr>
              <w:t>3,943</w:t>
            </w:r>
          </w:p>
        </w:tc>
        <w:tc>
          <w:tcPr>
            <w:tcW w:w="14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color w:val="auto"/>
              </w:rPr>
              <w:t>8,534</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6,014</w:t>
            </w:r>
          </w:p>
        </w:tc>
        <w:tc>
          <w:tcPr>
            <w:tcW w:w="40" w:type="dxa"/>
            <w:vAlign w:val="bottom"/>
            <w:tcBorders>
              <w:bottom w:val="single" w:sz="8" w:color="auto"/>
            </w:tcBorders>
          </w:tcPr>
          <w:p>
            <w:pPr>
              <w:spacing w:after="0"/>
              <w:rPr>
                <w:sz w:val="19"/>
                <w:szCs w:val="19"/>
                <w:color w:val="auto"/>
              </w:rPr>
            </w:pPr>
          </w:p>
        </w:tc>
      </w:tr>
      <w:tr>
        <w:trPr>
          <w:trHeight w:val="240"/>
        </w:trPr>
        <w:tc>
          <w:tcPr>
            <w:tcW w:w="4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34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157,134</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rPr>
              <w:t>$</w:t>
            </w:r>
          </w:p>
        </w:tc>
        <w:tc>
          <w:tcPr>
            <w:tcW w:w="1140" w:type="dxa"/>
            <w:vAlign w:val="bottom"/>
            <w:tcBorders>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74,671</w:t>
            </w:r>
          </w:p>
        </w:tc>
        <w:tc>
          <w:tcPr>
            <w:tcW w:w="14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16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7"/>
                <w:szCs w:val="17"/>
                <w:color w:val="auto"/>
              </w:rPr>
              <w:t>251,537</w:t>
            </w: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21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116,375</w:t>
            </w:r>
          </w:p>
        </w:tc>
        <w:tc>
          <w:tcPr>
            <w:tcW w:w="40" w:type="dxa"/>
            <w:vAlign w:val="bottom"/>
            <w:tcBorders>
              <w:bottom w:val="single" w:sz="8" w:color="auto"/>
            </w:tcBorders>
            <w:shd w:val="clear" w:color="auto" w:fill="CCEEFF"/>
          </w:tcPr>
          <w:p>
            <w:pPr>
              <w:spacing w:after="0"/>
              <w:rPr>
                <w:sz w:val="20"/>
                <w:szCs w:val="20"/>
                <w:color w:val="auto"/>
              </w:rPr>
            </w:pPr>
          </w:p>
        </w:tc>
      </w:tr>
      <w:tr>
        <w:trPr>
          <w:trHeight w:val="20"/>
        </w:trPr>
        <w:tc>
          <w:tcPr>
            <w:tcW w:w="494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80" w:type="dxa"/>
            <w:vAlign w:val="bottom"/>
            <w:tcBorders>
              <w:top w:val="single" w:sz="8" w:color="CCEEFF"/>
              <w:bottom w:val="single" w:sz="8" w:color="auto"/>
            </w:tcBorders>
            <w:gridSpan w:val="2"/>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bottom w:val="single" w:sz="8" w:color="auto"/>
            </w:tcBorders>
            <w:gridSpan w:val="2"/>
          </w:tcPr>
          <w:p>
            <w:pPr>
              <w:spacing w:after="0" w:line="20" w:lineRule="exact"/>
              <w:rPr>
                <w:sz w:val="1"/>
                <w:szCs w:val="1"/>
                <w:color w:val="auto"/>
              </w:rPr>
            </w:pPr>
          </w:p>
        </w:tc>
        <w:tc>
          <w:tcPr>
            <w:tcW w:w="180" w:type="dxa"/>
            <w:vAlign w:val="bottom"/>
            <w:tcBorders>
              <w:top w:val="single" w:sz="8" w:color="CCEEFF"/>
              <w:bottom w:val="single" w:sz="8" w:color="auto"/>
            </w:tcBorders>
            <w:gridSpan w:val="2"/>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r>
      <w:tr>
        <w:trPr>
          <w:trHeight w:val="508"/>
        </w:trPr>
        <w:tc>
          <w:tcPr>
            <w:tcW w:w="10160" w:type="dxa"/>
            <w:vAlign w:val="bottom"/>
            <w:gridSpan w:val="14"/>
          </w:tcPr>
          <w:p>
            <w:pPr>
              <w:ind w:left="480"/>
              <w:spacing w:after="0"/>
              <w:rPr>
                <w:sz w:val="20"/>
                <w:szCs w:val="20"/>
                <w:color w:val="auto"/>
              </w:rPr>
            </w:pPr>
            <w:r>
              <w:rPr>
                <w:rFonts w:ascii="Arial" w:cs="Arial" w:eastAsia="Arial" w:hAnsi="Arial"/>
                <w:sz w:val="17"/>
                <w:szCs w:val="17"/>
                <w:color w:val="auto"/>
                <w:w w:val="93"/>
              </w:rPr>
              <w:t>Total real estate inventories and total assets for each of our reportable segments, as of the date indicated, were as follows (in thousands):</w:t>
            </w: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96"/>
        </w:trPr>
        <w:tc>
          <w:tcPr>
            <w:tcW w:w="49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0" w:type="dxa"/>
            <w:vAlign w:val="bottom"/>
            <w:gridSpan w:val="3"/>
          </w:tcPr>
          <w:p>
            <w:pPr>
              <w:ind w:left="60"/>
              <w:spacing w:after="0"/>
              <w:rPr>
                <w:sz w:val="20"/>
                <w:szCs w:val="20"/>
                <w:color w:val="auto"/>
              </w:rPr>
            </w:pPr>
            <w:r>
              <w:rPr>
                <w:rFonts w:ascii="Arial" w:cs="Arial" w:eastAsia="Arial" w:hAnsi="Arial"/>
                <w:sz w:val="14"/>
                <w:szCs w:val="14"/>
                <w:b w:val="1"/>
                <w:bCs w:val="1"/>
                <w:color w:val="auto"/>
              </w:rPr>
              <w:t>June 30, 2021</w:t>
            </w: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gridSpan w:val="3"/>
          </w:tcPr>
          <w:p>
            <w:pPr>
              <w:ind w:left="60"/>
              <w:spacing w:after="0"/>
              <w:rPr>
                <w:sz w:val="20"/>
                <w:szCs w:val="20"/>
                <w:color w:val="auto"/>
              </w:rPr>
            </w:pPr>
            <w:r>
              <w:rPr>
                <w:rFonts w:ascii="Arial" w:cs="Arial" w:eastAsia="Arial" w:hAnsi="Arial"/>
                <w:sz w:val="14"/>
                <w:szCs w:val="14"/>
                <w:b w:val="1"/>
                <w:bCs w:val="1"/>
                <w:color w:val="auto"/>
              </w:rPr>
              <w:t>December 31, 2020</w:t>
            </w:r>
          </w:p>
        </w:tc>
      </w:tr>
      <w:tr>
        <w:trPr>
          <w:trHeight w:val="207"/>
        </w:trPr>
        <w:tc>
          <w:tcPr>
            <w:tcW w:w="49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Real estate inventories</w:t>
            </w:r>
          </w:p>
        </w:tc>
        <w:tc>
          <w:tcPr>
            <w:tcW w:w="34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22"/>
        </w:trPr>
        <w:tc>
          <w:tcPr>
            <w:tcW w:w="4940" w:type="dxa"/>
            <w:vAlign w:val="bottom"/>
          </w:tcPr>
          <w:p>
            <w:pPr>
              <w:ind w:left="220"/>
              <w:spacing w:after="0"/>
              <w:rPr>
                <w:sz w:val="20"/>
                <w:szCs w:val="20"/>
                <w:color w:val="auto"/>
              </w:rPr>
            </w:pPr>
            <w:r>
              <w:rPr>
                <w:rFonts w:ascii="Arial" w:cs="Arial" w:eastAsia="Arial" w:hAnsi="Arial"/>
                <w:sz w:val="17"/>
                <w:szCs w:val="17"/>
                <w:color w:val="auto"/>
              </w:rPr>
              <w:t>West</w:t>
            </w: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7"/>
                <w:szCs w:val="17"/>
                <w:color w:val="auto"/>
              </w:rPr>
              <w:t>2,309,478</w:t>
            </w:r>
          </w:p>
        </w:tc>
        <w:tc>
          <w:tcPr>
            <w:tcW w:w="100" w:type="dxa"/>
            <w:vAlign w:val="bottom"/>
          </w:tcPr>
          <w:p>
            <w:pPr>
              <w:spacing w:after="0"/>
              <w:rPr>
                <w:sz w:val="19"/>
                <w:szCs w:val="19"/>
                <w:color w:val="auto"/>
              </w:rPr>
            </w:pPr>
          </w:p>
        </w:tc>
        <w:tc>
          <w:tcPr>
            <w:tcW w:w="200" w:type="dxa"/>
            <w:vAlign w:val="bottom"/>
            <w:gridSpan w:val="2"/>
          </w:tcPr>
          <w:p>
            <w:pPr>
              <w:jc w:val="right"/>
              <w:ind w:right="100"/>
              <w:spacing w:after="0"/>
              <w:rPr>
                <w:sz w:val="20"/>
                <w:szCs w:val="20"/>
                <w:color w:val="auto"/>
              </w:rPr>
            </w:pPr>
            <w:r>
              <w:rPr>
                <w:rFonts w:ascii="Arial" w:cs="Arial" w:eastAsia="Arial" w:hAnsi="Arial"/>
                <w:sz w:val="17"/>
                <w:szCs w:val="17"/>
                <w:color w:val="auto"/>
                <w:w w:val="84"/>
              </w:rPr>
              <w:t>$</w:t>
            </w:r>
          </w:p>
        </w:tc>
        <w:tc>
          <w:tcPr>
            <w:tcW w:w="4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2,296,013</w:t>
            </w:r>
          </w:p>
        </w:tc>
        <w:tc>
          <w:tcPr>
            <w:tcW w:w="40" w:type="dxa"/>
            <w:vAlign w:val="bottom"/>
          </w:tcPr>
          <w:p>
            <w:pPr>
              <w:spacing w:after="0"/>
              <w:rPr>
                <w:sz w:val="19"/>
                <w:szCs w:val="19"/>
                <w:color w:val="auto"/>
              </w:rPr>
            </w:pPr>
          </w:p>
        </w:tc>
      </w:tr>
      <w:tr>
        <w:trPr>
          <w:trHeight w:val="222"/>
        </w:trPr>
        <w:tc>
          <w:tcPr>
            <w:tcW w:w="49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Central</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485,744</w:t>
            </w: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386,204</w:t>
            </w:r>
          </w:p>
        </w:tc>
        <w:tc>
          <w:tcPr>
            <w:tcW w:w="40" w:type="dxa"/>
            <w:vAlign w:val="bottom"/>
          </w:tcPr>
          <w:p>
            <w:pPr>
              <w:spacing w:after="0"/>
              <w:rPr>
                <w:sz w:val="19"/>
                <w:szCs w:val="19"/>
                <w:color w:val="auto"/>
              </w:rPr>
            </w:pPr>
          </w:p>
        </w:tc>
      </w:tr>
      <w:tr>
        <w:trPr>
          <w:trHeight w:val="222"/>
        </w:trPr>
        <w:tc>
          <w:tcPr>
            <w:tcW w:w="494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East</w:t>
            </w:r>
          </w:p>
        </w:tc>
        <w:tc>
          <w:tcPr>
            <w:tcW w:w="340" w:type="dxa"/>
            <w:vAlign w:val="bottom"/>
            <w:tcBorders>
              <w:bottom w:val="single" w:sz="8" w:color="CCEEFF"/>
            </w:tcBorders>
          </w:tcPr>
          <w:p>
            <w:pPr>
              <w:spacing w:after="0"/>
              <w:rPr>
                <w:sz w:val="19"/>
                <w:szCs w:val="19"/>
                <w:color w:val="auto"/>
              </w:rPr>
            </w:pPr>
          </w:p>
        </w:tc>
        <w:tc>
          <w:tcPr>
            <w:tcW w:w="114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CCEEFF"/>
            </w:tcBorders>
          </w:tcPr>
          <w:p>
            <w:pPr>
              <w:spacing w:after="0"/>
              <w:rPr>
                <w:sz w:val="19"/>
                <w:szCs w:val="19"/>
                <w:color w:val="auto"/>
              </w:rPr>
            </w:pPr>
          </w:p>
        </w:tc>
        <w:tc>
          <w:tcPr>
            <w:tcW w:w="9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290,360</w:t>
            </w:r>
          </w:p>
        </w:tc>
        <w:tc>
          <w:tcPr>
            <w:tcW w:w="100" w:type="dxa"/>
            <w:vAlign w:val="bottom"/>
            <w:tcBorders>
              <w:bottom w:val="single" w:sz="8" w:color="CCEEFF"/>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227,925</w:t>
            </w:r>
          </w:p>
        </w:tc>
        <w:tc>
          <w:tcPr>
            <w:tcW w:w="40" w:type="dxa"/>
            <w:vAlign w:val="bottom"/>
          </w:tcPr>
          <w:p>
            <w:pPr>
              <w:spacing w:after="0"/>
              <w:rPr>
                <w:sz w:val="19"/>
                <w:szCs w:val="19"/>
                <w:color w:val="auto"/>
              </w:rPr>
            </w:pPr>
          </w:p>
        </w:tc>
      </w:tr>
      <w:tr>
        <w:trPr>
          <w:trHeight w:val="235"/>
        </w:trPr>
        <w:tc>
          <w:tcPr>
            <w:tcW w:w="494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340" w:type="dxa"/>
            <w:vAlign w:val="bottom"/>
            <w:shd w:val="clear" w:color="auto" w:fill="CCEEFF"/>
          </w:tcPr>
          <w:p>
            <w:pPr>
              <w:spacing w:after="0"/>
              <w:rPr>
                <w:sz w:val="20"/>
                <w:szCs w:val="20"/>
                <w:color w:val="auto"/>
              </w:rPr>
            </w:pPr>
          </w:p>
        </w:tc>
        <w:tc>
          <w:tcPr>
            <w:tcW w:w="1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3,085,582</w:t>
            </w:r>
          </w:p>
        </w:tc>
        <w:tc>
          <w:tcPr>
            <w:tcW w:w="100" w:type="dxa"/>
            <w:vAlign w:val="bottom"/>
            <w:shd w:val="clear" w:color="auto" w:fill="CCEEFF"/>
          </w:tcPr>
          <w:p>
            <w:pPr>
              <w:spacing w:after="0"/>
              <w:rPr>
                <w:sz w:val="20"/>
                <w:szCs w:val="20"/>
                <w:color w:val="auto"/>
              </w:rPr>
            </w:pPr>
          </w:p>
        </w:tc>
        <w:tc>
          <w:tcPr>
            <w:tcW w:w="2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84"/>
              </w:rPr>
              <w:t>$</w:t>
            </w:r>
          </w:p>
        </w:tc>
        <w:tc>
          <w:tcPr>
            <w:tcW w:w="400" w:type="dxa"/>
            <w:vAlign w:val="bottom"/>
            <w:shd w:val="clear" w:color="auto" w:fill="CCEEFF"/>
          </w:tcPr>
          <w:p>
            <w:pPr>
              <w:spacing w:after="0"/>
              <w:rPr>
                <w:sz w:val="20"/>
                <w:szCs w:val="20"/>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2,910,142</w:t>
            </w:r>
          </w:p>
        </w:tc>
        <w:tc>
          <w:tcPr>
            <w:tcW w:w="40" w:type="dxa"/>
            <w:vAlign w:val="bottom"/>
          </w:tcPr>
          <w:p>
            <w:pPr>
              <w:spacing w:after="0"/>
              <w:rPr>
                <w:sz w:val="20"/>
                <w:szCs w:val="20"/>
                <w:color w:val="auto"/>
              </w:rPr>
            </w:pPr>
          </w:p>
        </w:tc>
      </w:tr>
      <w:tr>
        <w:trPr>
          <w:trHeight w:val="20"/>
        </w:trPr>
        <w:tc>
          <w:tcPr>
            <w:tcW w:w="49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4"/>
        </w:trPr>
        <w:tc>
          <w:tcPr>
            <w:tcW w:w="49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222"/>
        </w:trPr>
        <w:tc>
          <w:tcPr>
            <w:tcW w:w="4940" w:type="dxa"/>
            <w:vAlign w:val="bottom"/>
            <w:shd w:val="clear" w:color="auto" w:fill="CCEEFF"/>
          </w:tcPr>
          <w:p>
            <w:pPr>
              <w:ind w:left="20"/>
              <w:spacing w:after="0" w:line="222" w:lineRule="exact"/>
              <w:rPr>
                <w:sz w:val="20"/>
                <w:szCs w:val="20"/>
                <w:color w:val="auto"/>
              </w:rPr>
            </w:pPr>
            <w:r>
              <w:rPr>
                <w:rFonts w:ascii="Arial" w:cs="Arial" w:eastAsia="Arial" w:hAnsi="Arial"/>
                <w:sz w:val="17"/>
                <w:szCs w:val="17"/>
                <w:color w:val="auto"/>
              </w:rPr>
              <w:t>Total assets</w:t>
            </w:r>
            <w:r>
              <w:rPr>
                <w:rFonts w:ascii="Arial" w:cs="Arial" w:eastAsia="Arial" w:hAnsi="Arial"/>
                <w:sz w:val="22"/>
                <w:szCs w:val="22"/>
                <w:color w:val="auto"/>
                <w:vertAlign w:val="superscript"/>
              </w:rPr>
              <w:t>(1)</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40" w:type="dxa"/>
            <w:vAlign w:val="bottom"/>
          </w:tcPr>
          <w:p>
            <w:pPr>
              <w:spacing w:after="0"/>
              <w:rPr>
                <w:sz w:val="19"/>
                <w:szCs w:val="19"/>
                <w:color w:val="auto"/>
              </w:rPr>
            </w:pPr>
          </w:p>
        </w:tc>
      </w:tr>
      <w:tr>
        <w:trPr>
          <w:trHeight w:val="222"/>
        </w:trPr>
        <w:tc>
          <w:tcPr>
            <w:tcW w:w="4940" w:type="dxa"/>
            <w:vAlign w:val="bottom"/>
          </w:tcPr>
          <w:p>
            <w:pPr>
              <w:ind w:left="220"/>
              <w:spacing w:after="0"/>
              <w:rPr>
                <w:sz w:val="20"/>
                <w:szCs w:val="20"/>
                <w:color w:val="auto"/>
              </w:rPr>
            </w:pPr>
            <w:r>
              <w:rPr>
                <w:rFonts w:ascii="Arial" w:cs="Arial" w:eastAsia="Arial" w:hAnsi="Arial"/>
                <w:sz w:val="17"/>
                <w:szCs w:val="17"/>
                <w:color w:val="auto"/>
              </w:rPr>
              <w:t>West</w:t>
            </w: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7"/>
                <w:szCs w:val="17"/>
                <w:color w:val="auto"/>
              </w:rPr>
              <w:t>2,581,096</w:t>
            </w:r>
          </w:p>
        </w:tc>
        <w:tc>
          <w:tcPr>
            <w:tcW w:w="100" w:type="dxa"/>
            <w:vAlign w:val="bottom"/>
          </w:tcPr>
          <w:p>
            <w:pPr>
              <w:spacing w:after="0"/>
              <w:rPr>
                <w:sz w:val="19"/>
                <w:szCs w:val="19"/>
                <w:color w:val="auto"/>
              </w:rPr>
            </w:pPr>
          </w:p>
        </w:tc>
        <w:tc>
          <w:tcPr>
            <w:tcW w:w="200" w:type="dxa"/>
            <w:vAlign w:val="bottom"/>
            <w:gridSpan w:val="2"/>
          </w:tcPr>
          <w:p>
            <w:pPr>
              <w:jc w:val="right"/>
              <w:ind w:right="100"/>
              <w:spacing w:after="0"/>
              <w:rPr>
                <w:sz w:val="20"/>
                <w:szCs w:val="20"/>
                <w:color w:val="auto"/>
              </w:rPr>
            </w:pPr>
            <w:r>
              <w:rPr>
                <w:rFonts w:ascii="Arial" w:cs="Arial" w:eastAsia="Arial" w:hAnsi="Arial"/>
                <w:sz w:val="17"/>
                <w:szCs w:val="17"/>
                <w:color w:val="auto"/>
                <w:w w:val="84"/>
              </w:rPr>
              <w:t>$</w:t>
            </w:r>
          </w:p>
        </w:tc>
        <w:tc>
          <w:tcPr>
            <w:tcW w:w="4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2,556,961</w:t>
            </w:r>
          </w:p>
        </w:tc>
        <w:tc>
          <w:tcPr>
            <w:tcW w:w="40" w:type="dxa"/>
            <w:vAlign w:val="bottom"/>
          </w:tcPr>
          <w:p>
            <w:pPr>
              <w:spacing w:after="0"/>
              <w:rPr>
                <w:sz w:val="19"/>
                <w:szCs w:val="19"/>
                <w:color w:val="auto"/>
              </w:rPr>
            </w:pPr>
          </w:p>
        </w:tc>
      </w:tr>
      <w:tr>
        <w:trPr>
          <w:trHeight w:val="222"/>
        </w:trPr>
        <w:tc>
          <w:tcPr>
            <w:tcW w:w="49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Central</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572,420</w:t>
            </w: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468,699</w:t>
            </w:r>
          </w:p>
        </w:tc>
        <w:tc>
          <w:tcPr>
            <w:tcW w:w="40" w:type="dxa"/>
            <w:vAlign w:val="bottom"/>
          </w:tcPr>
          <w:p>
            <w:pPr>
              <w:spacing w:after="0"/>
              <w:rPr>
                <w:sz w:val="19"/>
                <w:szCs w:val="19"/>
                <w:color w:val="auto"/>
              </w:rPr>
            </w:pPr>
          </w:p>
        </w:tc>
      </w:tr>
      <w:tr>
        <w:trPr>
          <w:trHeight w:val="222"/>
        </w:trPr>
        <w:tc>
          <w:tcPr>
            <w:tcW w:w="4940" w:type="dxa"/>
            <w:vAlign w:val="bottom"/>
          </w:tcPr>
          <w:p>
            <w:pPr>
              <w:ind w:left="220"/>
              <w:spacing w:after="0"/>
              <w:rPr>
                <w:sz w:val="20"/>
                <w:szCs w:val="20"/>
                <w:color w:val="auto"/>
              </w:rPr>
            </w:pPr>
            <w:r>
              <w:rPr>
                <w:rFonts w:ascii="Arial" w:cs="Arial" w:eastAsia="Arial" w:hAnsi="Arial"/>
                <w:sz w:val="17"/>
                <w:szCs w:val="17"/>
                <w:color w:val="auto"/>
              </w:rPr>
              <w:t>East</w:t>
            </w: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7"/>
                <w:szCs w:val="17"/>
                <w:color w:val="auto"/>
              </w:rPr>
              <w:t>344,144</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284,437</w:t>
            </w:r>
          </w:p>
        </w:tc>
        <w:tc>
          <w:tcPr>
            <w:tcW w:w="40" w:type="dxa"/>
            <w:vAlign w:val="bottom"/>
          </w:tcPr>
          <w:p>
            <w:pPr>
              <w:spacing w:after="0"/>
              <w:rPr>
                <w:sz w:val="19"/>
                <w:szCs w:val="19"/>
                <w:color w:val="auto"/>
              </w:rPr>
            </w:pPr>
          </w:p>
        </w:tc>
      </w:tr>
      <w:tr>
        <w:trPr>
          <w:trHeight w:val="222"/>
        </w:trPr>
        <w:tc>
          <w:tcPr>
            <w:tcW w:w="49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Corporate</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621,710</w:t>
            </w:r>
          </w:p>
        </w:tc>
        <w:tc>
          <w:tcPr>
            <w:tcW w:w="100" w:type="dxa"/>
            <w:vAlign w:val="bottom"/>
            <w:shd w:val="clear" w:color="auto" w:fill="CCEEFF"/>
          </w:tcPr>
          <w:p>
            <w:pPr>
              <w:spacing w:after="0"/>
              <w:rPr>
                <w:sz w:val="19"/>
                <w:szCs w:val="19"/>
                <w:color w:val="auto"/>
              </w:rPr>
            </w:pPr>
          </w:p>
        </w:tc>
        <w:tc>
          <w:tcPr>
            <w:tcW w:w="8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672,536</w:t>
            </w:r>
          </w:p>
        </w:tc>
        <w:tc>
          <w:tcPr>
            <w:tcW w:w="40" w:type="dxa"/>
            <w:vAlign w:val="bottom"/>
          </w:tcPr>
          <w:p>
            <w:pPr>
              <w:spacing w:after="0"/>
              <w:rPr>
                <w:sz w:val="19"/>
                <w:szCs w:val="19"/>
                <w:color w:val="auto"/>
              </w:rPr>
            </w:pPr>
          </w:p>
        </w:tc>
      </w:tr>
      <w:tr>
        <w:trPr>
          <w:trHeight w:val="215"/>
        </w:trPr>
        <w:tc>
          <w:tcPr>
            <w:tcW w:w="4940" w:type="dxa"/>
            <w:vAlign w:val="bottom"/>
          </w:tcPr>
          <w:p>
            <w:pPr>
              <w:ind w:left="340"/>
              <w:spacing w:after="0"/>
              <w:rPr>
                <w:sz w:val="20"/>
                <w:szCs w:val="20"/>
                <w:color w:val="auto"/>
              </w:rPr>
            </w:pPr>
            <w:r>
              <w:rPr>
                <w:rFonts w:ascii="Arial" w:cs="Arial" w:eastAsia="Arial" w:hAnsi="Arial"/>
                <w:sz w:val="17"/>
                <w:szCs w:val="17"/>
                <w:color w:val="auto"/>
              </w:rPr>
              <w:t>Total homebuilding assets</w:t>
            </w:r>
          </w:p>
        </w:tc>
        <w:tc>
          <w:tcPr>
            <w:tcW w:w="3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7"/>
                <w:szCs w:val="17"/>
                <w:color w:val="auto"/>
              </w:rPr>
              <w:t>4,119,370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3,982,633</w:t>
            </w:r>
          </w:p>
        </w:tc>
        <w:tc>
          <w:tcPr>
            <w:tcW w:w="40" w:type="dxa"/>
            <w:vAlign w:val="bottom"/>
          </w:tcPr>
          <w:p>
            <w:pPr>
              <w:spacing w:after="0"/>
              <w:rPr>
                <w:sz w:val="18"/>
                <w:szCs w:val="18"/>
                <w:color w:val="auto"/>
              </w:rPr>
            </w:pPr>
          </w:p>
        </w:tc>
      </w:tr>
      <w:tr>
        <w:trPr>
          <w:trHeight w:val="222"/>
        </w:trPr>
        <w:tc>
          <w:tcPr>
            <w:tcW w:w="49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Financial services</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40,787</w:t>
            </w:r>
          </w:p>
        </w:tc>
        <w:tc>
          <w:tcPr>
            <w:tcW w:w="100" w:type="dxa"/>
            <w:vAlign w:val="bottom"/>
            <w:shd w:val="clear" w:color="auto" w:fill="CCEEFF"/>
          </w:tcPr>
          <w:p>
            <w:pPr>
              <w:spacing w:after="0"/>
              <w:rPr>
                <w:sz w:val="19"/>
                <w:szCs w:val="19"/>
                <w:color w:val="auto"/>
              </w:rPr>
            </w:pPr>
          </w:p>
        </w:tc>
        <w:tc>
          <w:tcPr>
            <w:tcW w:w="8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39,347</w:t>
            </w:r>
          </w:p>
        </w:tc>
        <w:tc>
          <w:tcPr>
            <w:tcW w:w="40" w:type="dxa"/>
            <w:vAlign w:val="bottom"/>
          </w:tcPr>
          <w:p>
            <w:pPr>
              <w:spacing w:after="0"/>
              <w:rPr>
                <w:sz w:val="19"/>
                <w:szCs w:val="19"/>
                <w:color w:val="auto"/>
              </w:rPr>
            </w:pPr>
          </w:p>
        </w:tc>
      </w:tr>
      <w:tr>
        <w:trPr>
          <w:trHeight w:val="215"/>
        </w:trPr>
        <w:tc>
          <w:tcPr>
            <w:tcW w:w="4940" w:type="dxa"/>
            <w:vAlign w:val="bottom"/>
          </w:tcPr>
          <w:p>
            <w:pPr>
              <w:ind w:left="20"/>
              <w:spacing w:after="0"/>
              <w:rPr>
                <w:sz w:val="20"/>
                <w:szCs w:val="20"/>
                <w:color w:val="auto"/>
              </w:rPr>
            </w:pPr>
            <w:r>
              <w:rPr>
                <w:rFonts w:ascii="Arial" w:cs="Arial" w:eastAsia="Arial" w:hAnsi="Arial"/>
                <w:sz w:val="17"/>
                <w:szCs w:val="17"/>
                <w:color w:val="auto"/>
              </w:rPr>
              <w:t>Total</w:t>
            </w:r>
          </w:p>
        </w:tc>
        <w:tc>
          <w:tcPr>
            <w:tcW w:w="3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7"/>
                <w:szCs w:val="17"/>
                <w:color w:val="auto"/>
              </w:rPr>
              <w:t>4,160,157</w:t>
            </w:r>
          </w:p>
        </w:tc>
        <w:tc>
          <w:tcPr>
            <w:tcW w:w="100" w:type="dxa"/>
            <w:vAlign w:val="bottom"/>
          </w:tcPr>
          <w:p>
            <w:pPr>
              <w:spacing w:after="0"/>
              <w:rPr>
                <w:sz w:val="18"/>
                <w:szCs w:val="18"/>
                <w:color w:val="auto"/>
              </w:rPr>
            </w:pPr>
          </w:p>
        </w:tc>
        <w:tc>
          <w:tcPr>
            <w:tcW w:w="200" w:type="dxa"/>
            <w:vAlign w:val="bottom"/>
            <w:gridSpan w:val="2"/>
          </w:tcPr>
          <w:p>
            <w:pPr>
              <w:jc w:val="right"/>
              <w:ind w:right="100"/>
              <w:spacing w:after="0"/>
              <w:rPr>
                <w:sz w:val="20"/>
                <w:szCs w:val="20"/>
                <w:color w:val="auto"/>
              </w:rPr>
            </w:pPr>
            <w:r>
              <w:rPr>
                <w:rFonts w:ascii="Arial" w:cs="Arial" w:eastAsia="Arial" w:hAnsi="Arial"/>
                <w:sz w:val="17"/>
                <w:szCs w:val="17"/>
                <w:color w:val="auto"/>
                <w:w w:val="84"/>
              </w:rPr>
              <w:t>$</w:t>
            </w:r>
          </w:p>
        </w:tc>
        <w:tc>
          <w:tcPr>
            <w:tcW w:w="4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4,021,980</w:t>
            </w:r>
          </w:p>
        </w:tc>
        <w:tc>
          <w:tcPr>
            <w:tcW w:w="40" w:type="dxa"/>
            <w:vAlign w:val="bottom"/>
          </w:tcPr>
          <w:p>
            <w:pPr>
              <w:spacing w:after="0"/>
              <w:rPr>
                <w:sz w:val="18"/>
                <w:szCs w:val="18"/>
                <w:color w:val="auto"/>
              </w:rPr>
            </w:pPr>
          </w:p>
        </w:tc>
      </w:tr>
      <w:tr>
        <w:trPr>
          <w:trHeight w:val="20"/>
        </w:trPr>
        <w:tc>
          <w:tcPr>
            <w:tcW w:w="49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68" w:lineRule="exact"/>
        <w:rPr>
          <w:sz w:val="20"/>
          <w:szCs w:val="20"/>
          <w:color w:val="auto"/>
        </w:rPr>
      </w:pPr>
    </w:p>
    <w:p>
      <w:pPr>
        <w:spacing w:after="0"/>
        <w:rPr>
          <w:sz w:val="20"/>
          <w:szCs w:val="20"/>
          <w:color w:val="auto"/>
        </w:rPr>
      </w:pPr>
      <w:r>
        <w:rPr>
          <w:rFonts w:ascii="Arial" w:cs="Arial" w:eastAsia="Arial" w:hAnsi="Arial"/>
          <w:sz w:val="16"/>
          <w:szCs w:val="16"/>
          <w:color w:val="auto"/>
        </w:rPr>
        <w:t>__________</w:t>
      </w:r>
    </w:p>
    <w:p>
      <w:pPr>
        <w:spacing w:after="0" w:line="2" w:lineRule="exact"/>
        <w:rPr>
          <w:sz w:val="20"/>
          <w:szCs w:val="20"/>
          <w:color w:val="auto"/>
        </w:rPr>
      </w:pPr>
    </w:p>
    <w:p>
      <w:pPr>
        <w:ind w:left="640" w:right="40" w:hanging="400"/>
        <w:spacing w:after="0" w:line="265" w:lineRule="auto"/>
        <w:tabs>
          <w:tab w:leader="none" w:pos="501" w:val="left"/>
        </w:tabs>
        <w:numPr>
          <w:ilvl w:val="1"/>
          <w:numId w:val="3"/>
        </w:numPr>
        <w:rPr>
          <w:rFonts w:ascii="Arial" w:cs="Arial" w:eastAsia="Arial" w:hAnsi="Arial"/>
          <w:sz w:val="13"/>
          <w:szCs w:val="13"/>
          <w:color w:val="auto"/>
        </w:rPr>
      </w:pPr>
      <w:r>
        <w:rPr>
          <w:rFonts w:ascii="Arial" w:cs="Arial" w:eastAsia="Arial" w:hAnsi="Arial"/>
          <w:sz w:val="13"/>
          <w:szCs w:val="13"/>
          <w:color w:val="auto"/>
        </w:rPr>
        <w:t xml:space="preserve">Total assets as of June 30, 2021 and December 31, 2020 includes $139.3 million of goodwill, with $125.4 million included in the West segment, $8.3 million included in the Central segment and $5.6 million included in the East segment. Total Corporate assets as of June 30, 2021 and December 31, 2020 includes our Tri Pointe Homes trade name, which was historically included in our Tri Pointe Homes reportable segment. For further details on goodwill and our intangible assets, see Note 8, </w:t>
      </w:r>
      <w:r>
        <w:rPr>
          <w:rFonts w:ascii="Arial" w:cs="Arial" w:eastAsia="Arial" w:hAnsi="Arial"/>
          <w:sz w:val="13"/>
          <w:szCs w:val="13"/>
          <w:i w:val="1"/>
          <w:iCs w:val="1"/>
          <w:color w:val="auto"/>
        </w:rPr>
        <w:t>Goodwill and Other Intangible Assets</w:t>
      </w:r>
      <w:r>
        <w:rPr>
          <w:rFonts w:ascii="Arial" w:cs="Arial" w:eastAsia="Arial" w:hAnsi="Arial"/>
          <w:sz w:val="13"/>
          <w:szCs w:val="13"/>
          <w:color w:val="auto"/>
        </w:rPr>
        <w:t>.</w:t>
      </w:r>
    </w:p>
    <w:p>
      <w:pPr>
        <w:spacing w:after="0" w:line="200" w:lineRule="exact"/>
        <w:rPr>
          <w:rFonts w:ascii="Arial" w:cs="Arial" w:eastAsia="Arial" w:hAnsi="Arial"/>
          <w:sz w:val="13"/>
          <w:szCs w:val="13"/>
          <w:color w:val="auto"/>
        </w:rPr>
      </w:pPr>
    </w:p>
    <w:p>
      <w:pPr>
        <w:spacing w:after="0" w:line="233" w:lineRule="exact"/>
        <w:rPr>
          <w:rFonts w:ascii="Arial" w:cs="Arial" w:eastAsia="Arial" w:hAnsi="Arial"/>
          <w:sz w:val="13"/>
          <w:szCs w:val="13"/>
          <w:color w:val="auto"/>
        </w:rPr>
      </w:pPr>
    </w:p>
    <w:p>
      <w:pPr>
        <w:ind w:left="300" w:hanging="295"/>
        <w:spacing w:after="0"/>
        <w:tabs>
          <w:tab w:leader="none" w:pos="300" w:val="left"/>
        </w:tabs>
        <w:numPr>
          <w:ilvl w:val="0"/>
          <w:numId w:val="4"/>
        </w:numPr>
        <w:rPr>
          <w:rFonts w:ascii="Arial" w:cs="Arial" w:eastAsia="Arial" w:hAnsi="Arial"/>
          <w:sz w:val="17"/>
          <w:szCs w:val="17"/>
          <w:b w:val="1"/>
          <w:bCs w:val="1"/>
          <w:color w:val="auto"/>
        </w:rPr>
      </w:pPr>
      <w:r>
        <w:rPr>
          <w:rFonts w:ascii="Arial" w:cs="Arial" w:eastAsia="Arial" w:hAnsi="Arial"/>
          <w:sz w:val="17"/>
          <w:szCs w:val="17"/>
          <w:b w:val="1"/>
          <w:bCs w:val="1"/>
          <w:color w:val="auto"/>
        </w:rPr>
        <w:t>Earnings Per Share</w:t>
      </w:r>
    </w:p>
    <w:p>
      <w:pPr>
        <w:spacing w:after="0" w:line="124" w:lineRule="exact"/>
        <w:rPr>
          <w:sz w:val="20"/>
          <w:szCs w:val="20"/>
          <w:color w:val="auto"/>
        </w:rPr>
      </w:pPr>
    </w:p>
    <w:p>
      <w:pPr>
        <w:ind w:right="220" w:firstLine="470"/>
        <w:spacing w:after="0" w:line="288" w:lineRule="auto"/>
        <w:rPr>
          <w:sz w:val="20"/>
          <w:szCs w:val="20"/>
          <w:color w:val="auto"/>
        </w:rPr>
      </w:pPr>
      <w:r>
        <w:rPr>
          <w:rFonts w:ascii="Arial" w:cs="Arial" w:eastAsia="Arial" w:hAnsi="Arial"/>
          <w:sz w:val="17"/>
          <w:szCs w:val="17"/>
          <w:color w:val="auto"/>
        </w:rPr>
        <w:t>The following table sets forth the components used in the computation of basic and diluted earnings per share (in thousands, except share and per share amounts):</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- 11 -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187"/>
        </w:trPr>
        <w:tc>
          <w:tcPr>
            <w:tcW w:w="53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800" w:type="dxa"/>
            <w:vAlign w:val="bottom"/>
            <w:gridSpan w:val="6"/>
          </w:tcPr>
          <w:p>
            <w:pPr>
              <w:ind w:left="260"/>
              <w:spacing w:after="0"/>
              <w:rPr>
                <w:sz w:val="20"/>
                <w:szCs w:val="20"/>
                <w:color w:val="auto"/>
              </w:rPr>
            </w:pPr>
            <w:r>
              <w:rPr>
                <w:rFonts w:ascii="Arial" w:cs="Arial" w:eastAsia="Arial" w:hAnsi="Arial"/>
                <w:sz w:val="14"/>
                <w:szCs w:val="14"/>
                <w:b w:val="1"/>
                <w:bCs w:val="1"/>
                <w:color w:val="auto"/>
              </w:rPr>
              <w:t>Three Months Ended June 30,</w:t>
            </w:r>
          </w:p>
        </w:tc>
        <w:tc>
          <w:tcPr>
            <w:tcW w:w="160" w:type="dxa"/>
            <w:vAlign w:val="bottom"/>
          </w:tcPr>
          <w:p>
            <w:pPr>
              <w:spacing w:after="0"/>
              <w:rPr>
                <w:sz w:val="16"/>
                <w:szCs w:val="16"/>
                <w:color w:val="auto"/>
              </w:rPr>
            </w:pPr>
          </w:p>
        </w:tc>
        <w:tc>
          <w:tcPr>
            <w:tcW w:w="2620" w:type="dxa"/>
            <w:vAlign w:val="bottom"/>
            <w:gridSpan w:val="8"/>
          </w:tcPr>
          <w:p>
            <w:pPr>
              <w:ind w:left="420"/>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81"/>
        </w:trPr>
        <w:tc>
          <w:tcPr>
            <w:tcW w:w="5380" w:type="dxa"/>
            <w:vAlign w:val="bottom"/>
            <w:tcBorders>
              <w:bottom w:val="single" w:sz="8" w:color="CCEEFF"/>
            </w:tcBorders>
          </w:tcPr>
          <w:p>
            <w:pPr>
              <w:spacing w:after="0"/>
              <w:rPr>
                <w:sz w:val="15"/>
                <w:szCs w:val="15"/>
                <w:color w:val="auto"/>
              </w:rPr>
            </w:pPr>
          </w:p>
        </w:tc>
        <w:tc>
          <w:tcPr>
            <w:tcW w:w="280" w:type="dxa"/>
            <w:vAlign w:val="bottom"/>
            <w:tcBorders>
              <w:top w:val="single" w:sz="8" w:color="auto"/>
              <w:bottom w:val="single" w:sz="8" w:color="auto"/>
            </w:tcBorders>
          </w:tcPr>
          <w:p>
            <w:pPr>
              <w:spacing w:after="0"/>
              <w:rPr>
                <w:sz w:val="15"/>
                <w:szCs w:val="15"/>
                <w:color w:val="auto"/>
              </w:rPr>
            </w:pPr>
          </w:p>
        </w:tc>
        <w:tc>
          <w:tcPr>
            <w:tcW w:w="1120" w:type="dxa"/>
            <w:vAlign w:val="bottom"/>
            <w:tcBorders>
              <w:top w:val="single" w:sz="8" w:color="auto"/>
              <w:bottom w:val="single" w:sz="8" w:color="auto"/>
            </w:tcBorders>
          </w:tcPr>
          <w:p>
            <w:pPr>
              <w:jc w:val="right"/>
              <w:ind w:right="479"/>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5"/>
                <w:szCs w:val="15"/>
                <w:color w:val="auto"/>
              </w:rPr>
            </w:pPr>
          </w:p>
        </w:tc>
        <w:tc>
          <w:tcPr>
            <w:tcW w:w="280" w:type="dxa"/>
            <w:vAlign w:val="bottom"/>
            <w:tcBorders>
              <w:top w:val="single" w:sz="8" w:color="auto"/>
              <w:bottom w:val="single" w:sz="8" w:color="auto"/>
            </w:tcBorders>
          </w:tcPr>
          <w:p>
            <w:pPr>
              <w:spacing w:after="0"/>
              <w:rPr>
                <w:sz w:val="15"/>
                <w:szCs w:val="15"/>
                <w:color w:val="auto"/>
              </w:rPr>
            </w:pPr>
          </w:p>
        </w:tc>
        <w:tc>
          <w:tcPr>
            <w:tcW w:w="1120" w:type="dxa"/>
            <w:vAlign w:val="bottom"/>
            <w:tcBorders>
              <w:top w:val="single" w:sz="8" w:color="auto"/>
              <w:bottom w:val="single" w:sz="8" w:color="auto"/>
            </w:tcBorders>
            <w:gridSpan w:val="2"/>
          </w:tcPr>
          <w:p>
            <w:pPr>
              <w:jc w:val="right"/>
              <w:ind w:right="490"/>
              <w:spacing w:after="0"/>
              <w:rPr>
                <w:sz w:val="20"/>
                <w:szCs w:val="20"/>
                <w:color w:val="auto"/>
              </w:rPr>
            </w:pPr>
            <w:r>
              <w:rPr>
                <w:rFonts w:ascii="Arial" w:cs="Arial" w:eastAsia="Arial" w:hAnsi="Arial"/>
                <w:sz w:val="14"/>
                <w:szCs w:val="14"/>
                <w:b w:val="1"/>
                <w:bCs w:val="1"/>
                <w:color w:val="auto"/>
              </w:rPr>
              <w:t>2020</w:t>
            </w:r>
          </w:p>
        </w:tc>
        <w:tc>
          <w:tcPr>
            <w:tcW w:w="180" w:type="dxa"/>
            <w:vAlign w:val="bottom"/>
            <w:tcBorders>
              <w:bottom w:val="single" w:sz="8" w:color="CCEEFF"/>
            </w:tcBorders>
          </w:tcPr>
          <w:p>
            <w:pPr>
              <w:spacing w:after="0"/>
              <w:rPr>
                <w:sz w:val="15"/>
                <w:szCs w:val="15"/>
                <w:color w:val="auto"/>
              </w:rPr>
            </w:pPr>
          </w:p>
        </w:tc>
        <w:tc>
          <w:tcPr>
            <w:tcW w:w="16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gridSpan w:val="2"/>
          </w:tcPr>
          <w:p>
            <w:pPr>
              <w:jc w:val="right"/>
              <w:ind w:right="100"/>
              <w:spacing w:after="0"/>
              <w:rPr>
                <w:sz w:val="20"/>
                <w:szCs w:val="20"/>
                <w:color w:val="auto"/>
              </w:rPr>
            </w:pPr>
            <w:r>
              <w:rPr>
                <w:rFonts w:ascii="Arial" w:cs="Arial" w:eastAsia="Arial" w:hAnsi="Arial"/>
                <w:sz w:val="14"/>
                <w:szCs w:val="14"/>
                <w:b w:val="1"/>
                <w:bCs w:val="1"/>
                <w:color w:val="auto"/>
              </w:rPr>
              <w:t>2021</w:t>
            </w:r>
          </w:p>
        </w:tc>
        <w:tc>
          <w:tcPr>
            <w:tcW w:w="360" w:type="dxa"/>
            <w:vAlign w:val="bottom"/>
            <w:tcBorders>
              <w:top w:val="single" w:sz="8" w:color="auto"/>
              <w:bottom w:val="single" w:sz="8" w:color="auto"/>
            </w:tcBorders>
          </w:tcPr>
          <w:p>
            <w:pPr>
              <w:spacing w:after="0"/>
              <w:rPr>
                <w:sz w:val="15"/>
                <w:szCs w:val="15"/>
                <w:color w:val="auto"/>
              </w:rPr>
            </w:pPr>
          </w:p>
        </w:tc>
        <w:tc>
          <w:tcPr>
            <w:tcW w:w="60" w:type="dxa"/>
            <w:vAlign w:val="bottom"/>
            <w:tcBorders>
              <w:top w:val="single" w:sz="8" w:color="auto"/>
              <w:bottom w:val="single" w:sz="8" w:color="auto"/>
            </w:tcBorders>
          </w:tcPr>
          <w:p>
            <w:pPr>
              <w:spacing w:after="0"/>
              <w:rPr>
                <w:sz w:val="15"/>
                <w:szCs w:val="15"/>
                <w:color w:val="auto"/>
              </w:rPr>
            </w:pPr>
          </w:p>
        </w:tc>
        <w:tc>
          <w:tcPr>
            <w:tcW w:w="100" w:type="dxa"/>
            <w:vAlign w:val="bottom"/>
            <w:tcBorders>
              <w:top w:val="single" w:sz="8" w:color="auto"/>
              <w:bottom w:val="single" w:sz="8" w:color="CCEEFF"/>
            </w:tcBorders>
          </w:tcPr>
          <w:p>
            <w:pPr>
              <w:spacing w:after="0"/>
              <w:rPr>
                <w:sz w:val="15"/>
                <w:szCs w:val="15"/>
                <w:color w:val="auto"/>
              </w:rPr>
            </w:pPr>
          </w:p>
        </w:tc>
        <w:tc>
          <w:tcPr>
            <w:tcW w:w="280" w:type="dxa"/>
            <w:vAlign w:val="bottom"/>
            <w:tcBorders>
              <w:top w:val="single" w:sz="8" w:color="auto"/>
              <w:bottom w:val="single" w:sz="8" w:color="auto"/>
            </w:tcBorders>
          </w:tcPr>
          <w:p>
            <w:pPr>
              <w:spacing w:after="0"/>
              <w:rPr>
                <w:sz w:val="15"/>
                <w:szCs w:val="15"/>
                <w:color w:val="auto"/>
              </w:rPr>
            </w:pPr>
          </w:p>
        </w:tc>
        <w:tc>
          <w:tcPr>
            <w:tcW w:w="1060" w:type="dxa"/>
            <w:vAlign w:val="bottom"/>
            <w:tcBorders>
              <w:top w:val="single" w:sz="8" w:color="auto"/>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2020</w:t>
            </w:r>
          </w:p>
        </w:tc>
        <w:tc>
          <w:tcPr>
            <w:tcW w:w="40" w:type="dxa"/>
            <w:vAlign w:val="bottom"/>
            <w:tcBorders>
              <w:top w:val="single" w:sz="8" w:color="auto"/>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5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Numerator:</w:t>
            </w:r>
          </w:p>
        </w:tc>
        <w:tc>
          <w:tcPr>
            <w:tcW w:w="2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5380" w:type="dxa"/>
            <w:vAlign w:val="bottom"/>
          </w:tcPr>
          <w:p>
            <w:pPr>
              <w:ind w:left="220"/>
              <w:spacing w:after="0"/>
              <w:rPr>
                <w:sz w:val="20"/>
                <w:szCs w:val="20"/>
                <w:color w:val="auto"/>
              </w:rPr>
            </w:pPr>
            <w:r>
              <w:rPr>
                <w:rFonts w:ascii="Arial" w:cs="Arial" w:eastAsia="Arial" w:hAnsi="Arial"/>
                <w:sz w:val="17"/>
                <w:szCs w:val="17"/>
                <w:color w:val="auto"/>
              </w:rPr>
              <w:t>Net income</w:t>
            </w:r>
          </w:p>
        </w:tc>
        <w:tc>
          <w:tcPr>
            <w:tcW w:w="280" w:type="dxa"/>
            <w:vAlign w:val="bottom"/>
          </w:tcPr>
          <w:p>
            <w:pPr>
              <w:ind w:left="20"/>
              <w:spacing w:after="0"/>
              <w:rPr>
                <w:sz w:val="20"/>
                <w:szCs w:val="20"/>
                <w:color w:val="auto"/>
              </w:rPr>
            </w:pPr>
            <w:r>
              <w:rPr>
                <w:rFonts w:ascii="Arial" w:cs="Arial" w:eastAsia="Arial" w:hAnsi="Arial"/>
                <w:sz w:val="17"/>
                <w:szCs w:val="17"/>
                <w:color w:val="auto"/>
              </w:rPr>
              <w:t>$</w:t>
            </w:r>
          </w:p>
        </w:tc>
        <w:tc>
          <w:tcPr>
            <w:tcW w:w="1120" w:type="dxa"/>
            <w:vAlign w:val="bottom"/>
          </w:tcPr>
          <w:p>
            <w:pPr>
              <w:jc w:val="right"/>
              <w:spacing w:after="0"/>
              <w:rPr>
                <w:sz w:val="20"/>
                <w:szCs w:val="20"/>
                <w:color w:val="auto"/>
              </w:rPr>
            </w:pPr>
            <w:r>
              <w:rPr>
                <w:rFonts w:ascii="Arial" w:cs="Arial" w:eastAsia="Arial" w:hAnsi="Arial"/>
                <w:sz w:val="17"/>
                <w:szCs w:val="17"/>
                <w:color w:val="auto"/>
              </w:rPr>
              <w:t>117,869</w:t>
            </w:r>
          </w:p>
        </w:tc>
        <w:tc>
          <w:tcPr>
            <w:tcW w:w="100" w:type="dxa"/>
            <w:vAlign w:val="bottom"/>
          </w:tcPr>
          <w:p>
            <w:pPr>
              <w:spacing w:after="0"/>
              <w:rPr>
                <w:sz w:val="19"/>
                <w:szCs w:val="19"/>
                <w:color w:val="auto"/>
              </w:rPr>
            </w:pPr>
          </w:p>
        </w:tc>
        <w:tc>
          <w:tcPr>
            <w:tcW w:w="280" w:type="dxa"/>
            <w:vAlign w:val="bottom"/>
          </w:tcPr>
          <w:p>
            <w:pPr>
              <w:ind w:left="20"/>
              <w:spacing w:after="0"/>
              <w:rPr>
                <w:sz w:val="20"/>
                <w:szCs w:val="20"/>
                <w:color w:val="auto"/>
              </w:rPr>
            </w:pPr>
            <w:r>
              <w:rPr>
                <w:rFonts w:ascii="Arial" w:cs="Arial" w:eastAsia="Arial" w:hAnsi="Arial"/>
                <w:sz w:val="17"/>
                <w:szCs w:val="17"/>
                <w:color w:val="auto"/>
              </w:rPr>
              <w:t>$</w:t>
            </w:r>
          </w:p>
        </w:tc>
        <w:tc>
          <w:tcPr>
            <w:tcW w:w="1120" w:type="dxa"/>
            <w:vAlign w:val="bottom"/>
            <w:gridSpan w:val="2"/>
          </w:tcPr>
          <w:p>
            <w:pPr>
              <w:jc w:val="right"/>
              <w:ind w:right="10"/>
              <w:spacing w:after="0"/>
              <w:rPr>
                <w:sz w:val="20"/>
                <w:szCs w:val="20"/>
                <w:color w:val="auto"/>
              </w:rPr>
            </w:pPr>
            <w:r>
              <w:rPr>
                <w:rFonts w:ascii="Arial" w:cs="Arial" w:eastAsia="Arial" w:hAnsi="Arial"/>
                <w:sz w:val="17"/>
                <w:szCs w:val="17"/>
                <w:color w:val="auto"/>
              </w:rPr>
              <w:t>56,528</w:t>
            </w:r>
          </w:p>
        </w:tc>
        <w:tc>
          <w:tcPr>
            <w:tcW w:w="180" w:type="dxa"/>
            <w:vAlign w:val="bottom"/>
          </w:tcPr>
          <w:p>
            <w:pPr>
              <w:spacing w:after="0"/>
              <w:rPr>
                <w:sz w:val="19"/>
                <w:szCs w:val="19"/>
                <w:color w:val="auto"/>
              </w:rPr>
            </w:pPr>
          </w:p>
        </w:tc>
        <w:tc>
          <w:tcPr>
            <w:tcW w:w="160" w:type="dxa"/>
            <w:vAlign w:val="bottom"/>
          </w:tcPr>
          <w:p>
            <w:pPr>
              <w:ind w:left="20"/>
              <w:spacing w:after="0"/>
              <w:rPr>
                <w:sz w:val="20"/>
                <w:szCs w:val="20"/>
                <w:color w:val="auto"/>
              </w:rPr>
            </w:pPr>
            <w:r>
              <w:rPr>
                <w:rFonts w:ascii="Arial" w:cs="Arial" w:eastAsia="Arial" w:hAnsi="Arial"/>
                <w:sz w:val="17"/>
                <w:szCs w:val="17"/>
                <w:color w:val="auto"/>
              </w:rPr>
              <w:t>$</w:t>
            </w:r>
          </w:p>
        </w:tc>
        <w:tc>
          <w:tcPr>
            <w:tcW w:w="1080" w:type="dxa"/>
            <w:vAlign w:val="bottom"/>
            <w:gridSpan w:val="3"/>
          </w:tcPr>
          <w:p>
            <w:pPr>
              <w:jc w:val="right"/>
              <w:spacing w:after="0"/>
              <w:rPr>
                <w:sz w:val="20"/>
                <w:szCs w:val="20"/>
                <w:color w:val="auto"/>
              </w:rPr>
            </w:pPr>
            <w:r>
              <w:rPr>
                <w:rFonts w:ascii="Arial" w:cs="Arial" w:eastAsia="Arial" w:hAnsi="Arial"/>
                <w:sz w:val="17"/>
                <w:szCs w:val="17"/>
                <w:color w:val="auto"/>
              </w:rPr>
              <w:t>188,671</w:t>
            </w:r>
          </w:p>
        </w:tc>
        <w:tc>
          <w:tcPr>
            <w:tcW w:w="440" w:type="dxa"/>
            <w:vAlign w:val="bottom"/>
            <w:gridSpan w:val="3"/>
          </w:tcPr>
          <w:p>
            <w:pPr>
              <w:jc w:val="right"/>
              <w:ind w:right="93"/>
              <w:spacing w:after="0"/>
              <w:rPr>
                <w:sz w:val="20"/>
                <w:szCs w:val="20"/>
                <w:color w:val="auto"/>
              </w:rPr>
            </w:pPr>
            <w:r>
              <w:rPr>
                <w:rFonts w:ascii="Arial" w:cs="Arial" w:eastAsia="Arial" w:hAnsi="Arial"/>
                <w:sz w:val="17"/>
                <w:szCs w:val="17"/>
                <w:color w:val="auto"/>
              </w:rPr>
              <w:t>$</w:t>
            </w:r>
          </w:p>
        </w:tc>
        <w:tc>
          <w:tcPr>
            <w:tcW w:w="1060" w:type="dxa"/>
            <w:vAlign w:val="bottom"/>
          </w:tcPr>
          <w:p>
            <w:pPr>
              <w:jc w:val="right"/>
              <w:spacing w:after="0"/>
              <w:rPr>
                <w:sz w:val="20"/>
                <w:szCs w:val="20"/>
                <w:color w:val="auto"/>
              </w:rPr>
            </w:pPr>
            <w:r>
              <w:rPr>
                <w:rFonts w:ascii="Arial" w:cs="Arial" w:eastAsia="Arial" w:hAnsi="Arial"/>
                <w:sz w:val="17"/>
                <w:szCs w:val="17"/>
                <w:color w:val="auto"/>
              </w:rPr>
              <w:t>88,411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38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4"/>
        </w:trPr>
        <w:tc>
          <w:tcPr>
            <w:tcW w:w="5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Denominator:</w:t>
            </w:r>
          </w:p>
        </w:tc>
        <w:tc>
          <w:tcPr>
            <w:tcW w:w="2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5380" w:type="dxa"/>
            <w:vAlign w:val="bottom"/>
          </w:tcPr>
          <w:p>
            <w:pPr>
              <w:ind w:left="460"/>
              <w:spacing w:after="0"/>
              <w:rPr>
                <w:sz w:val="20"/>
                <w:szCs w:val="20"/>
                <w:color w:val="auto"/>
              </w:rPr>
            </w:pPr>
            <w:r>
              <w:rPr>
                <w:rFonts w:ascii="Arial" w:cs="Arial" w:eastAsia="Arial" w:hAnsi="Arial"/>
                <w:sz w:val="17"/>
                <w:szCs w:val="17"/>
                <w:color w:val="auto"/>
              </w:rPr>
              <w:t>Basic weighted-average shares outstanding</w:t>
            </w:r>
          </w:p>
        </w:tc>
        <w:tc>
          <w:tcPr>
            <w:tcW w:w="2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116,824,108</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20" w:type="dxa"/>
            <w:vAlign w:val="bottom"/>
            <w:gridSpan w:val="2"/>
          </w:tcPr>
          <w:p>
            <w:pPr>
              <w:jc w:val="right"/>
              <w:ind w:right="10"/>
              <w:spacing w:after="0"/>
              <w:rPr>
                <w:sz w:val="20"/>
                <w:szCs w:val="20"/>
                <w:color w:val="auto"/>
              </w:rPr>
            </w:pPr>
            <w:r>
              <w:rPr>
                <w:rFonts w:ascii="Arial" w:cs="Arial" w:eastAsia="Arial" w:hAnsi="Arial"/>
                <w:sz w:val="17"/>
                <w:szCs w:val="17"/>
                <w:color w:val="auto"/>
              </w:rPr>
              <w:t>130,292,563</w:t>
            </w: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gridSpan w:val="3"/>
          </w:tcPr>
          <w:p>
            <w:pPr>
              <w:jc w:val="right"/>
              <w:spacing w:after="0"/>
              <w:rPr>
                <w:sz w:val="20"/>
                <w:szCs w:val="20"/>
                <w:color w:val="auto"/>
              </w:rPr>
            </w:pPr>
            <w:r>
              <w:rPr>
                <w:rFonts w:ascii="Arial" w:cs="Arial" w:eastAsia="Arial" w:hAnsi="Arial"/>
                <w:sz w:val="17"/>
                <w:szCs w:val="17"/>
                <w:color w:val="auto"/>
              </w:rPr>
              <w:t>118,082,691</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132,326,856</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380" w:type="dxa"/>
            <w:vAlign w:val="bottom"/>
            <w:shd w:val="clear" w:color="auto" w:fill="CCEEFF"/>
          </w:tcPr>
          <w:p>
            <w:pPr>
              <w:ind w:left="460"/>
              <w:spacing w:after="0"/>
              <w:rPr>
                <w:sz w:val="20"/>
                <w:szCs w:val="20"/>
                <w:color w:val="auto"/>
              </w:rPr>
            </w:pPr>
            <w:r>
              <w:rPr>
                <w:rFonts w:ascii="Arial" w:cs="Arial" w:eastAsia="Arial" w:hAnsi="Arial"/>
                <w:sz w:val="17"/>
                <w:szCs w:val="17"/>
                <w:color w:val="auto"/>
              </w:rPr>
              <w:t>Effect of dilutive shares:</w:t>
            </w:r>
          </w:p>
        </w:tc>
        <w:tc>
          <w:tcPr>
            <w:tcW w:w="28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380" w:type="dxa"/>
            <w:vAlign w:val="bottom"/>
            <w:tcBorders>
              <w:bottom w:val="single" w:sz="8" w:color="CCEEFF"/>
            </w:tcBorders>
          </w:tcPr>
          <w:p>
            <w:pPr>
              <w:ind w:left="640"/>
              <w:spacing w:after="0"/>
              <w:rPr>
                <w:sz w:val="20"/>
                <w:szCs w:val="20"/>
                <w:color w:val="auto"/>
              </w:rPr>
            </w:pPr>
            <w:r>
              <w:rPr>
                <w:rFonts w:ascii="Arial" w:cs="Arial" w:eastAsia="Arial" w:hAnsi="Arial"/>
                <w:sz w:val="17"/>
                <w:szCs w:val="17"/>
                <w:color w:val="auto"/>
              </w:rPr>
              <w:t>Stock options and unvested restricted stock units</w:t>
            </w:r>
          </w:p>
        </w:tc>
        <w:tc>
          <w:tcPr>
            <w:tcW w:w="28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945,976</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gridSpan w:val="2"/>
          </w:tcPr>
          <w:p>
            <w:pPr>
              <w:jc w:val="right"/>
              <w:ind w:right="10"/>
              <w:spacing w:after="0"/>
              <w:rPr>
                <w:sz w:val="20"/>
                <w:szCs w:val="20"/>
                <w:color w:val="auto"/>
              </w:rPr>
            </w:pPr>
            <w:r>
              <w:rPr>
                <w:rFonts w:ascii="Arial" w:cs="Arial" w:eastAsia="Arial" w:hAnsi="Arial"/>
                <w:sz w:val="17"/>
                <w:szCs w:val="17"/>
                <w:color w:val="auto"/>
              </w:rPr>
              <w:t>214,004</w:t>
            </w:r>
          </w:p>
        </w:tc>
        <w:tc>
          <w:tcPr>
            <w:tcW w:w="1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color w:val="auto"/>
              </w:rPr>
              <w:t>838,649</w:t>
            </w:r>
          </w:p>
        </w:tc>
        <w:tc>
          <w:tcPr>
            <w:tcW w:w="6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436,919</w:t>
            </w:r>
          </w:p>
        </w:tc>
        <w:tc>
          <w:tcPr>
            <w:tcW w:w="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538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7"/>
                <w:szCs w:val="17"/>
                <w:color w:val="auto"/>
              </w:rPr>
              <w:t>Diluted weighted-average shares outstanding</w:t>
            </w:r>
          </w:p>
        </w:tc>
        <w:tc>
          <w:tcPr>
            <w:tcW w:w="280" w:type="dxa"/>
            <w:vAlign w:val="bottom"/>
            <w:tcBorders>
              <w:bottom w:val="single" w:sz="8" w:color="auto"/>
            </w:tcBorders>
            <w:shd w:val="clear" w:color="auto" w:fill="CCEEFF"/>
          </w:tcPr>
          <w:p>
            <w:pPr>
              <w:spacing w:after="0"/>
              <w:rPr>
                <w:sz w:val="20"/>
                <w:szCs w:val="20"/>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117,770,084</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spacing w:after="0"/>
              <w:rPr>
                <w:sz w:val="20"/>
                <w:szCs w:val="20"/>
                <w:color w:val="auto"/>
              </w:rPr>
            </w:pPr>
          </w:p>
        </w:tc>
        <w:tc>
          <w:tcPr>
            <w:tcW w:w="1120" w:type="dxa"/>
            <w:vAlign w:val="bottom"/>
            <w:tcBorders>
              <w:bottom w:val="single" w:sz="8" w:color="auto"/>
            </w:tcBorders>
            <w:gridSpan w:val="2"/>
            <w:shd w:val="clear" w:color="auto" w:fill="CCEEFF"/>
          </w:tcPr>
          <w:p>
            <w:pPr>
              <w:jc w:val="right"/>
              <w:ind w:right="10"/>
              <w:spacing w:after="0"/>
              <w:rPr>
                <w:sz w:val="20"/>
                <w:szCs w:val="20"/>
                <w:color w:val="auto"/>
              </w:rPr>
            </w:pPr>
            <w:r>
              <w:rPr>
                <w:rFonts w:ascii="Arial" w:cs="Arial" w:eastAsia="Arial" w:hAnsi="Arial"/>
                <w:sz w:val="17"/>
                <w:szCs w:val="17"/>
                <w:color w:val="auto"/>
              </w:rPr>
              <w:t>130,506,567</w:t>
            </w:r>
          </w:p>
        </w:tc>
        <w:tc>
          <w:tcPr>
            <w:tcW w:w="18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spacing w:after="0"/>
              <w:rPr>
                <w:sz w:val="20"/>
                <w:szCs w:val="20"/>
                <w:color w:val="auto"/>
              </w:rPr>
            </w:pPr>
          </w:p>
        </w:tc>
        <w:tc>
          <w:tcPr>
            <w:tcW w:w="10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7"/>
                <w:szCs w:val="17"/>
                <w:color w:val="auto"/>
              </w:rPr>
              <w:t>118,921,340</w:t>
            </w:r>
          </w:p>
        </w:tc>
        <w:tc>
          <w:tcPr>
            <w:tcW w:w="6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spacing w:after="0"/>
              <w:rPr>
                <w:sz w:val="20"/>
                <w:szCs w:val="20"/>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132,763,775</w:t>
            </w:r>
          </w:p>
        </w:tc>
        <w:tc>
          <w:tcPr>
            <w:tcW w:w="40" w:type="dxa"/>
            <w:vAlign w:val="bottom"/>
            <w:tcBorders>
              <w:bottom w:val="single" w:sz="8" w:color="auto"/>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3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Earnings per share</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8"/>
        </w:trPr>
        <w:tc>
          <w:tcPr>
            <w:tcW w:w="538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6"/>
        </w:trPr>
        <w:tc>
          <w:tcPr>
            <w:tcW w:w="5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2"/>
        </w:trPr>
        <w:tc>
          <w:tcPr>
            <w:tcW w:w="53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7"/>
                <w:szCs w:val="17"/>
                <w:color w:val="auto"/>
              </w:rPr>
              <w:t>Basic</w:t>
            </w:r>
          </w:p>
        </w:tc>
        <w:tc>
          <w:tcPr>
            <w:tcW w:w="2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0.43</w:t>
            </w:r>
          </w:p>
        </w:tc>
        <w:tc>
          <w:tcPr>
            <w:tcW w:w="1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620" w:type="dxa"/>
            <w:vAlign w:val="bottom"/>
            <w:tcBorders>
              <w:bottom w:val="single" w:sz="8" w:color="auto"/>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1.60</w:t>
            </w:r>
          </w:p>
        </w:tc>
        <w:tc>
          <w:tcPr>
            <w:tcW w:w="60" w:type="dxa"/>
            <w:vAlign w:val="bottom"/>
            <w:tcBorders>
              <w:bottom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0.67</w:t>
            </w:r>
          </w:p>
        </w:tc>
        <w:tc>
          <w:tcPr>
            <w:tcW w:w="40" w:type="dxa"/>
            <w:vAlign w:val="bottom"/>
            <w:tcBorders>
              <w:bottom w:val="single" w:sz="8" w:color="auto"/>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380" w:type="dxa"/>
            <w:vAlign w:val="bottom"/>
            <w:vMerge w:val="restart"/>
          </w:tcPr>
          <w:p>
            <w:pPr>
              <w:ind w:left="220"/>
              <w:spacing w:after="0"/>
              <w:rPr>
                <w:sz w:val="20"/>
                <w:szCs w:val="20"/>
                <w:color w:val="auto"/>
              </w:rPr>
            </w:pPr>
            <w:r>
              <w:rPr>
                <w:rFonts w:ascii="Arial" w:cs="Arial" w:eastAsia="Arial" w:hAnsi="Arial"/>
                <w:sz w:val="17"/>
                <w:szCs w:val="17"/>
                <w:color w:val="auto"/>
              </w:rPr>
              <w:t>Diluted</w:t>
            </w:r>
          </w:p>
        </w:tc>
        <w:tc>
          <w:tcPr>
            <w:tcW w:w="2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5380" w:type="dxa"/>
            <w:vAlign w:val="bottom"/>
            <w:vMerge w:val="continue"/>
          </w:tcPr>
          <w:p>
            <w:pPr>
              <w:spacing w:after="0"/>
              <w:rPr>
                <w:sz w:val="16"/>
                <w:szCs w:val="16"/>
                <w:color w:val="auto"/>
              </w:rPr>
            </w:pPr>
          </w:p>
        </w:tc>
        <w:tc>
          <w:tcPr>
            <w:tcW w:w="280" w:type="dxa"/>
            <w:vAlign w:val="bottom"/>
          </w:tcPr>
          <w:p>
            <w:pPr>
              <w:ind w:left="20"/>
              <w:spacing w:after="0"/>
              <w:rPr>
                <w:sz w:val="20"/>
                <w:szCs w:val="20"/>
                <w:color w:val="auto"/>
              </w:rPr>
            </w:pPr>
            <w:r>
              <w:rPr>
                <w:rFonts w:ascii="Arial" w:cs="Arial" w:eastAsia="Arial" w:hAnsi="Arial"/>
                <w:sz w:val="16"/>
                <w:szCs w:val="16"/>
                <w:color w:val="auto"/>
              </w:rPr>
              <w:t>$</w:t>
            </w:r>
          </w:p>
        </w:tc>
        <w:tc>
          <w:tcPr>
            <w:tcW w:w="1120" w:type="dxa"/>
            <w:vAlign w:val="bottom"/>
          </w:tcPr>
          <w:p>
            <w:pPr>
              <w:jc w:val="right"/>
              <w:spacing w:after="0"/>
              <w:rPr>
                <w:sz w:val="20"/>
                <w:szCs w:val="20"/>
                <w:color w:val="auto"/>
              </w:rPr>
            </w:pPr>
            <w:r>
              <w:rPr>
                <w:rFonts w:ascii="Arial" w:cs="Arial" w:eastAsia="Arial" w:hAnsi="Arial"/>
                <w:sz w:val="16"/>
                <w:szCs w:val="16"/>
                <w:color w:val="auto"/>
              </w:rPr>
              <w:t>1.00</w:t>
            </w:r>
          </w:p>
        </w:tc>
        <w:tc>
          <w:tcPr>
            <w:tcW w:w="100" w:type="dxa"/>
            <w:vAlign w:val="bottom"/>
          </w:tcPr>
          <w:p>
            <w:pPr>
              <w:spacing w:after="0"/>
              <w:rPr>
                <w:sz w:val="16"/>
                <w:szCs w:val="16"/>
                <w:color w:val="auto"/>
              </w:rPr>
            </w:pPr>
          </w:p>
        </w:tc>
        <w:tc>
          <w:tcPr>
            <w:tcW w:w="280" w:type="dxa"/>
            <w:vAlign w:val="bottom"/>
          </w:tcPr>
          <w:p>
            <w:pPr>
              <w:ind w:left="2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spacing w:after="0"/>
              <w:rPr>
                <w:sz w:val="20"/>
                <w:szCs w:val="20"/>
                <w:color w:val="auto"/>
              </w:rPr>
            </w:pPr>
            <w:r>
              <w:rPr>
                <w:rFonts w:ascii="Arial" w:cs="Arial" w:eastAsia="Arial" w:hAnsi="Arial"/>
                <w:sz w:val="16"/>
                <w:szCs w:val="16"/>
                <w:color w:val="auto"/>
              </w:rPr>
              <w:t>0.43</w:t>
            </w:r>
          </w:p>
        </w:tc>
        <w:tc>
          <w:tcPr>
            <w:tcW w:w="180" w:type="dxa"/>
            <w:vAlign w:val="bottom"/>
          </w:tcPr>
          <w:p>
            <w:pPr>
              <w:spacing w:after="0"/>
              <w:rPr>
                <w:sz w:val="16"/>
                <w:szCs w:val="16"/>
                <w:color w:val="auto"/>
              </w:rPr>
            </w:pPr>
          </w:p>
        </w:tc>
        <w:tc>
          <w:tcPr>
            <w:tcW w:w="160" w:type="dxa"/>
            <w:vAlign w:val="bottom"/>
          </w:tcPr>
          <w:p>
            <w:pPr>
              <w:ind w:left="20"/>
              <w:spacing w:after="0"/>
              <w:rPr>
                <w:sz w:val="20"/>
                <w:szCs w:val="20"/>
                <w:color w:val="auto"/>
              </w:rPr>
            </w:pPr>
            <w:r>
              <w:rPr>
                <w:rFonts w:ascii="Arial" w:cs="Arial" w:eastAsia="Arial" w:hAnsi="Arial"/>
                <w:sz w:val="16"/>
                <w:szCs w:val="16"/>
                <w:color w:val="auto"/>
              </w:rPr>
              <w:t>$</w:t>
            </w: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1.59</w:t>
            </w:r>
          </w:p>
        </w:tc>
        <w:tc>
          <w:tcPr>
            <w:tcW w:w="440" w:type="dxa"/>
            <w:vAlign w:val="bottom"/>
            <w:gridSpan w:val="3"/>
          </w:tcPr>
          <w:p>
            <w:pPr>
              <w:jc w:val="right"/>
              <w:ind w:right="93"/>
              <w:spacing w:after="0" w:line="194" w:lineRule="exact"/>
              <w:rPr>
                <w:sz w:val="20"/>
                <w:szCs w:val="20"/>
                <w:color w:val="auto"/>
              </w:rPr>
            </w:pPr>
            <w:r>
              <w:rPr>
                <w:rFonts w:ascii="Arial" w:cs="Arial" w:eastAsia="Arial" w:hAnsi="Arial"/>
                <w:sz w:val="17"/>
                <w:szCs w:val="17"/>
                <w:color w:val="auto"/>
              </w:rPr>
              <w:t>$</w:t>
            </w:r>
          </w:p>
        </w:tc>
        <w:tc>
          <w:tcPr>
            <w:tcW w:w="1060" w:type="dxa"/>
            <w:vAlign w:val="bottom"/>
          </w:tcPr>
          <w:p>
            <w:pPr>
              <w:jc w:val="right"/>
              <w:spacing w:after="0" w:line="194" w:lineRule="exact"/>
              <w:rPr>
                <w:sz w:val="20"/>
                <w:szCs w:val="20"/>
                <w:color w:val="auto"/>
              </w:rPr>
            </w:pPr>
            <w:r>
              <w:rPr>
                <w:rFonts w:ascii="Arial" w:cs="Arial" w:eastAsia="Arial" w:hAnsi="Arial"/>
                <w:sz w:val="17"/>
                <w:szCs w:val="17"/>
                <w:color w:val="auto"/>
              </w:rPr>
              <w:t>0.67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38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7"/>
        </w:trPr>
        <w:tc>
          <w:tcPr>
            <w:tcW w:w="5380" w:type="dxa"/>
            <w:vAlign w:val="bottom"/>
            <w:shd w:val="clear" w:color="auto" w:fill="CCEEFF"/>
          </w:tcPr>
          <w:p>
            <w:pPr>
              <w:ind w:left="20"/>
              <w:spacing w:after="0" w:line="137" w:lineRule="exact"/>
              <w:rPr>
                <w:sz w:val="20"/>
                <w:szCs w:val="20"/>
                <w:color w:val="auto"/>
              </w:rPr>
            </w:pPr>
            <w:r>
              <w:rPr>
                <w:rFonts w:ascii="Arial" w:cs="Arial" w:eastAsia="Arial" w:hAnsi="Arial"/>
                <w:sz w:val="15"/>
                <w:szCs w:val="15"/>
                <w:color w:val="auto"/>
              </w:rPr>
              <w:t>Antidilutive stock options and unvested restricted stock units not included</w:t>
            </w:r>
          </w:p>
        </w:tc>
        <w:tc>
          <w:tcPr>
            <w:tcW w:w="280" w:type="dxa"/>
            <w:vAlign w:val="bottom"/>
            <w:shd w:val="clear" w:color="auto" w:fill="CCEEFF"/>
          </w:tcPr>
          <w:p>
            <w:pPr>
              <w:spacing w:after="0"/>
              <w:rPr>
                <w:sz w:val="11"/>
                <w:szCs w:val="11"/>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1,805,413</w:t>
            </w:r>
          </w:p>
        </w:tc>
        <w:tc>
          <w:tcPr>
            <w:tcW w:w="1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120" w:type="dxa"/>
            <w:vAlign w:val="bottom"/>
            <w:gridSpan w:val="2"/>
            <w:vMerge w:val="restart"/>
            <w:shd w:val="clear" w:color="auto" w:fill="CCEEFF"/>
          </w:tcPr>
          <w:p>
            <w:pPr>
              <w:jc w:val="right"/>
              <w:ind w:right="10"/>
              <w:spacing w:after="0"/>
              <w:rPr>
                <w:sz w:val="20"/>
                <w:szCs w:val="20"/>
                <w:color w:val="auto"/>
              </w:rPr>
            </w:pPr>
            <w:r>
              <w:rPr>
                <w:rFonts w:ascii="Arial" w:cs="Arial" w:eastAsia="Arial" w:hAnsi="Arial"/>
                <w:sz w:val="17"/>
                <w:szCs w:val="17"/>
                <w:color w:val="auto"/>
              </w:rPr>
              <w:t>3,090,298</w:t>
            </w:r>
          </w:p>
        </w:tc>
        <w:tc>
          <w:tcPr>
            <w:tcW w:w="1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80" w:type="dxa"/>
            <w:vAlign w:val="bottom"/>
            <w:gridSpan w:val="3"/>
            <w:vMerge w:val="restart"/>
            <w:shd w:val="clear" w:color="auto" w:fill="CCEEFF"/>
          </w:tcPr>
          <w:p>
            <w:pPr>
              <w:jc w:val="right"/>
              <w:spacing w:after="0"/>
              <w:rPr>
                <w:sz w:val="20"/>
                <w:szCs w:val="20"/>
                <w:color w:val="auto"/>
              </w:rPr>
            </w:pPr>
            <w:r>
              <w:rPr>
                <w:rFonts w:ascii="Arial" w:cs="Arial" w:eastAsia="Arial" w:hAnsi="Arial"/>
                <w:sz w:val="17"/>
                <w:szCs w:val="17"/>
                <w:color w:val="auto"/>
              </w:rPr>
              <w:t>2,101,688</w:t>
            </w: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2,992,479</w:t>
            </w: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215"/>
        </w:trPr>
        <w:tc>
          <w:tcPr>
            <w:tcW w:w="5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in diluted earnings per share</w:t>
            </w:r>
          </w:p>
        </w:tc>
        <w:tc>
          <w:tcPr>
            <w:tcW w:w="28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gridSpan w:val="2"/>
            <w:vMerge w:val="continue"/>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gridSpan w:val="3"/>
            <w:vMerge w:val="continue"/>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vMerge w:val="continue"/>
            <w:shd w:val="clear" w:color="auto" w:fill="CCEEFF"/>
          </w:tcPr>
          <w:p>
            <w:pPr>
              <w:spacing w:after="0"/>
              <w:rPr>
                <w:sz w:val="18"/>
                <w:szCs w:val="18"/>
                <w:color w:val="auto"/>
              </w:rPr>
            </w:pPr>
          </w:p>
        </w:tc>
        <w:tc>
          <w:tcPr>
            <w:tcW w:w="4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38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7"/>
                <w:szCs w:val="17"/>
                <w:b w:val="1"/>
                <w:bCs w:val="1"/>
                <w:color w:val="auto"/>
              </w:rPr>
              <w:t>4.  Receivables</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78"/>
        </w:trPr>
        <w:tc>
          <w:tcPr>
            <w:tcW w:w="538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5380" w:type="dxa"/>
            <w:vAlign w:val="bottom"/>
          </w:tcPr>
          <w:p>
            <w:pPr>
              <w:ind w:left="480"/>
              <w:spacing w:after="0"/>
              <w:rPr>
                <w:sz w:val="20"/>
                <w:szCs w:val="20"/>
                <w:color w:val="auto"/>
              </w:rPr>
            </w:pPr>
            <w:r>
              <w:rPr>
                <w:rFonts w:ascii="Arial" w:cs="Arial" w:eastAsia="Arial" w:hAnsi="Arial"/>
                <w:sz w:val="17"/>
                <w:szCs w:val="17"/>
                <w:color w:val="auto"/>
              </w:rPr>
              <w:t>Receivables consisted of the following (in thousands):</w:t>
            </w:r>
          </w:p>
        </w:tc>
        <w:tc>
          <w:tcPr>
            <w:tcW w:w="2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6"/>
        </w:trPr>
        <w:tc>
          <w:tcPr>
            <w:tcW w:w="5380" w:type="dxa"/>
            <w:vAlign w:val="bottom"/>
            <w:tcBorders>
              <w:bottom w:val="single" w:sz="8" w:color="CCEEFF"/>
            </w:tcBorders>
          </w:tcPr>
          <w:p>
            <w:pPr>
              <w:spacing w:after="0"/>
              <w:rPr>
                <w:sz w:val="24"/>
                <w:szCs w:val="24"/>
                <w:color w:val="auto"/>
              </w:rPr>
            </w:pPr>
          </w:p>
        </w:tc>
        <w:tc>
          <w:tcPr>
            <w:tcW w:w="280" w:type="dxa"/>
            <w:vAlign w:val="bottom"/>
            <w:tcBorders>
              <w:bottom w:val="single" w:sz="8" w:color="CCEEFF"/>
            </w:tcBorders>
          </w:tcPr>
          <w:p>
            <w:pPr>
              <w:spacing w:after="0"/>
              <w:rPr>
                <w:sz w:val="24"/>
                <w:szCs w:val="24"/>
                <w:color w:val="auto"/>
              </w:rPr>
            </w:pPr>
          </w:p>
        </w:tc>
        <w:tc>
          <w:tcPr>
            <w:tcW w:w="112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CCEEFF"/>
            </w:tcBorders>
          </w:tcPr>
          <w:p>
            <w:pPr>
              <w:spacing w:after="0"/>
              <w:rPr>
                <w:sz w:val="24"/>
                <w:szCs w:val="24"/>
                <w:color w:val="auto"/>
              </w:rPr>
            </w:pPr>
          </w:p>
        </w:tc>
        <w:tc>
          <w:tcPr>
            <w:tcW w:w="220" w:type="dxa"/>
            <w:vAlign w:val="bottom"/>
            <w:tcBorders>
              <w:bottom w:val="single" w:sz="8" w:color="CCEEFF"/>
            </w:tcBorders>
          </w:tcPr>
          <w:p>
            <w:pPr>
              <w:spacing w:after="0"/>
              <w:rPr>
                <w:sz w:val="24"/>
                <w:szCs w:val="24"/>
                <w:color w:val="auto"/>
              </w:rPr>
            </w:pPr>
          </w:p>
        </w:tc>
        <w:tc>
          <w:tcPr>
            <w:tcW w:w="1860" w:type="dxa"/>
            <w:vAlign w:val="bottom"/>
            <w:tcBorders>
              <w:bottom w:val="single" w:sz="8" w:color="auto"/>
            </w:tcBorders>
            <w:gridSpan w:val="4"/>
          </w:tcPr>
          <w:p>
            <w:pPr>
              <w:jc w:val="right"/>
              <w:ind w:right="436"/>
              <w:spacing w:after="0"/>
              <w:rPr>
                <w:sz w:val="20"/>
                <w:szCs w:val="20"/>
                <w:color w:val="auto"/>
              </w:rPr>
            </w:pPr>
            <w:r>
              <w:rPr>
                <w:rFonts w:ascii="Arial" w:cs="Arial" w:eastAsia="Arial" w:hAnsi="Arial"/>
                <w:sz w:val="14"/>
                <w:szCs w:val="14"/>
                <w:b w:val="1"/>
                <w:bCs w:val="1"/>
                <w:color w:val="auto"/>
              </w:rPr>
              <w:t>June 30, 2021</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gridSpan w:val="4"/>
          </w:tcPr>
          <w:p>
            <w:pPr>
              <w:jc w:val="right"/>
              <w:ind w:right="274"/>
              <w:spacing w:after="0"/>
              <w:rPr>
                <w:sz w:val="20"/>
                <w:szCs w:val="20"/>
                <w:color w:val="auto"/>
              </w:rPr>
            </w:pPr>
            <w:r>
              <w:rPr>
                <w:rFonts w:ascii="Arial" w:cs="Arial" w:eastAsia="Arial" w:hAnsi="Arial"/>
                <w:sz w:val="14"/>
                <w:szCs w:val="14"/>
                <w:b w:val="1"/>
                <w:bCs w:val="1"/>
                <w:color w:val="auto"/>
                <w:w w:val="88"/>
              </w:rPr>
              <w:t>December 31, 2020</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5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Escrow proceeds and other accounts receivable, net</w:t>
            </w:r>
          </w:p>
        </w:tc>
        <w:tc>
          <w:tcPr>
            <w:tcW w:w="28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710"/>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44,829</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57"/>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16,642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3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Warranty insurance receivable (Note 13)</w:t>
            </w:r>
          </w:p>
        </w:tc>
        <w:tc>
          <w:tcPr>
            <w:tcW w:w="280" w:type="dxa"/>
            <w:vAlign w:val="bottom"/>
            <w:tcBorders>
              <w:bottom w:val="single" w:sz="8" w:color="CCEEFF"/>
            </w:tcBorders>
          </w:tcPr>
          <w:p>
            <w:pPr>
              <w:spacing w:after="0"/>
              <w:rPr>
                <w:sz w:val="19"/>
                <w:szCs w:val="19"/>
                <w:color w:val="auto"/>
              </w:rPr>
            </w:pPr>
          </w:p>
        </w:tc>
        <w:tc>
          <w:tcPr>
            <w:tcW w:w="11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CCEEFF"/>
            </w:tcBorders>
          </w:tcPr>
          <w:p>
            <w:pPr>
              <w:spacing w:after="0"/>
              <w:rPr>
                <w:sz w:val="19"/>
                <w:szCs w:val="19"/>
                <w:color w:val="auto"/>
              </w:rPr>
            </w:pPr>
          </w:p>
        </w:tc>
        <w:tc>
          <w:tcPr>
            <w:tcW w:w="220" w:type="dxa"/>
            <w:vAlign w:val="bottom"/>
            <w:tcBorders>
              <w:bottom w:val="single" w:sz="8" w:color="CCEEFF"/>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46,519</w:t>
            </w:r>
          </w:p>
        </w:tc>
        <w:tc>
          <w:tcPr>
            <w:tcW w:w="10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46,909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5"/>
        </w:trPr>
        <w:tc>
          <w:tcPr>
            <w:tcW w:w="5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receivables</w:t>
            </w:r>
          </w:p>
        </w:tc>
        <w:tc>
          <w:tcPr>
            <w:tcW w:w="280" w:type="dxa"/>
            <w:vAlign w:val="bottom"/>
            <w:shd w:val="clear" w:color="auto" w:fill="CCEEFF"/>
          </w:tcPr>
          <w:p>
            <w:pPr>
              <w:spacing w:after="0"/>
              <w:rPr>
                <w:sz w:val="20"/>
                <w:szCs w:val="20"/>
                <w:color w:val="auto"/>
              </w:rPr>
            </w:pPr>
          </w:p>
        </w:tc>
        <w:tc>
          <w:tcPr>
            <w:tcW w:w="1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710"/>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91,348</w:t>
            </w:r>
          </w:p>
        </w:tc>
        <w:tc>
          <w:tcPr>
            <w:tcW w:w="100" w:type="dxa"/>
            <w:vAlign w:val="bottom"/>
            <w:shd w:val="clear" w:color="auto" w:fill="CCEEFF"/>
          </w:tcPr>
          <w:p>
            <w:pPr>
              <w:spacing w:after="0"/>
              <w:rPr>
                <w:sz w:val="20"/>
                <w:szCs w:val="20"/>
                <w:color w:val="auto"/>
              </w:rPr>
            </w:pPr>
          </w:p>
        </w:tc>
        <w:tc>
          <w:tcPr>
            <w:tcW w:w="360" w:type="dxa"/>
            <w:vAlign w:val="bottom"/>
            <w:shd w:val="clear" w:color="auto" w:fill="CCEEFF"/>
          </w:tcPr>
          <w:p>
            <w:pPr>
              <w:jc w:val="right"/>
              <w:ind w:right="157"/>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63,551</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3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40" w:lineRule="exact"/>
        <w:rPr>
          <w:sz w:val="20"/>
          <w:szCs w:val="20"/>
          <w:color w:val="auto"/>
        </w:rPr>
      </w:pPr>
    </w:p>
    <w:p>
      <w:pPr>
        <w:ind w:right="140" w:firstLine="470"/>
        <w:spacing w:after="0" w:line="272" w:lineRule="auto"/>
        <w:rPr>
          <w:sz w:val="20"/>
          <w:szCs w:val="20"/>
          <w:color w:val="auto"/>
        </w:rPr>
      </w:pPr>
      <w:r>
        <w:rPr>
          <w:rFonts w:ascii="Arial" w:cs="Arial" w:eastAsia="Arial" w:hAnsi="Arial"/>
          <w:sz w:val="17"/>
          <w:szCs w:val="17"/>
          <w:color w:val="auto"/>
        </w:rPr>
        <w:t>Receivables are evaluated for collectability and allowances for potential losses are established or maintained on applicable receivables based on an expected credit loss approach. Receivables were net of allowances for doubtful accounts of $476,000 and $39,000 as of June 30, 2021 and December 31, 2020, respectively.</w:t>
      </w:r>
    </w:p>
    <w:p>
      <w:pPr>
        <w:spacing w:after="0" w:line="375" w:lineRule="exact"/>
        <w:rPr>
          <w:sz w:val="20"/>
          <w:szCs w:val="20"/>
          <w:color w:val="auto"/>
        </w:rPr>
      </w:pPr>
    </w:p>
    <w:p>
      <w:pPr>
        <w:spacing w:after="0"/>
        <w:tabs>
          <w:tab w:leader="none" w:pos="280" w:val="left"/>
        </w:tabs>
        <w:rPr>
          <w:sz w:val="20"/>
          <w:szCs w:val="20"/>
          <w:color w:val="auto"/>
        </w:rPr>
      </w:pPr>
      <w:r>
        <w:rPr>
          <w:rFonts w:ascii="Arial" w:cs="Arial" w:eastAsia="Arial" w:hAnsi="Arial"/>
          <w:sz w:val="17"/>
          <w:szCs w:val="17"/>
          <w:b w:val="1"/>
          <w:bCs w:val="1"/>
          <w:color w:val="auto"/>
        </w:rPr>
        <w:t>5.</w:t>
      </w:r>
      <w:r>
        <w:rPr>
          <w:sz w:val="20"/>
          <w:szCs w:val="20"/>
          <w:color w:val="auto"/>
        </w:rPr>
        <w:tab/>
      </w:r>
      <w:r>
        <w:rPr>
          <w:rFonts w:ascii="Arial" w:cs="Arial" w:eastAsia="Arial" w:hAnsi="Arial"/>
          <w:sz w:val="15"/>
          <w:szCs w:val="15"/>
          <w:b w:val="1"/>
          <w:bCs w:val="1"/>
          <w:color w:val="auto"/>
        </w:rPr>
        <w:t>Real Estate Inventories</w:t>
      </w:r>
    </w:p>
    <w:p>
      <w:pPr>
        <w:spacing w:after="0" w:line="124" w:lineRule="exact"/>
        <w:rPr>
          <w:sz w:val="20"/>
          <w:szCs w:val="20"/>
          <w:color w:val="auto"/>
        </w:rPr>
      </w:pPr>
    </w:p>
    <w:p>
      <w:pPr>
        <w:ind w:left="480"/>
        <w:spacing w:after="0"/>
        <w:rPr>
          <w:sz w:val="20"/>
          <w:szCs w:val="20"/>
          <w:color w:val="auto"/>
        </w:rPr>
      </w:pPr>
      <w:r>
        <w:rPr>
          <w:rFonts w:ascii="Arial" w:cs="Arial" w:eastAsia="Arial" w:hAnsi="Arial"/>
          <w:sz w:val="17"/>
          <w:szCs w:val="17"/>
          <w:color w:val="auto"/>
        </w:rPr>
        <w:t>Real estate inventories consisted of the following (in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7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560" w:type="dxa"/>
            <w:vAlign w:val="bottom"/>
            <w:gridSpan w:val="2"/>
          </w:tcPr>
          <w:p>
            <w:pPr>
              <w:ind w:left="180"/>
              <w:spacing w:after="0"/>
              <w:rPr>
                <w:sz w:val="20"/>
                <w:szCs w:val="20"/>
                <w:color w:val="auto"/>
              </w:rPr>
            </w:pPr>
            <w:r>
              <w:rPr>
                <w:rFonts w:ascii="Arial" w:cs="Arial" w:eastAsia="Arial" w:hAnsi="Arial"/>
                <w:sz w:val="14"/>
                <w:szCs w:val="14"/>
                <w:b w:val="1"/>
                <w:bCs w:val="1"/>
                <w:color w:val="auto"/>
              </w:rPr>
              <w:t>June 30, 2021</w:t>
            </w:r>
          </w:p>
        </w:tc>
        <w:tc>
          <w:tcPr>
            <w:tcW w:w="220" w:type="dxa"/>
            <w:vAlign w:val="bottom"/>
          </w:tcPr>
          <w:p>
            <w:pPr>
              <w:spacing w:after="0"/>
              <w:rPr>
                <w:sz w:val="16"/>
                <w:szCs w:val="16"/>
                <w:color w:val="auto"/>
              </w:rPr>
            </w:pPr>
          </w:p>
        </w:tc>
        <w:tc>
          <w:tcPr>
            <w:tcW w:w="1540" w:type="dxa"/>
            <w:vAlign w:val="bottom"/>
          </w:tcPr>
          <w:p>
            <w:pPr>
              <w:jc w:val="right"/>
              <w:ind w:right="235"/>
              <w:spacing w:after="0"/>
              <w:rPr>
                <w:sz w:val="20"/>
                <w:szCs w:val="20"/>
                <w:color w:val="auto"/>
              </w:rPr>
            </w:pPr>
            <w:r>
              <w:rPr>
                <w:rFonts w:ascii="Arial" w:cs="Arial" w:eastAsia="Arial" w:hAnsi="Arial"/>
                <w:sz w:val="14"/>
                <w:szCs w:val="14"/>
                <w:b w:val="1"/>
                <w:bCs w:val="1"/>
                <w:color w:val="auto"/>
                <w:w w:val="95"/>
              </w:rPr>
              <w:t>December 31, 2020</w:t>
            </w:r>
          </w:p>
        </w:tc>
      </w:tr>
      <w:tr>
        <w:trPr>
          <w:trHeight w:val="207"/>
        </w:trPr>
        <w:tc>
          <w:tcPr>
            <w:tcW w:w="76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Real estate inventories owned:</w:t>
            </w:r>
          </w:p>
        </w:tc>
        <w:tc>
          <w:tcPr>
            <w:tcW w:w="280" w:type="dxa"/>
            <w:vAlign w:val="bottom"/>
            <w:tcBorders>
              <w:top w:val="single" w:sz="8" w:color="auto"/>
            </w:tcBorders>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540" w:type="dxa"/>
            <w:vAlign w:val="bottom"/>
            <w:tcBorders>
              <w:top w:val="single" w:sz="8" w:color="auto"/>
            </w:tcBorders>
            <w:shd w:val="clear" w:color="auto" w:fill="CCEEFF"/>
          </w:tcPr>
          <w:p>
            <w:pPr>
              <w:spacing w:after="0"/>
              <w:rPr>
                <w:sz w:val="18"/>
                <w:szCs w:val="18"/>
                <w:color w:val="auto"/>
              </w:rPr>
            </w:pPr>
          </w:p>
        </w:tc>
      </w:tr>
      <w:tr>
        <w:trPr>
          <w:trHeight w:val="222"/>
        </w:trPr>
        <w:tc>
          <w:tcPr>
            <w:tcW w:w="7620" w:type="dxa"/>
            <w:vAlign w:val="bottom"/>
          </w:tcPr>
          <w:p>
            <w:pPr>
              <w:ind w:left="220"/>
              <w:spacing w:after="0"/>
              <w:rPr>
                <w:sz w:val="20"/>
                <w:szCs w:val="20"/>
                <w:color w:val="auto"/>
              </w:rPr>
            </w:pPr>
            <w:r>
              <w:rPr>
                <w:rFonts w:ascii="Arial" w:cs="Arial" w:eastAsia="Arial" w:hAnsi="Arial"/>
                <w:sz w:val="17"/>
                <w:szCs w:val="17"/>
                <w:color w:val="auto"/>
              </w:rPr>
              <w:t>Homes completed or under construction</w:t>
            </w:r>
          </w:p>
        </w:tc>
        <w:tc>
          <w:tcPr>
            <w:tcW w:w="280" w:type="dxa"/>
            <w:vAlign w:val="bottom"/>
          </w:tcPr>
          <w:p>
            <w:pPr>
              <w:jc w:val="right"/>
              <w:ind w:right="93"/>
              <w:spacing w:after="0"/>
              <w:rPr>
                <w:sz w:val="20"/>
                <w:szCs w:val="20"/>
                <w:color w:val="auto"/>
              </w:rPr>
            </w:pPr>
            <w:r>
              <w:rPr>
                <w:rFonts w:ascii="Arial" w:cs="Arial" w:eastAsia="Arial" w:hAnsi="Arial"/>
                <w:sz w:val="17"/>
                <w:szCs w:val="17"/>
                <w:color w:val="auto"/>
                <w:w w:val="84"/>
              </w:rPr>
              <w:t>$</w:t>
            </w:r>
          </w:p>
        </w:tc>
        <w:tc>
          <w:tcPr>
            <w:tcW w:w="1460" w:type="dxa"/>
            <w:vAlign w:val="bottom"/>
          </w:tcPr>
          <w:p>
            <w:pPr>
              <w:jc w:val="right"/>
              <w:spacing w:after="0"/>
              <w:rPr>
                <w:sz w:val="20"/>
                <w:szCs w:val="20"/>
                <w:color w:val="auto"/>
              </w:rPr>
            </w:pPr>
            <w:r>
              <w:rPr>
                <w:rFonts w:ascii="Arial" w:cs="Arial" w:eastAsia="Arial" w:hAnsi="Arial"/>
                <w:sz w:val="17"/>
                <w:szCs w:val="17"/>
                <w:color w:val="auto"/>
              </w:rPr>
              <w:t>1,331,086</w:t>
            </w:r>
          </w:p>
        </w:tc>
        <w:tc>
          <w:tcPr>
            <w:tcW w:w="100" w:type="dxa"/>
            <w:vAlign w:val="bottom"/>
          </w:tcPr>
          <w:p>
            <w:pPr>
              <w:spacing w:after="0"/>
              <w:rPr>
                <w:sz w:val="19"/>
                <w:szCs w:val="19"/>
                <w:color w:val="auto"/>
              </w:rPr>
            </w:pPr>
          </w:p>
        </w:tc>
        <w:tc>
          <w:tcPr>
            <w:tcW w:w="220" w:type="dxa"/>
            <w:vAlign w:val="bottom"/>
          </w:tcPr>
          <w:p>
            <w:pPr>
              <w:jc w:val="right"/>
              <w:ind w:right="13"/>
              <w:spacing w:after="0"/>
              <w:rPr>
                <w:sz w:val="20"/>
                <w:szCs w:val="20"/>
                <w:color w:val="auto"/>
              </w:rPr>
            </w:pPr>
            <w:r>
              <w:rPr>
                <w:rFonts w:ascii="Arial" w:cs="Arial" w:eastAsia="Arial" w:hAnsi="Arial"/>
                <w:sz w:val="17"/>
                <w:szCs w:val="17"/>
                <w:color w:val="auto"/>
              </w:rPr>
              <w:t>$</w:t>
            </w:r>
          </w:p>
        </w:tc>
        <w:tc>
          <w:tcPr>
            <w:tcW w:w="1540" w:type="dxa"/>
            <w:vAlign w:val="bottom"/>
          </w:tcPr>
          <w:p>
            <w:pPr>
              <w:jc w:val="right"/>
              <w:spacing w:after="0"/>
              <w:rPr>
                <w:sz w:val="20"/>
                <w:szCs w:val="20"/>
                <w:color w:val="auto"/>
              </w:rPr>
            </w:pPr>
            <w:r>
              <w:rPr>
                <w:rFonts w:ascii="Arial" w:cs="Arial" w:eastAsia="Arial" w:hAnsi="Arial"/>
                <w:sz w:val="17"/>
                <w:szCs w:val="17"/>
                <w:color w:val="auto"/>
              </w:rPr>
              <w:t>1,006,980</w:t>
            </w:r>
          </w:p>
        </w:tc>
      </w:tr>
      <w:tr>
        <w:trPr>
          <w:trHeight w:val="222"/>
        </w:trPr>
        <w:tc>
          <w:tcPr>
            <w:tcW w:w="76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Land under development</w:t>
            </w:r>
          </w:p>
        </w:tc>
        <w:tc>
          <w:tcPr>
            <w:tcW w:w="2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1,157,181</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1,328,481</w:t>
            </w:r>
          </w:p>
        </w:tc>
      </w:tr>
      <w:tr>
        <w:trPr>
          <w:trHeight w:val="222"/>
        </w:trPr>
        <w:tc>
          <w:tcPr>
            <w:tcW w:w="7620" w:type="dxa"/>
            <w:vAlign w:val="bottom"/>
          </w:tcPr>
          <w:p>
            <w:pPr>
              <w:ind w:left="220"/>
              <w:spacing w:after="0"/>
              <w:rPr>
                <w:sz w:val="20"/>
                <w:szCs w:val="20"/>
                <w:color w:val="auto"/>
              </w:rPr>
            </w:pPr>
            <w:r>
              <w:rPr>
                <w:rFonts w:ascii="Arial" w:cs="Arial" w:eastAsia="Arial" w:hAnsi="Arial"/>
                <w:sz w:val="17"/>
                <w:szCs w:val="17"/>
                <w:color w:val="auto"/>
              </w:rPr>
              <w:t>Land held for future development</w:t>
            </w:r>
          </w:p>
        </w:tc>
        <w:tc>
          <w:tcPr>
            <w:tcW w:w="2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200,214</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212,939</w:t>
            </w:r>
          </w:p>
        </w:tc>
      </w:tr>
      <w:tr>
        <w:trPr>
          <w:trHeight w:val="222"/>
        </w:trPr>
        <w:tc>
          <w:tcPr>
            <w:tcW w:w="76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Model homes</w:t>
            </w:r>
          </w:p>
        </w:tc>
        <w:tc>
          <w:tcPr>
            <w:tcW w:w="280" w:type="dxa"/>
            <w:vAlign w:val="bottom"/>
            <w:tcBorders>
              <w:bottom w:val="single" w:sz="8" w:color="auto"/>
            </w:tcBorders>
            <w:shd w:val="clear" w:color="auto" w:fill="CCEEFF"/>
          </w:tcPr>
          <w:p>
            <w:pPr>
              <w:spacing w:after="0"/>
              <w:rPr>
                <w:sz w:val="19"/>
                <w:szCs w:val="19"/>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230,429</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241,345</w:t>
            </w:r>
          </w:p>
        </w:tc>
      </w:tr>
      <w:tr>
        <w:trPr>
          <w:trHeight w:val="215"/>
        </w:trPr>
        <w:tc>
          <w:tcPr>
            <w:tcW w:w="7620" w:type="dxa"/>
            <w:vAlign w:val="bottom"/>
          </w:tcPr>
          <w:p>
            <w:pPr>
              <w:ind w:left="20"/>
              <w:spacing w:after="0"/>
              <w:rPr>
                <w:sz w:val="20"/>
                <w:szCs w:val="20"/>
                <w:color w:val="auto"/>
              </w:rPr>
            </w:pPr>
            <w:r>
              <w:rPr>
                <w:rFonts w:ascii="Arial" w:cs="Arial" w:eastAsia="Arial" w:hAnsi="Arial"/>
                <w:sz w:val="17"/>
                <w:szCs w:val="17"/>
                <w:color w:val="auto"/>
              </w:rPr>
              <w:t>Total real estate inventories owned</w:t>
            </w:r>
          </w:p>
        </w:tc>
        <w:tc>
          <w:tcPr>
            <w:tcW w:w="28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2,918,910</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2,789,745</w:t>
            </w:r>
          </w:p>
        </w:tc>
      </w:tr>
      <w:tr>
        <w:trPr>
          <w:trHeight w:val="222"/>
        </w:trPr>
        <w:tc>
          <w:tcPr>
            <w:tcW w:w="762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Real estate inventories not owned:</w:t>
            </w:r>
          </w:p>
        </w:tc>
        <w:tc>
          <w:tcPr>
            <w:tcW w:w="28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r>
      <w:tr>
        <w:trPr>
          <w:trHeight w:val="222"/>
        </w:trPr>
        <w:tc>
          <w:tcPr>
            <w:tcW w:w="762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Land purchase and land option deposits</w:t>
            </w:r>
          </w:p>
        </w:tc>
        <w:tc>
          <w:tcPr>
            <w:tcW w:w="28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166,672</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120,397</w:t>
            </w:r>
          </w:p>
        </w:tc>
      </w:tr>
      <w:tr>
        <w:trPr>
          <w:trHeight w:val="215"/>
        </w:trPr>
        <w:tc>
          <w:tcPr>
            <w:tcW w:w="76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real estate inventories not owned</w:t>
            </w:r>
          </w:p>
        </w:tc>
        <w:tc>
          <w:tcPr>
            <w:tcW w:w="280" w:type="dxa"/>
            <w:vAlign w:val="bottom"/>
            <w:tcBorders>
              <w:bottom w:val="single" w:sz="8" w:color="auto"/>
            </w:tcBorders>
            <w:shd w:val="clear" w:color="auto" w:fill="CCEEFF"/>
          </w:tcPr>
          <w:p>
            <w:pPr>
              <w:spacing w:after="0"/>
              <w:rPr>
                <w:sz w:val="18"/>
                <w:szCs w:val="18"/>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166,672</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120,397</w:t>
            </w:r>
          </w:p>
        </w:tc>
      </w:tr>
      <w:tr>
        <w:trPr>
          <w:trHeight w:val="215"/>
        </w:trPr>
        <w:tc>
          <w:tcPr>
            <w:tcW w:w="7620" w:type="dxa"/>
            <w:vAlign w:val="bottom"/>
          </w:tcPr>
          <w:p>
            <w:pPr>
              <w:ind w:left="20"/>
              <w:spacing w:after="0"/>
              <w:rPr>
                <w:sz w:val="20"/>
                <w:szCs w:val="20"/>
                <w:color w:val="auto"/>
              </w:rPr>
            </w:pPr>
            <w:r>
              <w:rPr>
                <w:rFonts w:ascii="Arial" w:cs="Arial" w:eastAsia="Arial" w:hAnsi="Arial"/>
                <w:sz w:val="17"/>
                <w:szCs w:val="17"/>
                <w:color w:val="auto"/>
              </w:rPr>
              <w:t>Total real estate inventories</w:t>
            </w:r>
          </w:p>
        </w:tc>
        <w:tc>
          <w:tcPr>
            <w:tcW w:w="280" w:type="dxa"/>
            <w:vAlign w:val="bottom"/>
            <w:tcBorders>
              <w:bottom w:val="single" w:sz="8" w:color="auto"/>
            </w:tcBorders>
          </w:tcPr>
          <w:p>
            <w:pPr>
              <w:jc w:val="right"/>
              <w:ind w:right="93"/>
              <w:spacing w:after="0"/>
              <w:rPr>
                <w:sz w:val="20"/>
                <w:szCs w:val="20"/>
                <w:color w:val="auto"/>
              </w:rPr>
            </w:pPr>
            <w:r>
              <w:rPr>
                <w:rFonts w:ascii="Arial" w:cs="Arial" w:eastAsia="Arial" w:hAnsi="Arial"/>
                <w:sz w:val="17"/>
                <w:szCs w:val="17"/>
                <w:color w:val="auto"/>
                <w:w w:val="84"/>
              </w:rPr>
              <w:t>$</w:t>
            </w: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3,085,582</w:t>
            </w:r>
          </w:p>
        </w:tc>
        <w:tc>
          <w:tcPr>
            <w:tcW w:w="100" w:type="dxa"/>
            <w:vAlign w:val="bottom"/>
          </w:tcPr>
          <w:p>
            <w:pPr>
              <w:spacing w:after="0"/>
              <w:rPr>
                <w:sz w:val="18"/>
                <w:szCs w:val="18"/>
                <w:color w:val="auto"/>
              </w:rPr>
            </w:pPr>
          </w:p>
        </w:tc>
        <w:tc>
          <w:tcPr>
            <w:tcW w:w="220" w:type="dxa"/>
            <w:vAlign w:val="bottom"/>
            <w:tcBorders>
              <w:bottom w:val="single" w:sz="8" w:color="auto"/>
            </w:tcBorders>
          </w:tcPr>
          <w:p>
            <w:pPr>
              <w:jc w:val="right"/>
              <w:ind w:right="13"/>
              <w:spacing w:after="0"/>
              <w:rPr>
                <w:sz w:val="20"/>
                <w:szCs w:val="20"/>
                <w:color w:val="auto"/>
              </w:rPr>
            </w:pPr>
            <w:r>
              <w:rPr>
                <w:rFonts w:ascii="Arial" w:cs="Arial" w:eastAsia="Arial" w:hAnsi="Arial"/>
                <w:sz w:val="17"/>
                <w:szCs w:val="17"/>
                <w:color w:val="auto"/>
              </w:rPr>
              <w:t>$</w:t>
            </w: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2,910,142</w:t>
            </w:r>
          </w:p>
        </w:tc>
      </w:tr>
      <w:tr>
        <w:trPr>
          <w:trHeight w:val="20"/>
        </w:trPr>
        <w:tc>
          <w:tcPr>
            <w:tcW w:w="76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ind w:right="80" w:firstLine="470"/>
        <w:spacing w:after="0" w:line="264" w:lineRule="auto"/>
        <w:rPr>
          <w:sz w:val="20"/>
          <w:szCs w:val="20"/>
          <w:color w:val="auto"/>
        </w:rPr>
      </w:pPr>
      <w:r>
        <w:rPr>
          <w:rFonts w:ascii="Arial" w:cs="Arial" w:eastAsia="Arial" w:hAnsi="Arial"/>
          <w:sz w:val="17"/>
          <w:szCs w:val="17"/>
          <w:color w:val="auto"/>
        </w:rPr>
        <w:t>Homes completed or under construction is comprised of costs associated with homes in various stages of construction and includes direct construction and related land acquisition and land development costs. Land under development primarily consists of land acquisition and land development costs, which include capitalized interest and real estate taxes, associated with land undergoing improvement activity. Land held for future development principally reflects land acquisition and land development costs related to land where development activity has not yet begun or has been suspended, but is expected to occur in the future.</w:t>
      </w: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32" w:right="339" w:bottom="1440" w:gutter="0" w:footer="0" w:header="0"/>
        </w:sectPr>
      </w:pPr>
    </w:p>
    <w:bookmarkStart w:id="13" w:name="page14"/>
    <w:bookmarkEnd w:id="13"/>
    <w:p>
      <w:pPr>
        <w:ind w:right="120" w:firstLine="470"/>
        <w:spacing w:after="0" w:line="288" w:lineRule="auto"/>
        <w:rPr>
          <w:sz w:val="20"/>
          <w:szCs w:val="20"/>
          <w:color w:val="auto"/>
        </w:rPr>
      </w:pPr>
      <w:r>
        <w:rPr>
          <w:rFonts w:ascii="Arial" w:cs="Arial" w:eastAsia="Arial" w:hAnsi="Arial"/>
          <w:sz w:val="17"/>
          <w:szCs w:val="17"/>
          <w:color w:val="auto"/>
        </w:rPr>
        <w:t xml:space="preserve">Real estate inventories not owned represents deposits related to land purchase and land and lot option agreements, as well as consolidated inventory held by variable interest entities. For further details, see Note 7, </w:t>
      </w:r>
      <w:r>
        <w:rPr>
          <w:rFonts w:ascii="Arial" w:cs="Arial" w:eastAsia="Arial" w:hAnsi="Arial"/>
          <w:sz w:val="17"/>
          <w:szCs w:val="17"/>
          <w:i w:val="1"/>
          <w:iCs w:val="1"/>
          <w:color w:val="auto"/>
        </w:rPr>
        <w:t>Variable Interest Entities</w:t>
      </w:r>
      <w:r>
        <w:rPr>
          <w:rFonts w:ascii="Arial" w:cs="Arial" w:eastAsia="Arial" w:hAnsi="Arial"/>
          <w:sz w:val="17"/>
          <w:szCs w:val="17"/>
          <w:color w:val="auto"/>
        </w:rPr>
        <w:t>.</w:t>
      </w:r>
    </w:p>
    <w:p>
      <w:pPr>
        <w:spacing w:after="0" w:line="158" w:lineRule="exact"/>
        <w:rPr>
          <w:sz w:val="20"/>
          <w:szCs w:val="20"/>
          <w:color w:val="auto"/>
        </w:rPr>
      </w:pPr>
    </w:p>
    <w:p>
      <w:pPr>
        <w:ind w:left="480"/>
        <w:spacing w:after="0"/>
        <w:rPr>
          <w:sz w:val="20"/>
          <w:szCs w:val="20"/>
          <w:color w:val="auto"/>
        </w:rPr>
      </w:pPr>
      <w:r>
        <w:rPr>
          <w:rFonts w:ascii="Arial" w:cs="Arial" w:eastAsia="Arial" w:hAnsi="Arial"/>
          <w:sz w:val="17"/>
          <w:szCs w:val="17"/>
          <w:color w:val="auto"/>
        </w:rPr>
        <w:t>Interest incurred, capitalized and expensed were as follows (in thousands):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52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740" w:type="dxa"/>
            <w:vAlign w:val="bottom"/>
            <w:gridSpan w:val="5"/>
          </w:tcPr>
          <w:p>
            <w:pPr>
              <w:ind w:left="240"/>
              <w:spacing w:after="0"/>
              <w:rPr>
                <w:sz w:val="20"/>
                <w:szCs w:val="20"/>
                <w:color w:val="auto"/>
              </w:rPr>
            </w:pPr>
            <w:r>
              <w:rPr>
                <w:rFonts w:ascii="Arial" w:cs="Arial" w:eastAsia="Arial" w:hAnsi="Arial"/>
                <w:sz w:val="14"/>
                <w:szCs w:val="14"/>
                <w:b w:val="1"/>
                <w:bCs w:val="1"/>
                <w:color w:val="auto"/>
              </w:rPr>
              <w:t>Three Months Ended June 30,</w:t>
            </w:r>
          </w:p>
        </w:tc>
        <w:tc>
          <w:tcPr>
            <w:tcW w:w="340" w:type="dxa"/>
            <w:vAlign w:val="bottom"/>
          </w:tcPr>
          <w:p>
            <w:pPr>
              <w:spacing w:after="0"/>
              <w:rPr>
                <w:sz w:val="16"/>
                <w:szCs w:val="16"/>
                <w:color w:val="auto"/>
              </w:rPr>
            </w:pPr>
          </w:p>
        </w:tc>
        <w:tc>
          <w:tcPr>
            <w:tcW w:w="2600" w:type="dxa"/>
            <w:vAlign w:val="bottom"/>
            <w:gridSpan w:val="4"/>
          </w:tcPr>
          <w:p>
            <w:pPr>
              <w:jc w:val="right"/>
              <w:ind w:right="575"/>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81"/>
        </w:trPr>
        <w:tc>
          <w:tcPr>
            <w:tcW w:w="5220" w:type="dxa"/>
            <w:vAlign w:val="bottom"/>
            <w:tcBorders>
              <w:bottom w:val="single" w:sz="8" w:color="CCEEFF"/>
            </w:tcBorders>
          </w:tcPr>
          <w:p>
            <w:pPr>
              <w:spacing w:after="0"/>
              <w:rPr>
                <w:sz w:val="15"/>
                <w:szCs w:val="15"/>
                <w:color w:val="auto"/>
              </w:rPr>
            </w:pPr>
          </w:p>
        </w:tc>
        <w:tc>
          <w:tcPr>
            <w:tcW w:w="340" w:type="dxa"/>
            <w:vAlign w:val="bottom"/>
            <w:tcBorders>
              <w:top w:val="single" w:sz="8" w:color="auto"/>
              <w:bottom w:val="single" w:sz="8" w:color="auto"/>
            </w:tcBorders>
          </w:tcPr>
          <w:p>
            <w:pPr>
              <w:spacing w:after="0"/>
              <w:rPr>
                <w:sz w:val="15"/>
                <w:szCs w:val="15"/>
                <w:color w:val="auto"/>
              </w:rPr>
            </w:pPr>
          </w:p>
        </w:tc>
        <w:tc>
          <w:tcPr>
            <w:tcW w:w="1060" w:type="dxa"/>
            <w:vAlign w:val="bottom"/>
            <w:tcBorders>
              <w:top w:val="single" w:sz="8" w:color="auto"/>
              <w:bottom w:val="single" w:sz="8" w:color="auto"/>
            </w:tcBorders>
          </w:tcPr>
          <w:p>
            <w:pPr>
              <w:jc w:val="right"/>
              <w:ind w:right="477"/>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bottom w:val="single" w:sz="8" w:color="CCEEFF"/>
            </w:tcBorders>
          </w:tcPr>
          <w:p>
            <w:pPr>
              <w:spacing w:after="0"/>
              <w:rPr>
                <w:sz w:val="15"/>
                <w:szCs w:val="15"/>
                <w:color w:val="auto"/>
              </w:rPr>
            </w:pPr>
          </w:p>
        </w:tc>
        <w:tc>
          <w:tcPr>
            <w:tcW w:w="340" w:type="dxa"/>
            <w:vAlign w:val="bottom"/>
            <w:tcBorders>
              <w:top w:val="single" w:sz="8" w:color="auto"/>
              <w:bottom w:val="single" w:sz="8" w:color="auto"/>
            </w:tcBorders>
          </w:tcPr>
          <w:p>
            <w:pPr>
              <w:spacing w:after="0"/>
              <w:rPr>
                <w:sz w:val="15"/>
                <w:szCs w:val="15"/>
                <w:color w:val="auto"/>
              </w:rPr>
            </w:pPr>
          </w:p>
        </w:tc>
        <w:tc>
          <w:tcPr>
            <w:tcW w:w="1060" w:type="dxa"/>
            <w:vAlign w:val="bottom"/>
            <w:tcBorders>
              <w:top w:val="single" w:sz="8" w:color="auto"/>
              <w:bottom w:val="single" w:sz="8" w:color="auto"/>
            </w:tcBorders>
          </w:tcPr>
          <w:p>
            <w:pPr>
              <w:jc w:val="right"/>
              <w:ind w:right="475"/>
              <w:spacing w:after="0"/>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CEEFF"/>
            </w:tcBorders>
          </w:tcPr>
          <w:p>
            <w:pPr>
              <w:spacing w:after="0"/>
              <w:rPr>
                <w:sz w:val="15"/>
                <w:szCs w:val="15"/>
                <w:color w:val="auto"/>
              </w:rPr>
            </w:pPr>
          </w:p>
        </w:tc>
        <w:tc>
          <w:tcPr>
            <w:tcW w:w="340" w:type="dxa"/>
            <w:vAlign w:val="bottom"/>
            <w:tcBorders>
              <w:top w:val="single" w:sz="8" w:color="auto"/>
              <w:bottom w:val="single" w:sz="8" w:color="auto"/>
            </w:tcBorders>
          </w:tcPr>
          <w:p>
            <w:pPr>
              <w:spacing w:after="0"/>
              <w:rPr>
                <w:sz w:val="15"/>
                <w:szCs w:val="15"/>
                <w:color w:val="auto"/>
              </w:rPr>
            </w:pPr>
          </w:p>
        </w:tc>
        <w:tc>
          <w:tcPr>
            <w:tcW w:w="1060" w:type="dxa"/>
            <w:vAlign w:val="bottom"/>
            <w:tcBorders>
              <w:top w:val="single" w:sz="8" w:color="auto"/>
              <w:bottom w:val="single" w:sz="8" w:color="auto"/>
            </w:tcBorders>
          </w:tcPr>
          <w:p>
            <w:pPr>
              <w:jc w:val="right"/>
              <w:ind w:right="477"/>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bottom w:val="single" w:sz="8" w:color="CCEEFF"/>
            </w:tcBorders>
          </w:tcPr>
          <w:p>
            <w:pPr>
              <w:spacing w:after="0"/>
              <w:rPr>
                <w:sz w:val="15"/>
                <w:szCs w:val="15"/>
                <w:color w:val="auto"/>
              </w:rPr>
            </w:pPr>
          </w:p>
        </w:tc>
        <w:tc>
          <w:tcPr>
            <w:tcW w:w="340" w:type="dxa"/>
            <w:vAlign w:val="bottom"/>
            <w:tcBorders>
              <w:top w:val="single" w:sz="8" w:color="auto"/>
              <w:bottom w:val="single" w:sz="8" w:color="auto"/>
            </w:tcBorders>
          </w:tcPr>
          <w:p>
            <w:pPr>
              <w:spacing w:after="0"/>
              <w:rPr>
                <w:sz w:val="15"/>
                <w:szCs w:val="15"/>
                <w:color w:val="auto"/>
              </w:rPr>
            </w:pPr>
          </w:p>
        </w:tc>
        <w:tc>
          <w:tcPr>
            <w:tcW w:w="1060" w:type="dxa"/>
            <w:vAlign w:val="bottom"/>
            <w:tcBorders>
              <w:top w:val="single" w:sz="8" w:color="auto"/>
              <w:bottom w:val="single" w:sz="8" w:color="auto"/>
            </w:tcBorders>
          </w:tcPr>
          <w:p>
            <w:pPr>
              <w:jc w:val="right"/>
              <w:ind w:right="475"/>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6"/>
        </w:trPr>
        <w:tc>
          <w:tcPr>
            <w:tcW w:w="522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Interest incurred</w:t>
            </w:r>
          </w:p>
        </w:tc>
        <w:tc>
          <w:tcPr>
            <w:tcW w:w="34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22,558</w:t>
            </w: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21,828</w:t>
            </w: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43,737</w:t>
            </w: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42,607</w:t>
            </w:r>
          </w:p>
        </w:tc>
        <w:tc>
          <w:tcPr>
            <w:tcW w:w="0" w:type="dxa"/>
            <w:vAlign w:val="bottom"/>
          </w:tcPr>
          <w:p>
            <w:pPr>
              <w:spacing w:after="0"/>
              <w:rPr>
                <w:sz w:val="1"/>
                <w:szCs w:val="1"/>
                <w:color w:val="auto"/>
              </w:rPr>
            </w:pPr>
          </w:p>
        </w:tc>
      </w:tr>
      <w:tr>
        <w:trPr>
          <w:trHeight w:val="222"/>
        </w:trPr>
        <w:tc>
          <w:tcPr>
            <w:tcW w:w="522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Interest capitalized</w:t>
            </w:r>
          </w:p>
        </w:tc>
        <w:tc>
          <w:tcPr>
            <w:tcW w:w="3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(22,558)</w:t>
            </w:r>
          </w:p>
        </w:tc>
        <w:tc>
          <w:tcPr>
            <w:tcW w:w="14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(21,828)</w:t>
            </w:r>
          </w:p>
        </w:tc>
        <w:tc>
          <w:tcPr>
            <w:tcW w:w="14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(43,737)</w:t>
            </w:r>
          </w:p>
        </w:tc>
        <w:tc>
          <w:tcPr>
            <w:tcW w:w="14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(42,607)</w:t>
            </w:r>
          </w:p>
        </w:tc>
        <w:tc>
          <w:tcPr>
            <w:tcW w:w="0" w:type="dxa"/>
            <w:vAlign w:val="bottom"/>
          </w:tcPr>
          <w:p>
            <w:pPr>
              <w:spacing w:after="0"/>
              <w:rPr>
                <w:sz w:val="1"/>
                <w:szCs w:val="1"/>
                <w:color w:val="auto"/>
              </w:rPr>
            </w:pPr>
          </w:p>
        </w:tc>
      </w:tr>
      <w:tr>
        <w:trPr>
          <w:trHeight w:val="235"/>
        </w:trPr>
        <w:tc>
          <w:tcPr>
            <w:tcW w:w="522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Interest expensed</w:t>
            </w:r>
          </w:p>
        </w:tc>
        <w:tc>
          <w:tcPr>
            <w:tcW w:w="34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52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Capitalized interest in beginning inventory</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5220" w:type="dxa"/>
            <w:vAlign w:val="bottom"/>
            <w:vMerge w:val="continue"/>
          </w:tcPr>
          <w:p>
            <w:pPr>
              <w:spacing w:after="0"/>
              <w:rPr>
                <w:sz w:val="16"/>
                <w:szCs w:val="16"/>
                <w:color w:val="auto"/>
              </w:rPr>
            </w:pPr>
          </w:p>
        </w:tc>
        <w:tc>
          <w:tcPr>
            <w:tcW w:w="340" w:type="dxa"/>
            <w:vAlign w:val="bottom"/>
          </w:tcPr>
          <w:p>
            <w:pPr>
              <w:jc w:val="right"/>
              <w:ind w:right="153"/>
              <w:spacing w:after="0" w:line="194" w:lineRule="exact"/>
              <w:rPr>
                <w:sz w:val="20"/>
                <w:szCs w:val="20"/>
                <w:color w:val="auto"/>
              </w:rPr>
            </w:pPr>
            <w:r>
              <w:rPr>
                <w:rFonts w:ascii="Arial" w:cs="Arial" w:eastAsia="Arial" w:hAnsi="Arial"/>
                <w:sz w:val="17"/>
                <w:szCs w:val="17"/>
                <w:color w:val="auto"/>
                <w:w w:val="84"/>
              </w:rPr>
              <w:t>$</w:t>
            </w:r>
          </w:p>
        </w:tc>
        <w:tc>
          <w:tcPr>
            <w:tcW w:w="1060" w:type="dxa"/>
            <w:vAlign w:val="bottom"/>
          </w:tcPr>
          <w:p>
            <w:pPr>
              <w:jc w:val="right"/>
              <w:spacing w:after="0" w:line="194" w:lineRule="exact"/>
              <w:rPr>
                <w:sz w:val="20"/>
                <w:szCs w:val="20"/>
                <w:color w:val="auto"/>
              </w:rPr>
            </w:pPr>
            <w:r>
              <w:rPr>
                <w:rFonts w:ascii="Arial" w:cs="Arial" w:eastAsia="Arial" w:hAnsi="Arial"/>
                <w:sz w:val="17"/>
                <w:szCs w:val="17"/>
                <w:color w:val="auto"/>
              </w:rPr>
              <w:t>182,729</w:t>
            </w:r>
          </w:p>
        </w:tc>
        <w:tc>
          <w:tcPr>
            <w:tcW w:w="140" w:type="dxa"/>
            <w:vAlign w:val="bottom"/>
          </w:tcPr>
          <w:p>
            <w:pPr>
              <w:spacing w:after="0"/>
              <w:rPr>
                <w:sz w:val="16"/>
                <w:szCs w:val="16"/>
                <w:color w:val="auto"/>
              </w:rPr>
            </w:pPr>
          </w:p>
        </w:tc>
        <w:tc>
          <w:tcPr>
            <w:tcW w:w="340" w:type="dxa"/>
            <w:vAlign w:val="bottom"/>
          </w:tcPr>
          <w:p>
            <w:pPr>
              <w:jc w:val="right"/>
              <w:ind w:right="153"/>
              <w:spacing w:after="0" w:line="194" w:lineRule="exact"/>
              <w:rPr>
                <w:sz w:val="20"/>
                <w:szCs w:val="20"/>
                <w:color w:val="auto"/>
              </w:rPr>
            </w:pPr>
            <w:r>
              <w:rPr>
                <w:rFonts w:ascii="Arial" w:cs="Arial" w:eastAsia="Arial" w:hAnsi="Arial"/>
                <w:sz w:val="17"/>
                <w:szCs w:val="17"/>
                <w:color w:val="auto"/>
                <w:w w:val="84"/>
              </w:rPr>
              <w:t>$</w:t>
            </w:r>
          </w:p>
        </w:tc>
        <w:tc>
          <w:tcPr>
            <w:tcW w:w="1060" w:type="dxa"/>
            <w:vAlign w:val="bottom"/>
          </w:tcPr>
          <w:p>
            <w:pPr>
              <w:jc w:val="right"/>
              <w:spacing w:after="0" w:line="194" w:lineRule="exact"/>
              <w:rPr>
                <w:sz w:val="20"/>
                <w:szCs w:val="20"/>
                <w:color w:val="auto"/>
              </w:rPr>
            </w:pPr>
            <w:r>
              <w:rPr>
                <w:rFonts w:ascii="Arial" w:cs="Arial" w:eastAsia="Arial" w:hAnsi="Arial"/>
                <w:sz w:val="17"/>
                <w:szCs w:val="17"/>
                <w:color w:val="auto"/>
              </w:rPr>
              <w:t>196,313</w:t>
            </w:r>
          </w:p>
        </w:tc>
        <w:tc>
          <w:tcPr>
            <w:tcW w:w="140" w:type="dxa"/>
            <w:vAlign w:val="bottom"/>
          </w:tcPr>
          <w:p>
            <w:pPr>
              <w:spacing w:after="0"/>
              <w:rPr>
                <w:sz w:val="16"/>
                <w:szCs w:val="16"/>
                <w:color w:val="auto"/>
              </w:rPr>
            </w:pPr>
          </w:p>
        </w:tc>
        <w:tc>
          <w:tcPr>
            <w:tcW w:w="340" w:type="dxa"/>
            <w:vAlign w:val="bottom"/>
          </w:tcPr>
          <w:p>
            <w:pPr>
              <w:jc w:val="right"/>
              <w:ind w:right="153"/>
              <w:spacing w:after="0" w:line="194" w:lineRule="exact"/>
              <w:rPr>
                <w:sz w:val="20"/>
                <w:szCs w:val="20"/>
                <w:color w:val="auto"/>
              </w:rPr>
            </w:pPr>
            <w:r>
              <w:rPr>
                <w:rFonts w:ascii="Arial" w:cs="Arial" w:eastAsia="Arial" w:hAnsi="Arial"/>
                <w:sz w:val="17"/>
                <w:szCs w:val="17"/>
                <w:color w:val="auto"/>
                <w:w w:val="84"/>
              </w:rPr>
              <w:t>$</w:t>
            </w:r>
          </w:p>
        </w:tc>
        <w:tc>
          <w:tcPr>
            <w:tcW w:w="1060" w:type="dxa"/>
            <w:vAlign w:val="bottom"/>
          </w:tcPr>
          <w:p>
            <w:pPr>
              <w:jc w:val="right"/>
              <w:spacing w:after="0" w:line="194" w:lineRule="exact"/>
              <w:rPr>
                <w:sz w:val="20"/>
                <w:szCs w:val="20"/>
                <w:color w:val="auto"/>
              </w:rPr>
            </w:pPr>
            <w:r>
              <w:rPr>
                <w:rFonts w:ascii="Arial" w:cs="Arial" w:eastAsia="Arial" w:hAnsi="Arial"/>
                <w:sz w:val="17"/>
                <w:szCs w:val="17"/>
                <w:color w:val="auto"/>
              </w:rPr>
              <w:t>182,228</w:t>
            </w:r>
          </w:p>
        </w:tc>
        <w:tc>
          <w:tcPr>
            <w:tcW w:w="140" w:type="dxa"/>
            <w:vAlign w:val="bottom"/>
          </w:tcPr>
          <w:p>
            <w:pPr>
              <w:spacing w:after="0"/>
              <w:rPr>
                <w:sz w:val="16"/>
                <w:szCs w:val="16"/>
                <w:color w:val="auto"/>
              </w:rPr>
            </w:pPr>
          </w:p>
        </w:tc>
        <w:tc>
          <w:tcPr>
            <w:tcW w:w="340" w:type="dxa"/>
            <w:vAlign w:val="bottom"/>
          </w:tcPr>
          <w:p>
            <w:pPr>
              <w:jc w:val="right"/>
              <w:ind w:right="153"/>
              <w:spacing w:after="0" w:line="194" w:lineRule="exact"/>
              <w:rPr>
                <w:sz w:val="20"/>
                <w:szCs w:val="20"/>
                <w:color w:val="auto"/>
              </w:rPr>
            </w:pPr>
            <w:r>
              <w:rPr>
                <w:rFonts w:ascii="Arial" w:cs="Arial" w:eastAsia="Arial" w:hAnsi="Arial"/>
                <w:sz w:val="17"/>
                <w:szCs w:val="17"/>
                <w:color w:val="auto"/>
                <w:w w:val="84"/>
              </w:rPr>
              <w:t>$</w:t>
            </w:r>
          </w:p>
        </w:tc>
        <w:tc>
          <w:tcPr>
            <w:tcW w:w="1060" w:type="dxa"/>
            <w:vAlign w:val="bottom"/>
          </w:tcPr>
          <w:p>
            <w:pPr>
              <w:jc w:val="right"/>
              <w:spacing w:after="0" w:line="194" w:lineRule="exact"/>
              <w:rPr>
                <w:sz w:val="20"/>
                <w:szCs w:val="20"/>
                <w:color w:val="auto"/>
              </w:rPr>
            </w:pPr>
            <w:r>
              <w:rPr>
                <w:rFonts w:ascii="Arial" w:cs="Arial" w:eastAsia="Arial" w:hAnsi="Arial"/>
                <w:sz w:val="17"/>
                <w:szCs w:val="17"/>
                <w:color w:val="auto"/>
              </w:rPr>
              <w:t>192,356</w:t>
            </w:r>
          </w:p>
        </w:tc>
        <w:tc>
          <w:tcPr>
            <w:tcW w:w="0" w:type="dxa"/>
            <w:vAlign w:val="bottom"/>
          </w:tcPr>
          <w:p>
            <w:pPr>
              <w:spacing w:after="0"/>
              <w:rPr>
                <w:sz w:val="1"/>
                <w:szCs w:val="1"/>
                <w:color w:val="auto"/>
              </w:rPr>
            </w:pPr>
          </w:p>
        </w:tc>
      </w:tr>
      <w:tr>
        <w:trPr>
          <w:trHeight w:val="222"/>
        </w:trPr>
        <w:tc>
          <w:tcPr>
            <w:tcW w:w="52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Interest capitalized as a cost of inventory</w:t>
            </w:r>
          </w:p>
        </w:tc>
        <w:tc>
          <w:tcPr>
            <w:tcW w:w="3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22,558</w:t>
            </w:r>
          </w:p>
        </w:tc>
        <w:tc>
          <w:tcPr>
            <w:tcW w:w="1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21,828</w:t>
            </w:r>
          </w:p>
        </w:tc>
        <w:tc>
          <w:tcPr>
            <w:tcW w:w="1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43,737</w:t>
            </w:r>
          </w:p>
        </w:tc>
        <w:tc>
          <w:tcPr>
            <w:tcW w:w="1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42,607</w:t>
            </w:r>
          </w:p>
        </w:tc>
        <w:tc>
          <w:tcPr>
            <w:tcW w:w="0" w:type="dxa"/>
            <w:vAlign w:val="bottom"/>
          </w:tcPr>
          <w:p>
            <w:pPr>
              <w:spacing w:after="0"/>
              <w:rPr>
                <w:sz w:val="1"/>
                <w:szCs w:val="1"/>
                <w:color w:val="auto"/>
              </w:rPr>
            </w:pPr>
          </w:p>
        </w:tc>
      </w:tr>
      <w:tr>
        <w:trPr>
          <w:trHeight w:val="171"/>
        </w:trPr>
        <w:tc>
          <w:tcPr>
            <w:tcW w:w="5220" w:type="dxa"/>
            <w:vAlign w:val="bottom"/>
          </w:tcPr>
          <w:p>
            <w:pPr>
              <w:ind w:left="260"/>
              <w:spacing w:after="0" w:line="171" w:lineRule="exact"/>
              <w:rPr>
                <w:sz w:val="20"/>
                <w:szCs w:val="20"/>
                <w:color w:val="auto"/>
              </w:rPr>
            </w:pPr>
            <w:r>
              <w:rPr>
                <w:rFonts w:ascii="Arial" w:cs="Arial" w:eastAsia="Arial" w:hAnsi="Arial"/>
                <w:sz w:val="17"/>
                <w:szCs w:val="17"/>
                <w:color w:val="auto"/>
              </w:rPr>
              <w:t>Interest previously capitalized as a cost of</w:t>
            </w:r>
          </w:p>
        </w:tc>
        <w:tc>
          <w:tcPr>
            <w:tcW w:w="340" w:type="dxa"/>
            <w:vAlign w:val="bottom"/>
          </w:tcPr>
          <w:p>
            <w:pPr>
              <w:spacing w:after="0"/>
              <w:rPr>
                <w:sz w:val="14"/>
                <w:szCs w:val="14"/>
                <w:color w:val="auto"/>
              </w:rPr>
            </w:pPr>
          </w:p>
        </w:tc>
        <w:tc>
          <w:tcPr>
            <w:tcW w:w="1060" w:type="dxa"/>
            <w:vAlign w:val="bottom"/>
            <w:vMerge w:val="restart"/>
          </w:tcPr>
          <w:p>
            <w:pPr>
              <w:jc w:val="right"/>
              <w:spacing w:after="0"/>
              <w:rPr>
                <w:sz w:val="20"/>
                <w:szCs w:val="20"/>
                <w:color w:val="auto"/>
              </w:rPr>
            </w:pPr>
            <w:r>
              <w:rPr>
                <w:rFonts w:ascii="Arial" w:cs="Arial" w:eastAsia="Arial" w:hAnsi="Arial"/>
                <w:sz w:val="17"/>
                <w:szCs w:val="17"/>
                <w:color w:val="auto"/>
              </w:rPr>
              <w:t>(31,124)</w:t>
            </w:r>
          </w:p>
        </w:tc>
        <w:tc>
          <w:tcPr>
            <w:tcW w:w="1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60" w:type="dxa"/>
            <w:vAlign w:val="bottom"/>
            <w:vMerge w:val="restart"/>
          </w:tcPr>
          <w:p>
            <w:pPr>
              <w:jc w:val="right"/>
              <w:spacing w:after="0"/>
              <w:rPr>
                <w:sz w:val="20"/>
                <w:szCs w:val="20"/>
                <w:color w:val="auto"/>
              </w:rPr>
            </w:pPr>
            <w:r>
              <w:rPr>
                <w:rFonts w:ascii="Arial" w:cs="Arial" w:eastAsia="Arial" w:hAnsi="Arial"/>
                <w:sz w:val="17"/>
                <w:szCs w:val="17"/>
                <w:color w:val="auto"/>
              </w:rPr>
              <w:t>(21,806)</w:t>
            </w:r>
          </w:p>
        </w:tc>
        <w:tc>
          <w:tcPr>
            <w:tcW w:w="1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60" w:type="dxa"/>
            <w:vAlign w:val="bottom"/>
            <w:vMerge w:val="restart"/>
          </w:tcPr>
          <w:p>
            <w:pPr>
              <w:jc w:val="right"/>
              <w:spacing w:after="0"/>
              <w:rPr>
                <w:sz w:val="20"/>
                <w:szCs w:val="20"/>
                <w:color w:val="auto"/>
              </w:rPr>
            </w:pPr>
            <w:r>
              <w:rPr>
                <w:rFonts w:ascii="Arial" w:cs="Arial" w:eastAsia="Arial" w:hAnsi="Arial"/>
                <w:sz w:val="17"/>
                <w:szCs w:val="17"/>
                <w:color w:val="auto"/>
              </w:rPr>
              <w:t>(51,802)</w:t>
            </w:r>
          </w:p>
        </w:tc>
        <w:tc>
          <w:tcPr>
            <w:tcW w:w="1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60" w:type="dxa"/>
            <w:vAlign w:val="bottom"/>
            <w:vMerge w:val="restart"/>
          </w:tcPr>
          <w:p>
            <w:pPr>
              <w:jc w:val="right"/>
              <w:spacing w:after="0"/>
              <w:rPr>
                <w:sz w:val="20"/>
                <w:szCs w:val="20"/>
                <w:color w:val="auto"/>
              </w:rPr>
            </w:pPr>
            <w:r>
              <w:rPr>
                <w:rFonts w:ascii="Arial" w:cs="Arial" w:eastAsia="Arial" w:hAnsi="Arial"/>
                <w:sz w:val="17"/>
                <w:szCs w:val="17"/>
                <w:color w:val="auto"/>
              </w:rPr>
              <w:t>(38,628)</w:t>
            </w:r>
          </w:p>
        </w:tc>
        <w:tc>
          <w:tcPr>
            <w:tcW w:w="0" w:type="dxa"/>
            <w:vAlign w:val="bottom"/>
          </w:tcPr>
          <w:p>
            <w:pPr>
              <w:spacing w:after="0"/>
              <w:rPr>
                <w:sz w:val="1"/>
                <w:szCs w:val="1"/>
                <w:color w:val="auto"/>
              </w:rPr>
            </w:pPr>
          </w:p>
        </w:tc>
      </w:tr>
      <w:tr>
        <w:trPr>
          <w:trHeight w:val="221"/>
        </w:trPr>
        <w:tc>
          <w:tcPr>
            <w:tcW w:w="5220" w:type="dxa"/>
            <w:vAlign w:val="bottom"/>
            <w:tcBorders>
              <w:bottom w:val="single" w:sz="8" w:color="CCEEFF"/>
            </w:tcBorders>
          </w:tcPr>
          <w:p>
            <w:pPr>
              <w:ind w:left="260"/>
              <w:spacing w:after="0"/>
              <w:rPr>
                <w:sz w:val="20"/>
                <w:szCs w:val="20"/>
                <w:color w:val="auto"/>
              </w:rPr>
            </w:pPr>
            <w:r>
              <w:rPr>
                <w:rFonts w:ascii="Arial" w:cs="Arial" w:eastAsia="Arial" w:hAnsi="Arial"/>
                <w:sz w:val="17"/>
                <w:szCs w:val="17"/>
                <w:color w:val="auto"/>
              </w:rPr>
              <w:t>inventory, included in cost of sales</w:t>
            </w:r>
          </w:p>
        </w:tc>
        <w:tc>
          <w:tcPr>
            <w:tcW w:w="3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vMerge w:val="continue"/>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vMerge w:val="continue"/>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vMerge w:val="continue"/>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5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Capitalized interest in ending inventory</w:t>
            </w:r>
          </w:p>
        </w:tc>
        <w:tc>
          <w:tcPr>
            <w:tcW w:w="34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174,163</w:t>
            </w:r>
          </w:p>
        </w:tc>
        <w:tc>
          <w:tcPr>
            <w:tcW w:w="14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196,335</w:t>
            </w:r>
          </w:p>
        </w:tc>
        <w:tc>
          <w:tcPr>
            <w:tcW w:w="14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174,163</w:t>
            </w:r>
          </w:p>
        </w:tc>
        <w:tc>
          <w:tcPr>
            <w:tcW w:w="14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196,335</w:t>
            </w:r>
          </w:p>
        </w:tc>
        <w:tc>
          <w:tcPr>
            <w:tcW w:w="0" w:type="dxa"/>
            <w:vAlign w:val="bottom"/>
          </w:tcPr>
          <w:p>
            <w:pPr>
              <w:spacing w:after="0"/>
              <w:rPr>
                <w:sz w:val="1"/>
                <w:szCs w:val="1"/>
                <w:color w:val="auto"/>
              </w:rPr>
            </w:pPr>
          </w:p>
        </w:tc>
      </w:tr>
      <w:tr>
        <w:trPr>
          <w:trHeight w:val="20"/>
        </w:trPr>
        <w:tc>
          <w:tcPr>
            <w:tcW w:w="52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4" w:lineRule="exact"/>
        <w:rPr>
          <w:sz w:val="20"/>
          <w:szCs w:val="20"/>
          <w:color w:val="auto"/>
        </w:rPr>
      </w:pPr>
    </w:p>
    <w:p>
      <w:pPr>
        <w:jc w:val="both"/>
        <w:ind w:right="160" w:firstLine="470"/>
        <w:spacing w:after="0" w:line="267" w:lineRule="auto"/>
        <w:rPr>
          <w:sz w:val="20"/>
          <w:szCs w:val="20"/>
          <w:color w:val="auto"/>
        </w:rPr>
      </w:pPr>
      <w:r>
        <w:rPr>
          <w:rFonts w:ascii="Arial" w:cs="Arial" w:eastAsia="Arial" w:hAnsi="Arial"/>
          <w:sz w:val="17"/>
          <w:szCs w:val="17"/>
          <w:color w:val="auto"/>
        </w:rPr>
        <w:t xml:space="preserve">Interest is capitalized to real estate inventory during development and other qualifying activities. During all periods presented, we capitalized all interest incurred to real estate inventory in accordance with ASC Topic 835, </w:t>
      </w:r>
      <w:r>
        <w:rPr>
          <w:rFonts w:ascii="Arial" w:cs="Arial" w:eastAsia="Arial" w:hAnsi="Arial"/>
          <w:sz w:val="17"/>
          <w:szCs w:val="17"/>
          <w:i w:val="1"/>
          <w:iCs w:val="1"/>
          <w:color w:val="auto"/>
        </w:rPr>
        <w:t>Interest,</w:t>
      </w:r>
      <w:r>
        <w:rPr>
          <w:rFonts w:ascii="Arial" w:cs="Arial" w:eastAsia="Arial" w:hAnsi="Arial"/>
          <w:sz w:val="17"/>
          <w:szCs w:val="17"/>
          <w:color w:val="auto"/>
        </w:rPr>
        <w:t xml:space="preserve"> as our qualified assets exceeded our debt. Interest that is capitalized to real estate inventory is included in cost of home sales or cost of land and lot sales as related units or lots are delivered. Interest that is expensed as incurred is included in other (expense) income, net.</w:t>
      </w:r>
    </w:p>
    <w:p>
      <w:pPr>
        <w:spacing w:after="0" w:line="2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Real Estate Inventory Impairments and Land Option Abandonments</w:t>
      </w:r>
    </w:p>
    <w:p>
      <w:pPr>
        <w:spacing w:after="0" w:line="124" w:lineRule="exact"/>
        <w:rPr>
          <w:sz w:val="20"/>
          <w:szCs w:val="20"/>
          <w:color w:val="auto"/>
        </w:rPr>
      </w:pPr>
    </w:p>
    <w:p>
      <w:pPr>
        <w:ind w:left="480"/>
        <w:spacing w:after="0"/>
        <w:rPr>
          <w:sz w:val="20"/>
          <w:szCs w:val="20"/>
          <w:color w:val="auto"/>
        </w:rPr>
      </w:pPr>
      <w:r>
        <w:rPr>
          <w:rFonts w:ascii="Arial" w:cs="Arial" w:eastAsia="Arial" w:hAnsi="Arial"/>
          <w:sz w:val="16"/>
          <w:szCs w:val="16"/>
          <w:color w:val="auto"/>
        </w:rPr>
        <w:t>Real estate inventory impairments and land and lot option abandonments and pre-acquisition charges consisted of the following (in thousands):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6120" w:type="dxa"/>
            <w:vAlign w:val="bottom"/>
          </w:tcPr>
          <w:p>
            <w:pPr>
              <w:spacing w:after="0"/>
              <w:rPr>
                <w:sz w:val="16"/>
                <w:szCs w:val="16"/>
                <w:color w:val="auto"/>
              </w:rPr>
            </w:pPr>
          </w:p>
        </w:tc>
        <w:tc>
          <w:tcPr>
            <w:tcW w:w="2620" w:type="dxa"/>
            <w:vAlign w:val="bottom"/>
            <w:gridSpan w:val="6"/>
          </w:tcPr>
          <w:p>
            <w:pPr>
              <w:ind w:left="360"/>
              <w:spacing w:after="0"/>
              <w:rPr>
                <w:sz w:val="20"/>
                <w:szCs w:val="20"/>
                <w:color w:val="auto"/>
              </w:rPr>
            </w:pPr>
            <w:r>
              <w:rPr>
                <w:rFonts w:ascii="Arial" w:cs="Arial" w:eastAsia="Arial" w:hAnsi="Arial"/>
                <w:sz w:val="14"/>
                <w:szCs w:val="14"/>
                <w:b w:val="1"/>
                <w:bCs w:val="1"/>
                <w:color w:val="auto"/>
              </w:rPr>
              <w:t>Three Months Ended June 30,</w:t>
            </w:r>
          </w:p>
        </w:tc>
        <w:tc>
          <w:tcPr>
            <w:tcW w:w="260" w:type="dxa"/>
            <w:vAlign w:val="bottom"/>
          </w:tcPr>
          <w:p>
            <w:pPr>
              <w:spacing w:after="0"/>
              <w:rPr>
                <w:sz w:val="16"/>
                <w:szCs w:val="16"/>
                <w:color w:val="auto"/>
              </w:rPr>
            </w:pPr>
          </w:p>
        </w:tc>
        <w:tc>
          <w:tcPr>
            <w:tcW w:w="2240" w:type="dxa"/>
            <w:vAlign w:val="bottom"/>
            <w:gridSpan w:val="4"/>
          </w:tcPr>
          <w:p>
            <w:pPr>
              <w:jc w:val="right"/>
              <w:ind w:right="357"/>
              <w:spacing w:after="0"/>
              <w:rPr>
                <w:sz w:val="20"/>
                <w:szCs w:val="20"/>
                <w:color w:val="auto"/>
              </w:rPr>
            </w:pPr>
            <w:r>
              <w:rPr>
                <w:rFonts w:ascii="Arial" w:cs="Arial" w:eastAsia="Arial" w:hAnsi="Arial"/>
                <w:sz w:val="14"/>
                <w:szCs w:val="14"/>
                <w:b w:val="1"/>
                <w:bCs w:val="1"/>
                <w:color w:val="auto"/>
                <w:w w:val="98"/>
              </w:rPr>
              <w:t>Six Months Ended June 30,</w:t>
            </w:r>
          </w:p>
        </w:tc>
      </w:tr>
      <w:tr>
        <w:trPr>
          <w:trHeight w:val="181"/>
        </w:trPr>
        <w:tc>
          <w:tcPr>
            <w:tcW w:w="6120" w:type="dxa"/>
            <w:vAlign w:val="bottom"/>
            <w:tcBorders>
              <w:bottom w:val="single" w:sz="8" w:color="CCEEFF"/>
            </w:tcBorders>
          </w:tcPr>
          <w:p>
            <w:pPr>
              <w:spacing w:after="0"/>
              <w:rPr>
                <w:sz w:val="15"/>
                <w:szCs w:val="15"/>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00" w:type="dxa"/>
            <w:vAlign w:val="bottom"/>
            <w:tcBorders>
              <w:top w:val="single" w:sz="8" w:color="auto"/>
              <w:bottom w:val="single" w:sz="8" w:color="auto"/>
            </w:tcBorders>
          </w:tcPr>
          <w:p>
            <w:pPr>
              <w:spacing w:after="0"/>
              <w:rPr>
                <w:sz w:val="15"/>
                <w:szCs w:val="15"/>
                <w:color w:val="auto"/>
              </w:rPr>
            </w:pPr>
          </w:p>
        </w:tc>
        <w:tc>
          <w:tcPr>
            <w:tcW w:w="100" w:type="dxa"/>
            <w:vAlign w:val="bottom"/>
            <w:tcBorders>
              <w:top w:val="single" w:sz="8" w:color="auto"/>
              <w:bottom w:val="single" w:sz="8" w:color="CCEEFF"/>
            </w:tcBorders>
          </w:tcPr>
          <w:p>
            <w:pPr>
              <w:spacing w:after="0"/>
              <w:rPr>
                <w:sz w:val="15"/>
                <w:szCs w:val="15"/>
                <w:color w:val="auto"/>
              </w:rPr>
            </w:pPr>
          </w:p>
        </w:tc>
        <w:tc>
          <w:tcPr>
            <w:tcW w:w="300" w:type="dxa"/>
            <w:vAlign w:val="bottom"/>
            <w:tcBorders>
              <w:top w:val="single" w:sz="8" w:color="auto"/>
              <w:bottom w:val="single" w:sz="8" w:color="auto"/>
            </w:tcBorders>
          </w:tcPr>
          <w:p>
            <w:pPr>
              <w:spacing w:after="0"/>
              <w:rPr>
                <w:sz w:val="15"/>
                <w:szCs w:val="15"/>
                <w:color w:val="auto"/>
              </w:rPr>
            </w:pPr>
          </w:p>
        </w:tc>
        <w:tc>
          <w:tcPr>
            <w:tcW w:w="900" w:type="dxa"/>
            <w:vAlign w:val="bottom"/>
            <w:tcBorders>
              <w:top w:val="single" w:sz="8" w:color="auto"/>
              <w:bottom w:val="single" w:sz="8" w:color="auto"/>
            </w:tcBorders>
          </w:tcPr>
          <w:p>
            <w:pPr>
              <w:jc w:val="right"/>
              <w:ind w:right="377"/>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5"/>
                <w:szCs w:val="15"/>
                <w:color w:val="auto"/>
              </w:rPr>
            </w:pPr>
          </w:p>
        </w:tc>
        <w:tc>
          <w:tcPr>
            <w:tcW w:w="260" w:type="dxa"/>
            <w:vAlign w:val="bottom"/>
            <w:tcBorders>
              <w:top w:val="single" w:sz="8" w:color="auto"/>
              <w:bottom w:val="single" w:sz="8" w:color="auto"/>
            </w:tcBorders>
          </w:tcPr>
          <w:p>
            <w:pPr>
              <w:spacing w:after="0"/>
              <w:rPr>
                <w:sz w:val="15"/>
                <w:szCs w:val="15"/>
                <w:color w:val="auto"/>
              </w:rPr>
            </w:pPr>
          </w:p>
        </w:tc>
        <w:tc>
          <w:tcPr>
            <w:tcW w:w="940" w:type="dxa"/>
            <w:vAlign w:val="bottom"/>
            <w:tcBorders>
              <w:top w:val="single" w:sz="8" w:color="auto"/>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5"/>
                <w:szCs w:val="15"/>
                <w:color w:val="auto"/>
              </w:rPr>
            </w:pPr>
          </w:p>
        </w:tc>
        <w:tc>
          <w:tcPr>
            <w:tcW w:w="280" w:type="dxa"/>
            <w:vAlign w:val="bottom"/>
            <w:tcBorders>
              <w:top w:val="single" w:sz="8" w:color="auto"/>
              <w:bottom w:val="single" w:sz="8" w:color="auto"/>
            </w:tcBorders>
          </w:tcPr>
          <w:p>
            <w:pPr>
              <w:spacing w:after="0"/>
              <w:rPr>
                <w:sz w:val="15"/>
                <w:szCs w:val="15"/>
                <w:color w:val="auto"/>
              </w:rPr>
            </w:pPr>
          </w:p>
        </w:tc>
        <w:tc>
          <w:tcPr>
            <w:tcW w:w="920" w:type="dxa"/>
            <w:vAlign w:val="bottom"/>
            <w:tcBorders>
              <w:top w:val="single" w:sz="8" w:color="auto"/>
              <w:bottom w:val="single" w:sz="8" w:color="auto"/>
            </w:tcBorders>
          </w:tcPr>
          <w:p>
            <w:pPr>
              <w:jc w:val="right"/>
              <w:ind w:right="377"/>
              <w:spacing w:after="0"/>
              <w:rPr>
                <w:sz w:val="20"/>
                <w:szCs w:val="20"/>
                <w:color w:val="auto"/>
              </w:rPr>
            </w:pPr>
            <w:r>
              <w:rPr>
                <w:rFonts w:ascii="Arial" w:cs="Arial" w:eastAsia="Arial" w:hAnsi="Arial"/>
                <w:sz w:val="14"/>
                <w:szCs w:val="14"/>
                <w:b w:val="1"/>
                <w:bCs w:val="1"/>
                <w:color w:val="auto"/>
              </w:rPr>
              <w:t>2020</w:t>
            </w:r>
          </w:p>
        </w:tc>
      </w:tr>
      <w:tr>
        <w:trPr>
          <w:trHeight w:val="216"/>
        </w:trPr>
        <w:tc>
          <w:tcPr>
            <w:tcW w:w="612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Real estate inventory impairments</w:t>
            </w:r>
          </w:p>
        </w:tc>
        <w:tc>
          <w:tcPr>
            <w:tcW w:w="800" w:type="dxa"/>
            <w:vAlign w:val="bottom"/>
            <w:shd w:val="clear" w:color="auto" w:fill="CCEEFF"/>
          </w:tcPr>
          <w:p>
            <w:pPr>
              <w:jc w:val="right"/>
              <w:ind w:right="622"/>
              <w:spacing w:after="0"/>
              <w:rPr>
                <w:sz w:val="20"/>
                <w:szCs w:val="20"/>
                <w:color w:val="auto"/>
              </w:rPr>
            </w:pPr>
            <w:r>
              <w:rPr>
                <w:rFonts w:ascii="Arial" w:cs="Arial" w:eastAsia="Arial" w:hAnsi="Arial"/>
                <w:sz w:val="17"/>
                <w:szCs w:val="17"/>
                <w:color w:val="auto"/>
                <w:w w:val="84"/>
              </w:rPr>
              <w:t>$</w:t>
            </w:r>
          </w:p>
        </w:tc>
        <w:tc>
          <w:tcPr>
            <w:tcW w:w="5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30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rPr>
              <w:t>$</w:t>
            </w: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6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22"/>
        </w:trPr>
        <w:tc>
          <w:tcPr>
            <w:tcW w:w="612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Land and lot option abandonments and pre-acquisition charges</w:t>
            </w:r>
          </w:p>
        </w:tc>
        <w:tc>
          <w:tcPr>
            <w:tcW w:w="8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232</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1,380</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445</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1,729</w:t>
            </w:r>
          </w:p>
        </w:tc>
      </w:tr>
      <w:tr>
        <w:trPr>
          <w:trHeight w:val="240"/>
        </w:trPr>
        <w:tc>
          <w:tcPr>
            <w:tcW w:w="6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800" w:type="dxa"/>
            <w:vAlign w:val="bottom"/>
            <w:tcBorders>
              <w:bottom w:val="single" w:sz="8" w:color="auto"/>
            </w:tcBorders>
            <w:shd w:val="clear" w:color="auto" w:fill="CCEEFF"/>
          </w:tcPr>
          <w:p>
            <w:pPr>
              <w:jc w:val="right"/>
              <w:ind w:right="622"/>
              <w:spacing w:after="0"/>
              <w:rPr>
                <w:sz w:val="20"/>
                <w:szCs w:val="20"/>
                <w:color w:val="auto"/>
              </w:rPr>
            </w:pPr>
            <w:r>
              <w:rPr>
                <w:rFonts w:ascii="Arial" w:cs="Arial" w:eastAsia="Arial" w:hAnsi="Arial"/>
                <w:sz w:val="17"/>
                <w:szCs w:val="17"/>
                <w:color w:val="auto"/>
                <w:w w:val="84"/>
              </w:rPr>
              <w:t>$</w:t>
            </w: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232</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1,380</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445</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1,729</w:t>
            </w:r>
          </w:p>
        </w:tc>
      </w:tr>
      <w:tr>
        <w:trPr>
          <w:trHeight w:val="20"/>
        </w:trPr>
        <w:tc>
          <w:tcPr>
            <w:tcW w:w="612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jc w:val="both"/>
        <w:ind w:right="160" w:firstLine="470"/>
        <w:spacing w:after="0" w:line="297" w:lineRule="auto"/>
        <w:rPr>
          <w:sz w:val="20"/>
          <w:szCs w:val="20"/>
          <w:color w:val="auto"/>
        </w:rPr>
      </w:pPr>
      <w:r>
        <w:rPr>
          <w:rFonts w:ascii="Arial" w:cs="Arial" w:eastAsia="Arial" w:hAnsi="Arial"/>
          <w:sz w:val="16"/>
          <w:szCs w:val="16"/>
          <w:color w:val="auto"/>
        </w:rPr>
        <w:t>Impairments of real estate inventory relate primarily to projects or communities that include homes completed or under construction. Within a project or community, there may be individual homes or parcels of land that are currently held for sale. Impairment charges recognized as a result of adjusting individual held-for-sale assets within a community to estimated fair value less cost to sell are also included in the total impairment charges.</w:t>
      </w:r>
    </w:p>
    <w:p>
      <w:pPr>
        <w:spacing w:after="0" w:line="153" w:lineRule="exact"/>
        <w:rPr>
          <w:sz w:val="20"/>
          <w:szCs w:val="20"/>
          <w:color w:val="auto"/>
        </w:rPr>
      </w:pPr>
    </w:p>
    <w:p>
      <w:pPr>
        <w:ind w:right="300" w:firstLine="470"/>
        <w:spacing w:after="0" w:line="267" w:lineRule="auto"/>
        <w:rPr>
          <w:sz w:val="20"/>
          <w:szCs w:val="20"/>
          <w:color w:val="auto"/>
        </w:rPr>
      </w:pPr>
      <w:r>
        <w:rPr>
          <w:rFonts w:ascii="Arial" w:cs="Arial" w:eastAsia="Arial" w:hAnsi="Arial"/>
          <w:sz w:val="17"/>
          <w:szCs w:val="17"/>
          <w:color w:val="auto"/>
        </w:rPr>
        <w:t>In addition to owning land and residential lots, we also have option agreements to purchase land and lots at a future date. We have option deposits and capitalized pre-acquisition costs associated with the optioned land and lots. When the economics of a project no longer support acquisition of the land or lots under option, we may elect not to move forward with the acquisition. Option deposits and capitalized pre-acquisition costs associated with the assets under option may be forfeited at that time.</w:t>
      </w:r>
    </w:p>
    <w:p>
      <w:pPr>
        <w:spacing w:after="0" w:line="176" w:lineRule="exact"/>
        <w:rPr>
          <w:sz w:val="20"/>
          <w:szCs w:val="20"/>
          <w:color w:val="auto"/>
        </w:rPr>
      </w:pPr>
    </w:p>
    <w:p>
      <w:pPr>
        <w:ind w:right="340" w:firstLine="470"/>
        <w:spacing w:after="0" w:line="288" w:lineRule="auto"/>
        <w:rPr>
          <w:sz w:val="20"/>
          <w:szCs w:val="20"/>
          <w:color w:val="auto"/>
        </w:rPr>
      </w:pPr>
      <w:r>
        <w:rPr>
          <w:rFonts w:ascii="Arial" w:cs="Arial" w:eastAsia="Arial" w:hAnsi="Arial"/>
          <w:sz w:val="17"/>
          <w:szCs w:val="17"/>
          <w:color w:val="auto"/>
        </w:rPr>
        <w:t>Real estate inventory impairments and land option abandonments are recorded in cost of home sales and cost of land and lot sales on the consolidated statements of operations.</w:t>
      </w:r>
    </w:p>
    <w:p>
      <w:pPr>
        <w:spacing w:after="0" w:line="361" w:lineRule="exact"/>
        <w:rPr>
          <w:sz w:val="20"/>
          <w:szCs w:val="20"/>
          <w:color w:val="auto"/>
        </w:rPr>
      </w:pPr>
    </w:p>
    <w:p>
      <w:pPr>
        <w:spacing w:after="0"/>
        <w:tabs>
          <w:tab w:leader="none" w:pos="280" w:val="left"/>
        </w:tabs>
        <w:rPr>
          <w:sz w:val="20"/>
          <w:szCs w:val="20"/>
          <w:color w:val="auto"/>
        </w:rPr>
      </w:pPr>
      <w:r>
        <w:rPr>
          <w:rFonts w:ascii="Arial" w:cs="Arial" w:eastAsia="Arial" w:hAnsi="Arial"/>
          <w:sz w:val="17"/>
          <w:szCs w:val="17"/>
          <w:b w:val="1"/>
          <w:bCs w:val="1"/>
          <w:color w:val="auto"/>
        </w:rPr>
        <w:t>6.</w:t>
      </w:r>
      <w:r>
        <w:rPr>
          <w:sz w:val="20"/>
          <w:szCs w:val="20"/>
          <w:color w:val="auto"/>
        </w:rPr>
        <w:tab/>
      </w:r>
      <w:r>
        <w:rPr>
          <w:rFonts w:ascii="Arial" w:cs="Arial" w:eastAsia="Arial" w:hAnsi="Arial"/>
          <w:sz w:val="15"/>
          <w:szCs w:val="15"/>
          <w:b w:val="1"/>
          <w:bCs w:val="1"/>
          <w:color w:val="auto"/>
        </w:rPr>
        <w:t>Investments in Unconsolidated Entities</w:t>
      </w:r>
    </w:p>
    <w:p>
      <w:pPr>
        <w:spacing w:after="0" w:line="124" w:lineRule="exact"/>
        <w:rPr>
          <w:sz w:val="20"/>
          <w:szCs w:val="20"/>
          <w:color w:val="auto"/>
        </w:rPr>
      </w:pPr>
    </w:p>
    <w:p>
      <w:pPr>
        <w:ind w:firstLine="470"/>
        <w:spacing w:after="0" w:line="272" w:lineRule="auto"/>
        <w:rPr>
          <w:sz w:val="20"/>
          <w:szCs w:val="20"/>
          <w:color w:val="auto"/>
        </w:rPr>
      </w:pPr>
      <w:r>
        <w:rPr>
          <w:rFonts w:ascii="Arial" w:cs="Arial" w:eastAsia="Arial" w:hAnsi="Arial"/>
          <w:sz w:val="17"/>
          <w:szCs w:val="17"/>
          <w:color w:val="auto"/>
        </w:rPr>
        <w:t>As of June 30, 2021, we held equity investments in nine active homebuilding partnerships or limited liability companies and one financial services limited liability company. Our participation in these entities may be as a developer, a builder, or an investment partner. Our ownership percentage varies from 7% to 65%, depending on the investment, with no controlling interest held in any of these investments.</w:t>
      </w:r>
    </w:p>
    <w:p>
      <w:pPr>
        <w:spacing w:after="0" w:line="1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Unconsolidated Financial Information</w:t>
      </w: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81" w:right="339" w:bottom="1440" w:gutter="0" w:footer="0" w:header="0"/>
        </w:sectPr>
      </w:pPr>
    </w:p>
    <w:bookmarkStart w:id="14" w:name="page15"/>
    <w:bookmarkEnd w:id="14"/>
    <w:p>
      <w:pPr>
        <w:ind w:right="80" w:firstLine="470"/>
        <w:spacing w:after="0" w:line="267" w:lineRule="auto"/>
        <w:rPr>
          <w:sz w:val="20"/>
          <w:szCs w:val="20"/>
          <w:color w:val="auto"/>
        </w:rPr>
      </w:pPr>
      <w:r>
        <w:rPr>
          <w:rFonts w:ascii="Arial" w:cs="Arial" w:eastAsia="Arial" w:hAnsi="Arial"/>
          <w:sz w:val="17"/>
          <w:szCs w:val="17"/>
          <w:color w:val="auto"/>
        </w:rPr>
        <w:t>Aggregated assets, liabilities and operating results of the entities we account for as equity-method investments are provided below. Because our ownership interest in these entities varies, a direct relationship does not exist between the information presented below and the amounts that are reflected on our consolidated balance sheets as our investments in unconsolidated entities or on our consolidated statements of operations as equity in income of unconsolidated entities.</w:t>
      </w:r>
    </w:p>
    <w:p>
      <w:pPr>
        <w:spacing w:after="0" w:line="176" w:lineRule="exact"/>
        <w:rPr>
          <w:sz w:val="20"/>
          <w:szCs w:val="20"/>
          <w:color w:val="auto"/>
        </w:rPr>
      </w:pPr>
    </w:p>
    <w:p>
      <w:pPr>
        <w:ind w:left="480"/>
        <w:spacing w:after="0"/>
        <w:rPr>
          <w:sz w:val="20"/>
          <w:szCs w:val="20"/>
          <w:color w:val="auto"/>
        </w:rPr>
      </w:pPr>
      <w:r>
        <w:rPr>
          <w:rFonts w:ascii="Arial" w:cs="Arial" w:eastAsia="Arial" w:hAnsi="Arial"/>
          <w:sz w:val="17"/>
          <w:szCs w:val="17"/>
          <w:color w:val="auto"/>
        </w:rPr>
        <w:t>Assets and liabilities of unconsolidated entities (in thousands):</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62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420" w:type="dxa"/>
            <w:vAlign w:val="bottom"/>
            <w:gridSpan w:val="4"/>
          </w:tcPr>
          <w:p>
            <w:pPr>
              <w:jc w:val="right"/>
              <w:ind w:right="330"/>
              <w:spacing w:after="0"/>
              <w:rPr>
                <w:sz w:val="20"/>
                <w:szCs w:val="20"/>
                <w:color w:val="auto"/>
              </w:rPr>
            </w:pPr>
            <w:r>
              <w:rPr>
                <w:rFonts w:ascii="Arial" w:cs="Arial" w:eastAsia="Arial" w:hAnsi="Arial"/>
                <w:sz w:val="14"/>
                <w:szCs w:val="14"/>
                <w:b w:val="1"/>
                <w:bCs w:val="1"/>
                <w:color w:val="auto"/>
              </w:rPr>
              <w:t>June 30, 2021</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780" w:type="dxa"/>
            <w:vAlign w:val="bottom"/>
            <w:gridSpan w:val="5"/>
          </w:tcPr>
          <w:p>
            <w:pPr>
              <w:ind w:left="320"/>
              <w:spacing w:after="0"/>
              <w:rPr>
                <w:sz w:val="20"/>
                <w:szCs w:val="20"/>
                <w:color w:val="auto"/>
              </w:rPr>
            </w:pPr>
            <w:r>
              <w:rPr>
                <w:rFonts w:ascii="Arial" w:cs="Arial" w:eastAsia="Arial" w:hAnsi="Arial"/>
                <w:sz w:val="14"/>
                <w:szCs w:val="14"/>
                <w:b w:val="1"/>
                <w:bCs w:val="1"/>
                <w:color w:val="auto"/>
              </w:rPr>
              <w:t>December 31, 2020</w:t>
            </w:r>
          </w:p>
        </w:tc>
        <w:tc>
          <w:tcPr>
            <w:tcW w:w="0" w:type="dxa"/>
            <w:vAlign w:val="bottom"/>
          </w:tcPr>
          <w:p>
            <w:pPr>
              <w:spacing w:after="0"/>
              <w:rPr>
                <w:sz w:val="1"/>
                <w:szCs w:val="1"/>
                <w:color w:val="auto"/>
              </w:rPr>
            </w:pPr>
          </w:p>
        </w:tc>
      </w:tr>
      <w:tr>
        <w:trPr>
          <w:trHeight w:val="207"/>
        </w:trPr>
        <w:tc>
          <w:tcPr>
            <w:tcW w:w="62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Assets</w:t>
            </w:r>
          </w:p>
        </w:tc>
        <w:tc>
          <w:tcPr>
            <w:tcW w:w="220" w:type="dxa"/>
            <w:vAlign w:val="bottom"/>
            <w:tcBorders>
              <w:top w:val="single" w:sz="8" w:color="CCEEFF"/>
            </w:tcBorders>
            <w:shd w:val="clear" w:color="auto" w:fill="CCEEFF"/>
          </w:tcPr>
          <w:p>
            <w:pPr>
              <w:spacing w:after="0"/>
              <w:rPr>
                <w:sz w:val="18"/>
                <w:szCs w:val="18"/>
                <w:color w:val="auto"/>
              </w:rPr>
            </w:pPr>
          </w:p>
        </w:tc>
        <w:tc>
          <w:tcPr>
            <w:tcW w:w="10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6260" w:type="dxa"/>
            <w:vAlign w:val="bottom"/>
          </w:tcPr>
          <w:p>
            <w:pPr>
              <w:ind w:left="220"/>
              <w:spacing w:after="0"/>
              <w:rPr>
                <w:sz w:val="20"/>
                <w:szCs w:val="20"/>
                <w:color w:val="auto"/>
              </w:rPr>
            </w:pPr>
            <w:r>
              <w:rPr>
                <w:rFonts w:ascii="Arial" w:cs="Arial" w:eastAsia="Arial" w:hAnsi="Arial"/>
                <w:sz w:val="17"/>
                <w:szCs w:val="17"/>
                <w:color w:val="auto"/>
              </w:rPr>
              <w:t>Cash</w:t>
            </w:r>
          </w:p>
        </w:tc>
        <w:tc>
          <w:tcPr>
            <w:tcW w:w="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jc w:val="right"/>
              <w:ind w:right="73"/>
              <w:spacing w:after="0"/>
              <w:rPr>
                <w:sz w:val="20"/>
                <w:szCs w:val="20"/>
                <w:color w:val="auto"/>
              </w:rPr>
            </w:pPr>
            <w:r>
              <w:rPr>
                <w:rFonts w:ascii="Arial" w:cs="Arial" w:eastAsia="Arial" w:hAnsi="Arial"/>
                <w:sz w:val="17"/>
                <w:szCs w:val="17"/>
                <w:color w:val="auto"/>
                <w:w w:val="84"/>
              </w:rPr>
              <w:t>$</w:t>
            </w:r>
          </w:p>
        </w:tc>
        <w:tc>
          <w:tcPr>
            <w:tcW w:w="840" w:type="dxa"/>
            <w:vAlign w:val="bottom"/>
          </w:tcPr>
          <w:p>
            <w:pPr>
              <w:spacing w:after="0"/>
              <w:rPr>
                <w:sz w:val="19"/>
                <w:szCs w:val="19"/>
                <w:color w:val="auto"/>
              </w:rPr>
            </w:pPr>
          </w:p>
        </w:tc>
        <w:tc>
          <w:tcPr>
            <w:tcW w:w="580" w:type="dxa"/>
            <w:vAlign w:val="bottom"/>
            <w:gridSpan w:val="3"/>
          </w:tcPr>
          <w:p>
            <w:pPr>
              <w:jc w:val="right"/>
              <w:spacing w:after="0"/>
              <w:rPr>
                <w:sz w:val="20"/>
                <w:szCs w:val="20"/>
                <w:color w:val="auto"/>
              </w:rPr>
            </w:pPr>
            <w:r>
              <w:rPr>
                <w:rFonts w:ascii="Arial" w:cs="Arial" w:eastAsia="Arial" w:hAnsi="Arial"/>
                <w:sz w:val="17"/>
                <w:szCs w:val="17"/>
                <w:color w:val="auto"/>
              </w:rPr>
              <w:t>25,640</w:t>
            </w:r>
          </w:p>
        </w:tc>
        <w:tc>
          <w:tcPr>
            <w:tcW w:w="720" w:type="dxa"/>
            <w:vAlign w:val="bottom"/>
            <w:gridSpan w:val="3"/>
          </w:tcPr>
          <w:p>
            <w:pPr>
              <w:ind w:left="18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7"/>
                <w:szCs w:val="17"/>
                <w:color w:val="auto"/>
              </w:rPr>
              <w:t>15,430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62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Receivables</w:t>
            </w:r>
          </w:p>
        </w:tc>
        <w:tc>
          <w:tcPr>
            <w:tcW w:w="2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58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2,606</w:t>
            </w: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3,820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6260" w:type="dxa"/>
            <w:vAlign w:val="bottom"/>
          </w:tcPr>
          <w:p>
            <w:pPr>
              <w:ind w:left="220"/>
              <w:spacing w:after="0"/>
              <w:rPr>
                <w:sz w:val="20"/>
                <w:szCs w:val="20"/>
                <w:color w:val="auto"/>
              </w:rPr>
            </w:pPr>
            <w:r>
              <w:rPr>
                <w:rFonts w:ascii="Arial" w:cs="Arial" w:eastAsia="Arial" w:hAnsi="Arial"/>
                <w:sz w:val="17"/>
                <w:szCs w:val="17"/>
                <w:color w:val="auto"/>
              </w:rPr>
              <w:t>Real estate inventories</w:t>
            </w:r>
          </w:p>
        </w:tc>
        <w:tc>
          <w:tcPr>
            <w:tcW w:w="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80" w:type="dxa"/>
            <w:vAlign w:val="bottom"/>
            <w:gridSpan w:val="3"/>
          </w:tcPr>
          <w:p>
            <w:pPr>
              <w:jc w:val="right"/>
              <w:spacing w:after="0"/>
              <w:rPr>
                <w:sz w:val="20"/>
                <w:szCs w:val="20"/>
                <w:color w:val="auto"/>
              </w:rPr>
            </w:pPr>
            <w:r>
              <w:rPr>
                <w:rFonts w:ascii="Arial" w:cs="Arial" w:eastAsia="Arial" w:hAnsi="Arial"/>
                <w:sz w:val="17"/>
                <w:szCs w:val="17"/>
                <w:color w:val="auto"/>
                <w:w w:val="91"/>
              </w:rPr>
              <w:t>281,721</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7"/>
                <w:szCs w:val="17"/>
                <w:color w:val="auto"/>
              </w:rPr>
              <w:t>235,437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62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Other assets</w:t>
            </w:r>
          </w:p>
        </w:tc>
        <w:tc>
          <w:tcPr>
            <w:tcW w:w="2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spacing w:after="0"/>
              <w:rPr>
                <w:sz w:val="19"/>
                <w:szCs w:val="19"/>
                <w:color w:val="auto"/>
              </w:rPr>
            </w:pPr>
          </w:p>
        </w:tc>
        <w:tc>
          <w:tcPr>
            <w:tcW w:w="5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7"/>
                <w:szCs w:val="17"/>
                <w:color w:val="auto"/>
              </w:rPr>
              <w:t>699</w:t>
            </w:r>
          </w:p>
        </w:tc>
        <w:tc>
          <w:tcPr>
            <w:tcW w:w="60" w:type="dxa"/>
            <w:vAlign w:val="bottom"/>
            <w:tcBorders>
              <w:bottom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tcBorders>
              <w:bottom w:val="single" w:sz="8" w:color="auto"/>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546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6260" w:type="dxa"/>
            <w:vAlign w:val="bottom"/>
          </w:tcPr>
          <w:p>
            <w:pPr>
              <w:ind w:left="20"/>
              <w:spacing w:after="0"/>
              <w:rPr>
                <w:sz w:val="20"/>
                <w:szCs w:val="20"/>
                <w:color w:val="auto"/>
              </w:rPr>
            </w:pPr>
            <w:r>
              <w:rPr>
                <w:rFonts w:ascii="Arial" w:cs="Arial" w:eastAsia="Arial" w:hAnsi="Arial"/>
                <w:sz w:val="17"/>
                <w:szCs w:val="17"/>
                <w:color w:val="auto"/>
              </w:rPr>
              <w:t>Total assets</w:t>
            </w:r>
          </w:p>
        </w:tc>
        <w:tc>
          <w:tcPr>
            <w:tcW w:w="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jc w:val="right"/>
              <w:ind w:right="73"/>
              <w:spacing w:after="0"/>
              <w:rPr>
                <w:sz w:val="20"/>
                <w:szCs w:val="20"/>
                <w:color w:val="auto"/>
              </w:rPr>
            </w:pPr>
            <w:r>
              <w:rPr>
                <w:rFonts w:ascii="Arial" w:cs="Arial" w:eastAsia="Arial" w:hAnsi="Arial"/>
                <w:sz w:val="17"/>
                <w:szCs w:val="17"/>
                <w:color w:val="auto"/>
                <w:w w:val="84"/>
              </w:rPr>
              <w:t>$</w:t>
            </w:r>
          </w:p>
        </w:tc>
        <w:tc>
          <w:tcPr>
            <w:tcW w:w="840" w:type="dxa"/>
            <w:vAlign w:val="bottom"/>
          </w:tcPr>
          <w:p>
            <w:pPr>
              <w:spacing w:after="0"/>
              <w:rPr>
                <w:sz w:val="18"/>
                <w:szCs w:val="18"/>
                <w:color w:val="auto"/>
              </w:rPr>
            </w:pPr>
          </w:p>
        </w:tc>
        <w:tc>
          <w:tcPr>
            <w:tcW w:w="580" w:type="dxa"/>
            <w:vAlign w:val="bottom"/>
            <w:gridSpan w:val="3"/>
          </w:tcPr>
          <w:p>
            <w:pPr>
              <w:jc w:val="right"/>
              <w:spacing w:after="0"/>
              <w:rPr>
                <w:sz w:val="20"/>
                <w:szCs w:val="20"/>
                <w:color w:val="auto"/>
              </w:rPr>
            </w:pPr>
            <w:r>
              <w:rPr>
                <w:rFonts w:ascii="Arial" w:cs="Arial" w:eastAsia="Arial" w:hAnsi="Arial"/>
                <w:sz w:val="17"/>
                <w:szCs w:val="17"/>
                <w:color w:val="auto"/>
                <w:w w:val="91"/>
              </w:rPr>
              <w:t>310,666</w:t>
            </w:r>
          </w:p>
        </w:tc>
        <w:tc>
          <w:tcPr>
            <w:tcW w:w="720" w:type="dxa"/>
            <w:vAlign w:val="bottom"/>
            <w:gridSpan w:val="3"/>
          </w:tcPr>
          <w:p>
            <w:pPr>
              <w:ind w:left="18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7"/>
                <w:szCs w:val="17"/>
                <w:color w:val="auto"/>
              </w:rPr>
              <w:t>255,233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6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8"/>
        </w:trPr>
        <w:tc>
          <w:tcPr>
            <w:tcW w:w="6260" w:type="dxa"/>
            <w:vAlign w:val="bottom"/>
            <w:shd w:val="clear" w:color="auto" w:fill="CCEEFF"/>
          </w:tcPr>
          <w:p>
            <w:pPr>
              <w:ind w:left="20"/>
              <w:spacing w:after="0" w:line="189" w:lineRule="exact"/>
              <w:rPr>
                <w:sz w:val="20"/>
                <w:szCs w:val="20"/>
                <w:color w:val="auto"/>
              </w:rPr>
            </w:pPr>
            <w:r>
              <w:rPr>
                <w:rFonts w:ascii="Arial" w:cs="Arial" w:eastAsia="Arial" w:hAnsi="Arial"/>
                <w:sz w:val="17"/>
                <w:szCs w:val="17"/>
                <w:color w:val="auto"/>
              </w:rPr>
              <w:t>Liabilities and equity</w:t>
            </w:r>
          </w:p>
        </w:tc>
        <w:tc>
          <w:tcPr>
            <w:tcW w:w="22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6260" w:type="dxa"/>
            <w:vAlign w:val="bottom"/>
          </w:tcPr>
          <w:p>
            <w:pPr>
              <w:ind w:left="220"/>
              <w:spacing w:after="0"/>
              <w:rPr>
                <w:sz w:val="20"/>
                <w:szCs w:val="20"/>
                <w:color w:val="auto"/>
              </w:rPr>
            </w:pPr>
            <w:r>
              <w:rPr>
                <w:rFonts w:ascii="Arial" w:cs="Arial" w:eastAsia="Arial" w:hAnsi="Arial"/>
                <w:sz w:val="17"/>
                <w:szCs w:val="17"/>
                <w:color w:val="auto"/>
              </w:rPr>
              <w:t>Accounts payable and other liabilities</w:t>
            </w:r>
          </w:p>
        </w:tc>
        <w:tc>
          <w:tcPr>
            <w:tcW w:w="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jc w:val="right"/>
              <w:ind w:right="73"/>
              <w:spacing w:after="0"/>
              <w:rPr>
                <w:sz w:val="20"/>
                <w:szCs w:val="20"/>
                <w:color w:val="auto"/>
              </w:rPr>
            </w:pPr>
            <w:r>
              <w:rPr>
                <w:rFonts w:ascii="Arial" w:cs="Arial" w:eastAsia="Arial" w:hAnsi="Arial"/>
                <w:sz w:val="17"/>
                <w:szCs w:val="17"/>
                <w:color w:val="auto"/>
                <w:w w:val="84"/>
              </w:rPr>
              <w:t>$</w:t>
            </w:r>
          </w:p>
        </w:tc>
        <w:tc>
          <w:tcPr>
            <w:tcW w:w="840" w:type="dxa"/>
            <w:vAlign w:val="bottom"/>
          </w:tcPr>
          <w:p>
            <w:pPr>
              <w:spacing w:after="0"/>
              <w:rPr>
                <w:sz w:val="19"/>
                <w:szCs w:val="19"/>
                <w:color w:val="auto"/>
              </w:rPr>
            </w:pPr>
          </w:p>
        </w:tc>
        <w:tc>
          <w:tcPr>
            <w:tcW w:w="580" w:type="dxa"/>
            <w:vAlign w:val="bottom"/>
            <w:gridSpan w:val="3"/>
          </w:tcPr>
          <w:p>
            <w:pPr>
              <w:jc w:val="right"/>
              <w:spacing w:after="0"/>
              <w:rPr>
                <w:sz w:val="20"/>
                <w:szCs w:val="20"/>
                <w:color w:val="auto"/>
              </w:rPr>
            </w:pPr>
            <w:r>
              <w:rPr>
                <w:rFonts w:ascii="Arial" w:cs="Arial" w:eastAsia="Arial" w:hAnsi="Arial"/>
                <w:sz w:val="17"/>
                <w:szCs w:val="17"/>
                <w:color w:val="auto"/>
              </w:rPr>
              <w:t>60,839</w:t>
            </w:r>
          </w:p>
        </w:tc>
        <w:tc>
          <w:tcPr>
            <w:tcW w:w="720" w:type="dxa"/>
            <w:vAlign w:val="bottom"/>
            <w:gridSpan w:val="3"/>
          </w:tcPr>
          <w:p>
            <w:pPr>
              <w:ind w:left="18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7"/>
                <w:szCs w:val="17"/>
                <w:color w:val="auto"/>
              </w:rPr>
              <w:t>43,534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62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Company’s equity</w:t>
            </w:r>
          </w:p>
        </w:tc>
        <w:tc>
          <w:tcPr>
            <w:tcW w:w="2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58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74,051</w:t>
            </w: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75,056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626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Outside interests’ equity</w:t>
            </w:r>
          </w:p>
        </w:tc>
        <w:tc>
          <w:tcPr>
            <w:tcW w:w="220" w:type="dxa"/>
            <w:vAlign w:val="bottom"/>
            <w:tcBorders>
              <w:bottom w:val="single" w:sz="8" w:color="CCEEFF"/>
            </w:tcBorders>
          </w:tcPr>
          <w:p>
            <w:pPr>
              <w:spacing w:after="0"/>
              <w:rPr>
                <w:sz w:val="19"/>
                <w:szCs w:val="19"/>
                <w:color w:val="auto"/>
              </w:rPr>
            </w:pPr>
          </w:p>
        </w:tc>
        <w:tc>
          <w:tcPr>
            <w:tcW w:w="104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color w:val="auto"/>
                <w:w w:val="91"/>
              </w:rPr>
              <w:t>175,776</w:t>
            </w:r>
          </w:p>
        </w:tc>
        <w:tc>
          <w:tcPr>
            <w:tcW w:w="6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136,643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5"/>
        </w:trPr>
        <w:tc>
          <w:tcPr>
            <w:tcW w:w="626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liabilities and equity</w:t>
            </w:r>
          </w:p>
        </w:tc>
        <w:tc>
          <w:tcPr>
            <w:tcW w:w="220" w:type="dxa"/>
            <w:vAlign w:val="bottom"/>
            <w:shd w:val="clear" w:color="auto" w:fill="CCEEFF"/>
          </w:tcPr>
          <w:p>
            <w:pPr>
              <w:spacing w:after="0"/>
              <w:rPr>
                <w:sz w:val="20"/>
                <w:szCs w:val="20"/>
                <w:color w:val="auto"/>
              </w:rPr>
            </w:pPr>
          </w:p>
        </w:tc>
        <w:tc>
          <w:tcPr>
            <w:tcW w:w="10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6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840" w:type="dxa"/>
            <w:vAlign w:val="bottom"/>
            <w:shd w:val="clear" w:color="auto" w:fill="CCEEFF"/>
          </w:tcPr>
          <w:p>
            <w:pPr>
              <w:spacing w:after="0"/>
              <w:rPr>
                <w:sz w:val="20"/>
                <w:szCs w:val="20"/>
                <w:color w:val="auto"/>
              </w:rPr>
            </w:pPr>
          </w:p>
        </w:tc>
        <w:tc>
          <w:tcPr>
            <w:tcW w:w="58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w w:val="91"/>
              </w:rPr>
              <w:t>310,666</w:t>
            </w:r>
          </w:p>
        </w:tc>
        <w:tc>
          <w:tcPr>
            <w:tcW w:w="720" w:type="dxa"/>
            <w:vAlign w:val="bottom"/>
            <w:gridSpan w:val="3"/>
            <w:shd w:val="clear" w:color="auto" w:fill="CCEEFF"/>
          </w:tcPr>
          <w:p>
            <w:pPr>
              <w:ind w:left="18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255,233</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260" w:type="dxa"/>
            <w:vAlign w:val="bottom"/>
            <w:tcBorders>
              <w:top w:val="single" w:sz="8" w:color="CCEEFF"/>
              <w:bottom w:val="single" w:sz="8" w:color="CCEEFF"/>
            </w:tcBorders>
            <w:vMerge w:val="restart"/>
          </w:tcPr>
          <w:p>
            <w:pPr>
              <w:ind w:left="480"/>
              <w:spacing w:after="0"/>
              <w:rPr>
                <w:sz w:val="20"/>
                <w:szCs w:val="20"/>
                <w:color w:val="auto"/>
              </w:rPr>
            </w:pPr>
            <w:r>
              <w:rPr>
                <w:rFonts w:ascii="Arial" w:cs="Arial" w:eastAsia="Arial" w:hAnsi="Arial"/>
                <w:sz w:val="17"/>
                <w:szCs w:val="17"/>
                <w:color w:val="auto"/>
              </w:rPr>
              <w:t>Results of operations from unconsolidated entities (in thousands):</w:t>
            </w:r>
          </w:p>
        </w:tc>
        <w:tc>
          <w:tcPr>
            <w:tcW w:w="2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8"/>
        </w:trPr>
        <w:tc>
          <w:tcPr>
            <w:tcW w:w="626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6"/>
        </w:trPr>
        <w:tc>
          <w:tcPr>
            <w:tcW w:w="626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240" w:type="dxa"/>
            <w:vAlign w:val="bottom"/>
            <w:tcBorders>
              <w:bottom w:val="single" w:sz="8" w:color="auto"/>
            </w:tcBorders>
            <w:gridSpan w:val="4"/>
          </w:tcPr>
          <w:p>
            <w:pPr>
              <w:jc w:val="right"/>
              <w:ind w:right="218"/>
              <w:spacing w:after="0"/>
              <w:rPr>
                <w:sz w:val="20"/>
                <w:szCs w:val="20"/>
                <w:color w:val="auto"/>
              </w:rPr>
            </w:pPr>
            <w:r>
              <w:rPr>
                <w:rFonts w:ascii="Arial" w:cs="Arial" w:eastAsia="Arial" w:hAnsi="Arial"/>
                <w:sz w:val="14"/>
                <w:szCs w:val="14"/>
                <w:b w:val="1"/>
                <w:bCs w:val="1"/>
                <w:color w:val="auto"/>
                <w:w w:val="96"/>
              </w:rPr>
              <w:t>Three Months Ended June 30,</w:t>
            </w:r>
          </w:p>
        </w:tc>
        <w:tc>
          <w:tcPr>
            <w:tcW w:w="6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380" w:type="dxa"/>
            <w:vAlign w:val="bottom"/>
            <w:tcBorders>
              <w:bottom w:val="single" w:sz="8" w:color="auto"/>
            </w:tcBorders>
            <w:gridSpan w:val="8"/>
          </w:tcPr>
          <w:p>
            <w:pPr>
              <w:ind w:left="380"/>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81"/>
        </w:trPr>
        <w:tc>
          <w:tcPr>
            <w:tcW w:w="626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418"/>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298"/>
              <w:spacing w:after="0"/>
              <w:rPr>
                <w:sz w:val="20"/>
                <w:szCs w:val="20"/>
                <w:color w:val="auto"/>
              </w:rPr>
            </w:pPr>
            <w:r>
              <w:rPr>
                <w:rFonts w:ascii="Arial" w:cs="Arial" w:eastAsia="Arial" w:hAnsi="Arial"/>
                <w:sz w:val="14"/>
                <w:szCs w:val="14"/>
                <w:b w:val="1"/>
                <w:bCs w:val="1"/>
                <w:color w:val="auto"/>
              </w:rPr>
              <w:t>2020</w:t>
            </w:r>
          </w:p>
        </w:tc>
        <w:tc>
          <w:tcPr>
            <w:tcW w:w="60" w:type="dxa"/>
            <w:vAlign w:val="bottom"/>
            <w:tcBorders>
              <w:bottom w:val="single" w:sz="8" w:color="auto"/>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gridSpan w:val="3"/>
          </w:tcPr>
          <w:p>
            <w:pPr>
              <w:jc w:val="right"/>
              <w:ind w:right="370"/>
              <w:spacing w:after="0"/>
              <w:rPr>
                <w:sz w:val="20"/>
                <w:szCs w:val="20"/>
                <w:color w:val="auto"/>
              </w:rPr>
            </w:pPr>
            <w:r>
              <w:rPr>
                <w:rFonts w:ascii="Arial" w:cs="Arial" w:eastAsia="Arial" w:hAnsi="Arial"/>
                <w:sz w:val="14"/>
                <w:szCs w:val="14"/>
                <w:b w:val="1"/>
                <w:bCs w:val="1"/>
                <w:color w:val="auto"/>
                <w:w w:val="83"/>
              </w:rPr>
              <w:t>2021</w:t>
            </w:r>
          </w:p>
        </w:tc>
        <w:tc>
          <w:tcPr>
            <w:tcW w:w="10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314"/>
              <w:spacing w:after="0"/>
              <w:rPr>
                <w:sz w:val="20"/>
                <w:szCs w:val="20"/>
                <w:color w:val="auto"/>
              </w:rPr>
            </w:pPr>
            <w:r>
              <w:rPr>
                <w:rFonts w:ascii="Arial" w:cs="Arial" w:eastAsia="Arial" w:hAnsi="Arial"/>
                <w:sz w:val="14"/>
                <w:szCs w:val="14"/>
                <w:b w:val="1"/>
                <w:bCs w:val="1"/>
                <w:color w:val="auto"/>
              </w:rPr>
              <w:t>2020</w:t>
            </w:r>
          </w:p>
        </w:tc>
        <w:tc>
          <w:tcPr>
            <w:tcW w:w="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sales</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12,588</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8,726</w:t>
            </w:r>
          </w:p>
        </w:tc>
        <w:tc>
          <w:tcPr>
            <w:tcW w:w="580" w:type="dxa"/>
            <w:vAlign w:val="bottom"/>
            <w:gridSpan w:val="3"/>
            <w:shd w:val="clear" w:color="auto" w:fill="CCEEFF"/>
          </w:tcPr>
          <w:p>
            <w:pPr>
              <w:jc w:val="right"/>
              <w:ind w:right="270"/>
              <w:spacing w:after="0"/>
              <w:rPr>
                <w:sz w:val="20"/>
                <w:szCs w:val="20"/>
                <w:color w:val="auto"/>
              </w:rPr>
            </w:pPr>
            <w:r>
              <w:rPr>
                <w:rFonts w:ascii="Arial" w:cs="Arial" w:eastAsia="Arial" w:hAnsi="Arial"/>
                <w:sz w:val="17"/>
                <w:szCs w:val="17"/>
                <w:color w:val="auto"/>
              </w:rPr>
              <w:t>$</w:t>
            </w:r>
          </w:p>
        </w:tc>
        <w:tc>
          <w:tcPr>
            <w:tcW w:w="720" w:type="dxa"/>
            <w:vAlign w:val="bottom"/>
            <w:gridSpan w:val="3"/>
            <w:shd w:val="clear" w:color="auto" w:fill="CCEEFF"/>
          </w:tcPr>
          <w:p>
            <w:pPr>
              <w:ind w:left="180"/>
              <w:spacing w:after="0"/>
              <w:rPr>
                <w:sz w:val="20"/>
                <w:szCs w:val="20"/>
                <w:color w:val="auto"/>
              </w:rPr>
            </w:pPr>
            <w:r>
              <w:rPr>
                <w:rFonts w:ascii="Arial" w:cs="Arial" w:eastAsia="Arial" w:hAnsi="Arial"/>
                <w:sz w:val="17"/>
                <w:szCs w:val="17"/>
                <w:color w:val="auto"/>
                <w:w w:val="99"/>
              </w:rPr>
              <w:t>20,397</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14,696</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6260" w:type="dxa"/>
            <w:vAlign w:val="bottom"/>
          </w:tcPr>
          <w:p>
            <w:pPr>
              <w:ind w:left="20"/>
              <w:spacing w:after="0"/>
              <w:rPr>
                <w:sz w:val="20"/>
                <w:szCs w:val="20"/>
                <w:color w:val="auto"/>
              </w:rPr>
            </w:pPr>
            <w:r>
              <w:rPr>
                <w:rFonts w:ascii="Arial" w:cs="Arial" w:eastAsia="Arial" w:hAnsi="Arial"/>
                <w:sz w:val="17"/>
                <w:szCs w:val="17"/>
                <w:color w:val="auto"/>
              </w:rPr>
              <w:t>Other operating expense</w:t>
            </w:r>
          </w:p>
        </w:tc>
        <w:tc>
          <w:tcPr>
            <w:tcW w:w="2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(6,973)</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gridSpan w:val="2"/>
          </w:tcPr>
          <w:p>
            <w:pPr>
              <w:jc w:val="right"/>
              <w:spacing w:after="0"/>
              <w:rPr>
                <w:sz w:val="20"/>
                <w:szCs w:val="20"/>
                <w:color w:val="auto"/>
              </w:rPr>
            </w:pPr>
            <w:r>
              <w:rPr>
                <w:rFonts w:ascii="Arial" w:cs="Arial" w:eastAsia="Arial" w:hAnsi="Arial"/>
                <w:sz w:val="17"/>
                <w:szCs w:val="17"/>
                <w:color w:val="auto"/>
              </w:rPr>
              <w:t>(4,400)</w:t>
            </w:r>
          </w:p>
        </w:tc>
        <w:tc>
          <w:tcPr>
            <w:tcW w:w="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20" w:type="dxa"/>
            <w:vAlign w:val="bottom"/>
            <w:gridSpan w:val="3"/>
          </w:tcPr>
          <w:p>
            <w:pPr>
              <w:jc w:val="right"/>
              <w:spacing w:after="0"/>
              <w:rPr>
                <w:sz w:val="20"/>
                <w:szCs w:val="20"/>
                <w:color w:val="auto"/>
              </w:rPr>
            </w:pPr>
            <w:r>
              <w:rPr>
                <w:rFonts w:ascii="Arial" w:cs="Arial" w:eastAsia="Arial" w:hAnsi="Arial"/>
                <w:sz w:val="17"/>
                <w:szCs w:val="17"/>
                <w:color w:val="auto"/>
              </w:rPr>
              <w:t>(10,821)</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7"/>
                <w:szCs w:val="17"/>
                <w:color w:val="auto"/>
              </w:rPr>
              <w:t>(8,156)</w:t>
            </w:r>
          </w:p>
        </w:tc>
        <w:tc>
          <w:tcPr>
            <w:tcW w:w="0" w:type="dxa"/>
            <w:vAlign w:val="bottom"/>
          </w:tcPr>
          <w:p>
            <w:pPr>
              <w:spacing w:after="0"/>
              <w:rPr>
                <w:sz w:val="1"/>
                <w:szCs w:val="1"/>
                <w:color w:val="auto"/>
              </w:rPr>
            </w:pPr>
          </w:p>
        </w:tc>
      </w:tr>
      <w:tr>
        <w:trPr>
          <w:trHeight w:val="222"/>
        </w:trPr>
        <w:tc>
          <w:tcPr>
            <w:tcW w:w="6260" w:type="dxa"/>
            <w:vAlign w:val="bottom"/>
            <w:shd w:val="clear" w:color="auto" w:fill="CCEEFF"/>
          </w:tcPr>
          <w:p>
            <w:pPr>
              <w:ind w:left="20"/>
              <w:spacing w:after="0"/>
              <w:rPr>
                <w:sz w:val="20"/>
                <w:szCs w:val="20"/>
                <w:color w:val="auto"/>
              </w:rPr>
            </w:pPr>
            <w:r>
              <w:rPr>
                <w:rFonts w:ascii="Arial" w:cs="Arial" w:eastAsia="Arial" w:hAnsi="Arial"/>
                <w:sz w:val="17"/>
                <w:szCs w:val="17"/>
                <w:color w:val="auto"/>
              </w:rPr>
              <w:t>Other loss, net</w:t>
            </w:r>
          </w:p>
        </w:tc>
        <w:tc>
          <w:tcPr>
            <w:tcW w:w="22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7"/>
                <w:szCs w:val="17"/>
                <w:color w:val="auto"/>
              </w:rPr>
              <w:t>(1)</w:t>
            </w:r>
          </w:p>
        </w:tc>
        <w:tc>
          <w:tcPr>
            <w:tcW w:w="80" w:type="dxa"/>
            <w:vAlign w:val="bottom"/>
            <w:shd w:val="clear" w:color="auto" w:fill="CCEEFF"/>
          </w:tcPr>
          <w:p>
            <w:pPr>
              <w:spacing w:after="0"/>
              <w:rPr>
                <w:sz w:val="19"/>
                <w:szCs w:val="19"/>
                <w:color w:val="auto"/>
              </w:rPr>
            </w:pPr>
          </w:p>
        </w:tc>
        <w:tc>
          <w:tcPr>
            <w:tcW w:w="44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7"/>
                <w:szCs w:val="17"/>
                <w:color w:val="auto"/>
              </w:rPr>
              <w:t>(4)</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(4)</w:t>
            </w:r>
          </w:p>
        </w:tc>
        <w:tc>
          <w:tcPr>
            <w:tcW w:w="0" w:type="dxa"/>
            <w:vAlign w:val="bottom"/>
          </w:tcPr>
          <w:p>
            <w:pPr>
              <w:spacing w:after="0"/>
              <w:rPr>
                <w:sz w:val="1"/>
                <w:szCs w:val="1"/>
                <w:color w:val="auto"/>
              </w:rPr>
            </w:pPr>
          </w:p>
        </w:tc>
      </w:tr>
      <w:tr>
        <w:trPr>
          <w:trHeight w:val="215"/>
        </w:trPr>
        <w:tc>
          <w:tcPr>
            <w:tcW w:w="6260" w:type="dxa"/>
            <w:vAlign w:val="bottom"/>
          </w:tcPr>
          <w:p>
            <w:pPr>
              <w:ind w:left="20"/>
              <w:spacing w:after="0"/>
              <w:rPr>
                <w:sz w:val="20"/>
                <w:szCs w:val="20"/>
                <w:color w:val="auto"/>
              </w:rPr>
            </w:pPr>
            <w:r>
              <w:rPr>
                <w:rFonts w:ascii="Arial" w:cs="Arial" w:eastAsia="Arial" w:hAnsi="Arial"/>
                <w:sz w:val="17"/>
                <w:szCs w:val="17"/>
                <w:color w:val="auto"/>
              </w:rPr>
              <w:t>Net income</w:t>
            </w:r>
          </w:p>
        </w:tc>
        <w:tc>
          <w:tcPr>
            <w:tcW w:w="220" w:type="dxa"/>
            <w:vAlign w:val="bottom"/>
          </w:tcPr>
          <w:p>
            <w:pPr>
              <w:jc w:val="right"/>
              <w:ind w:right="33"/>
              <w:spacing w:after="0"/>
              <w:rPr>
                <w:sz w:val="20"/>
                <w:szCs w:val="20"/>
                <w:color w:val="auto"/>
              </w:rPr>
            </w:pPr>
            <w:r>
              <w:rPr>
                <w:rFonts w:ascii="Arial" w:cs="Arial" w:eastAsia="Arial" w:hAnsi="Arial"/>
                <w:sz w:val="17"/>
                <w:szCs w:val="17"/>
                <w:color w:val="auto"/>
                <w:w w:val="84"/>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5,611</w:t>
            </w:r>
          </w:p>
        </w:tc>
        <w:tc>
          <w:tcPr>
            <w:tcW w:w="100" w:type="dxa"/>
            <w:vAlign w:val="bottom"/>
          </w:tcPr>
          <w:p>
            <w:pPr>
              <w:spacing w:after="0"/>
              <w:rPr>
                <w:sz w:val="18"/>
                <w:szCs w:val="18"/>
                <w:color w:val="auto"/>
              </w:rPr>
            </w:pPr>
          </w:p>
        </w:tc>
        <w:tc>
          <w:tcPr>
            <w:tcW w:w="260" w:type="dxa"/>
            <w:vAlign w:val="bottom"/>
          </w:tcPr>
          <w:p>
            <w:pPr>
              <w:jc w:val="right"/>
              <w:ind w:right="73"/>
              <w:spacing w:after="0"/>
              <w:rPr>
                <w:sz w:val="20"/>
                <w:szCs w:val="20"/>
                <w:color w:val="auto"/>
              </w:rPr>
            </w:pPr>
            <w:r>
              <w:rPr>
                <w:rFonts w:ascii="Arial" w:cs="Arial" w:eastAsia="Arial" w:hAnsi="Arial"/>
                <w:sz w:val="17"/>
                <w:szCs w:val="17"/>
                <w:color w:val="auto"/>
                <w:w w:val="84"/>
              </w:rPr>
              <w:t>$</w:t>
            </w:r>
          </w:p>
        </w:tc>
        <w:tc>
          <w:tcPr>
            <w:tcW w:w="840" w:type="dxa"/>
            <w:vAlign w:val="bottom"/>
          </w:tcPr>
          <w:p>
            <w:pPr>
              <w:jc w:val="right"/>
              <w:spacing w:after="0"/>
              <w:rPr>
                <w:sz w:val="20"/>
                <w:szCs w:val="20"/>
                <w:color w:val="auto"/>
              </w:rPr>
            </w:pPr>
            <w:r>
              <w:rPr>
                <w:rFonts w:ascii="Arial" w:cs="Arial" w:eastAsia="Arial" w:hAnsi="Arial"/>
                <w:sz w:val="17"/>
                <w:szCs w:val="17"/>
                <w:color w:val="auto"/>
              </w:rPr>
              <w:t>4,325</w:t>
            </w:r>
          </w:p>
        </w:tc>
        <w:tc>
          <w:tcPr>
            <w:tcW w:w="580" w:type="dxa"/>
            <w:vAlign w:val="bottom"/>
            <w:gridSpan w:val="3"/>
          </w:tcPr>
          <w:p>
            <w:pPr>
              <w:jc w:val="right"/>
              <w:ind w:right="270"/>
              <w:spacing w:after="0"/>
              <w:rPr>
                <w:sz w:val="20"/>
                <w:szCs w:val="20"/>
                <w:color w:val="auto"/>
              </w:rPr>
            </w:pPr>
            <w:r>
              <w:rPr>
                <w:rFonts w:ascii="Arial" w:cs="Arial" w:eastAsia="Arial" w:hAnsi="Arial"/>
                <w:sz w:val="17"/>
                <w:szCs w:val="17"/>
                <w:color w:val="auto"/>
              </w:rPr>
              <w:t>$</w:t>
            </w:r>
          </w:p>
        </w:tc>
        <w:tc>
          <w:tcPr>
            <w:tcW w:w="720" w:type="dxa"/>
            <w:vAlign w:val="bottom"/>
            <w:gridSpan w:val="3"/>
          </w:tcPr>
          <w:p>
            <w:pPr>
              <w:jc w:val="right"/>
              <w:spacing w:after="0"/>
              <w:rPr>
                <w:sz w:val="20"/>
                <w:szCs w:val="20"/>
                <w:color w:val="auto"/>
              </w:rPr>
            </w:pPr>
            <w:r>
              <w:rPr>
                <w:rFonts w:ascii="Arial" w:cs="Arial" w:eastAsia="Arial" w:hAnsi="Arial"/>
                <w:sz w:val="17"/>
                <w:szCs w:val="17"/>
                <w:color w:val="auto"/>
              </w:rPr>
              <w:t>9,572</w:t>
            </w:r>
          </w:p>
        </w:tc>
        <w:tc>
          <w:tcPr>
            <w:tcW w:w="100" w:type="dxa"/>
            <w:vAlign w:val="bottom"/>
          </w:tcPr>
          <w:p>
            <w:pPr>
              <w:spacing w:after="0"/>
              <w:rPr>
                <w:sz w:val="18"/>
                <w:szCs w:val="18"/>
                <w:color w:val="auto"/>
              </w:rPr>
            </w:pPr>
          </w:p>
        </w:tc>
        <w:tc>
          <w:tcPr>
            <w:tcW w:w="260" w:type="dxa"/>
            <w:vAlign w:val="bottom"/>
          </w:tcPr>
          <w:p>
            <w:pPr>
              <w:jc w:val="right"/>
              <w:ind w:right="73"/>
              <w:spacing w:after="0"/>
              <w:rPr>
                <w:sz w:val="20"/>
                <w:szCs w:val="20"/>
                <w:color w:val="auto"/>
              </w:rPr>
            </w:pPr>
            <w:r>
              <w:rPr>
                <w:rFonts w:ascii="Arial" w:cs="Arial" w:eastAsia="Arial" w:hAnsi="Arial"/>
                <w:sz w:val="17"/>
                <w:szCs w:val="17"/>
                <w:color w:val="auto"/>
                <w:w w:val="84"/>
              </w:rPr>
              <w:t>$</w:t>
            </w:r>
          </w:p>
        </w:tc>
        <w:tc>
          <w:tcPr>
            <w:tcW w:w="840" w:type="dxa"/>
            <w:vAlign w:val="bottom"/>
          </w:tcPr>
          <w:p>
            <w:pPr>
              <w:jc w:val="right"/>
              <w:spacing w:after="0"/>
              <w:rPr>
                <w:sz w:val="20"/>
                <w:szCs w:val="20"/>
                <w:color w:val="auto"/>
              </w:rPr>
            </w:pPr>
            <w:r>
              <w:rPr>
                <w:rFonts w:ascii="Arial" w:cs="Arial" w:eastAsia="Arial" w:hAnsi="Arial"/>
                <w:sz w:val="17"/>
                <w:szCs w:val="17"/>
                <w:color w:val="auto"/>
              </w:rPr>
              <w:t>6,536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6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4"/>
        </w:trPr>
        <w:tc>
          <w:tcPr>
            <w:tcW w:w="626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Company’s equity in income of unconsolidated entities</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3,933</w:t>
            </w:r>
          </w:p>
        </w:tc>
        <w:tc>
          <w:tcPr>
            <w:tcW w:w="100" w:type="dxa"/>
            <w:vAlign w:val="bottom"/>
            <w:shd w:val="clear" w:color="auto" w:fill="CCEEFF"/>
          </w:tcPr>
          <w:p>
            <w:pPr>
              <w:spacing w:after="0"/>
              <w:rPr>
                <w:sz w:val="20"/>
                <w:szCs w:val="20"/>
                <w:color w:val="auto"/>
              </w:rPr>
            </w:pPr>
          </w:p>
        </w:tc>
        <w:tc>
          <w:tcPr>
            <w:tcW w:w="26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2,907</w:t>
            </w:r>
          </w:p>
        </w:tc>
        <w:tc>
          <w:tcPr>
            <w:tcW w:w="580" w:type="dxa"/>
            <w:vAlign w:val="bottom"/>
            <w:gridSpan w:val="3"/>
            <w:shd w:val="clear" w:color="auto" w:fill="CCEEFF"/>
          </w:tcPr>
          <w:p>
            <w:pPr>
              <w:jc w:val="right"/>
              <w:ind w:right="270"/>
              <w:spacing w:after="0"/>
              <w:rPr>
                <w:sz w:val="20"/>
                <w:szCs w:val="20"/>
                <w:color w:val="auto"/>
              </w:rPr>
            </w:pPr>
            <w:r>
              <w:rPr>
                <w:rFonts w:ascii="Arial" w:cs="Arial" w:eastAsia="Arial" w:hAnsi="Arial"/>
                <w:sz w:val="17"/>
                <w:szCs w:val="17"/>
                <w:color w:val="auto"/>
              </w:rPr>
              <w:t>$</w:t>
            </w:r>
          </w:p>
        </w:tc>
        <w:tc>
          <w:tcPr>
            <w:tcW w:w="72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6,611</w:t>
            </w:r>
          </w:p>
        </w:tc>
        <w:tc>
          <w:tcPr>
            <w:tcW w:w="100" w:type="dxa"/>
            <w:vAlign w:val="bottom"/>
            <w:shd w:val="clear" w:color="auto" w:fill="CCEEFF"/>
          </w:tcPr>
          <w:p>
            <w:pPr>
              <w:spacing w:after="0"/>
              <w:rPr>
                <w:sz w:val="20"/>
                <w:szCs w:val="20"/>
                <w:color w:val="auto"/>
              </w:rPr>
            </w:pPr>
          </w:p>
        </w:tc>
        <w:tc>
          <w:tcPr>
            <w:tcW w:w="26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4,449</w:t>
            </w:r>
          </w:p>
        </w:tc>
        <w:tc>
          <w:tcPr>
            <w:tcW w:w="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2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78" w:lineRule="exact"/>
        <w:rPr>
          <w:sz w:val="20"/>
          <w:szCs w:val="20"/>
          <w:color w:val="auto"/>
        </w:rPr>
      </w:pPr>
    </w:p>
    <w:p>
      <w:pPr>
        <w:spacing w:after="0"/>
        <w:tabs>
          <w:tab w:leader="none" w:pos="280" w:val="left"/>
        </w:tabs>
        <w:rPr>
          <w:sz w:val="20"/>
          <w:szCs w:val="20"/>
          <w:color w:val="auto"/>
        </w:rPr>
      </w:pPr>
      <w:r>
        <w:rPr>
          <w:rFonts w:ascii="Arial" w:cs="Arial" w:eastAsia="Arial" w:hAnsi="Arial"/>
          <w:sz w:val="17"/>
          <w:szCs w:val="17"/>
          <w:b w:val="1"/>
          <w:bCs w:val="1"/>
          <w:color w:val="auto"/>
        </w:rPr>
        <w:t>7.</w:t>
      </w:r>
      <w:r>
        <w:rPr>
          <w:sz w:val="20"/>
          <w:szCs w:val="20"/>
          <w:color w:val="auto"/>
        </w:rPr>
        <w:tab/>
      </w:r>
      <w:r>
        <w:rPr>
          <w:rFonts w:ascii="Arial" w:cs="Arial" w:eastAsia="Arial" w:hAnsi="Arial"/>
          <w:sz w:val="16"/>
          <w:szCs w:val="16"/>
          <w:b w:val="1"/>
          <w:bCs w:val="1"/>
          <w:color w:val="auto"/>
        </w:rPr>
        <w:t>Variable Interest Entities</w:t>
      </w:r>
    </w:p>
    <w:p>
      <w:pPr>
        <w:spacing w:after="0" w:line="124" w:lineRule="exact"/>
        <w:rPr>
          <w:sz w:val="20"/>
          <w:szCs w:val="20"/>
          <w:color w:val="auto"/>
        </w:rPr>
      </w:pPr>
    </w:p>
    <w:p>
      <w:pPr>
        <w:ind w:right="140" w:firstLine="470"/>
        <w:spacing w:after="0" w:line="284" w:lineRule="auto"/>
        <w:rPr>
          <w:sz w:val="20"/>
          <w:szCs w:val="20"/>
          <w:color w:val="auto"/>
        </w:rPr>
      </w:pPr>
      <w:r>
        <w:rPr>
          <w:rFonts w:ascii="Arial" w:cs="Arial" w:eastAsia="Arial" w:hAnsi="Arial"/>
          <w:sz w:val="16"/>
          <w:szCs w:val="16"/>
          <w:color w:val="auto"/>
        </w:rPr>
        <w:t>In the ordinary course of business, we enter into land and lot option agreements in order to procure land and residential lots for future development and the construction of homes. The use of such land and lot option agreements generally allows us to reduce the risks associated with direct land ownership and development, and reduces our capital and financial commitments. Pursuant to these land and lot option agreements, we generally provide a deposit to the seller as consideration for the right to purchase land at different times in the future, usually at predetermined prices. These deposits are recorded as land purchase and land option deposits under real estate inventories not owned on the accompanying consolidated balance sheets.</w:t>
      </w:r>
    </w:p>
    <w:p>
      <w:pPr>
        <w:spacing w:after="0" w:line="166" w:lineRule="exact"/>
        <w:rPr>
          <w:sz w:val="20"/>
          <w:szCs w:val="20"/>
          <w:color w:val="auto"/>
        </w:rPr>
      </w:pPr>
    </w:p>
    <w:p>
      <w:pPr>
        <w:ind w:right="20" w:firstLine="470"/>
        <w:spacing w:after="0" w:line="261" w:lineRule="auto"/>
        <w:rPr>
          <w:sz w:val="20"/>
          <w:szCs w:val="20"/>
          <w:color w:val="auto"/>
        </w:rPr>
      </w:pPr>
      <w:r>
        <w:rPr>
          <w:rFonts w:ascii="Arial" w:cs="Arial" w:eastAsia="Arial" w:hAnsi="Arial"/>
          <w:sz w:val="17"/>
          <w:szCs w:val="17"/>
          <w:color w:val="auto"/>
        </w:rPr>
        <w:t xml:space="preserve">We analyze each of our land and lot option agreements and other similar contracts under the provisions of ASC 810, </w:t>
      </w:r>
      <w:r>
        <w:rPr>
          <w:rFonts w:ascii="Arial" w:cs="Arial" w:eastAsia="Arial" w:hAnsi="Arial"/>
          <w:sz w:val="17"/>
          <w:szCs w:val="17"/>
          <w:i w:val="1"/>
          <w:iCs w:val="1"/>
          <w:color w:val="auto"/>
        </w:rPr>
        <w:t>Consolidation</w:t>
      </w:r>
      <w:r>
        <w:rPr>
          <w:rFonts w:ascii="Arial" w:cs="Arial" w:eastAsia="Arial" w:hAnsi="Arial"/>
          <w:sz w:val="17"/>
          <w:szCs w:val="17"/>
          <w:color w:val="auto"/>
        </w:rPr>
        <w:t xml:space="preserve"> to determine whether the land seller is a VIE and, if so, whether we are the primary beneficiary. Although we do not have legal title to the underlying land, if we are determined to be the primary beneficiary of the VIE, we will consolidate the VIE in our financial statements and reflect its assets as real estate inventory not owned included in our real estate inventories, its liabilities as debt (nonrecourse) held by VIEs in accrued expenses and other liabilities and the net equity of the VIE owners as noncontrolling interests on our consolidated balance sheets. In determining whether we are the primary beneficiary, we consider, among other things, whether we have the power to direct the activities of the VIE that most significantly impact the VIE’s economic performance. Such activities would include, among other things, determining or limiting the scope or purpose of the VIE, selling or transferring property owned or controlled by the VIE, or arranging financing for the VIE.</w:t>
      </w:r>
    </w:p>
    <w:p>
      <w:pPr>
        <w:spacing w:after="0" w:line="181" w:lineRule="exact"/>
        <w:rPr>
          <w:sz w:val="20"/>
          <w:szCs w:val="20"/>
          <w:color w:val="auto"/>
        </w:rPr>
      </w:pPr>
    </w:p>
    <w:p>
      <w:pPr>
        <w:ind w:firstLine="470"/>
        <w:spacing w:after="0" w:line="288" w:lineRule="auto"/>
        <w:rPr>
          <w:sz w:val="20"/>
          <w:szCs w:val="20"/>
          <w:color w:val="auto"/>
        </w:rPr>
      </w:pPr>
      <w:r>
        <w:rPr>
          <w:rFonts w:ascii="Arial" w:cs="Arial" w:eastAsia="Arial" w:hAnsi="Arial"/>
          <w:sz w:val="16"/>
          <w:szCs w:val="16"/>
          <w:color w:val="auto"/>
        </w:rPr>
        <w:t>Creditors of the entities with which we have land and lot option agreements have no recourse against us. The maximum exposure to loss under our land and lot option agreements is generally limited to non-refundable option deposits and any capitalized pre-acquisition costs. In some cases, we have also contracted to complete development work at a fixed cost on behalf of the landowner and budget shortfalls and savings will be borne by us. Additionally, we have entered into land banking arrangements which require us to complete development work even if we terminate the option to procure land or lots.</w:t>
      </w: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77" w:right="339" w:bottom="1440" w:gutter="0" w:footer="0" w:header="0"/>
        </w:sectPr>
      </w:pPr>
    </w:p>
    <w:bookmarkStart w:id="15" w:name="page16"/>
    <w:bookmarkEnd w:id="15"/>
    <w:p>
      <w:pPr>
        <w:ind w:left="480"/>
        <w:spacing w:after="0"/>
        <w:rPr>
          <w:sz w:val="20"/>
          <w:szCs w:val="20"/>
          <w:color w:val="auto"/>
        </w:rPr>
      </w:pPr>
      <w:r>
        <w:rPr>
          <w:rFonts w:ascii="Arial" w:cs="Arial" w:eastAsia="Arial" w:hAnsi="Arial"/>
          <w:sz w:val="17"/>
          <w:szCs w:val="17"/>
          <w:color w:val="auto"/>
        </w:rPr>
        <w:t>The following provides a summary of our interests in land and lot option agreements (in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29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gridSpan w:val="2"/>
          </w:tcPr>
          <w:p>
            <w:pPr>
              <w:jc w:val="center"/>
              <w:ind w:right="240"/>
              <w:spacing w:after="0"/>
              <w:rPr>
                <w:sz w:val="20"/>
                <w:szCs w:val="20"/>
                <w:color w:val="auto"/>
              </w:rPr>
            </w:pPr>
            <w:r>
              <w:rPr>
                <w:rFonts w:ascii="Arial" w:cs="Arial" w:eastAsia="Arial" w:hAnsi="Arial"/>
                <w:sz w:val="14"/>
                <w:szCs w:val="14"/>
                <w:b w:val="1"/>
                <w:bCs w:val="1"/>
                <w:color w:val="auto"/>
                <w:w w:val="87"/>
              </w:rPr>
              <w:t>June 30, 2021</w:t>
            </w:r>
          </w:p>
        </w:tc>
        <w:tc>
          <w:tcPr>
            <w:tcW w:w="18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center"/>
              <w:ind w:right="120"/>
              <w:spacing w:after="0"/>
              <w:rPr>
                <w:sz w:val="20"/>
                <w:szCs w:val="20"/>
                <w:color w:val="auto"/>
              </w:rPr>
            </w:pPr>
            <w:r>
              <w:rPr>
                <w:rFonts w:ascii="Arial" w:cs="Arial" w:eastAsia="Arial" w:hAnsi="Arial"/>
                <w:sz w:val="14"/>
                <w:szCs w:val="14"/>
                <w:b w:val="1"/>
                <w:bCs w:val="1"/>
                <w:color w:val="auto"/>
                <w:w w:val="88"/>
              </w:rPr>
              <w:t>December 31, 2020</w:t>
            </w: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9"/>
        </w:trPr>
        <w:tc>
          <w:tcPr>
            <w:tcW w:w="29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0" w:type="dxa"/>
            <w:vAlign w:val="bottom"/>
            <w:gridSpan w:val="2"/>
          </w:tcPr>
          <w:p>
            <w:pPr>
              <w:jc w:val="center"/>
              <w:ind w:right="260"/>
              <w:spacing w:after="0" w:line="129" w:lineRule="exact"/>
              <w:rPr>
                <w:sz w:val="20"/>
                <w:szCs w:val="20"/>
                <w:color w:val="auto"/>
              </w:rPr>
            </w:pPr>
            <w:r>
              <w:rPr>
                <w:rFonts w:ascii="Arial" w:cs="Arial" w:eastAsia="Arial" w:hAnsi="Arial"/>
                <w:sz w:val="14"/>
                <w:szCs w:val="14"/>
                <w:b w:val="1"/>
                <w:bCs w:val="1"/>
                <w:color w:val="auto"/>
                <w:w w:val="92"/>
              </w:rPr>
              <w:t>Remaining</w:t>
            </w:r>
          </w:p>
        </w:tc>
        <w:tc>
          <w:tcPr>
            <w:tcW w:w="180" w:type="dxa"/>
            <w:vAlign w:val="bottom"/>
          </w:tcPr>
          <w:p>
            <w:pPr>
              <w:spacing w:after="0"/>
              <w:rPr>
                <w:sz w:val="11"/>
                <w:szCs w:val="11"/>
                <w:color w:val="auto"/>
              </w:rPr>
            </w:pPr>
          </w:p>
        </w:tc>
        <w:tc>
          <w:tcPr>
            <w:tcW w:w="1120" w:type="dxa"/>
            <w:vAlign w:val="bottom"/>
          </w:tcPr>
          <w:p>
            <w:pPr>
              <w:jc w:val="center"/>
              <w:ind w:right="100"/>
              <w:spacing w:after="0" w:line="129" w:lineRule="exact"/>
              <w:rPr>
                <w:sz w:val="20"/>
                <w:szCs w:val="20"/>
                <w:color w:val="auto"/>
              </w:rPr>
            </w:pPr>
            <w:r>
              <w:rPr>
                <w:rFonts w:ascii="Arial" w:cs="Arial" w:eastAsia="Arial" w:hAnsi="Arial"/>
                <w:sz w:val="14"/>
                <w:szCs w:val="14"/>
                <w:b w:val="1"/>
                <w:bCs w:val="1"/>
                <w:color w:val="auto"/>
                <w:w w:val="87"/>
              </w:rPr>
              <w:t>Consolidated</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jc w:val="center"/>
              <w:ind w:right="320"/>
              <w:spacing w:after="0" w:line="129" w:lineRule="exact"/>
              <w:rPr>
                <w:sz w:val="20"/>
                <w:szCs w:val="20"/>
                <w:color w:val="auto"/>
              </w:rPr>
            </w:pPr>
            <w:r>
              <w:rPr>
                <w:rFonts w:ascii="Arial" w:cs="Arial" w:eastAsia="Arial" w:hAnsi="Arial"/>
                <w:sz w:val="14"/>
                <w:szCs w:val="14"/>
                <w:b w:val="1"/>
                <w:bCs w:val="1"/>
                <w:color w:val="auto"/>
                <w:w w:val="89"/>
              </w:rPr>
              <w:t>Remaining</w:t>
            </w:r>
          </w:p>
        </w:tc>
        <w:tc>
          <w:tcPr>
            <w:tcW w:w="160" w:type="dxa"/>
            <w:vAlign w:val="bottom"/>
          </w:tcPr>
          <w:p>
            <w:pPr>
              <w:spacing w:after="0"/>
              <w:rPr>
                <w:sz w:val="11"/>
                <w:szCs w:val="11"/>
                <w:color w:val="auto"/>
              </w:rPr>
            </w:pPr>
          </w:p>
        </w:tc>
        <w:tc>
          <w:tcPr>
            <w:tcW w:w="1120" w:type="dxa"/>
            <w:vAlign w:val="bottom"/>
          </w:tcPr>
          <w:p>
            <w:pPr>
              <w:jc w:val="center"/>
              <w:ind w:right="100"/>
              <w:spacing w:after="0" w:line="129" w:lineRule="exact"/>
              <w:rPr>
                <w:sz w:val="20"/>
                <w:szCs w:val="20"/>
                <w:color w:val="auto"/>
              </w:rPr>
            </w:pPr>
            <w:r>
              <w:rPr>
                <w:rFonts w:ascii="Arial" w:cs="Arial" w:eastAsia="Arial" w:hAnsi="Arial"/>
                <w:sz w:val="14"/>
                <w:szCs w:val="14"/>
                <w:b w:val="1"/>
                <w:bCs w:val="1"/>
                <w:color w:val="auto"/>
                <w:w w:val="87"/>
              </w:rPr>
              <w:t>Consolidated</w:t>
            </w:r>
          </w:p>
        </w:tc>
        <w:tc>
          <w:tcPr>
            <w:tcW w:w="0" w:type="dxa"/>
            <w:vAlign w:val="bottom"/>
          </w:tcPr>
          <w:p>
            <w:pPr>
              <w:spacing w:after="0"/>
              <w:rPr>
                <w:sz w:val="1"/>
                <w:szCs w:val="1"/>
                <w:color w:val="auto"/>
              </w:rPr>
            </w:pPr>
          </w:p>
        </w:tc>
      </w:tr>
      <w:tr>
        <w:trPr>
          <w:trHeight w:val="131"/>
        </w:trPr>
        <w:tc>
          <w:tcPr>
            <w:tcW w:w="29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40" w:type="dxa"/>
            <w:vAlign w:val="bottom"/>
            <w:vMerge w:val="restart"/>
          </w:tcPr>
          <w:p>
            <w:pPr>
              <w:jc w:val="right"/>
              <w:ind w:right="316"/>
              <w:spacing w:after="0"/>
              <w:rPr>
                <w:sz w:val="20"/>
                <w:szCs w:val="20"/>
                <w:color w:val="auto"/>
              </w:rPr>
            </w:pPr>
            <w:r>
              <w:rPr>
                <w:rFonts w:ascii="Arial" w:cs="Arial" w:eastAsia="Arial" w:hAnsi="Arial"/>
                <w:sz w:val="14"/>
                <w:szCs w:val="14"/>
                <w:b w:val="1"/>
                <w:bCs w:val="1"/>
                <w:color w:val="auto"/>
              </w:rPr>
              <w:t>Deposits</w:t>
            </w:r>
          </w:p>
        </w:tc>
        <w:tc>
          <w:tcPr>
            <w:tcW w:w="100" w:type="dxa"/>
            <w:vAlign w:val="bottom"/>
            <w:vMerge w:val="restart"/>
          </w:tcPr>
          <w:p>
            <w:pPr>
              <w:spacing w:after="0"/>
              <w:rPr>
                <w:sz w:val="11"/>
                <w:szCs w:val="11"/>
                <w:color w:val="auto"/>
              </w:rPr>
            </w:pPr>
          </w:p>
        </w:tc>
        <w:tc>
          <w:tcPr>
            <w:tcW w:w="160" w:type="dxa"/>
            <w:vAlign w:val="bottom"/>
          </w:tcPr>
          <w:p>
            <w:pPr>
              <w:spacing w:after="0"/>
              <w:rPr>
                <w:sz w:val="11"/>
                <w:szCs w:val="11"/>
                <w:color w:val="auto"/>
              </w:rPr>
            </w:pPr>
          </w:p>
        </w:tc>
        <w:tc>
          <w:tcPr>
            <w:tcW w:w="1200" w:type="dxa"/>
            <w:vAlign w:val="bottom"/>
            <w:gridSpan w:val="2"/>
          </w:tcPr>
          <w:p>
            <w:pPr>
              <w:jc w:val="center"/>
              <w:ind w:right="260"/>
              <w:spacing w:after="0" w:line="131" w:lineRule="exact"/>
              <w:rPr>
                <w:sz w:val="20"/>
                <w:szCs w:val="20"/>
                <w:color w:val="auto"/>
              </w:rPr>
            </w:pPr>
            <w:r>
              <w:rPr>
                <w:rFonts w:ascii="Arial" w:cs="Arial" w:eastAsia="Arial" w:hAnsi="Arial"/>
                <w:sz w:val="14"/>
                <w:szCs w:val="14"/>
                <w:b w:val="1"/>
                <w:bCs w:val="1"/>
                <w:color w:val="auto"/>
                <w:w w:val="85"/>
              </w:rPr>
              <w:t>Purchase</w:t>
            </w:r>
          </w:p>
        </w:tc>
        <w:tc>
          <w:tcPr>
            <w:tcW w:w="180" w:type="dxa"/>
            <w:vAlign w:val="bottom"/>
          </w:tcPr>
          <w:p>
            <w:pPr>
              <w:spacing w:after="0"/>
              <w:rPr>
                <w:sz w:val="11"/>
                <w:szCs w:val="11"/>
                <w:color w:val="auto"/>
              </w:rPr>
            </w:pPr>
          </w:p>
        </w:tc>
        <w:tc>
          <w:tcPr>
            <w:tcW w:w="1220" w:type="dxa"/>
            <w:vAlign w:val="bottom"/>
            <w:gridSpan w:val="2"/>
          </w:tcPr>
          <w:p>
            <w:pPr>
              <w:jc w:val="center"/>
              <w:ind w:right="280"/>
              <w:spacing w:after="0" w:line="131" w:lineRule="exact"/>
              <w:rPr>
                <w:sz w:val="20"/>
                <w:szCs w:val="20"/>
                <w:color w:val="auto"/>
              </w:rPr>
            </w:pPr>
            <w:r>
              <w:rPr>
                <w:rFonts w:ascii="Arial" w:cs="Arial" w:eastAsia="Arial" w:hAnsi="Arial"/>
                <w:sz w:val="14"/>
                <w:szCs w:val="14"/>
                <w:b w:val="1"/>
                <w:bCs w:val="1"/>
                <w:color w:val="auto"/>
                <w:w w:val="91"/>
              </w:rPr>
              <w:t>Inventory</w:t>
            </w:r>
          </w:p>
        </w:tc>
        <w:tc>
          <w:tcPr>
            <w:tcW w:w="260" w:type="dxa"/>
            <w:vAlign w:val="bottom"/>
          </w:tcPr>
          <w:p>
            <w:pPr>
              <w:spacing w:after="0"/>
              <w:rPr>
                <w:sz w:val="11"/>
                <w:szCs w:val="11"/>
                <w:color w:val="auto"/>
              </w:rPr>
            </w:pPr>
          </w:p>
        </w:tc>
        <w:tc>
          <w:tcPr>
            <w:tcW w:w="1020" w:type="dxa"/>
            <w:vAlign w:val="bottom"/>
            <w:vMerge w:val="restart"/>
          </w:tcPr>
          <w:p>
            <w:pPr>
              <w:jc w:val="right"/>
              <w:ind w:right="296"/>
              <w:spacing w:after="0"/>
              <w:rPr>
                <w:sz w:val="20"/>
                <w:szCs w:val="20"/>
                <w:color w:val="auto"/>
              </w:rPr>
            </w:pPr>
            <w:r>
              <w:rPr>
                <w:rFonts w:ascii="Arial" w:cs="Arial" w:eastAsia="Arial" w:hAnsi="Arial"/>
                <w:sz w:val="14"/>
                <w:szCs w:val="14"/>
                <w:b w:val="1"/>
                <w:bCs w:val="1"/>
                <w:color w:val="auto"/>
              </w:rPr>
              <w:t>Deposits</w:t>
            </w:r>
          </w:p>
        </w:tc>
        <w:tc>
          <w:tcPr>
            <w:tcW w:w="120" w:type="dxa"/>
            <w:vAlign w:val="bottom"/>
            <w:vMerge w:val="restart"/>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jc w:val="center"/>
              <w:ind w:right="320"/>
              <w:spacing w:after="0" w:line="131" w:lineRule="exact"/>
              <w:rPr>
                <w:sz w:val="20"/>
                <w:szCs w:val="20"/>
                <w:color w:val="auto"/>
              </w:rPr>
            </w:pPr>
            <w:r>
              <w:rPr>
                <w:rFonts w:ascii="Arial" w:cs="Arial" w:eastAsia="Arial" w:hAnsi="Arial"/>
                <w:sz w:val="14"/>
                <w:szCs w:val="14"/>
                <w:b w:val="1"/>
                <w:bCs w:val="1"/>
                <w:color w:val="auto"/>
                <w:w w:val="88"/>
              </w:rPr>
              <w:t>Purchase</w:t>
            </w:r>
          </w:p>
        </w:tc>
        <w:tc>
          <w:tcPr>
            <w:tcW w:w="160" w:type="dxa"/>
            <w:vAlign w:val="bottom"/>
          </w:tcPr>
          <w:p>
            <w:pPr>
              <w:spacing w:after="0"/>
              <w:rPr>
                <w:sz w:val="11"/>
                <w:szCs w:val="11"/>
                <w:color w:val="auto"/>
              </w:rPr>
            </w:pPr>
          </w:p>
        </w:tc>
        <w:tc>
          <w:tcPr>
            <w:tcW w:w="1120" w:type="dxa"/>
            <w:vAlign w:val="bottom"/>
          </w:tcPr>
          <w:p>
            <w:pPr>
              <w:jc w:val="center"/>
              <w:ind w:right="80"/>
              <w:spacing w:after="0" w:line="131" w:lineRule="exact"/>
              <w:rPr>
                <w:sz w:val="20"/>
                <w:szCs w:val="20"/>
                <w:color w:val="auto"/>
              </w:rPr>
            </w:pPr>
            <w:r>
              <w:rPr>
                <w:rFonts w:ascii="Arial" w:cs="Arial" w:eastAsia="Arial" w:hAnsi="Arial"/>
                <w:sz w:val="14"/>
                <w:szCs w:val="14"/>
                <w:b w:val="1"/>
                <w:bCs w:val="1"/>
                <w:color w:val="auto"/>
                <w:w w:val="95"/>
              </w:rPr>
              <w:t>Inventory</w:t>
            </w:r>
          </w:p>
        </w:tc>
        <w:tc>
          <w:tcPr>
            <w:tcW w:w="0" w:type="dxa"/>
            <w:vAlign w:val="bottom"/>
          </w:tcPr>
          <w:p>
            <w:pPr>
              <w:spacing w:after="0"/>
              <w:rPr>
                <w:sz w:val="1"/>
                <w:szCs w:val="1"/>
                <w:color w:val="auto"/>
              </w:rPr>
            </w:pPr>
          </w:p>
        </w:tc>
      </w:tr>
      <w:tr>
        <w:trPr>
          <w:trHeight w:val="183"/>
        </w:trPr>
        <w:tc>
          <w:tcPr>
            <w:tcW w:w="298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vMerge w:val="continue"/>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center"/>
              <w:ind w:right="82"/>
              <w:spacing w:after="0"/>
              <w:rPr>
                <w:sz w:val="20"/>
                <w:szCs w:val="20"/>
                <w:color w:val="auto"/>
              </w:rPr>
            </w:pPr>
            <w:r>
              <w:rPr>
                <w:rFonts w:ascii="Arial" w:cs="Arial" w:eastAsia="Arial" w:hAnsi="Arial"/>
                <w:sz w:val="14"/>
                <w:szCs w:val="14"/>
                <w:b w:val="1"/>
                <w:bCs w:val="1"/>
                <w:color w:val="auto"/>
                <w:w w:val="87"/>
              </w:rPr>
              <w:t>Price</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center"/>
              <w:ind w:right="80"/>
              <w:spacing w:after="0"/>
              <w:rPr>
                <w:sz w:val="20"/>
                <w:szCs w:val="20"/>
                <w:color w:val="auto"/>
              </w:rPr>
            </w:pPr>
            <w:r>
              <w:rPr>
                <w:rFonts w:ascii="Arial" w:cs="Arial" w:eastAsia="Arial" w:hAnsi="Arial"/>
                <w:sz w:val="14"/>
                <w:szCs w:val="14"/>
                <w:b w:val="1"/>
                <w:bCs w:val="1"/>
                <w:color w:val="auto"/>
                <w:w w:val="94"/>
              </w:rPr>
              <w:t>Held by VIEs</w:t>
            </w:r>
          </w:p>
        </w:tc>
        <w:tc>
          <w:tcPr>
            <w:tcW w:w="10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vMerge w:val="continue"/>
          </w:tcPr>
          <w:p>
            <w:pPr>
              <w:spacing w:after="0"/>
              <w:rPr>
                <w:sz w:val="15"/>
                <w:szCs w:val="15"/>
                <w:color w:val="auto"/>
              </w:rPr>
            </w:pPr>
          </w:p>
        </w:tc>
        <w:tc>
          <w:tcPr>
            <w:tcW w:w="120" w:type="dxa"/>
            <w:vAlign w:val="bottom"/>
            <w:tcBorders>
              <w:bottom w:val="single" w:sz="8" w:color="CCEEFF"/>
            </w:tcBorders>
            <w:vMerge w:val="continue"/>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center"/>
              <w:ind w:right="120"/>
              <w:spacing w:after="0"/>
              <w:rPr>
                <w:sz w:val="20"/>
                <w:szCs w:val="20"/>
                <w:color w:val="auto"/>
              </w:rPr>
            </w:pPr>
            <w:r>
              <w:rPr>
                <w:rFonts w:ascii="Arial" w:cs="Arial" w:eastAsia="Arial" w:hAnsi="Arial"/>
                <w:sz w:val="14"/>
                <w:szCs w:val="14"/>
                <w:b w:val="1"/>
                <w:bCs w:val="1"/>
                <w:color w:val="auto"/>
                <w:w w:val="93"/>
              </w:rPr>
              <w:t>Price</w:t>
            </w:r>
          </w:p>
        </w:tc>
        <w:tc>
          <w:tcPr>
            <w:tcW w:w="1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center"/>
              <w:ind w:right="80"/>
              <w:spacing w:after="0"/>
              <w:rPr>
                <w:sz w:val="20"/>
                <w:szCs w:val="20"/>
                <w:color w:val="auto"/>
              </w:rPr>
            </w:pPr>
            <w:r>
              <w:rPr>
                <w:rFonts w:ascii="Arial" w:cs="Arial" w:eastAsia="Arial" w:hAnsi="Arial"/>
                <w:sz w:val="14"/>
                <w:szCs w:val="14"/>
                <w:b w:val="1"/>
                <w:bCs w:val="1"/>
                <w:color w:val="auto"/>
                <w:w w:val="94"/>
              </w:rPr>
              <w:t>Held by VIEs</w:t>
            </w:r>
          </w:p>
        </w:tc>
        <w:tc>
          <w:tcPr>
            <w:tcW w:w="0" w:type="dxa"/>
            <w:vAlign w:val="bottom"/>
          </w:tcPr>
          <w:p>
            <w:pPr>
              <w:spacing w:after="0"/>
              <w:rPr>
                <w:sz w:val="1"/>
                <w:szCs w:val="1"/>
                <w:color w:val="auto"/>
              </w:rPr>
            </w:pPr>
          </w:p>
        </w:tc>
      </w:tr>
      <w:tr>
        <w:trPr>
          <w:trHeight w:val="216"/>
        </w:trPr>
        <w:tc>
          <w:tcPr>
            <w:tcW w:w="298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Consolidated VIEs</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20" w:type="dxa"/>
            <w:vAlign w:val="bottom"/>
            <w:gridSpan w:val="2"/>
            <w:shd w:val="clear" w:color="auto" w:fill="CCEEFF"/>
          </w:tcPr>
          <w:p>
            <w:pPr>
              <w:jc w:val="center"/>
              <w:ind w:left="640"/>
              <w:spacing w:after="0"/>
              <w:rPr>
                <w:sz w:val="20"/>
                <w:szCs w:val="20"/>
                <w:color w:val="auto"/>
              </w:rPr>
            </w:pPr>
            <w:r>
              <w:rPr>
                <w:rFonts w:ascii="Arial" w:cs="Arial" w:eastAsia="Arial" w:hAnsi="Arial"/>
                <w:sz w:val="17"/>
                <w:szCs w:val="17"/>
                <w:color w:val="auto"/>
              </w:rPr>
              <w:t>—</w:t>
            </w:r>
          </w:p>
        </w:tc>
        <w:tc>
          <w:tcPr>
            <w:tcW w:w="26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7"/>
                <w:szCs w:val="17"/>
                <w:color w:val="auto"/>
                <w:w w:val="84"/>
              </w:rPr>
              <w:t>$</w:t>
            </w: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shd w:val="clear" w:color="auto" w:fill="CCEEFF"/>
          </w:tcPr>
          <w:p>
            <w:pPr>
              <w:jc w:val="center"/>
              <w:ind w:left="74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2"/>
        </w:trPr>
        <w:tc>
          <w:tcPr>
            <w:tcW w:w="2980" w:type="dxa"/>
            <w:vAlign w:val="bottom"/>
          </w:tcPr>
          <w:p>
            <w:pPr>
              <w:ind w:left="20"/>
              <w:spacing w:after="0"/>
              <w:rPr>
                <w:sz w:val="20"/>
                <w:szCs w:val="20"/>
                <w:color w:val="auto"/>
              </w:rPr>
            </w:pPr>
            <w:r>
              <w:rPr>
                <w:rFonts w:ascii="Arial" w:cs="Arial" w:eastAsia="Arial" w:hAnsi="Arial"/>
                <w:sz w:val="17"/>
                <w:szCs w:val="17"/>
                <w:color w:val="auto"/>
              </w:rPr>
              <w:t>Unconsolidated VIEs</w:t>
            </w:r>
          </w:p>
        </w:tc>
        <w:tc>
          <w:tcPr>
            <w:tcW w:w="2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133,105</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784,069</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20" w:type="dxa"/>
            <w:vAlign w:val="bottom"/>
            <w:gridSpan w:val="2"/>
          </w:tcPr>
          <w:p>
            <w:pPr>
              <w:jc w:val="center"/>
              <w:ind w:left="600"/>
              <w:spacing w:after="0"/>
              <w:rPr>
                <w:sz w:val="20"/>
                <w:szCs w:val="20"/>
                <w:color w:val="auto"/>
              </w:rPr>
            </w:pPr>
            <w:r>
              <w:rPr>
                <w:rFonts w:ascii="Arial" w:cs="Arial" w:eastAsia="Arial" w:hAnsi="Arial"/>
                <w:sz w:val="17"/>
                <w:szCs w:val="17"/>
                <w:color w:val="auto"/>
              </w:rPr>
              <w:t>N/A</w:t>
            </w:r>
          </w:p>
        </w:tc>
        <w:tc>
          <w:tcPr>
            <w:tcW w:w="2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81,723</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599,025</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tcPr>
          <w:p>
            <w:pPr>
              <w:jc w:val="center"/>
              <w:ind w:left="700"/>
              <w:spacing w:after="0"/>
              <w:rPr>
                <w:sz w:val="20"/>
                <w:szCs w:val="20"/>
                <w:color w:val="auto"/>
              </w:rPr>
            </w:pPr>
            <w:r>
              <w:rPr>
                <w:rFonts w:ascii="Arial" w:cs="Arial" w:eastAsia="Arial" w:hAnsi="Arial"/>
                <w:sz w:val="17"/>
                <w:szCs w:val="17"/>
                <w:color w:val="auto"/>
              </w:rPr>
              <w:t>N/A</w:t>
            </w:r>
          </w:p>
        </w:tc>
        <w:tc>
          <w:tcPr>
            <w:tcW w:w="0" w:type="dxa"/>
            <w:vAlign w:val="bottom"/>
          </w:tcPr>
          <w:p>
            <w:pPr>
              <w:spacing w:after="0"/>
              <w:rPr>
                <w:sz w:val="1"/>
                <w:szCs w:val="1"/>
                <w:color w:val="auto"/>
              </w:rPr>
            </w:pPr>
          </w:p>
        </w:tc>
      </w:tr>
      <w:tr>
        <w:trPr>
          <w:trHeight w:val="222"/>
        </w:trPr>
        <w:tc>
          <w:tcPr>
            <w:tcW w:w="2980" w:type="dxa"/>
            <w:vAlign w:val="bottom"/>
            <w:shd w:val="clear" w:color="auto" w:fill="CCEEFF"/>
          </w:tcPr>
          <w:p>
            <w:pPr>
              <w:ind w:left="20"/>
              <w:spacing w:after="0"/>
              <w:rPr>
                <w:sz w:val="20"/>
                <w:szCs w:val="20"/>
                <w:color w:val="auto"/>
              </w:rPr>
            </w:pPr>
            <w:r>
              <w:rPr>
                <w:rFonts w:ascii="Arial" w:cs="Arial" w:eastAsia="Arial" w:hAnsi="Arial"/>
                <w:sz w:val="17"/>
                <w:szCs w:val="17"/>
                <w:color w:val="auto"/>
              </w:rPr>
              <w:t>Other land option agreements</w:t>
            </w:r>
          </w:p>
        </w:tc>
        <w:tc>
          <w:tcPr>
            <w:tcW w:w="24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33,567</w:t>
            </w: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341,753</w:t>
            </w:r>
          </w:p>
        </w:tc>
        <w:tc>
          <w:tcPr>
            <w:tcW w:w="1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center"/>
              <w:ind w:left="700"/>
              <w:spacing w:after="0"/>
              <w:rPr>
                <w:sz w:val="20"/>
                <w:szCs w:val="20"/>
                <w:color w:val="auto"/>
              </w:rPr>
            </w:pPr>
            <w:r>
              <w:rPr>
                <w:rFonts w:ascii="Arial" w:cs="Arial" w:eastAsia="Arial" w:hAnsi="Arial"/>
                <w:sz w:val="17"/>
                <w:szCs w:val="17"/>
                <w:color w:val="auto"/>
              </w:rPr>
              <w:t>N/A</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38,674</w:t>
            </w:r>
          </w:p>
        </w:tc>
        <w:tc>
          <w:tcPr>
            <w:tcW w:w="1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336,326</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center"/>
              <w:ind w:left="700"/>
              <w:spacing w:after="0"/>
              <w:rPr>
                <w:sz w:val="20"/>
                <w:szCs w:val="20"/>
                <w:color w:val="auto"/>
              </w:rPr>
            </w:pPr>
            <w:r>
              <w:rPr>
                <w:rFonts w:ascii="Arial" w:cs="Arial" w:eastAsia="Arial" w:hAnsi="Arial"/>
                <w:sz w:val="17"/>
                <w:szCs w:val="17"/>
                <w:color w:val="auto"/>
              </w:rPr>
              <w:t>N/A</w:t>
            </w:r>
          </w:p>
        </w:tc>
        <w:tc>
          <w:tcPr>
            <w:tcW w:w="0" w:type="dxa"/>
            <w:vAlign w:val="bottom"/>
          </w:tcPr>
          <w:p>
            <w:pPr>
              <w:spacing w:after="0"/>
              <w:rPr>
                <w:sz w:val="1"/>
                <w:szCs w:val="1"/>
                <w:color w:val="auto"/>
              </w:rPr>
            </w:pPr>
          </w:p>
        </w:tc>
      </w:tr>
      <w:tr>
        <w:trPr>
          <w:trHeight w:val="215"/>
        </w:trPr>
        <w:tc>
          <w:tcPr>
            <w:tcW w:w="2980" w:type="dxa"/>
            <w:vAlign w:val="bottom"/>
          </w:tcPr>
          <w:p>
            <w:pPr>
              <w:ind w:left="20"/>
              <w:spacing w:after="0"/>
              <w:rPr>
                <w:sz w:val="20"/>
                <w:szCs w:val="20"/>
                <w:color w:val="auto"/>
              </w:rPr>
            </w:pPr>
            <w:r>
              <w:rPr>
                <w:rFonts w:ascii="Arial" w:cs="Arial" w:eastAsia="Arial" w:hAnsi="Arial"/>
                <w:sz w:val="17"/>
                <w:szCs w:val="17"/>
                <w:color w:val="auto"/>
              </w:rPr>
              <w:t>Total</w:t>
            </w:r>
          </w:p>
        </w:tc>
        <w:tc>
          <w:tcPr>
            <w:tcW w:w="240" w:type="dxa"/>
            <w:vAlign w:val="bottom"/>
          </w:tcPr>
          <w:p>
            <w:pPr>
              <w:jc w:val="right"/>
              <w:ind w:right="53"/>
              <w:spacing w:after="0"/>
              <w:rPr>
                <w:sz w:val="20"/>
                <w:szCs w:val="20"/>
                <w:color w:val="auto"/>
              </w:rPr>
            </w:pPr>
            <w:r>
              <w:rPr>
                <w:rFonts w:ascii="Arial" w:cs="Arial" w:eastAsia="Arial" w:hAnsi="Arial"/>
                <w:sz w:val="17"/>
                <w:szCs w:val="17"/>
                <w:color w:val="auto"/>
                <w:w w:val="84"/>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166,672</w:t>
            </w: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100" w:type="dxa"/>
            <w:vAlign w:val="bottom"/>
          </w:tcPr>
          <w:p>
            <w:pPr>
              <w:jc w:val="right"/>
              <w:spacing w:after="0"/>
              <w:rPr>
                <w:sz w:val="20"/>
                <w:szCs w:val="20"/>
                <w:color w:val="auto"/>
              </w:rPr>
            </w:pPr>
            <w:r>
              <w:rPr>
                <w:rFonts w:ascii="Arial" w:cs="Arial" w:eastAsia="Arial" w:hAnsi="Arial"/>
                <w:sz w:val="17"/>
                <w:szCs w:val="17"/>
                <w:color w:val="auto"/>
              </w:rPr>
              <w:t>1,125,822</w:t>
            </w: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7"/>
                <w:szCs w:val="17"/>
                <w:color w:val="auto"/>
              </w:rPr>
              <w:t>$</w:t>
            </w:r>
          </w:p>
        </w:tc>
        <w:tc>
          <w:tcPr>
            <w:tcW w:w="1220" w:type="dxa"/>
            <w:vAlign w:val="bottom"/>
            <w:gridSpan w:val="2"/>
          </w:tcPr>
          <w:p>
            <w:pPr>
              <w:jc w:val="center"/>
              <w:ind w:left="640"/>
              <w:spacing w:after="0"/>
              <w:rPr>
                <w:sz w:val="20"/>
                <w:szCs w:val="20"/>
                <w:color w:val="auto"/>
              </w:rPr>
            </w:pPr>
            <w:r>
              <w:rPr>
                <w:rFonts w:ascii="Arial" w:cs="Arial" w:eastAsia="Arial" w:hAnsi="Arial"/>
                <w:sz w:val="17"/>
                <w:szCs w:val="17"/>
                <w:color w:val="auto"/>
              </w:rPr>
              <w:t>—</w:t>
            </w:r>
          </w:p>
        </w:tc>
        <w:tc>
          <w:tcPr>
            <w:tcW w:w="260" w:type="dxa"/>
            <w:vAlign w:val="bottom"/>
          </w:tcPr>
          <w:p>
            <w:pPr>
              <w:jc w:val="right"/>
              <w:ind w:right="53"/>
              <w:spacing w:after="0"/>
              <w:rPr>
                <w:sz w:val="20"/>
                <w:szCs w:val="20"/>
                <w:color w:val="auto"/>
              </w:rPr>
            </w:pPr>
            <w:r>
              <w:rPr>
                <w:rFonts w:ascii="Arial" w:cs="Arial" w:eastAsia="Arial" w:hAnsi="Arial"/>
                <w:sz w:val="17"/>
                <w:szCs w:val="17"/>
                <w:color w:val="auto"/>
              </w:rPr>
              <w:t>$</w:t>
            </w:r>
          </w:p>
        </w:tc>
        <w:tc>
          <w:tcPr>
            <w:tcW w:w="1020" w:type="dxa"/>
            <w:vAlign w:val="bottom"/>
          </w:tcPr>
          <w:p>
            <w:pPr>
              <w:jc w:val="right"/>
              <w:spacing w:after="0"/>
              <w:rPr>
                <w:sz w:val="20"/>
                <w:szCs w:val="20"/>
                <w:color w:val="auto"/>
              </w:rPr>
            </w:pPr>
            <w:r>
              <w:rPr>
                <w:rFonts w:ascii="Arial" w:cs="Arial" w:eastAsia="Arial" w:hAnsi="Arial"/>
                <w:sz w:val="17"/>
                <w:szCs w:val="17"/>
                <w:color w:val="auto"/>
              </w:rPr>
              <w:t>120,397</w:t>
            </w:r>
          </w:p>
        </w:tc>
        <w:tc>
          <w:tcPr>
            <w:tcW w:w="120" w:type="dxa"/>
            <w:vAlign w:val="bottom"/>
          </w:tcPr>
          <w:p>
            <w:pPr>
              <w:spacing w:after="0"/>
              <w:rPr>
                <w:sz w:val="18"/>
                <w:szCs w:val="18"/>
                <w:color w:val="auto"/>
              </w:rPr>
            </w:pPr>
          </w:p>
        </w:tc>
        <w:tc>
          <w:tcPr>
            <w:tcW w:w="200" w:type="dxa"/>
            <w:vAlign w:val="bottom"/>
          </w:tcPr>
          <w:p>
            <w:pPr>
              <w:jc w:val="right"/>
              <w:ind w:right="19"/>
              <w:spacing w:after="0"/>
              <w:rPr>
                <w:sz w:val="20"/>
                <w:szCs w:val="20"/>
                <w:color w:val="auto"/>
              </w:rPr>
            </w:pPr>
            <w:r>
              <w:rPr>
                <w:rFonts w:ascii="Arial" w:cs="Arial" w:eastAsia="Arial" w:hAnsi="Arial"/>
                <w:sz w:val="17"/>
                <w:szCs w:val="17"/>
                <w:color w:val="auto"/>
                <w:w w:val="84"/>
              </w:rPr>
              <w:t>$</w:t>
            </w:r>
          </w:p>
        </w:tc>
        <w:tc>
          <w:tcPr>
            <w:tcW w:w="1080" w:type="dxa"/>
            <w:vAlign w:val="bottom"/>
          </w:tcPr>
          <w:p>
            <w:pPr>
              <w:jc w:val="right"/>
              <w:spacing w:after="0"/>
              <w:rPr>
                <w:sz w:val="20"/>
                <w:szCs w:val="20"/>
                <w:color w:val="auto"/>
              </w:rPr>
            </w:pPr>
            <w:r>
              <w:rPr>
                <w:rFonts w:ascii="Arial" w:cs="Arial" w:eastAsia="Arial" w:hAnsi="Arial"/>
                <w:sz w:val="17"/>
                <w:szCs w:val="17"/>
                <w:color w:val="auto"/>
              </w:rPr>
              <w:t>935,351</w:t>
            </w:r>
          </w:p>
        </w:tc>
        <w:tc>
          <w:tcPr>
            <w:tcW w:w="1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Pr>
          <w:p>
            <w:pPr>
              <w:jc w:val="center"/>
              <w:ind w:left="74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4" w:lineRule="exact"/>
        <w:rPr>
          <w:sz w:val="20"/>
          <w:szCs w:val="20"/>
          <w:color w:val="auto"/>
        </w:rPr>
      </w:pPr>
    </w:p>
    <w:p>
      <w:pPr>
        <w:ind w:right="540" w:firstLine="470"/>
        <w:spacing w:after="0" w:line="288" w:lineRule="auto"/>
        <w:rPr>
          <w:sz w:val="20"/>
          <w:szCs w:val="20"/>
          <w:color w:val="auto"/>
        </w:rPr>
      </w:pPr>
      <w:r>
        <w:rPr>
          <w:rFonts w:ascii="Arial" w:cs="Arial" w:eastAsia="Arial" w:hAnsi="Arial"/>
          <w:sz w:val="17"/>
          <w:szCs w:val="17"/>
          <w:color w:val="auto"/>
        </w:rPr>
        <w:t>Unconsolidated VIEs represent land option agreements that were not consolidated because we were not the primary beneficiary. Other land option agreements were not with VIEs.</w:t>
      </w:r>
    </w:p>
    <w:p>
      <w:pPr>
        <w:spacing w:after="0" w:line="158" w:lineRule="exact"/>
        <w:rPr>
          <w:sz w:val="20"/>
          <w:szCs w:val="20"/>
          <w:color w:val="auto"/>
        </w:rPr>
      </w:pPr>
    </w:p>
    <w:p>
      <w:pPr>
        <w:ind w:right="300" w:firstLine="470"/>
        <w:spacing w:after="0" w:line="272" w:lineRule="auto"/>
        <w:rPr>
          <w:sz w:val="20"/>
          <w:szCs w:val="20"/>
          <w:color w:val="auto"/>
        </w:rPr>
      </w:pPr>
      <w:r>
        <w:rPr>
          <w:rFonts w:ascii="Arial" w:cs="Arial" w:eastAsia="Arial" w:hAnsi="Arial"/>
          <w:sz w:val="17"/>
          <w:szCs w:val="17"/>
          <w:color w:val="auto"/>
        </w:rPr>
        <w:t>In addition to the deposits presented in the table above, our exposure to loss related to our land and lot option contracts consisted of capitalized pre-acquisition costs of $11.0 million and $9.5 million as of June 30, 2021 and December 31, 2020, respectively. These pre-acquisition costs are included in real estate inventories as land under development on our consolidated balance sheets.</w:t>
      </w:r>
    </w:p>
    <w:p>
      <w:pPr>
        <w:spacing w:after="0" w:line="375" w:lineRule="exact"/>
        <w:rPr>
          <w:sz w:val="20"/>
          <w:szCs w:val="20"/>
          <w:color w:val="auto"/>
        </w:rPr>
      </w:pPr>
    </w:p>
    <w:p>
      <w:pPr>
        <w:spacing w:after="0"/>
        <w:tabs>
          <w:tab w:leader="none" w:pos="280" w:val="left"/>
        </w:tabs>
        <w:rPr>
          <w:sz w:val="20"/>
          <w:szCs w:val="20"/>
          <w:color w:val="auto"/>
        </w:rPr>
      </w:pPr>
      <w:r>
        <w:rPr>
          <w:rFonts w:ascii="Arial" w:cs="Arial" w:eastAsia="Arial" w:hAnsi="Arial"/>
          <w:sz w:val="17"/>
          <w:szCs w:val="17"/>
          <w:b w:val="1"/>
          <w:bCs w:val="1"/>
          <w:color w:val="auto"/>
        </w:rPr>
        <w:t>8.</w:t>
      </w:r>
      <w:r>
        <w:rPr>
          <w:sz w:val="20"/>
          <w:szCs w:val="20"/>
          <w:color w:val="auto"/>
        </w:rPr>
        <w:tab/>
      </w:r>
      <w:r>
        <w:rPr>
          <w:rFonts w:ascii="Arial" w:cs="Arial" w:eastAsia="Arial" w:hAnsi="Arial"/>
          <w:sz w:val="15"/>
          <w:szCs w:val="15"/>
          <w:b w:val="1"/>
          <w:bCs w:val="1"/>
          <w:color w:val="auto"/>
        </w:rPr>
        <w:t>Goodwill and Other Intangible Assets</w:t>
      </w:r>
    </w:p>
    <w:p>
      <w:pPr>
        <w:spacing w:after="0" w:line="124" w:lineRule="exact"/>
        <w:rPr>
          <w:sz w:val="20"/>
          <w:szCs w:val="20"/>
          <w:color w:val="auto"/>
        </w:rPr>
      </w:pPr>
    </w:p>
    <w:p>
      <w:pPr>
        <w:ind w:right="800" w:firstLine="470"/>
        <w:spacing w:after="0" w:line="288" w:lineRule="auto"/>
        <w:rPr>
          <w:sz w:val="20"/>
          <w:szCs w:val="20"/>
          <w:color w:val="auto"/>
        </w:rPr>
      </w:pPr>
      <w:r>
        <w:rPr>
          <w:rFonts w:ascii="Arial" w:cs="Arial" w:eastAsia="Arial" w:hAnsi="Arial"/>
          <w:sz w:val="17"/>
          <w:szCs w:val="17"/>
          <w:color w:val="auto"/>
        </w:rPr>
        <w:t>As of June 30, 2021 and December 31, 2020, $139.3 million of goodwill is included in goodwill and other intangible assets, net on each of the consolidated balance sheets.</w:t>
      </w:r>
    </w:p>
    <w:p>
      <w:pPr>
        <w:spacing w:after="0" w:line="106" w:lineRule="exact"/>
        <w:rPr>
          <w:sz w:val="20"/>
          <w:szCs w:val="20"/>
          <w:color w:val="auto"/>
        </w:rPr>
      </w:pPr>
    </w:p>
    <w:p>
      <w:pPr>
        <w:ind w:right="60" w:firstLine="470"/>
        <w:spacing w:after="0" w:line="288" w:lineRule="auto"/>
        <w:rPr>
          <w:sz w:val="20"/>
          <w:szCs w:val="20"/>
          <w:color w:val="auto"/>
        </w:rPr>
      </w:pPr>
      <w:r>
        <w:rPr>
          <w:rFonts w:ascii="Arial" w:cs="Arial" w:eastAsia="Arial" w:hAnsi="Arial"/>
          <w:sz w:val="17"/>
          <w:szCs w:val="17"/>
          <w:color w:val="auto"/>
        </w:rPr>
        <w:t>We have one intangible asset as of June 30, 2021, comprised of a Tri Pointe Homes trade name resulting from the acquisition of WRECO in 2014, which has an indefinite useful life.</w:t>
      </w:r>
    </w:p>
    <w:p>
      <w:pPr>
        <w:spacing w:after="0" w:line="158" w:lineRule="exact"/>
        <w:rPr>
          <w:sz w:val="20"/>
          <w:szCs w:val="20"/>
          <w:color w:val="auto"/>
        </w:rPr>
      </w:pPr>
    </w:p>
    <w:p>
      <w:pPr>
        <w:ind w:left="480"/>
        <w:spacing w:after="0"/>
        <w:rPr>
          <w:sz w:val="20"/>
          <w:szCs w:val="20"/>
          <w:color w:val="auto"/>
        </w:rPr>
      </w:pPr>
      <w:r>
        <w:rPr>
          <w:rFonts w:ascii="Arial" w:cs="Arial" w:eastAsia="Arial" w:hAnsi="Arial"/>
          <w:sz w:val="17"/>
          <w:szCs w:val="17"/>
          <w:color w:val="auto"/>
        </w:rPr>
        <w:t>Goodwill and other intangible assets consisted of the following (in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32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June 30, 2021</w:t>
            </w:r>
          </w:p>
        </w:tc>
        <w:tc>
          <w:tcPr>
            <w:tcW w:w="2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jc w:val="center"/>
              <w:ind w:right="100"/>
              <w:spacing w:after="0"/>
              <w:rPr>
                <w:sz w:val="20"/>
                <w:szCs w:val="20"/>
                <w:color w:val="auto"/>
              </w:rPr>
            </w:pPr>
            <w:r>
              <w:rPr>
                <w:rFonts w:ascii="Arial" w:cs="Arial" w:eastAsia="Arial" w:hAnsi="Arial"/>
                <w:sz w:val="14"/>
                <w:szCs w:val="14"/>
                <w:b w:val="1"/>
                <w:bCs w:val="1"/>
                <w:color w:val="auto"/>
                <w:w w:val="88"/>
              </w:rPr>
              <w:t>December 31, 2020</w:t>
            </w:r>
          </w:p>
        </w:tc>
        <w:tc>
          <w:tcPr>
            <w:tcW w:w="2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9"/>
        </w:trPr>
        <w:tc>
          <w:tcPr>
            <w:tcW w:w="3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20" w:type="dxa"/>
            <w:vAlign w:val="bottom"/>
            <w:gridSpan w:val="2"/>
          </w:tcPr>
          <w:p>
            <w:pPr>
              <w:jc w:val="center"/>
              <w:ind w:right="340"/>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Accumulated</w:t>
            </w:r>
          </w:p>
        </w:tc>
        <w:tc>
          <w:tcPr>
            <w:tcW w:w="220" w:type="dxa"/>
            <w:vAlign w:val="bottom"/>
          </w:tcPr>
          <w:p>
            <w:pPr>
              <w:spacing w:after="0"/>
              <w:rPr>
                <w:sz w:val="11"/>
                <w:szCs w:val="11"/>
                <w:color w:val="auto"/>
              </w:rPr>
            </w:pPr>
          </w:p>
        </w:tc>
        <w:tc>
          <w:tcPr>
            <w:tcW w:w="1020" w:type="dxa"/>
            <w:vAlign w:val="bottom"/>
          </w:tcPr>
          <w:p>
            <w:pPr>
              <w:jc w:val="center"/>
              <w:ind w:right="142"/>
              <w:spacing w:after="0" w:line="129" w:lineRule="exact"/>
              <w:rPr>
                <w:sz w:val="20"/>
                <w:szCs w:val="20"/>
                <w:color w:val="auto"/>
              </w:rPr>
            </w:pPr>
            <w:r>
              <w:rPr>
                <w:rFonts w:ascii="Arial" w:cs="Arial" w:eastAsia="Arial" w:hAnsi="Arial"/>
                <w:sz w:val="14"/>
                <w:szCs w:val="14"/>
                <w:b w:val="1"/>
                <w:bCs w:val="1"/>
                <w:color w:val="auto"/>
                <w:w w:val="88"/>
              </w:rPr>
              <w:t>Net</w:t>
            </w: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gridSpan w:val="2"/>
          </w:tcPr>
          <w:p>
            <w:pPr>
              <w:jc w:val="center"/>
              <w:ind w:right="320"/>
              <w:spacing w:after="0" w:line="129"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1"/>
                <w:szCs w:val="11"/>
                <w:color w:val="auto"/>
              </w:rPr>
            </w:pPr>
          </w:p>
        </w:tc>
        <w:tc>
          <w:tcPr>
            <w:tcW w:w="118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0"/>
              </w:rPr>
              <w:t>Accumulated</w:t>
            </w:r>
          </w:p>
        </w:tc>
        <w:tc>
          <w:tcPr>
            <w:tcW w:w="240" w:type="dxa"/>
            <w:vAlign w:val="bottom"/>
          </w:tcPr>
          <w:p>
            <w:pPr>
              <w:spacing w:after="0"/>
              <w:rPr>
                <w:sz w:val="11"/>
                <w:szCs w:val="11"/>
                <w:color w:val="auto"/>
              </w:rPr>
            </w:pPr>
          </w:p>
        </w:tc>
        <w:tc>
          <w:tcPr>
            <w:tcW w:w="1020" w:type="dxa"/>
            <w:vAlign w:val="bottom"/>
          </w:tcPr>
          <w:p>
            <w:pPr>
              <w:jc w:val="center"/>
              <w:ind w:right="162"/>
              <w:spacing w:after="0" w:line="129" w:lineRule="exact"/>
              <w:rPr>
                <w:sz w:val="20"/>
                <w:szCs w:val="20"/>
                <w:color w:val="auto"/>
              </w:rPr>
            </w:pPr>
            <w:r>
              <w:rPr>
                <w:rFonts w:ascii="Arial" w:cs="Arial" w:eastAsia="Arial" w:hAnsi="Arial"/>
                <w:sz w:val="14"/>
                <w:szCs w:val="14"/>
                <w:b w:val="1"/>
                <w:bCs w:val="1"/>
                <w:color w:val="auto"/>
                <w:w w:val="97"/>
              </w:rPr>
              <w:t>Net</w:t>
            </w:r>
          </w:p>
        </w:tc>
        <w:tc>
          <w:tcPr>
            <w:tcW w:w="0" w:type="dxa"/>
            <w:vAlign w:val="bottom"/>
          </w:tcPr>
          <w:p>
            <w:pPr>
              <w:spacing w:after="0"/>
              <w:rPr>
                <w:sz w:val="1"/>
                <w:szCs w:val="1"/>
                <w:color w:val="auto"/>
              </w:rPr>
            </w:pPr>
          </w:p>
        </w:tc>
      </w:tr>
      <w:tr>
        <w:trPr>
          <w:trHeight w:val="131"/>
        </w:trPr>
        <w:tc>
          <w:tcPr>
            <w:tcW w:w="3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20" w:type="dxa"/>
            <w:vAlign w:val="bottom"/>
            <w:gridSpan w:val="2"/>
          </w:tcPr>
          <w:p>
            <w:pPr>
              <w:jc w:val="center"/>
              <w:ind w:right="340"/>
              <w:spacing w:after="0" w:line="131" w:lineRule="exact"/>
              <w:rPr>
                <w:sz w:val="20"/>
                <w:szCs w:val="20"/>
                <w:color w:val="auto"/>
              </w:rPr>
            </w:pPr>
            <w:r>
              <w:rPr>
                <w:rFonts w:ascii="Arial" w:cs="Arial" w:eastAsia="Arial" w:hAnsi="Arial"/>
                <w:sz w:val="14"/>
                <w:szCs w:val="14"/>
                <w:b w:val="1"/>
                <w:bCs w:val="1"/>
                <w:color w:val="auto"/>
                <w:w w:val="93"/>
              </w:rPr>
              <w:t>Carrying</w:t>
            </w:r>
          </w:p>
        </w:tc>
        <w:tc>
          <w:tcPr>
            <w:tcW w:w="160" w:type="dxa"/>
            <w:vAlign w:val="bottom"/>
          </w:tcPr>
          <w:p>
            <w:pPr>
              <w:spacing w:after="0"/>
              <w:rPr>
                <w:sz w:val="11"/>
                <w:szCs w:val="11"/>
                <w:color w:val="auto"/>
              </w:rPr>
            </w:pPr>
          </w:p>
        </w:tc>
        <w:tc>
          <w:tcPr>
            <w:tcW w:w="1200" w:type="dxa"/>
            <w:vAlign w:val="bottom"/>
            <w:gridSpan w:val="2"/>
            <w:vMerge w:val="continue"/>
          </w:tcPr>
          <w:p>
            <w:pPr>
              <w:spacing w:after="0"/>
              <w:rPr>
                <w:sz w:val="11"/>
                <w:szCs w:val="11"/>
                <w:color w:val="auto"/>
              </w:rPr>
            </w:pPr>
          </w:p>
        </w:tc>
        <w:tc>
          <w:tcPr>
            <w:tcW w:w="220" w:type="dxa"/>
            <w:vAlign w:val="bottom"/>
          </w:tcPr>
          <w:p>
            <w:pPr>
              <w:spacing w:after="0"/>
              <w:rPr>
                <w:sz w:val="11"/>
                <w:szCs w:val="11"/>
                <w:color w:val="auto"/>
              </w:rPr>
            </w:pPr>
          </w:p>
        </w:tc>
        <w:tc>
          <w:tcPr>
            <w:tcW w:w="1120" w:type="dxa"/>
            <w:vAlign w:val="bottom"/>
            <w:gridSpan w:val="2"/>
          </w:tcPr>
          <w:p>
            <w:pPr>
              <w:jc w:val="center"/>
              <w:ind w:right="320"/>
              <w:spacing w:after="0" w:line="131" w:lineRule="exact"/>
              <w:rPr>
                <w:sz w:val="20"/>
                <w:szCs w:val="20"/>
                <w:color w:val="auto"/>
              </w:rPr>
            </w:pPr>
            <w:r>
              <w:rPr>
                <w:rFonts w:ascii="Arial" w:cs="Arial" w:eastAsia="Arial" w:hAnsi="Arial"/>
                <w:sz w:val="14"/>
                <w:szCs w:val="14"/>
                <w:b w:val="1"/>
                <w:bCs w:val="1"/>
                <w:color w:val="auto"/>
                <w:w w:val="97"/>
              </w:rPr>
              <w:t>Carrying</w:t>
            </w:r>
          </w:p>
        </w:tc>
        <w:tc>
          <w:tcPr>
            <w:tcW w:w="220" w:type="dxa"/>
            <w:vAlign w:val="bottom"/>
          </w:tcPr>
          <w:p>
            <w:pPr>
              <w:spacing w:after="0"/>
              <w:rPr>
                <w:sz w:val="11"/>
                <w:szCs w:val="11"/>
                <w:color w:val="auto"/>
              </w:rPr>
            </w:pPr>
          </w:p>
        </w:tc>
        <w:tc>
          <w:tcPr>
            <w:tcW w:w="1140" w:type="dxa"/>
            <w:vAlign w:val="bottom"/>
            <w:gridSpan w:val="2"/>
          </w:tcPr>
          <w:p>
            <w:pPr>
              <w:jc w:val="center"/>
              <w:ind w:right="320"/>
              <w:spacing w:after="0" w:line="131" w:lineRule="exact"/>
              <w:rPr>
                <w:sz w:val="20"/>
                <w:szCs w:val="20"/>
                <w:color w:val="auto"/>
              </w:rPr>
            </w:pPr>
            <w:r>
              <w:rPr>
                <w:rFonts w:ascii="Arial" w:cs="Arial" w:eastAsia="Arial" w:hAnsi="Arial"/>
                <w:sz w:val="14"/>
                <w:szCs w:val="14"/>
                <w:b w:val="1"/>
                <w:bCs w:val="1"/>
                <w:color w:val="auto"/>
                <w:w w:val="93"/>
              </w:rPr>
              <w:t>Carrying</w:t>
            </w:r>
          </w:p>
        </w:tc>
        <w:tc>
          <w:tcPr>
            <w:tcW w:w="160" w:type="dxa"/>
            <w:vAlign w:val="bottom"/>
          </w:tcPr>
          <w:p>
            <w:pPr>
              <w:spacing w:after="0"/>
              <w:rPr>
                <w:sz w:val="11"/>
                <w:szCs w:val="11"/>
                <w:color w:val="auto"/>
              </w:rPr>
            </w:pPr>
          </w:p>
        </w:tc>
        <w:tc>
          <w:tcPr>
            <w:tcW w:w="1180" w:type="dxa"/>
            <w:vAlign w:val="bottom"/>
            <w:gridSpan w:val="2"/>
            <w:vMerge w:val="continue"/>
          </w:tcPr>
          <w:p>
            <w:pPr>
              <w:spacing w:after="0"/>
              <w:rPr>
                <w:sz w:val="11"/>
                <w:szCs w:val="11"/>
                <w:color w:val="auto"/>
              </w:rPr>
            </w:pPr>
          </w:p>
        </w:tc>
        <w:tc>
          <w:tcPr>
            <w:tcW w:w="240" w:type="dxa"/>
            <w:vAlign w:val="bottom"/>
          </w:tcPr>
          <w:p>
            <w:pPr>
              <w:spacing w:after="0"/>
              <w:rPr>
                <w:sz w:val="11"/>
                <w:szCs w:val="11"/>
                <w:color w:val="auto"/>
              </w:rPr>
            </w:pPr>
          </w:p>
        </w:tc>
        <w:tc>
          <w:tcPr>
            <w:tcW w:w="1020" w:type="dxa"/>
            <w:vAlign w:val="bottom"/>
          </w:tcPr>
          <w:p>
            <w:pPr>
              <w:jc w:val="center"/>
              <w:ind w:right="162"/>
              <w:spacing w:after="0" w:line="131" w:lineRule="exact"/>
              <w:rPr>
                <w:sz w:val="20"/>
                <w:szCs w:val="20"/>
                <w:color w:val="auto"/>
              </w:rPr>
            </w:pPr>
            <w:r>
              <w:rPr>
                <w:rFonts w:ascii="Arial" w:cs="Arial" w:eastAsia="Arial" w:hAnsi="Arial"/>
                <w:sz w:val="14"/>
                <w:szCs w:val="14"/>
                <w:b w:val="1"/>
                <w:bCs w:val="1"/>
                <w:color w:val="auto"/>
                <w:w w:val="93"/>
              </w:rPr>
              <w:t>Carrying</w:t>
            </w:r>
          </w:p>
        </w:tc>
        <w:tc>
          <w:tcPr>
            <w:tcW w:w="0" w:type="dxa"/>
            <w:vAlign w:val="bottom"/>
          </w:tcPr>
          <w:p>
            <w:pPr>
              <w:spacing w:after="0"/>
              <w:rPr>
                <w:sz w:val="1"/>
                <w:szCs w:val="1"/>
                <w:color w:val="auto"/>
              </w:rPr>
            </w:pPr>
          </w:p>
        </w:tc>
      </w:tr>
      <w:tr>
        <w:trPr>
          <w:trHeight w:val="183"/>
        </w:trPr>
        <w:tc>
          <w:tcPr>
            <w:tcW w:w="32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142"/>
              <w:spacing w:after="0"/>
              <w:rPr>
                <w:sz w:val="20"/>
                <w:szCs w:val="20"/>
                <w:color w:val="auto"/>
              </w:rPr>
            </w:pPr>
            <w:r>
              <w:rPr>
                <w:rFonts w:ascii="Arial" w:cs="Arial" w:eastAsia="Arial" w:hAnsi="Arial"/>
                <w:sz w:val="14"/>
                <w:szCs w:val="14"/>
                <w:b w:val="1"/>
                <w:bCs w:val="1"/>
                <w:color w:val="auto"/>
                <w:w w:val="90"/>
              </w:rPr>
              <w:t>Amount</w:t>
            </w: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Amortization</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142"/>
              <w:spacing w:after="0"/>
              <w:rPr>
                <w:sz w:val="20"/>
                <w:szCs w:val="20"/>
                <w:color w:val="auto"/>
              </w:rPr>
            </w:pPr>
            <w:r>
              <w:rPr>
                <w:rFonts w:ascii="Arial" w:cs="Arial" w:eastAsia="Arial" w:hAnsi="Arial"/>
                <w:sz w:val="14"/>
                <w:szCs w:val="14"/>
                <w:b w:val="1"/>
                <w:bCs w:val="1"/>
                <w:color w:val="auto"/>
                <w:w w:val="90"/>
              </w:rPr>
              <w:t>Amount</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142"/>
              <w:spacing w:after="0"/>
              <w:rPr>
                <w:sz w:val="20"/>
                <w:szCs w:val="20"/>
                <w:color w:val="auto"/>
              </w:rPr>
            </w:pPr>
            <w:r>
              <w:rPr>
                <w:rFonts w:ascii="Arial" w:cs="Arial" w:eastAsia="Arial" w:hAnsi="Arial"/>
                <w:sz w:val="14"/>
                <w:szCs w:val="14"/>
                <w:b w:val="1"/>
                <w:bCs w:val="1"/>
                <w:color w:val="auto"/>
                <w:w w:val="90"/>
              </w:rPr>
              <w:t>Amount</w:t>
            </w:r>
          </w:p>
        </w:tc>
        <w:tc>
          <w:tcPr>
            <w:tcW w:w="1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center"/>
              <w:ind w:right="80"/>
              <w:spacing w:after="0"/>
              <w:rPr>
                <w:sz w:val="20"/>
                <w:szCs w:val="20"/>
                <w:color w:val="auto"/>
              </w:rPr>
            </w:pPr>
            <w:r>
              <w:rPr>
                <w:rFonts w:ascii="Arial" w:cs="Arial" w:eastAsia="Arial" w:hAnsi="Arial"/>
                <w:sz w:val="14"/>
                <w:szCs w:val="14"/>
                <w:b w:val="1"/>
                <w:bCs w:val="1"/>
                <w:color w:val="auto"/>
                <w:w w:val="93"/>
              </w:rPr>
              <w:t>Amortization</w:t>
            </w:r>
          </w:p>
        </w:tc>
        <w:tc>
          <w:tcPr>
            <w:tcW w:w="10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162"/>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16"/>
        </w:trPr>
        <w:tc>
          <w:tcPr>
            <w:tcW w:w="3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Goodwill</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020" w:type="dxa"/>
            <w:vAlign w:val="bottom"/>
            <w:shd w:val="clear" w:color="auto" w:fill="CCEEFF"/>
          </w:tcPr>
          <w:p>
            <w:pPr>
              <w:jc w:val="right"/>
              <w:ind w:right="2"/>
              <w:spacing w:after="0"/>
              <w:rPr>
                <w:sz w:val="20"/>
                <w:szCs w:val="20"/>
                <w:color w:val="auto"/>
              </w:rPr>
            </w:pPr>
            <w:r>
              <w:rPr>
                <w:rFonts w:ascii="Arial" w:cs="Arial" w:eastAsia="Arial" w:hAnsi="Arial"/>
                <w:sz w:val="17"/>
                <w:szCs w:val="17"/>
                <w:color w:val="auto"/>
              </w:rPr>
              <w:t>139,304</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00" w:type="dxa"/>
            <w:vAlign w:val="bottom"/>
            <w:gridSpan w:val="2"/>
            <w:shd w:val="clear" w:color="auto" w:fill="CCEEFF"/>
          </w:tcPr>
          <w:p>
            <w:pPr>
              <w:ind w:left="86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139,304</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139,304</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80" w:type="dxa"/>
            <w:vAlign w:val="bottom"/>
            <w:gridSpan w:val="2"/>
            <w:shd w:val="clear" w:color="auto" w:fill="CCEEFF"/>
          </w:tcPr>
          <w:p>
            <w:pPr>
              <w:ind w:left="84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020" w:type="dxa"/>
            <w:vAlign w:val="bottom"/>
            <w:shd w:val="clear" w:color="auto" w:fill="CCEEFF"/>
          </w:tcPr>
          <w:p>
            <w:pPr>
              <w:jc w:val="right"/>
              <w:ind w:right="2"/>
              <w:spacing w:after="0"/>
              <w:rPr>
                <w:sz w:val="20"/>
                <w:szCs w:val="20"/>
                <w:color w:val="auto"/>
              </w:rPr>
            </w:pPr>
            <w:r>
              <w:rPr>
                <w:rFonts w:ascii="Arial" w:cs="Arial" w:eastAsia="Arial" w:hAnsi="Arial"/>
                <w:sz w:val="17"/>
                <w:szCs w:val="17"/>
                <w:color w:val="auto"/>
              </w:rPr>
              <w:t>139,304</w:t>
            </w:r>
          </w:p>
        </w:tc>
        <w:tc>
          <w:tcPr>
            <w:tcW w:w="0" w:type="dxa"/>
            <w:vAlign w:val="bottom"/>
          </w:tcPr>
          <w:p>
            <w:pPr>
              <w:spacing w:after="0"/>
              <w:rPr>
                <w:sz w:val="1"/>
                <w:szCs w:val="1"/>
                <w:color w:val="auto"/>
              </w:rPr>
            </w:pPr>
          </w:p>
        </w:tc>
      </w:tr>
      <w:tr>
        <w:trPr>
          <w:trHeight w:val="222"/>
        </w:trPr>
        <w:tc>
          <w:tcPr>
            <w:tcW w:w="32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Trade names</w:t>
            </w:r>
          </w:p>
        </w:tc>
        <w:tc>
          <w:tcPr>
            <w:tcW w:w="2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2"/>
              <w:spacing w:after="0"/>
              <w:rPr>
                <w:sz w:val="20"/>
                <w:szCs w:val="20"/>
                <w:color w:val="auto"/>
              </w:rPr>
            </w:pPr>
            <w:r>
              <w:rPr>
                <w:rFonts w:ascii="Arial" w:cs="Arial" w:eastAsia="Arial" w:hAnsi="Arial"/>
                <w:sz w:val="17"/>
                <w:szCs w:val="17"/>
                <w:color w:val="auto"/>
              </w:rPr>
              <w:t>27,979</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(10,679)</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17,300</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27,979</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(8,754)</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2"/>
              <w:spacing w:after="0"/>
              <w:rPr>
                <w:sz w:val="20"/>
                <w:szCs w:val="20"/>
                <w:color w:val="auto"/>
              </w:rPr>
            </w:pPr>
            <w:r>
              <w:rPr>
                <w:rFonts w:ascii="Arial" w:cs="Arial" w:eastAsia="Arial" w:hAnsi="Arial"/>
                <w:sz w:val="17"/>
                <w:szCs w:val="17"/>
                <w:color w:val="auto"/>
              </w:rPr>
              <w:t>19,225</w:t>
            </w:r>
          </w:p>
        </w:tc>
        <w:tc>
          <w:tcPr>
            <w:tcW w:w="0" w:type="dxa"/>
            <w:vAlign w:val="bottom"/>
          </w:tcPr>
          <w:p>
            <w:pPr>
              <w:spacing w:after="0"/>
              <w:rPr>
                <w:sz w:val="1"/>
                <w:szCs w:val="1"/>
                <w:color w:val="auto"/>
              </w:rPr>
            </w:pPr>
          </w:p>
        </w:tc>
      </w:tr>
      <w:tr>
        <w:trPr>
          <w:trHeight w:val="240"/>
        </w:trPr>
        <w:tc>
          <w:tcPr>
            <w:tcW w:w="3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0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7"/>
                <w:szCs w:val="17"/>
                <w:color w:val="auto"/>
              </w:rPr>
              <w:t>167,283</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(10,679)</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156,604</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167,283</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(8,754)</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0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7"/>
                <w:szCs w:val="17"/>
                <w:color w:val="auto"/>
              </w:rPr>
              <w:t>158,529</w:t>
            </w:r>
          </w:p>
        </w:tc>
        <w:tc>
          <w:tcPr>
            <w:tcW w:w="0" w:type="dxa"/>
            <w:vAlign w:val="bottom"/>
          </w:tcPr>
          <w:p>
            <w:pPr>
              <w:spacing w:after="0"/>
              <w:rPr>
                <w:sz w:val="1"/>
                <w:szCs w:val="1"/>
                <w:color w:val="auto"/>
              </w:rPr>
            </w:pPr>
          </w:p>
        </w:tc>
      </w:tr>
      <w:tr>
        <w:trPr>
          <w:trHeight w:val="20"/>
        </w:trPr>
        <w:tc>
          <w:tcPr>
            <w:tcW w:w="32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4" w:lineRule="exact"/>
        <w:rPr>
          <w:sz w:val="20"/>
          <w:szCs w:val="20"/>
          <w:color w:val="auto"/>
        </w:rPr>
      </w:pPr>
    </w:p>
    <w:p>
      <w:pPr>
        <w:ind w:right="40" w:firstLine="470"/>
        <w:spacing w:after="0" w:line="261" w:lineRule="auto"/>
        <w:rPr>
          <w:sz w:val="20"/>
          <w:szCs w:val="20"/>
          <w:color w:val="auto"/>
        </w:rPr>
      </w:pPr>
      <w:r>
        <w:rPr>
          <w:rFonts w:ascii="Arial" w:cs="Arial" w:eastAsia="Arial" w:hAnsi="Arial"/>
          <w:sz w:val="17"/>
          <w:szCs w:val="17"/>
          <w:color w:val="auto"/>
        </w:rPr>
        <w:t>In October 2020, in conjunction with the announcement of our move to a single brand, Tri Pointe Homes, we modified the useful life of the former Maracay trade name which expired in June 2021. The intangible asset related to the Maracay trade name was fully amortized during the three months ended June 30, 2021 compared to an ending balance of $1.9 million as of December 31, 2020. Amortization expense related to this intangible asset was $963,000 and $134,000 for the three-month periods ended June 30, 2021 and 2020, respectively and $1.9 million and $267,000 for the six-month periods ended June 30, 2021 and 2020, respectively. Amortization of this intangible was charged to sales and marketing expense. Our $17.3 million indefinite life intangible asset related to the Tri Pointe Homes trade name is not amortizing. All trade names and goodwill are evaluated for impairment on an annual basis or more frequently if indicators of impairment exist.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tabs>
          <w:tab w:leader="none" w:pos="280" w:val="left"/>
        </w:tabs>
        <w:rPr>
          <w:sz w:val="20"/>
          <w:szCs w:val="20"/>
          <w:color w:val="auto"/>
        </w:rPr>
      </w:pPr>
      <w:r>
        <w:rPr>
          <w:rFonts w:ascii="Arial" w:cs="Arial" w:eastAsia="Arial" w:hAnsi="Arial"/>
          <w:sz w:val="17"/>
          <w:szCs w:val="17"/>
          <w:b w:val="1"/>
          <w:bCs w:val="1"/>
          <w:color w:val="auto"/>
        </w:rPr>
        <w:t>9.</w:t>
      </w:r>
      <w:r>
        <w:rPr>
          <w:sz w:val="20"/>
          <w:szCs w:val="20"/>
          <w:color w:val="auto"/>
        </w:rPr>
        <w:tab/>
      </w:r>
      <w:r>
        <w:rPr>
          <w:rFonts w:ascii="Arial" w:cs="Arial" w:eastAsia="Arial" w:hAnsi="Arial"/>
          <w:sz w:val="15"/>
          <w:szCs w:val="15"/>
          <w:b w:val="1"/>
          <w:bCs w:val="1"/>
          <w:color w:val="auto"/>
        </w:rPr>
        <w:t>Other Assets</w:t>
      </w:r>
    </w:p>
    <w:p>
      <w:pPr>
        <w:spacing w:after="0" w:line="124" w:lineRule="exact"/>
        <w:rPr>
          <w:sz w:val="20"/>
          <w:szCs w:val="20"/>
          <w:color w:val="auto"/>
        </w:rPr>
      </w:pPr>
    </w:p>
    <w:p>
      <w:pPr>
        <w:ind w:left="480"/>
        <w:spacing w:after="0"/>
        <w:rPr>
          <w:sz w:val="20"/>
          <w:szCs w:val="20"/>
          <w:color w:val="auto"/>
        </w:rPr>
      </w:pPr>
      <w:r>
        <w:rPr>
          <w:rFonts w:ascii="Arial" w:cs="Arial" w:eastAsia="Arial" w:hAnsi="Arial"/>
          <w:sz w:val="17"/>
          <w:szCs w:val="17"/>
          <w:color w:val="auto"/>
        </w:rPr>
        <w:t>Other assets consisted of the following (in thousands):</w:t>
      </w:r>
    </w:p>
    <w:p>
      <w:pPr>
        <w:spacing w:after="0" w:line="200" w:lineRule="exact"/>
        <w:rPr>
          <w:sz w:val="20"/>
          <w:szCs w:val="20"/>
          <w:color w:val="auto"/>
        </w:rPr>
      </w:pPr>
    </w:p>
    <w:p>
      <w:pPr>
        <w:spacing w:after="0" w:line="34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- 15 -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00"/>
          </w:cols>
          <w:pgMar w:left="320" w:top="1081" w:right="37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187"/>
        </w:trPr>
        <w:tc>
          <w:tcPr>
            <w:tcW w:w="78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500" w:type="dxa"/>
            <w:vAlign w:val="bottom"/>
            <w:gridSpan w:val="2"/>
          </w:tcPr>
          <w:p>
            <w:pPr>
              <w:ind w:left="160"/>
              <w:spacing w:after="0"/>
              <w:rPr>
                <w:sz w:val="20"/>
                <w:szCs w:val="20"/>
                <w:color w:val="auto"/>
              </w:rPr>
            </w:pPr>
            <w:r>
              <w:rPr>
                <w:rFonts w:ascii="Arial" w:cs="Arial" w:eastAsia="Arial" w:hAnsi="Arial"/>
                <w:sz w:val="14"/>
                <w:szCs w:val="14"/>
                <w:b w:val="1"/>
                <w:bCs w:val="1"/>
                <w:color w:val="auto"/>
              </w:rPr>
              <w:t>June 30, 2021</w:t>
            </w:r>
          </w:p>
        </w:tc>
        <w:tc>
          <w:tcPr>
            <w:tcW w:w="180" w:type="dxa"/>
            <w:vAlign w:val="bottom"/>
          </w:tcPr>
          <w:p>
            <w:pPr>
              <w:spacing w:after="0"/>
              <w:rPr>
                <w:sz w:val="16"/>
                <w:szCs w:val="16"/>
                <w:color w:val="auto"/>
              </w:rPr>
            </w:pPr>
          </w:p>
        </w:tc>
        <w:tc>
          <w:tcPr>
            <w:tcW w:w="1460" w:type="dxa"/>
            <w:vAlign w:val="bottom"/>
          </w:tcPr>
          <w:p>
            <w:pPr>
              <w:jc w:val="right"/>
              <w:ind w:right="174"/>
              <w:spacing w:after="0"/>
              <w:rPr>
                <w:sz w:val="20"/>
                <w:szCs w:val="20"/>
                <w:color w:val="auto"/>
              </w:rPr>
            </w:pPr>
            <w:r>
              <w:rPr>
                <w:rFonts w:ascii="Arial" w:cs="Arial" w:eastAsia="Arial" w:hAnsi="Arial"/>
                <w:sz w:val="14"/>
                <w:szCs w:val="14"/>
                <w:b w:val="1"/>
                <w:bCs w:val="1"/>
                <w:color w:val="auto"/>
                <w:w w:val="93"/>
              </w:rPr>
              <w:t>December 31, 2020</w:t>
            </w:r>
          </w:p>
        </w:tc>
        <w:tc>
          <w:tcPr>
            <w:tcW w:w="0" w:type="dxa"/>
            <w:vAlign w:val="bottom"/>
          </w:tcPr>
          <w:p>
            <w:pPr>
              <w:spacing w:after="0"/>
              <w:rPr>
                <w:sz w:val="1"/>
                <w:szCs w:val="1"/>
                <w:color w:val="auto"/>
              </w:rPr>
            </w:pPr>
          </w:p>
        </w:tc>
      </w:tr>
      <w:tr>
        <w:trPr>
          <w:trHeight w:val="220"/>
        </w:trPr>
        <w:tc>
          <w:tcPr>
            <w:tcW w:w="78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Prepaid expenses</w:t>
            </w:r>
          </w:p>
        </w:tc>
        <w:tc>
          <w:tcPr>
            <w:tcW w:w="260" w:type="dxa"/>
            <w:vAlign w:val="bottom"/>
            <w:tcBorders>
              <w:top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9,115</w:t>
            </w:r>
          </w:p>
        </w:tc>
        <w:tc>
          <w:tcPr>
            <w:tcW w:w="10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14,984</w:t>
            </w:r>
          </w:p>
        </w:tc>
        <w:tc>
          <w:tcPr>
            <w:tcW w:w="0" w:type="dxa"/>
            <w:vAlign w:val="bottom"/>
          </w:tcPr>
          <w:p>
            <w:pPr>
              <w:spacing w:after="0"/>
              <w:rPr>
                <w:sz w:val="1"/>
                <w:szCs w:val="1"/>
                <w:color w:val="auto"/>
              </w:rPr>
            </w:pPr>
          </w:p>
        </w:tc>
      </w:tr>
      <w:tr>
        <w:trPr>
          <w:trHeight w:val="222"/>
        </w:trPr>
        <w:tc>
          <w:tcPr>
            <w:tcW w:w="7800" w:type="dxa"/>
            <w:vAlign w:val="bottom"/>
          </w:tcPr>
          <w:p>
            <w:pPr>
              <w:ind w:left="20"/>
              <w:spacing w:after="0"/>
              <w:rPr>
                <w:sz w:val="20"/>
                <w:szCs w:val="20"/>
                <w:color w:val="auto"/>
              </w:rPr>
            </w:pPr>
            <w:r>
              <w:rPr>
                <w:rFonts w:ascii="Arial" w:cs="Arial" w:eastAsia="Arial" w:hAnsi="Arial"/>
                <w:sz w:val="17"/>
                <w:szCs w:val="17"/>
                <w:color w:val="auto"/>
              </w:rPr>
              <w:t>Refundable fees and other deposits</w:t>
            </w: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20,324</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22,029</w:t>
            </w: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20"/>
              <w:spacing w:after="0"/>
              <w:rPr>
                <w:sz w:val="20"/>
                <w:szCs w:val="20"/>
                <w:color w:val="auto"/>
              </w:rPr>
            </w:pPr>
            <w:r>
              <w:rPr>
                <w:rFonts w:ascii="Arial" w:cs="Arial" w:eastAsia="Arial" w:hAnsi="Arial"/>
                <w:sz w:val="17"/>
                <w:szCs w:val="17"/>
                <w:color w:val="auto"/>
              </w:rPr>
              <w:t>Development rights, held for future use or sale</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1,193</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1,528</w:t>
            </w:r>
          </w:p>
        </w:tc>
        <w:tc>
          <w:tcPr>
            <w:tcW w:w="0" w:type="dxa"/>
            <w:vAlign w:val="bottom"/>
          </w:tcPr>
          <w:p>
            <w:pPr>
              <w:spacing w:after="0"/>
              <w:rPr>
                <w:sz w:val="1"/>
                <w:szCs w:val="1"/>
                <w:color w:val="auto"/>
              </w:rPr>
            </w:pPr>
          </w:p>
        </w:tc>
      </w:tr>
      <w:tr>
        <w:trPr>
          <w:trHeight w:val="222"/>
        </w:trPr>
        <w:tc>
          <w:tcPr>
            <w:tcW w:w="7800" w:type="dxa"/>
            <w:vAlign w:val="bottom"/>
          </w:tcPr>
          <w:p>
            <w:pPr>
              <w:ind w:left="20"/>
              <w:spacing w:after="0"/>
              <w:rPr>
                <w:sz w:val="20"/>
                <w:szCs w:val="20"/>
                <w:color w:val="auto"/>
              </w:rPr>
            </w:pPr>
            <w:r>
              <w:rPr>
                <w:rFonts w:ascii="Arial" w:cs="Arial" w:eastAsia="Arial" w:hAnsi="Arial"/>
                <w:sz w:val="17"/>
                <w:szCs w:val="17"/>
                <w:color w:val="auto"/>
              </w:rPr>
              <w:t>Deferred loan costs—loans payable</w:t>
            </w: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6,013</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3,073</w:t>
            </w: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20"/>
              <w:spacing w:after="0"/>
              <w:rPr>
                <w:sz w:val="20"/>
                <w:szCs w:val="20"/>
                <w:color w:val="auto"/>
              </w:rPr>
            </w:pPr>
            <w:r>
              <w:rPr>
                <w:rFonts w:ascii="Arial" w:cs="Arial" w:eastAsia="Arial" w:hAnsi="Arial"/>
                <w:sz w:val="17"/>
                <w:szCs w:val="17"/>
                <w:color w:val="auto"/>
              </w:rPr>
              <w:t>Operating properties and equipment, net</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49,492</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52,494</w:t>
            </w:r>
          </w:p>
        </w:tc>
        <w:tc>
          <w:tcPr>
            <w:tcW w:w="0" w:type="dxa"/>
            <w:vAlign w:val="bottom"/>
          </w:tcPr>
          <w:p>
            <w:pPr>
              <w:spacing w:after="0"/>
              <w:rPr>
                <w:sz w:val="1"/>
                <w:szCs w:val="1"/>
                <w:color w:val="auto"/>
              </w:rPr>
            </w:pPr>
          </w:p>
        </w:tc>
      </w:tr>
      <w:tr>
        <w:trPr>
          <w:trHeight w:val="222"/>
        </w:trPr>
        <w:tc>
          <w:tcPr>
            <w:tcW w:w="7800" w:type="dxa"/>
            <w:vAlign w:val="bottom"/>
          </w:tcPr>
          <w:p>
            <w:pPr>
              <w:ind w:left="20"/>
              <w:spacing w:after="0"/>
              <w:rPr>
                <w:sz w:val="20"/>
                <w:szCs w:val="20"/>
                <w:color w:val="auto"/>
              </w:rPr>
            </w:pPr>
            <w:r>
              <w:rPr>
                <w:rFonts w:ascii="Arial" w:cs="Arial" w:eastAsia="Arial" w:hAnsi="Arial"/>
                <w:sz w:val="17"/>
                <w:szCs w:val="17"/>
                <w:color w:val="auto"/>
              </w:rPr>
              <w:t>Lease right-of-use assets</w:t>
            </w: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48,871</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48,798</w:t>
            </w: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Income tax receivable</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13,693</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2"/>
        </w:trPr>
        <w:tc>
          <w:tcPr>
            <w:tcW w:w="78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Other</w:t>
            </w:r>
          </w:p>
        </w:tc>
        <w:tc>
          <w:tcPr>
            <w:tcW w:w="26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3,000</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2,976</w:t>
            </w:r>
          </w:p>
        </w:tc>
        <w:tc>
          <w:tcPr>
            <w:tcW w:w="0" w:type="dxa"/>
            <w:vAlign w:val="bottom"/>
          </w:tcPr>
          <w:p>
            <w:pPr>
              <w:spacing w:after="0"/>
              <w:rPr>
                <w:sz w:val="1"/>
                <w:szCs w:val="1"/>
                <w:color w:val="auto"/>
              </w:rPr>
            </w:pPr>
          </w:p>
        </w:tc>
      </w:tr>
      <w:tr>
        <w:trPr>
          <w:trHeight w:val="240"/>
        </w:trPr>
        <w:tc>
          <w:tcPr>
            <w:tcW w:w="7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26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151,701</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145,882</w:t>
            </w:r>
          </w:p>
        </w:tc>
        <w:tc>
          <w:tcPr>
            <w:tcW w:w="0" w:type="dxa"/>
            <w:vAlign w:val="bottom"/>
          </w:tcPr>
          <w:p>
            <w:pPr>
              <w:spacing w:after="0"/>
              <w:rPr>
                <w:sz w:val="1"/>
                <w:szCs w:val="1"/>
                <w:color w:val="auto"/>
              </w:rPr>
            </w:pPr>
          </w:p>
        </w:tc>
      </w:tr>
      <w:tr>
        <w:trPr>
          <w:trHeight w:val="20"/>
        </w:trPr>
        <w:tc>
          <w:tcPr>
            <w:tcW w:w="78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7"/>
                <w:szCs w:val="17"/>
                <w:b w:val="1"/>
                <w:bCs w:val="1"/>
                <w:color w:val="auto"/>
              </w:rPr>
              <w:t>10.  Accrued Expenses and Other Liabilities</w:t>
            </w: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4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30"/>
        </w:trPr>
        <w:tc>
          <w:tcPr>
            <w:tcW w:w="7800" w:type="dxa"/>
            <w:vAlign w:val="bottom"/>
            <w:vMerge w:val="continue"/>
          </w:tcPr>
          <w:p>
            <w:pPr>
              <w:spacing w:after="0"/>
              <w:rPr>
                <w:sz w:val="24"/>
                <w:szCs w:val="24"/>
                <w:color w:val="auto"/>
              </w:rPr>
            </w:pPr>
          </w:p>
        </w:tc>
        <w:tc>
          <w:tcPr>
            <w:tcW w:w="2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7800" w:type="dxa"/>
            <w:vAlign w:val="bottom"/>
          </w:tcPr>
          <w:p>
            <w:pPr>
              <w:ind w:left="480"/>
              <w:spacing w:after="0"/>
              <w:rPr>
                <w:sz w:val="20"/>
                <w:szCs w:val="20"/>
                <w:color w:val="auto"/>
              </w:rPr>
            </w:pPr>
            <w:r>
              <w:rPr>
                <w:rFonts w:ascii="Arial" w:cs="Arial" w:eastAsia="Arial" w:hAnsi="Arial"/>
                <w:sz w:val="17"/>
                <w:szCs w:val="17"/>
                <w:color w:val="auto"/>
              </w:rPr>
              <w:t>Accrued expenses and other liabilities consisted of the following (in thousands):</w:t>
            </w:r>
          </w:p>
        </w:tc>
        <w:tc>
          <w:tcPr>
            <w:tcW w:w="2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6"/>
        </w:trPr>
        <w:tc>
          <w:tcPr>
            <w:tcW w:w="7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00" w:type="dxa"/>
            <w:vAlign w:val="bottom"/>
            <w:gridSpan w:val="2"/>
          </w:tcPr>
          <w:p>
            <w:pPr>
              <w:ind w:left="160"/>
              <w:spacing w:after="0"/>
              <w:rPr>
                <w:sz w:val="20"/>
                <w:szCs w:val="20"/>
                <w:color w:val="auto"/>
              </w:rPr>
            </w:pPr>
            <w:r>
              <w:rPr>
                <w:rFonts w:ascii="Arial" w:cs="Arial" w:eastAsia="Arial" w:hAnsi="Arial"/>
                <w:sz w:val="14"/>
                <w:szCs w:val="14"/>
                <w:b w:val="1"/>
                <w:bCs w:val="1"/>
                <w:color w:val="auto"/>
              </w:rPr>
              <w:t>June 30, 2021</w:t>
            </w:r>
          </w:p>
        </w:tc>
        <w:tc>
          <w:tcPr>
            <w:tcW w:w="180" w:type="dxa"/>
            <w:vAlign w:val="bottom"/>
          </w:tcPr>
          <w:p>
            <w:pPr>
              <w:spacing w:after="0"/>
              <w:rPr>
                <w:sz w:val="24"/>
                <w:szCs w:val="24"/>
                <w:color w:val="auto"/>
              </w:rPr>
            </w:pPr>
          </w:p>
        </w:tc>
        <w:tc>
          <w:tcPr>
            <w:tcW w:w="1460" w:type="dxa"/>
            <w:vAlign w:val="bottom"/>
          </w:tcPr>
          <w:p>
            <w:pPr>
              <w:jc w:val="right"/>
              <w:ind w:right="174"/>
              <w:spacing w:after="0"/>
              <w:rPr>
                <w:sz w:val="20"/>
                <w:szCs w:val="20"/>
                <w:color w:val="auto"/>
              </w:rPr>
            </w:pPr>
            <w:r>
              <w:rPr>
                <w:rFonts w:ascii="Arial" w:cs="Arial" w:eastAsia="Arial" w:hAnsi="Arial"/>
                <w:sz w:val="14"/>
                <w:szCs w:val="14"/>
                <w:b w:val="1"/>
                <w:bCs w:val="1"/>
                <w:color w:val="auto"/>
                <w:w w:val="93"/>
              </w:rPr>
              <w:t>December 31, 2020</w:t>
            </w:r>
          </w:p>
        </w:tc>
        <w:tc>
          <w:tcPr>
            <w:tcW w:w="0" w:type="dxa"/>
            <w:vAlign w:val="bottom"/>
          </w:tcPr>
          <w:p>
            <w:pPr>
              <w:spacing w:after="0"/>
              <w:rPr>
                <w:sz w:val="1"/>
                <w:szCs w:val="1"/>
                <w:color w:val="auto"/>
              </w:rPr>
            </w:pPr>
          </w:p>
        </w:tc>
      </w:tr>
      <w:tr>
        <w:trPr>
          <w:trHeight w:val="220"/>
        </w:trPr>
        <w:tc>
          <w:tcPr>
            <w:tcW w:w="78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Accrued payroll and related costs</w:t>
            </w:r>
          </w:p>
        </w:tc>
        <w:tc>
          <w:tcPr>
            <w:tcW w:w="260" w:type="dxa"/>
            <w:vAlign w:val="bottom"/>
            <w:tcBorders>
              <w:top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39,246</w:t>
            </w:r>
          </w:p>
        </w:tc>
        <w:tc>
          <w:tcPr>
            <w:tcW w:w="10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48,893</w:t>
            </w:r>
          </w:p>
        </w:tc>
        <w:tc>
          <w:tcPr>
            <w:tcW w:w="0" w:type="dxa"/>
            <w:vAlign w:val="bottom"/>
          </w:tcPr>
          <w:p>
            <w:pPr>
              <w:spacing w:after="0"/>
              <w:rPr>
                <w:sz w:val="1"/>
                <w:szCs w:val="1"/>
                <w:color w:val="auto"/>
              </w:rPr>
            </w:pPr>
          </w:p>
        </w:tc>
      </w:tr>
      <w:tr>
        <w:trPr>
          <w:trHeight w:val="222"/>
        </w:trPr>
        <w:tc>
          <w:tcPr>
            <w:tcW w:w="7800" w:type="dxa"/>
            <w:vAlign w:val="bottom"/>
          </w:tcPr>
          <w:p>
            <w:pPr>
              <w:ind w:left="20"/>
              <w:spacing w:after="0"/>
              <w:rPr>
                <w:sz w:val="20"/>
                <w:szCs w:val="20"/>
                <w:color w:val="auto"/>
              </w:rPr>
            </w:pPr>
            <w:r>
              <w:rPr>
                <w:rFonts w:ascii="Arial" w:cs="Arial" w:eastAsia="Arial" w:hAnsi="Arial"/>
                <w:sz w:val="17"/>
                <w:szCs w:val="17"/>
                <w:color w:val="auto"/>
              </w:rPr>
              <w:t>Warranty reserves (Note 13)</w:t>
            </w: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93,522</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94,475</w:t>
            </w: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20"/>
              <w:spacing w:after="0"/>
              <w:rPr>
                <w:sz w:val="20"/>
                <w:szCs w:val="20"/>
                <w:color w:val="auto"/>
              </w:rPr>
            </w:pPr>
            <w:r>
              <w:rPr>
                <w:rFonts w:ascii="Arial" w:cs="Arial" w:eastAsia="Arial" w:hAnsi="Arial"/>
                <w:sz w:val="17"/>
                <w:szCs w:val="17"/>
                <w:color w:val="auto"/>
              </w:rPr>
              <w:t>Estimated cost for completion of real estate inventories</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102,976</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93,292</w:t>
            </w:r>
          </w:p>
        </w:tc>
        <w:tc>
          <w:tcPr>
            <w:tcW w:w="0" w:type="dxa"/>
            <w:vAlign w:val="bottom"/>
          </w:tcPr>
          <w:p>
            <w:pPr>
              <w:spacing w:after="0"/>
              <w:rPr>
                <w:sz w:val="1"/>
                <w:szCs w:val="1"/>
                <w:color w:val="auto"/>
              </w:rPr>
            </w:pPr>
          </w:p>
        </w:tc>
      </w:tr>
      <w:tr>
        <w:trPr>
          <w:trHeight w:val="222"/>
        </w:trPr>
        <w:tc>
          <w:tcPr>
            <w:tcW w:w="7800" w:type="dxa"/>
            <w:vAlign w:val="bottom"/>
          </w:tcPr>
          <w:p>
            <w:pPr>
              <w:ind w:left="20"/>
              <w:spacing w:after="0"/>
              <w:rPr>
                <w:sz w:val="20"/>
                <w:szCs w:val="20"/>
                <w:color w:val="auto"/>
              </w:rPr>
            </w:pPr>
            <w:r>
              <w:rPr>
                <w:rFonts w:ascii="Arial" w:cs="Arial" w:eastAsia="Arial" w:hAnsi="Arial"/>
                <w:sz w:val="17"/>
                <w:szCs w:val="17"/>
                <w:color w:val="auto"/>
              </w:rPr>
              <w:t>Customer deposits</w:t>
            </w: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61,096</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43,602</w:t>
            </w: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Income tax liability to Weyerhaeuser</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307</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240</w:t>
            </w:r>
          </w:p>
        </w:tc>
        <w:tc>
          <w:tcPr>
            <w:tcW w:w="0" w:type="dxa"/>
            <w:vAlign w:val="bottom"/>
          </w:tcPr>
          <w:p>
            <w:pPr>
              <w:spacing w:after="0"/>
              <w:rPr>
                <w:sz w:val="1"/>
                <w:szCs w:val="1"/>
                <w:color w:val="auto"/>
              </w:rPr>
            </w:pPr>
          </w:p>
        </w:tc>
      </w:tr>
      <w:tr>
        <w:trPr>
          <w:trHeight w:val="222"/>
        </w:trPr>
        <w:tc>
          <w:tcPr>
            <w:tcW w:w="7800" w:type="dxa"/>
            <w:vAlign w:val="bottom"/>
          </w:tcPr>
          <w:p>
            <w:pPr>
              <w:ind w:left="20"/>
              <w:spacing w:after="0"/>
              <w:rPr>
                <w:sz w:val="20"/>
                <w:szCs w:val="20"/>
                <w:color w:val="auto"/>
              </w:rPr>
            </w:pPr>
            <w:r>
              <w:rPr>
                <w:rFonts w:ascii="Arial" w:cs="Arial" w:eastAsia="Arial" w:hAnsi="Arial"/>
                <w:sz w:val="17"/>
                <w:szCs w:val="17"/>
                <w:color w:val="auto"/>
              </w:rPr>
              <w:t>Accrued income taxes payable</w:t>
            </w: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17,336</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13,329</w:t>
            </w: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20"/>
              <w:spacing w:after="0"/>
              <w:rPr>
                <w:sz w:val="20"/>
                <w:szCs w:val="20"/>
                <w:color w:val="auto"/>
              </w:rPr>
            </w:pPr>
            <w:r>
              <w:rPr>
                <w:rFonts w:ascii="Arial" w:cs="Arial" w:eastAsia="Arial" w:hAnsi="Arial"/>
                <w:sz w:val="17"/>
                <w:szCs w:val="17"/>
                <w:color w:val="auto"/>
              </w:rPr>
              <w:t>Accrued interest</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5,512</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4,655</w:t>
            </w:r>
          </w:p>
        </w:tc>
        <w:tc>
          <w:tcPr>
            <w:tcW w:w="0" w:type="dxa"/>
            <w:vAlign w:val="bottom"/>
          </w:tcPr>
          <w:p>
            <w:pPr>
              <w:spacing w:after="0"/>
              <w:rPr>
                <w:sz w:val="1"/>
                <w:szCs w:val="1"/>
                <w:color w:val="auto"/>
              </w:rPr>
            </w:pPr>
          </w:p>
        </w:tc>
      </w:tr>
      <w:tr>
        <w:trPr>
          <w:trHeight w:val="222"/>
        </w:trPr>
        <w:tc>
          <w:tcPr>
            <w:tcW w:w="7800" w:type="dxa"/>
            <w:vAlign w:val="bottom"/>
          </w:tcPr>
          <w:p>
            <w:pPr>
              <w:ind w:left="20"/>
              <w:spacing w:after="0"/>
              <w:rPr>
                <w:sz w:val="20"/>
                <w:szCs w:val="20"/>
                <w:color w:val="auto"/>
              </w:rPr>
            </w:pPr>
            <w:r>
              <w:rPr>
                <w:rFonts w:ascii="Arial" w:cs="Arial" w:eastAsia="Arial" w:hAnsi="Arial"/>
                <w:sz w:val="17"/>
                <w:szCs w:val="17"/>
                <w:color w:val="auto"/>
              </w:rPr>
              <w:t>Other tax liability</w:t>
            </w: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2,478</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2,180</w:t>
            </w:r>
          </w:p>
        </w:tc>
        <w:tc>
          <w:tcPr>
            <w:tcW w:w="0" w:type="dxa"/>
            <w:vAlign w:val="bottom"/>
          </w:tcPr>
          <w:p>
            <w:pPr>
              <w:spacing w:after="0"/>
              <w:rPr>
                <w:sz w:val="1"/>
                <w:szCs w:val="1"/>
                <w:color w:val="auto"/>
              </w:rPr>
            </w:pPr>
          </w:p>
        </w:tc>
      </w:tr>
      <w:tr>
        <w:trPr>
          <w:trHeight w:val="222"/>
        </w:trPr>
        <w:tc>
          <w:tcPr>
            <w:tcW w:w="7800" w:type="dxa"/>
            <w:vAlign w:val="bottom"/>
            <w:shd w:val="clear" w:color="auto" w:fill="CCEEFF"/>
          </w:tcPr>
          <w:p>
            <w:pPr>
              <w:ind w:left="20"/>
              <w:spacing w:after="0"/>
              <w:rPr>
                <w:sz w:val="20"/>
                <w:szCs w:val="20"/>
                <w:color w:val="auto"/>
              </w:rPr>
            </w:pPr>
            <w:r>
              <w:rPr>
                <w:rFonts w:ascii="Arial" w:cs="Arial" w:eastAsia="Arial" w:hAnsi="Arial"/>
                <w:sz w:val="17"/>
                <w:szCs w:val="17"/>
                <w:color w:val="auto"/>
              </w:rPr>
              <w:t>Lease liabilities</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52,900</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53,239</w:t>
            </w:r>
          </w:p>
        </w:tc>
        <w:tc>
          <w:tcPr>
            <w:tcW w:w="0" w:type="dxa"/>
            <w:vAlign w:val="bottom"/>
          </w:tcPr>
          <w:p>
            <w:pPr>
              <w:spacing w:after="0"/>
              <w:rPr>
                <w:sz w:val="1"/>
                <w:szCs w:val="1"/>
                <w:color w:val="auto"/>
              </w:rPr>
            </w:pPr>
          </w:p>
        </w:tc>
      </w:tr>
      <w:tr>
        <w:trPr>
          <w:trHeight w:val="222"/>
        </w:trPr>
        <w:tc>
          <w:tcPr>
            <w:tcW w:w="78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Other</w:t>
            </w:r>
          </w:p>
        </w:tc>
        <w:tc>
          <w:tcPr>
            <w:tcW w:w="26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19,765</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12,835</w:t>
            </w:r>
          </w:p>
        </w:tc>
        <w:tc>
          <w:tcPr>
            <w:tcW w:w="0" w:type="dxa"/>
            <w:vAlign w:val="bottom"/>
          </w:tcPr>
          <w:p>
            <w:pPr>
              <w:spacing w:after="0"/>
              <w:rPr>
                <w:sz w:val="1"/>
                <w:szCs w:val="1"/>
                <w:color w:val="auto"/>
              </w:rPr>
            </w:pPr>
          </w:p>
        </w:tc>
      </w:tr>
      <w:tr>
        <w:trPr>
          <w:trHeight w:val="240"/>
        </w:trPr>
        <w:tc>
          <w:tcPr>
            <w:tcW w:w="7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26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395,138</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366,740</w:t>
            </w:r>
          </w:p>
        </w:tc>
        <w:tc>
          <w:tcPr>
            <w:tcW w:w="0" w:type="dxa"/>
            <w:vAlign w:val="bottom"/>
          </w:tcPr>
          <w:p>
            <w:pPr>
              <w:spacing w:after="0"/>
              <w:rPr>
                <w:sz w:val="1"/>
                <w:szCs w:val="1"/>
                <w:color w:val="auto"/>
              </w:rPr>
            </w:pPr>
          </w:p>
        </w:tc>
      </w:tr>
      <w:tr>
        <w:trPr>
          <w:trHeight w:val="20"/>
        </w:trPr>
        <w:tc>
          <w:tcPr>
            <w:tcW w:w="78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4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44" w:lineRule="exact"/>
        <w:rPr>
          <w:sz w:val="20"/>
          <w:szCs w:val="20"/>
          <w:color w:val="auto"/>
        </w:rPr>
      </w:pPr>
    </w:p>
    <w:p>
      <w:pPr>
        <w:ind w:right="8560" w:firstLine="5"/>
        <w:spacing w:after="0" w:line="388" w:lineRule="auto"/>
        <w:tabs>
          <w:tab w:leader="none" w:pos="382" w:val="left"/>
        </w:tabs>
        <w:numPr>
          <w:ilvl w:val="0"/>
          <w:numId w:val="5"/>
        </w:numPr>
        <w:rPr>
          <w:rFonts w:ascii="Arial" w:cs="Arial" w:eastAsia="Arial" w:hAnsi="Arial"/>
          <w:sz w:val="17"/>
          <w:szCs w:val="17"/>
          <w:b w:val="1"/>
          <w:bCs w:val="1"/>
          <w:color w:val="auto"/>
        </w:rPr>
      </w:pPr>
      <w:r>
        <w:rPr>
          <w:rFonts w:ascii="Arial" w:cs="Arial" w:eastAsia="Arial" w:hAnsi="Arial"/>
          <w:sz w:val="17"/>
          <w:szCs w:val="17"/>
          <w:b w:val="1"/>
          <w:bCs w:val="1"/>
          <w:color w:val="auto"/>
        </w:rPr>
        <w:t>Senior Notes and Loans Payable Senior Notes</w:t>
      </w:r>
    </w:p>
    <w:p>
      <w:pPr>
        <w:spacing w:after="0" w:line="1" w:lineRule="exact"/>
        <w:rPr>
          <w:rFonts w:ascii="Arial" w:cs="Arial" w:eastAsia="Arial" w:hAnsi="Arial"/>
          <w:sz w:val="17"/>
          <w:szCs w:val="17"/>
          <w:b w:val="1"/>
          <w:bCs w:val="1"/>
          <w:color w:val="auto"/>
        </w:rPr>
      </w:pPr>
    </w:p>
    <w:p>
      <w:pPr>
        <w:ind w:left="480"/>
        <w:spacing w:after="0"/>
        <w:rPr>
          <w:rFonts w:ascii="Arial" w:cs="Arial" w:eastAsia="Arial" w:hAnsi="Arial"/>
          <w:sz w:val="17"/>
          <w:szCs w:val="17"/>
          <w:b w:val="1"/>
          <w:bCs w:val="1"/>
          <w:color w:val="auto"/>
        </w:rPr>
      </w:pPr>
      <w:r>
        <w:rPr>
          <w:rFonts w:ascii="Arial" w:cs="Arial" w:eastAsia="Arial" w:hAnsi="Arial"/>
          <w:sz w:val="17"/>
          <w:szCs w:val="17"/>
          <w:color w:val="auto"/>
        </w:rPr>
        <w:t>The Company’s outstanding senior notes (together, the “Senior Notes”) consisted of the following (in thousands):</w:t>
      </w:r>
    </w:p>
    <w:p>
      <w:pPr>
        <w:spacing w:after="0" w:line="147" w:lineRule="exact"/>
        <w:rPr>
          <w:sz w:val="20"/>
          <w:szCs w:val="20"/>
          <w:color w:val="auto"/>
        </w:rPr>
      </w:pPr>
    </w:p>
    <w:tbl>
      <w:tblPr>
        <w:tblLayout w:type="fixed"/>
        <w:tblInd w:w="480" w:type="dxa"/>
        <w:tblCellMar>
          <w:top w:w="0" w:type="dxa"/>
          <w:left w:w="0" w:type="dxa"/>
          <w:bottom w:w="0" w:type="dxa"/>
          <w:right w:w="0" w:type="dxa"/>
        </w:tblCellMar>
      </w:tblPr>
      <w:tr>
        <w:trPr>
          <w:trHeight w:val="187"/>
        </w:trPr>
        <w:tc>
          <w:tcPr>
            <w:tcW w:w="1040" w:type="dxa"/>
            <w:vAlign w:val="bottom"/>
          </w:tcPr>
          <w:p>
            <w:pPr>
              <w:spacing w:after="0"/>
              <w:rPr>
                <w:sz w:val="16"/>
                <w:szCs w:val="16"/>
                <w:color w:val="auto"/>
              </w:rPr>
            </w:pPr>
          </w:p>
        </w:tc>
        <w:tc>
          <w:tcPr>
            <w:tcW w:w="59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460" w:type="dxa"/>
            <w:vAlign w:val="bottom"/>
            <w:gridSpan w:val="2"/>
          </w:tcPr>
          <w:p>
            <w:pPr>
              <w:ind w:left="140"/>
              <w:spacing w:after="0"/>
              <w:rPr>
                <w:sz w:val="20"/>
                <w:szCs w:val="20"/>
                <w:color w:val="auto"/>
              </w:rPr>
            </w:pPr>
            <w:r>
              <w:rPr>
                <w:rFonts w:ascii="Arial" w:cs="Arial" w:eastAsia="Arial" w:hAnsi="Arial"/>
                <w:sz w:val="14"/>
                <w:szCs w:val="14"/>
                <w:b w:val="1"/>
                <w:bCs w:val="1"/>
                <w:color w:val="auto"/>
              </w:rPr>
              <w:t>June 30, 2021</w:t>
            </w:r>
          </w:p>
        </w:tc>
        <w:tc>
          <w:tcPr>
            <w:tcW w:w="64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w w:val="94"/>
              </w:rPr>
              <w:t>December 31, 20</w:t>
            </w:r>
          </w:p>
        </w:tc>
      </w:tr>
      <w:tr>
        <w:trPr>
          <w:trHeight w:val="220"/>
        </w:trPr>
        <w:tc>
          <w:tcPr>
            <w:tcW w:w="1040" w:type="dxa"/>
            <w:vAlign w:val="bottom"/>
            <w:tcBorders>
              <w:top w:val="single" w:sz="8" w:color="CCEEFF"/>
            </w:tcBorders>
            <w:shd w:val="clear" w:color="auto" w:fill="CCEEFF"/>
          </w:tcPr>
          <w:p>
            <w:pPr>
              <w:ind w:left="480"/>
              <w:spacing w:after="0"/>
              <w:rPr>
                <w:sz w:val="20"/>
                <w:szCs w:val="20"/>
                <w:color w:val="auto"/>
              </w:rPr>
            </w:pPr>
            <w:r>
              <w:rPr>
                <w:rFonts w:ascii="Arial" w:cs="Arial" w:eastAsia="Arial" w:hAnsi="Arial"/>
                <w:sz w:val="17"/>
                <w:szCs w:val="17"/>
                <w:color w:val="auto"/>
                <w:w w:val="93"/>
              </w:rPr>
              <w:t>5.875%</w:t>
            </w:r>
          </w:p>
        </w:tc>
        <w:tc>
          <w:tcPr>
            <w:tcW w:w="59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Senior Notes due June 15, 2024</w:t>
            </w:r>
          </w:p>
        </w:tc>
        <w:tc>
          <w:tcPr>
            <w:tcW w:w="740" w:type="dxa"/>
            <w:vAlign w:val="bottom"/>
            <w:tcBorders>
              <w:top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450,000</w:t>
            </w:r>
          </w:p>
        </w:tc>
        <w:tc>
          <w:tcPr>
            <w:tcW w:w="100" w:type="dxa"/>
            <w:vAlign w:val="bottom"/>
            <w:tcBorders>
              <w:top w:val="single" w:sz="8" w:color="CCEEFF"/>
            </w:tcBorders>
            <w:shd w:val="clear" w:color="auto" w:fill="CCEEFF"/>
          </w:tcPr>
          <w:p>
            <w:pPr>
              <w:spacing w:after="0"/>
              <w:rPr>
                <w:sz w:val="19"/>
                <w:szCs w:val="19"/>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450</w:t>
            </w:r>
          </w:p>
        </w:tc>
      </w:tr>
      <w:tr>
        <w:trPr>
          <w:trHeight w:val="222"/>
        </w:trPr>
        <w:tc>
          <w:tcPr>
            <w:tcW w:w="1040" w:type="dxa"/>
            <w:vAlign w:val="bottom"/>
          </w:tcPr>
          <w:p>
            <w:pPr>
              <w:ind w:left="480"/>
              <w:spacing w:after="0"/>
              <w:rPr>
                <w:sz w:val="20"/>
                <w:szCs w:val="20"/>
                <w:color w:val="auto"/>
              </w:rPr>
            </w:pPr>
            <w:r>
              <w:rPr>
                <w:rFonts w:ascii="Arial" w:cs="Arial" w:eastAsia="Arial" w:hAnsi="Arial"/>
                <w:sz w:val="17"/>
                <w:szCs w:val="17"/>
                <w:color w:val="auto"/>
                <w:w w:val="93"/>
              </w:rPr>
              <w:t>5.250%</w:t>
            </w:r>
          </w:p>
        </w:tc>
        <w:tc>
          <w:tcPr>
            <w:tcW w:w="5900" w:type="dxa"/>
            <w:vAlign w:val="bottom"/>
          </w:tcPr>
          <w:p>
            <w:pPr>
              <w:ind w:left="20"/>
              <w:spacing w:after="0"/>
              <w:rPr>
                <w:sz w:val="20"/>
                <w:szCs w:val="20"/>
                <w:color w:val="auto"/>
              </w:rPr>
            </w:pPr>
            <w:r>
              <w:rPr>
                <w:rFonts w:ascii="Arial" w:cs="Arial" w:eastAsia="Arial" w:hAnsi="Arial"/>
                <w:sz w:val="17"/>
                <w:szCs w:val="17"/>
                <w:color w:val="auto"/>
              </w:rPr>
              <w:t>Senior Notes due June 1, 2027</w:t>
            </w:r>
          </w:p>
        </w:tc>
        <w:tc>
          <w:tcPr>
            <w:tcW w:w="74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300,000</w:t>
            </w:r>
          </w:p>
        </w:tc>
        <w:tc>
          <w:tcPr>
            <w:tcW w:w="1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300</w:t>
            </w:r>
          </w:p>
        </w:tc>
      </w:tr>
      <w:tr>
        <w:trPr>
          <w:trHeight w:val="222"/>
        </w:trPr>
        <w:tc>
          <w:tcPr>
            <w:tcW w:w="1040" w:type="dxa"/>
            <w:vAlign w:val="bottom"/>
            <w:shd w:val="clear" w:color="auto" w:fill="CCEEFF"/>
          </w:tcPr>
          <w:p>
            <w:pPr>
              <w:ind w:left="480"/>
              <w:spacing w:after="0"/>
              <w:rPr>
                <w:sz w:val="20"/>
                <w:szCs w:val="20"/>
                <w:color w:val="auto"/>
              </w:rPr>
            </w:pPr>
            <w:r>
              <w:rPr>
                <w:rFonts w:ascii="Arial" w:cs="Arial" w:eastAsia="Arial" w:hAnsi="Arial"/>
                <w:sz w:val="17"/>
                <w:szCs w:val="17"/>
                <w:color w:val="auto"/>
                <w:w w:val="93"/>
              </w:rPr>
              <w:t>5.700%</w:t>
            </w:r>
          </w:p>
        </w:tc>
        <w:tc>
          <w:tcPr>
            <w:tcW w:w="5900" w:type="dxa"/>
            <w:vAlign w:val="bottom"/>
            <w:shd w:val="clear" w:color="auto" w:fill="CCEEFF"/>
          </w:tcPr>
          <w:p>
            <w:pPr>
              <w:ind w:left="20"/>
              <w:spacing w:after="0"/>
              <w:rPr>
                <w:sz w:val="20"/>
                <w:szCs w:val="20"/>
                <w:color w:val="auto"/>
              </w:rPr>
            </w:pPr>
            <w:r>
              <w:rPr>
                <w:rFonts w:ascii="Arial" w:cs="Arial" w:eastAsia="Arial" w:hAnsi="Arial"/>
                <w:sz w:val="17"/>
                <w:szCs w:val="17"/>
                <w:color w:val="auto"/>
              </w:rPr>
              <w:t>Senior Notes due June 15, 2028</w:t>
            </w:r>
          </w:p>
        </w:tc>
        <w:tc>
          <w:tcPr>
            <w:tcW w:w="74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350,000</w:t>
            </w:r>
          </w:p>
        </w:tc>
        <w:tc>
          <w:tcPr>
            <w:tcW w:w="10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350</w:t>
            </w:r>
          </w:p>
        </w:tc>
      </w:tr>
      <w:tr>
        <w:trPr>
          <w:trHeight w:val="222"/>
        </w:trPr>
        <w:tc>
          <w:tcPr>
            <w:tcW w:w="6940" w:type="dxa"/>
            <w:vAlign w:val="bottom"/>
            <w:tcBorders>
              <w:bottom w:val="single" w:sz="8" w:color="CCEEFF"/>
            </w:tcBorders>
            <w:gridSpan w:val="2"/>
          </w:tcPr>
          <w:p>
            <w:pPr>
              <w:ind w:left="480"/>
              <w:spacing w:after="0"/>
              <w:rPr>
                <w:sz w:val="20"/>
                <w:szCs w:val="20"/>
                <w:color w:val="auto"/>
              </w:rPr>
            </w:pPr>
            <w:r>
              <w:rPr>
                <w:rFonts w:ascii="Arial" w:cs="Arial" w:eastAsia="Arial" w:hAnsi="Arial"/>
                <w:sz w:val="17"/>
                <w:szCs w:val="17"/>
                <w:color w:val="auto"/>
              </w:rPr>
              <w:t>Discount and deferred loan costs</w:t>
            </w:r>
          </w:p>
        </w:tc>
        <w:tc>
          <w:tcPr>
            <w:tcW w:w="7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(14,405)</w:t>
            </w:r>
          </w:p>
        </w:tc>
        <w:tc>
          <w:tcPr>
            <w:tcW w:w="100" w:type="dxa"/>
            <w:vAlign w:val="bottom"/>
            <w:tcBorders>
              <w:bottom w:val="single" w:sz="8" w:color="CCEEFF"/>
            </w:tcBorders>
          </w:tcPr>
          <w:p>
            <w:pPr>
              <w:spacing w:after="0"/>
              <w:rPr>
                <w:sz w:val="19"/>
                <w:szCs w:val="19"/>
                <w:color w:val="auto"/>
              </w:rPr>
            </w:pPr>
          </w:p>
        </w:tc>
        <w:tc>
          <w:tcPr>
            <w:tcW w:w="64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w:t>
            </w:r>
          </w:p>
        </w:tc>
      </w:tr>
      <w:tr>
        <w:trPr>
          <w:trHeight w:val="240"/>
        </w:trPr>
        <w:tc>
          <w:tcPr>
            <w:tcW w:w="104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7"/>
                <w:szCs w:val="17"/>
                <w:color w:val="auto"/>
              </w:rPr>
              <w:t>Total</w:t>
            </w:r>
          </w:p>
        </w:tc>
        <w:tc>
          <w:tcPr>
            <w:tcW w:w="590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1,085,595</w:t>
            </w:r>
          </w:p>
        </w:tc>
        <w:tc>
          <w:tcPr>
            <w:tcW w:w="10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1,084</w:t>
            </w:r>
          </w:p>
        </w:tc>
      </w:tr>
      <w:tr>
        <w:trPr>
          <w:trHeight w:val="20"/>
        </w:trPr>
        <w:tc>
          <w:tcPr>
            <w:tcW w:w="1040" w:type="dxa"/>
            <w:vAlign w:val="bottom"/>
            <w:tcBorders>
              <w:top w:val="single" w:sz="8" w:color="CCEEFF"/>
            </w:tcBorders>
          </w:tcPr>
          <w:p>
            <w:pPr>
              <w:spacing w:after="0" w:line="20" w:lineRule="exact"/>
              <w:rPr>
                <w:sz w:val="1"/>
                <w:szCs w:val="1"/>
                <w:color w:val="auto"/>
              </w:rPr>
            </w:pPr>
          </w:p>
        </w:tc>
        <w:tc>
          <w:tcPr>
            <w:tcW w:w="590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ind w:right="120" w:firstLine="470"/>
        <w:spacing w:after="0" w:line="272" w:lineRule="auto"/>
        <w:rPr>
          <w:sz w:val="20"/>
          <w:szCs w:val="20"/>
          <w:color w:val="auto"/>
        </w:rPr>
      </w:pPr>
      <w:r>
        <w:rPr>
          <w:rFonts w:ascii="Arial" w:cs="Arial" w:eastAsia="Arial" w:hAnsi="Arial"/>
          <w:sz w:val="17"/>
          <w:szCs w:val="17"/>
          <w:color w:val="auto"/>
        </w:rPr>
        <w:t>In June 2020, Tri Pointe issued $350 million aggregate principal amount of 5.700% Senior Notes due 2028 (the “2028 Notes”) at 100.00% of their aggregate principal amount. Net proceeds of this issuance were $345.2 million, after debt issuance costs and discounts. The 2028 Notes mature on June 15, 2028 and interest is paid semiannually in arrears on June 15 and December 15 of each year until maturity.</w:t>
      </w:r>
    </w:p>
    <w:p>
      <w:pPr>
        <w:spacing w:after="0" w:line="172" w:lineRule="exact"/>
        <w:rPr>
          <w:sz w:val="20"/>
          <w:szCs w:val="20"/>
          <w:color w:val="auto"/>
        </w:rPr>
      </w:pPr>
    </w:p>
    <w:p>
      <w:pPr>
        <w:ind w:right="220" w:firstLine="470"/>
        <w:spacing w:after="0" w:line="272" w:lineRule="auto"/>
        <w:rPr>
          <w:sz w:val="20"/>
          <w:szCs w:val="20"/>
          <w:color w:val="auto"/>
        </w:rPr>
      </w:pPr>
      <w:r>
        <w:rPr>
          <w:rFonts w:ascii="Arial" w:cs="Arial" w:eastAsia="Arial" w:hAnsi="Arial"/>
          <w:sz w:val="17"/>
          <w:szCs w:val="17"/>
          <w:color w:val="auto"/>
        </w:rPr>
        <w:t>In June 2017, Tri Pointe issued $300 million aggregate principal amount of 5.250% Senior Notes due 2027 (the “2027 Notes”) at 100.00% of their aggregate principal amount. Net proceeds of this issuance were $296.3 million, after debt issuance costs and discounts. The 2027 Notes mature on June 1, 2027 and interest is paid semiannually in arrears on June 1 and December 1 of each year until maturity.</w:t>
      </w:r>
    </w:p>
    <w:p>
      <w:pPr>
        <w:spacing w:after="0" w:line="200" w:lineRule="exact"/>
        <w:rPr>
          <w:sz w:val="20"/>
          <w:szCs w:val="20"/>
          <w:color w:val="auto"/>
        </w:rPr>
      </w:pPr>
    </w:p>
    <w:p>
      <w:pPr>
        <w:spacing w:after="0" w:line="298"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- 16 -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340"/>
          </w:cols>
          <w:pgMar w:left="320" w:top="993" w:right="239" w:bottom="1440" w:gutter="0" w:footer="0" w:header="0"/>
        </w:sectPr>
      </w:pPr>
    </w:p>
    <w:bookmarkStart w:id="17" w:name="page18"/>
    <w:bookmarkEnd w:id="17"/>
    <w:p>
      <w:pPr>
        <w:ind w:right="60" w:firstLine="470"/>
        <w:spacing w:after="0" w:line="267" w:lineRule="auto"/>
        <w:rPr>
          <w:sz w:val="20"/>
          <w:szCs w:val="20"/>
          <w:color w:val="auto"/>
        </w:rPr>
      </w:pPr>
      <w:r>
        <w:rPr>
          <w:rFonts w:ascii="Arial" w:cs="Arial" w:eastAsia="Arial" w:hAnsi="Arial"/>
          <w:sz w:val="17"/>
          <w:szCs w:val="17"/>
          <w:color w:val="auto"/>
        </w:rPr>
        <w:t>Tri Pointe and its wholly owned subsidiary Tri Pointe Homes Holdings, Inc. are co-issuers of the $450 million aggregate principal amount 5.875% Senior Notes due 2024 (the “2024 Notes”). The 2024 Notes were issued at 98.15% of their aggregate principal amount. The net proceeds from the offering of the 2024 Notes was $429.0 million, after debt issuance costs and discounts. The 2024 Notes mature on June 15, 2024, with interest payable semiannually in arrears on June 15 and December 15 of each year until maturity.</w:t>
      </w:r>
    </w:p>
    <w:p>
      <w:pPr>
        <w:spacing w:after="0" w:line="176" w:lineRule="exact"/>
        <w:rPr>
          <w:sz w:val="20"/>
          <w:szCs w:val="20"/>
          <w:color w:val="auto"/>
        </w:rPr>
      </w:pPr>
    </w:p>
    <w:p>
      <w:pPr>
        <w:jc w:val="both"/>
        <w:ind w:right="140" w:firstLine="470"/>
        <w:spacing w:after="0" w:line="272" w:lineRule="auto"/>
        <w:rPr>
          <w:sz w:val="20"/>
          <w:szCs w:val="20"/>
          <w:color w:val="auto"/>
        </w:rPr>
      </w:pPr>
      <w:r>
        <w:rPr>
          <w:rFonts w:ascii="Arial" w:cs="Arial" w:eastAsia="Arial" w:hAnsi="Arial"/>
          <w:sz w:val="17"/>
          <w:szCs w:val="17"/>
          <w:color w:val="auto"/>
        </w:rPr>
        <w:t>As of June 30, 2021, there were $11.4 million of capitalized debt financing costs, included in senior notes, net on our consolidated balance sheet, related to the Senior Notes that will amortize over the lives of the Senior Notes. Accrued interest related to the Senior Notes was $3.2 million as of both June 30, 2021 and December 31, 2020.</w:t>
      </w:r>
    </w:p>
    <w:p>
      <w:pPr>
        <w:spacing w:after="0" w:line="2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Loans Payable</w:t>
      </w:r>
    </w:p>
    <w:p>
      <w:pPr>
        <w:spacing w:after="0" w:line="124" w:lineRule="exact"/>
        <w:rPr>
          <w:sz w:val="20"/>
          <w:szCs w:val="20"/>
          <w:color w:val="auto"/>
        </w:rPr>
      </w:pPr>
    </w:p>
    <w:p>
      <w:pPr>
        <w:ind w:left="480"/>
        <w:spacing w:after="0"/>
        <w:rPr>
          <w:sz w:val="20"/>
          <w:szCs w:val="20"/>
          <w:color w:val="auto"/>
        </w:rPr>
      </w:pPr>
      <w:r>
        <w:rPr>
          <w:rFonts w:ascii="Arial" w:cs="Arial" w:eastAsia="Arial" w:hAnsi="Arial"/>
          <w:sz w:val="17"/>
          <w:szCs w:val="17"/>
          <w:color w:val="auto"/>
        </w:rPr>
        <w:t>The Company’s outstanding loans payable consisted of the following (in thousands):</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6740" w:type="dxa"/>
            <w:vAlign w:val="bottom"/>
            <w:tcBorders>
              <w:bottom w:val="single" w:sz="8" w:color="CCEEFF"/>
            </w:tcBorders>
          </w:tcPr>
          <w:p>
            <w:pPr>
              <w:spacing w:after="0"/>
              <w:rPr>
                <w:sz w:val="16"/>
                <w:szCs w:val="16"/>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June 30, 2021</w:t>
            </w:r>
          </w:p>
        </w:tc>
        <w:tc>
          <w:tcPr>
            <w:tcW w:w="6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860" w:type="dxa"/>
            <w:vAlign w:val="bottom"/>
            <w:tcBorders>
              <w:bottom w:val="single" w:sz="8" w:color="auto"/>
            </w:tcBorders>
          </w:tcPr>
          <w:p>
            <w:pPr>
              <w:jc w:val="right"/>
              <w:ind w:right="437"/>
              <w:spacing w:after="0"/>
              <w:rPr>
                <w:sz w:val="20"/>
                <w:szCs w:val="20"/>
                <w:color w:val="auto"/>
              </w:rPr>
            </w:pPr>
            <w:r>
              <w:rPr>
                <w:rFonts w:ascii="Arial" w:cs="Arial" w:eastAsia="Arial" w:hAnsi="Arial"/>
                <w:sz w:val="14"/>
                <w:szCs w:val="14"/>
                <w:b w:val="1"/>
                <w:bCs w:val="1"/>
                <w:color w:val="auto"/>
              </w:rPr>
              <w:t>December 31, 2020</w:t>
            </w:r>
          </w:p>
        </w:tc>
      </w:tr>
      <w:tr>
        <w:trPr>
          <w:trHeight w:val="220"/>
        </w:trPr>
        <w:tc>
          <w:tcPr>
            <w:tcW w:w="6740" w:type="dxa"/>
            <w:vAlign w:val="bottom"/>
            <w:shd w:val="clear" w:color="auto" w:fill="CCEEFF"/>
          </w:tcPr>
          <w:p>
            <w:pPr>
              <w:ind w:left="20"/>
              <w:spacing w:after="0"/>
              <w:rPr>
                <w:sz w:val="20"/>
                <w:szCs w:val="20"/>
                <w:color w:val="auto"/>
              </w:rPr>
            </w:pPr>
            <w:r>
              <w:rPr>
                <w:rFonts w:ascii="Arial" w:cs="Arial" w:eastAsia="Arial" w:hAnsi="Arial"/>
                <w:sz w:val="17"/>
                <w:szCs w:val="17"/>
                <w:color w:val="auto"/>
              </w:rPr>
              <w:t>Term loan facility</w:t>
            </w:r>
          </w:p>
        </w:tc>
        <w:tc>
          <w:tcPr>
            <w:tcW w:w="1520" w:type="dxa"/>
            <w:vAlign w:val="bottom"/>
            <w:shd w:val="clear" w:color="auto" w:fill="CCEEFF"/>
          </w:tcPr>
          <w:p>
            <w:pPr>
              <w:jc w:val="right"/>
              <w:ind w:right="1339"/>
              <w:spacing w:after="0"/>
              <w:rPr>
                <w:sz w:val="20"/>
                <w:szCs w:val="20"/>
                <w:color w:val="auto"/>
              </w:rPr>
            </w:pPr>
            <w:r>
              <w:rPr>
                <w:rFonts w:ascii="Arial" w:cs="Arial" w:eastAsia="Arial" w:hAnsi="Arial"/>
                <w:sz w:val="17"/>
                <w:szCs w:val="17"/>
                <w:color w:val="auto"/>
                <w:w w:val="84"/>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1"/>
              </w:rPr>
              <w:t>250,000</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w w:val="84"/>
              </w:rPr>
              <w:t>$</w:t>
            </w:r>
          </w:p>
        </w:tc>
        <w:tc>
          <w:tcPr>
            <w:tcW w:w="18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250,000</w:t>
            </w:r>
          </w:p>
        </w:tc>
      </w:tr>
      <w:tr>
        <w:trPr>
          <w:trHeight w:val="222"/>
        </w:trPr>
        <w:tc>
          <w:tcPr>
            <w:tcW w:w="674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Seller financed loans</w:t>
            </w:r>
          </w:p>
        </w:tc>
        <w:tc>
          <w:tcPr>
            <w:tcW w:w="152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8,979</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8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8,979</w:t>
            </w:r>
          </w:p>
        </w:tc>
      </w:tr>
      <w:tr>
        <w:trPr>
          <w:trHeight w:val="240"/>
        </w:trPr>
        <w:tc>
          <w:tcPr>
            <w:tcW w:w="6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1520" w:type="dxa"/>
            <w:vAlign w:val="bottom"/>
            <w:tcBorders>
              <w:bottom w:val="single" w:sz="8" w:color="auto"/>
            </w:tcBorders>
            <w:shd w:val="clear" w:color="auto" w:fill="CCEEFF"/>
          </w:tcPr>
          <w:p>
            <w:pPr>
              <w:jc w:val="right"/>
              <w:ind w:right="1339"/>
              <w:spacing w:after="0"/>
              <w:rPr>
                <w:sz w:val="20"/>
                <w:szCs w:val="20"/>
                <w:color w:val="auto"/>
              </w:rPr>
            </w:pPr>
            <w:r>
              <w:rPr>
                <w:rFonts w:ascii="Arial" w:cs="Arial" w:eastAsia="Arial" w:hAnsi="Arial"/>
                <w:sz w:val="17"/>
                <w:szCs w:val="17"/>
                <w:color w:val="auto"/>
                <w:w w:val="84"/>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1"/>
              </w:rPr>
              <w:t>258,979</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w w:val="84"/>
              </w:rPr>
              <w:t>$</w:t>
            </w:r>
          </w:p>
        </w:tc>
        <w:tc>
          <w:tcPr>
            <w:tcW w:w="1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258,979</w:t>
            </w: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860" w:type="dxa"/>
            <w:vAlign w:val="bottom"/>
            <w:tcBorders>
              <w:top w:val="single" w:sz="8" w:color="CCEEFF"/>
              <w:bottom w:val="single" w:sz="8" w:color="auto"/>
            </w:tcBorders>
          </w:tcPr>
          <w:p>
            <w:pPr>
              <w:spacing w:after="0" w:line="20" w:lineRule="exact"/>
              <w:rPr>
                <w:sz w:val="1"/>
                <w:szCs w:val="1"/>
                <w:color w:val="auto"/>
              </w:rPr>
            </w:pPr>
          </w:p>
        </w:tc>
      </w:tr>
    </w:tbl>
    <w:p>
      <w:pPr>
        <w:spacing w:after="0" w:line="223" w:lineRule="exact"/>
        <w:rPr>
          <w:sz w:val="20"/>
          <w:szCs w:val="20"/>
          <w:color w:val="auto"/>
        </w:rPr>
      </w:pPr>
    </w:p>
    <w:p>
      <w:pPr>
        <w:ind w:left="480"/>
        <w:spacing w:after="0"/>
        <w:rPr>
          <w:sz w:val="20"/>
          <w:szCs w:val="20"/>
          <w:color w:val="auto"/>
        </w:rPr>
      </w:pPr>
      <w:r>
        <w:rPr>
          <w:rFonts w:ascii="Arial" w:cs="Arial" w:eastAsia="Arial" w:hAnsi="Arial"/>
          <w:sz w:val="15"/>
          <w:szCs w:val="15"/>
          <w:color w:val="auto"/>
        </w:rPr>
        <w:t>On June 10, 2021, we entered into a Second Modification Agreement (the “Modification”) to our Second Amended and Restated Credit Agreement dated</w:t>
      </w:r>
    </w:p>
    <w:p>
      <w:pPr>
        <w:spacing w:after="0" w:line="49" w:lineRule="exact"/>
        <w:rPr>
          <w:sz w:val="20"/>
          <w:szCs w:val="20"/>
          <w:color w:val="auto"/>
        </w:rPr>
      </w:pPr>
    </w:p>
    <w:p>
      <w:pPr>
        <w:spacing w:after="0"/>
        <w:rPr>
          <w:sz w:val="20"/>
          <w:szCs w:val="20"/>
          <w:color w:val="auto"/>
        </w:rPr>
      </w:pPr>
      <w:r>
        <w:rPr>
          <w:rFonts w:ascii="Arial" w:cs="Arial" w:eastAsia="Arial" w:hAnsi="Arial"/>
          <w:sz w:val="16"/>
          <w:szCs w:val="16"/>
          <w:color w:val="auto"/>
        </w:rPr>
        <w:t>as of March 29, 2019. The Modification, among other things, (i) increases the maximum amount of the revolving credit facility (the “Revolving Facility”) under</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the Credit Agreement from $600.0 million to $650.0 million and (ii) extends the maturity date of both the Revolving Facility and term loan facility (the “Term</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Facility”) under the Credit Agreement to June 10, 2026; provided that the maturity date for $45.0 million of commitments under the Revolving Facility and</w:t>
      </w:r>
    </w:p>
    <w:p>
      <w:pPr>
        <w:spacing w:after="0" w:line="25" w:lineRule="exact"/>
        <w:rPr>
          <w:sz w:val="20"/>
          <w:szCs w:val="20"/>
          <w:color w:val="auto"/>
        </w:rPr>
      </w:pPr>
    </w:p>
    <w:p>
      <w:pPr>
        <w:spacing w:after="0"/>
        <w:rPr>
          <w:sz w:val="20"/>
          <w:szCs w:val="20"/>
          <w:color w:val="auto"/>
        </w:rPr>
      </w:pPr>
      <w:r>
        <w:rPr>
          <w:rFonts w:ascii="Arial" w:cs="Arial" w:eastAsia="Arial" w:hAnsi="Arial"/>
          <w:sz w:val="15"/>
          <w:szCs w:val="15"/>
          <w:color w:val="auto"/>
        </w:rPr>
        <w:t>$30.0 million of loans under the Term Facility, respectively, were not extended and remain scheduled to mature on March 29, 2023. We may increase the Credit</w:t>
      </w:r>
    </w:p>
    <w:p>
      <w:pPr>
        <w:spacing w:after="0" w:line="37" w:lineRule="exact"/>
        <w:rPr>
          <w:sz w:val="20"/>
          <w:szCs w:val="20"/>
          <w:color w:val="auto"/>
        </w:rPr>
      </w:pPr>
    </w:p>
    <w:p>
      <w:pPr>
        <w:spacing w:after="0"/>
        <w:rPr>
          <w:sz w:val="20"/>
          <w:szCs w:val="20"/>
          <w:color w:val="auto"/>
        </w:rPr>
      </w:pPr>
      <w:r>
        <w:rPr>
          <w:rFonts w:ascii="Arial" w:cs="Arial" w:eastAsia="Arial" w:hAnsi="Arial"/>
          <w:sz w:val="16"/>
          <w:szCs w:val="16"/>
          <w:color w:val="auto"/>
        </w:rPr>
        <w:t>Facility to not more than $1 billion in the aggregate, at our request, upon satisfaction of specified conditions. The Revolving Facility contains a sublimit of $100</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million for letters of credit. We may borrow under the Revolving Facility in the ordinary course of business to repay senior notes and fund our operations,</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including our land acquisition, land development and homebuilding activities. Borrowings under the Revolving Facility will be governed by, among other</w:t>
      </w:r>
    </w:p>
    <w:p>
      <w:pPr>
        <w:spacing w:after="0" w:line="25" w:lineRule="exact"/>
        <w:rPr>
          <w:sz w:val="20"/>
          <w:szCs w:val="20"/>
          <w:color w:val="auto"/>
        </w:rPr>
      </w:pPr>
    </w:p>
    <w:p>
      <w:pPr>
        <w:spacing w:after="0"/>
        <w:rPr>
          <w:sz w:val="20"/>
          <w:szCs w:val="20"/>
          <w:color w:val="auto"/>
        </w:rPr>
      </w:pPr>
      <w:r>
        <w:rPr>
          <w:rFonts w:ascii="Arial" w:cs="Arial" w:eastAsia="Arial" w:hAnsi="Arial"/>
          <w:sz w:val="15"/>
          <w:szCs w:val="15"/>
          <w:color w:val="auto"/>
        </w:rPr>
        <w:t>things, a borrowing base. Interest rates on borrowings under the Revolving Facility will be based on either a daily Eurocurrency base rate or a Eurocurrency rate,</w:t>
      </w:r>
    </w:p>
    <w:p>
      <w:pPr>
        <w:spacing w:after="0" w:line="37" w:lineRule="exact"/>
        <w:rPr>
          <w:sz w:val="20"/>
          <w:szCs w:val="20"/>
          <w:color w:val="auto"/>
        </w:rPr>
      </w:pPr>
    </w:p>
    <w:p>
      <w:pPr>
        <w:spacing w:after="0"/>
        <w:rPr>
          <w:sz w:val="20"/>
          <w:szCs w:val="20"/>
          <w:color w:val="auto"/>
        </w:rPr>
      </w:pPr>
      <w:r>
        <w:rPr>
          <w:rFonts w:ascii="Arial" w:cs="Arial" w:eastAsia="Arial" w:hAnsi="Arial"/>
          <w:sz w:val="15"/>
          <w:szCs w:val="15"/>
          <w:color w:val="auto"/>
        </w:rPr>
        <w:t>in either case, plus a spread ranging from 1.25% to 1.90%, depending on the Company’s leverage ratio. Interest rates on borrowings under the Term Facility will</w:t>
      </w:r>
    </w:p>
    <w:p>
      <w:pPr>
        <w:spacing w:after="0" w:line="37" w:lineRule="exact"/>
        <w:rPr>
          <w:sz w:val="20"/>
          <w:szCs w:val="20"/>
          <w:color w:val="auto"/>
        </w:rPr>
      </w:pPr>
    </w:p>
    <w:p>
      <w:pPr>
        <w:spacing w:after="0"/>
        <w:rPr>
          <w:sz w:val="20"/>
          <w:szCs w:val="20"/>
          <w:color w:val="auto"/>
        </w:rPr>
      </w:pPr>
      <w:r>
        <w:rPr>
          <w:rFonts w:ascii="Arial" w:cs="Arial" w:eastAsia="Arial" w:hAnsi="Arial"/>
          <w:sz w:val="16"/>
          <w:szCs w:val="16"/>
          <w:color w:val="auto"/>
        </w:rPr>
        <w:t>be based on either a daily Eurocurrency base rate or a Eurocurrency rate, in either case, plus a spread ranging from 1.10% to 1.85%, depending on the</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Company’s leverage ratio.</w:t>
      </w:r>
    </w:p>
    <w:p>
      <w:pPr>
        <w:spacing w:after="0" w:line="211" w:lineRule="exact"/>
        <w:rPr>
          <w:sz w:val="20"/>
          <w:szCs w:val="20"/>
          <w:color w:val="auto"/>
        </w:rPr>
      </w:pPr>
    </w:p>
    <w:p>
      <w:pPr>
        <w:ind w:firstLine="470"/>
        <w:spacing w:after="0" w:line="264" w:lineRule="auto"/>
        <w:rPr>
          <w:sz w:val="20"/>
          <w:szCs w:val="20"/>
          <w:color w:val="auto"/>
        </w:rPr>
      </w:pPr>
      <w:r>
        <w:rPr>
          <w:rFonts w:ascii="Arial" w:cs="Arial" w:eastAsia="Arial" w:hAnsi="Arial"/>
          <w:sz w:val="17"/>
          <w:szCs w:val="17"/>
          <w:color w:val="auto"/>
        </w:rPr>
        <w:t>As of June 30, 2021, we had no outstanding debt under the Revolving Facility and there was $593.1 million of availability after considering the borrowing base provisions and outstanding letters of credit. As of June 30, 2021, we had $250 million outstanding debt under the Term Facility with an interest rate of 1.19%. As of June 30, 2021, there were $6.0 million of capitalized debt financing costs, included in other assets on our consolidated balance sheet, related to the Credit Facility that will amortize over the remaining term of the Credit Facility. Accrued interest, including loan commitment fees, related to the Credit Facility was $528,000 and $617,000 as of June 30, 2021 and December 31, 2020, respectively.</w:t>
      </w:r>
    </w:p>
    <w:p>
      <w:pPr>
        <w:spacing w:after="0" w:line="179" w:lineRule="exact"/>
        <w:rPr>
          <w:sz w:val="20"/>
          <w:szCs w:val="20"/>
          <w:color w:val="auto"/>
        </w:rPr>
      </w:pPr>
    </w:p>
    <w:p>
      <w:pPr>
        <w:ind w:right="360" w:firstLine="470"/>
        <w:spacing w:after="0" w:line="321" w:lineRule="auto"/>
        <w:rPr>
          <w:sz w:val="20"/>
          <w:szCs w:val="20"/>
          <w:color w:val="auto"/>
        </w:rPr>
      </w:pPr>
      <w:r>
        <w:rPr>
          <w:rFonts w:ascii="Arial" w:cs="Arial" w:eastAsia="Arial" w:hAnsi="Arial"/>
          <w:sz w:val="16"/>
          <w:szCs w:val="16"/>
          <w:color w:val="auto"/>
        </w:rPr>
        <w:t>At June 30, 2021 and December 31, 2020, we had outstanding letters of credit of $47.9 million and $64.1 million, respectively. These letters of credit were issued to secure various financial obligations. We believe it is not probable that any outstanding letters of credit will be drawn upon.</w:t>
      </w:r>
    </w:p>
    <w:p>
      <w:pPr>
        <w:spacing w:after="0" w:line="23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Interest Incurred</w:t>
      </w:r>
    </w:p>
    <w:p>
      <w:pPr>
        <w:spacing w:after="0" w:line="124" w:lineRule="exact"/>
        <w:rPr>
          <w:sz w:val="20"/>
          <w:szCs w:val="20"/>
          <w:color w:val="auto"/>
        </w:rPr>
      </w:pPr>
    </w:p>
    <w:p>
      <w:pPr>
        <w:ind w:right="40" w:firstLine="470"/>
        <w:spacing w:after="0" w:line="263" w:lineRule="auto"/>
        <w:rPr>
          <w:sz w:val="20"/>
          <w:szCs w:val="20"/>
          <w:color w:val="auto"/>
        </w:rPr>
      </w:pPr>
      <w:r>
        <w:rPr>
          <w:rFonts w:ascii="Arial" w:cs="Arial" w:eastAsia="Arial" w:hAnsi="Arial"/>
          <w:sz w:val="17"/>
          <w:szCs w:val="17"/>
          <w:color w:val="auto"/>
        </w:rPr>
        <w:t>During the three months ended June 30, 2021 and 2020, the Company incurred interest of $22.6 million and $21.8 million, respectively, related to all debt during the period. Included in interest incurred are amortization of deferred financing and Senior Note discount costs of $1.1 million and $1.2 million for the three months ended June 30, 2021 and 2020, respectively. During the six months ended June 30, 2021 and 2020, the Company incurred interest of $43.7 million and $42.6 million, respectively, related to all debt during the period and amortization of deferred financing and Senior Note discount costs of $2.2 million and $2.4 million for the six months ended June 30, 2021 and 2020, respectively. Accrued interest related to all outstanding debt at June 30, 2021 and December 31, 2020 was $5.5 million and $4.7 million, respectively.</w:t>
      </w:r>
    </w:p>
    <w:p>
      <w:pPr>
        <w:spacing w:after="0" w:line="27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Covenant Requirements</w:t>
      </w: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- 17 -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81" w:right="339" w:bottom="1440" w:gutter="0" w:footer="0" w:header="0"/>
        </w:sectPr>
      </w:pPr>
    </w:p>
    <w:bookmarkStart w:id="18" w:name="page19"/>
    <w:bookmarkEnd w:id="18"/>
    <w:p>
      <w:pPr>
        <w:ind w:right="460" w:firstLine="470"/>
        <w:spacing w:after="0" w:line="321" w:lineRule="auto"/>
        <w:rPr>
          <w:sz w:val="20"/>
          <w:szCs w:val="20"/>
          <w:color w:val="auto"/>
        </w:rPr>
      </w:pPr>
      <w:r>
        <w:rPr>
          <w:rFonts w:ascii="Arial" w:cs="Arial" w:eastAsia="Arial" w:hAnsi="Arial"/>
          <w:sz w:val="16"/>
          <w:szCs w:val="16"/>
          <w:color w:val="auto"/>
        </w:rPr>
        <w:t>The Senior Notes contain covenants that restrict our ability to, among other things, create liens or other encumbrances, enter into sale and leaseback transactions, or merge or sell all or substantially all of our assets. These limitations are subject to a number of qualifications and exceptions.</w:t>
      </w:r>
    </w:p>
    <w:p>
      <w:pPr>
        <w:spacing w:after="0" w:line="135" w:lineRule="exact"/>
        <w:rPr>
          <w:sz w:val="20"/>
          <w:szCs w:val="20"/>
          <w:color w:val="auto"/>
        </w:rPr>
      </w:pPr>
    </w:p>
    <w:p>
      <w:pPr>
        <w:ind w:right="20" w:firstLine="470"/>
        <w:spacing w:after="0" w:line="272" w:lineRule="auto"/>
        <w:rPr>
          <w:sz w:val="20"/>
          <w:szCs w:val="20"/>
          <w:color w:val="auto"/>
        </w:rPr>
      </w:pPr>
      <w:r>
        <w:rPr>
          <w:rFonts w:ascii="Arial" w:cs="Arial" w:eastAsia="Arial" w:hAnsi="Arial"/>
          <w:sz w:val="17"/>
          <w:szCs w:val="17"/>
          <w:color w:val="auto"/>
        </w:rPr>
        <w:t>Under the Credit Facility, the Company is required to comply with certain financial covenants, including those relating to consolidated tangible net worth, leverage, liquidity or interest coverage, and a spec unit inventory test. The Credit Facility also requires that at least 97.0% of consolidated tangible net worth must be attributable to the Company and its guarantor subsidiaries, subject to certain grace periods.</w:t>
      </w:r>
    </w:p>
    <w:p>
      <w:pPr>
        <w:spacing w:after="0" w:line="172" w:lineRule="exact"/>
        <w:rPr>
          <w:sz w:val="20"/>
          <w:szCs w:val="20"/>
          <w:color w:val="auto"/>
        </w:rPr>
      </w:pPr>
    </w:p>
    <w:p>
      <w:pPr>
        <w:ind w:left="480"/>
        <w:spacing w:after="0"/>
        <w:rPr>
          <w:sz w:val="20"/>
          <w:szCs w:val="20"/>
          <w:color w:val="auto"/>
        </w:rPr>
      </w:pPr>
      <w:r>
        <w:rPr>
          <w:rFonts w:ascii="Arial" w:cs="Arial" w:eastAsia="Arial" w:hAnsi="Arial"/>
          <w:sz w:val="17"/>
          <w:szCs w:val="17"/>
          <w:color w:val="auto"/>
        </w:rPr>
        <w:t>The Company was in compliance with all applicable financial covenants as of June 30, 2021 and December 31, 2020.</w:t>
      </w:r>
    </w:p>
    <w:p>
      <w:pPr>
        <w:spacing w:after="0" w:line="243" w:lineRule="exact"/>
        <w:rPr>
          <w:sz w:val="20"/>
          <w:szCs w:val="20"/>
          <w:color w:val="auto"/>
        </w:rPr>
      </w:pPr>
    </w:p>
    <w:p>
      <w:pPr>
        <w:ind w:right="9180" w:firstLine="5"/>
        <w:spacing w:after="0" w:line="440" w:lineRule="auto"/>
        <w:tabs>
          <w:tab w:leader="none" w:pos="392" w:val="left"/>
        </w:tabs>
        <w:numPr>
          <w:ilvl w:val="0"/>
          <w:numId w:val="6"/>
        </w:numPr>
        <w:rPr>
          <w:rFonts w:ascii="Arial" w:cs="Arial" w:eastAsia="Arial" w:hAnsi="Arial"/>
          <w:sz w:val="15"/>
          <w:szCs w:val="15"/>
          <w:b w:val="1"/>
          <w:bCs w:val="1"/>
          <w:color w:val="auto"/>
        </w:rPr>
      </w:pPr>
      <w:r>
        <w:rPr>
          <w:rFonts w:ascii="Arial" w:cs="Arial" w:eastAsia="Arial" w:hAnsi="Arial"/>
          <w:sz w:val="15"/>
          <w:szCs w:val="15"/>
          <w:b w:val="1"/>
          <w:bCs w:val="1"/>
          <w:color w:val="auto"/>
        </w:rPr>
        <w:t>Fair Value Disclosures Fair Value Measurements</w:t>
      </w:r>
    </w:p>
    <w:p>
      <w:pPr>
        <w:spacing w:after="0" w:line="1" w:lineRule="exact"/>
        <w:rPr>
          <w:sz w:val="20"/>
          <w:szCs w:val="20"/>
          <w:color w:val="auto"/>
        </w:rPr>
      </w:pPr>
    </w:p>
    <w:p>
      <w:pPr>
        <w:ind w:right="100" w:firstLine="470"/>
        <w:spacing w:after="0" w:line="272" w:lineRule="auto"/>
        <w:rPr>
          <w:sz w:val="20"/>
          <w:szCs w:val="20"/>
          <w:color w:val="auto"/>
        </w:rPr>
      </w:pPr>
      <w:r>
        <w:rPr>
          <w:rFonts w:ascii="Arial" w:cs="Arial" w:eastAsia="Arial" w:hAnsi="Arial"/>
          <w:sz w:val="17"/>
          <w:szCs w:val="17"/>
          <w:color w:val="auto"/>
        </w:rPr>
        <w:t xml:space="preserve">ASC Topic 820, </w:t>
      </w:r>
      <w:r>
        <w:rPr>
          <w:rFonts w:ascii="Arial" w:cs="Arial" w:eastAsia="Arial" w:hAnsi="Arial"/>
          <w:sz w:val="17"/>
          <w:szCs w:val="17"/>
          <w:i w:val="1"/>
          <w:iCs w:val="1"/>
          <w:color w:val="auto"/>
        </w:rPr>
        <w:t>Fair Value Measurements and Disclosures</w:t>
      </w:r>
      <w:r>
        <w:rPr>
          <w:rFonts w:ascii="Arial" w:cs="Arial" w:eastAsia="Arial" w:hAnsi="Arial"/>
          <w:sz w:val="17"/>
          <w:szCs w:val="17"/>
          <w:color w:val="auto"/>
        </w:rPr>
        <w:t>, defines “fair value” as the price that would be received for selling an asset or paid to transfer a liability in an orderly transaction between market participants at measurement date and requires assets and liabilities carried at fair value to be classified and disclosed in the following three categories:</w:t>
      </w:r>
    </w:p>
    <w:p>
      <w:pPr>
        <w:spacing w:after="0" w:line="67" w:lineRule="exact"/>
        <w:rPr>
          <w:sz w:val="20"/>
          <w:szCs w:val="20"/>
          <w:color w:val="auto"/>
        </w:rPr>
      </w:pPr>
    </w:p>
    <w:p>
      <w:pPr>
        <w:ind w:left="940" w:hanging="308"/>
        <w:spacing w:after="0"/>
        <w:tabs>
          <w:tab w:leader="none" w:pos="940" w:val="left"/>
        </w:tabs>
        <w:numPr>
          <w:ilvl w:val="0"/>
          <w:numId w:val="7"/>
        </w:numPr>
        <w:rPr>
          <w:rFonts w:ascii="Arial" w:cs="Arial" w:eastAsia="Arial" w:hAnsi="Arial"/>
          <w:sz w:val="17"/>
          <w:szCs w:val="17"/>
          <w:color w:val="auto"/>
        </w:rPr>
      </w:pPr>
      <w:r>
        <w:rPr>
          <w:rFonts w:ascii="Arial" w:cs="Arial" w:eastAsia="Arial" w:hAnsi="Arial"/>
          <w:sz w:val="17"/>
          <w:szCs w:val="17"/>
          <w:color w:val="auto"/>
        </w:rPr>
        <w:t>Level 1—Quoted prices for identical instruments in active markets</w:t>
      </w:r>
    </w:p>
    <w:p>
      <w:pPr>
        <w:spacing w:after="0" w:line="118" w:lineRule="exact"/>
        <w:rPr>
          <w:rFonts w:ascii="Arial" w:cs="Arial" w:eastAsia="Arial" w:hAnsi="Arial"/>
          <w:sz w:val="17"/>
          <w:szCs w:val="17"/>
          <w:color w:val="auto"/>
        </w:rPr>
      </w:pPr>
    </w:p>
    <w:p>
      <w:pPr>
        <w:ind w:left="940" w:hanging="308"/>
        <w:spacing w:after="0" w:line="321" w:lineRule="auto"/>
        <w:tabs>
          <w:tab w:leader="none" w:pos="936" w:val="left"/>
        </w:tabs>
        <w:numPr>
          <w:ilvl w:val="0"/>
          <w:numId w:val="7"/>
        </w:numPr>
        <w:rPr>
          <w:rFonts w:ascii="Arial" w:cs="Arial" w:eastAsia="Arial" w:hAnsi="Arial"/>
          <w:sz w:val="16"/>
          <w:szCs w:val="16"/>
          <w:color w:val="auto"/>
        </w:rPr>
      </w:pPr>
      <w:r>
        <w:rPr>
          <w:rFonts w:ascii="Arial" w:cs="Arial" w:eastAsia="Arial" w:hAnsi="Arial"/>
          <w:sz w:val="16"/>
          <w:szCs w:val="16"/>
          <w:color w:val="auto"/>
        </w:rPr>
        <w:t>Level 2—Quoted prices for similar instruments in active markets; quoted prices for identical or similar instruments in markets that are inactive; and model-derived valuations in which all significant inputs and significant value drivers are observable in active markets at measurement date</w:t>
      </w:r>
    </w:p>
    <w:p>
      <w:pPr>
        <w:spacing w:after="0" w:line="30" w:lineRule="exact"/>
        <w:rPr>
          <w:rFonts w:ascii="Arial" w:cs="Arial" w:eastAsia="Arial" w:hAnsi="Arial"/>
          <w:sz w:val="16"/>
          <w:szCs w:val="16"/>
          <w:color w:val="auto"/>
        </w:rPr>
      </w:pPr>
    </w:p>
    <w:p>
      <w:pPr>
        <w:ind w:left="940" w:right="140" w:hanging="308"/>
        <w:spacing w:after="0" w:line="288" w:lineRule="auto"/>
        <w:tabs>
          <w:tab w:leader="none" w:pos="936" w:val="left"/>
        </w:tabs>
        <w:numPr>
          <w:ilvl w:val="0"/>
          <w:numId w:val="7"/>
        </w:numPr>
        <w:rPr>
          <w:rFonts w:ascii="Arial" w:cs="Arial" w:eastAsia="Arial" w:hAnsi="Arial"/>
          <w:sz w:val="17"/>
          <w:szCs w:val="17"/>
          <w:color w:val="auto"/>
        </w:rPr>
      </w:pPr>
      <w:r>
        <w:rPr>
          <w:rFonts w:ascii="Arial" w:cs="Arial" w:eastAsia="Arial" w:hAnsi="Arial"/>
          <w:sz w:val="17"/>
          <w:szCs w:val="17"/>
          <w:color w:val="auto"/>
        </w:rPr>
        <w:t>Level 3—Valuations derived from techniques where one or more significant inputs or significant value drivers are unobservable in active markets at measurement date</w:t>
      </w: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Fair Value of Financial Instruments</w:t>
      </w:r>
    </w:p>
    <w:p>
      <w:pPr>
        <w:spacing w:after="0" w:line="124" w:lineRule="exact"/>
        <w:rPr>
          <w:sz w:val="20"/>
          <w:szCs w:val="20"/>
          <w:color w:val="auto"/>
        </w:rPr>
      </w:pPr>
    </w:p>
    <w:p>
      <w:pPr>
        <w:ind w:right="260" w:firstLine="470"/>
        <w:spacing w:after="0" w:line="288" w:lineRule="auto"/>
        <w:rPr>
          <w:sz w:val="20"/>
          <w:szCs w:val="20"/>
          <w:color w:val="auto"/>
        </w:rPr>
      </w:pPr>
      <w:r>
        <w:rPr>
          <w:rFonts w:ascii="Arial" w:cs="Arial" w:eastAsia="Arial" w:hAnsi="Arial"/>
          <w:sz w:val="17"/>
          <w:szCs w:val="17"/>
          <w:color w:val="auto"/>
        </w:rPr>
        <w:t>A summary of assets and liabilities at June 30, 2021 and December 31, 2020, related to our financial instruments, measured at fair value on a recurring basis, is set forth below (in thousands):</w:t>
      </w:r>
    </w:p>
    <w:p>
      <w:pPr>
        <w:spacing w:after="0" w:line="70"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46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480" w:type="dxa"/>
            <w:vAlign w:val="bottom"/>
            <w:gridSpan w:val="5"/>
          </w:tcPr>
          <w:p>
            <w:pPr>
              <w:ind w:left="680"/>
              <w:spacing w:after="0"/>
              <w:rPr>
                <w:sz w:val="20"/>
                <w:szCs w:val="20"/>
                <w:color w:val="auto"/>
              </w:rPr>
            </w:pPr>
            <w:r>
              <w:rPr>
                <w:rFonts w:ascii="Arial" w:cs="Arial" w:eastAsia="Arial" w:hAnsi="Arial"/>
                <w:sz w:val="14"/>
                <w:szCs w:val="14"/>
                <w:b w:val="1"/>
                <w:bCs w:val="1"/>
                <w:color w:val="auto"/>
              </w:rPr>
              <w:t>June 30, 2021</w:t>
            </w:r>
          </w:p>
        </w:tc>
        <w:tc>
          <w:tcPr>
            <w:tcW w:w="180" w:type="dxa"/>
            <w:vAlign w:val="bottom"/>
          </w:tcPr>
          <w:p>
            <w:pPr>
              <w:spacing w:after="0"/>
              <w:rPr>
                <w:sz w:val="16"/>
                <w:szCs w:val="16"/>
                <w:color w:val="auto"/>
              </w:rPr>
            </w:pPr>
          </w:p>
        </w:tc>
        <w:tc>
          <w:tcPr>
            <w:tcW w:w="2380" w:type="dxa"/>
            <w:vAlign w:val="bottom"/>
            <w:gridSpan w:val="4"/>
          </w:tcPr>
          <w:p>
            <w:pPr>
              <w:jc w:val="right"/>
              <w:ind w:right="637"/>
              <w:spacing w:after="0"/>
              <w:rPr>
                <w:sz w:val="20"/>
                <w:szCs w:val="20"/>
                <w:color w:val="auto"/>
              </w:rPr>
            </w:pPr>
            <w:r>
              <w:rPr>
                <w:rFonts w:ascii="Arial" w:cs="Arial" w:eastAsia="Arial" w:hAnsi="Arial"/>
                <w:sz w:val="14"/>
                <w:szCs w:val="14"/>
                <w:b w:val="1"/>
                <w:bCs w:val="1"/>
                <w:color w:val="auto"/>
              </w:rPr>
              <w:t>December 31, 2020</w:t>
            </w:r>
          </w:p>
        </w:tc>
      </w:tr>
      <w:tr>
        <w:trPr>
          <w:trHeight w:val="183"/>
        </w:trPr>
        <w:tc>
          <w:tcPr>
            <w:tcW w:w="4600" w:type="dxa"/>
            <w:vAlign w:val="bottom"/>
            <w:tcBorders>
              <w:bottom w:val="single" w:sz="8" w:color="CCEEFF"/>
            </w:tcBorders>
          </w:tcPr>
          <w:p>
            <w:pPr>
              <w:spacing w:after="0"/>
              <w:rPr>
                <w:sz w:val="15"/>
                <w:szCs w:val="15"/>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Hierarchy</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1040" w:type="dxa"/>
            <w:vAlign w:val="bottom"/>
            <w:tcBorders>
              <w:top w:val="single" w:sz="8" w:color="auto"/>
              <w:bottom w:val="single" w:sz="8" w:color="auto"/>
            </w:tcBorders>
          </w:tcPr>
          <w:p>
            <w:pPr>
              <w:jc w:val="right"/>
              <w:ind w:right="200"/>
              <w:spacing w:after="0"/>
              <w:rPr>
                <w:sz w:val="20"/>
                <w:szCs w:val="20"/>
                <w:color w:val="auto"/>
              </w:rPr>
            </w:pPr>
            <w:r>
              <w:rPr>
                <w:rFonts w:ascii="Arial" w:cs="Arial" w:eastAsia="Arial" w:hAnsi="Arial"/>
                <w:sz w:val="14"/>
                <w:szCs w:val="14"/>
                <w:b w:val="1"/>
                <w:bCs w:val="1"/>
                <w:color w:val="auto"/>
                <w:w w:val="96"/>
              </w:rPr>
              <w:t>Book Value</w:t>
            </w:r>
          </w:p>
        </w:tc>
        <w:tc>
          <w:tcPr>
            <w:tcW w:w="100" w:type="dxa"/>
            <w:vAlign w:val="bottom"/>
            <w:tcBorders>
              <w:top w:val="single" w:sz="8" w:color="auto"/>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1040" w:type="dxa"/>
            <w:vAlign w:val="bottom"/>
            <w:tcBorders>
              <w:top w:val="single" w:sz="8" w:color="auto"/>
              <w:bottom w:val="single" w:sz="8" w:color="auto"/>
            </w:tcBorders>
          </w:tcPr>
          <w:p>
            <w:pPr>
              <w:jc w:val="right"/>
              <w:ind w:right="217"/>
              <w:spacing w:after="0"/>
              <w:rPr>
                <w:sz w:val="20"/>
                <w:szCs w:val="20"/>
                <w:color w:val="auto"/>
              </w:rPr>
            </w:pPr>
            <w:r>
              <w:rPr>
                <w:rFonts w:ascii="Arial" w:cs="Arial" w:eastAsia="Arial" w:hAnsi="Arial"/>
                <w:sz w:val="14"/>
                <w:szCs w:val="14"/>
                <w:b w:val="1"/>
                <w:bCs w:val="1"/>
                <w:color w:val="auto"/>
              </w:rPr>
              <w:t>Fair Value</w:t>
            </w:r>
          </w:p>
        </w:tc>
        <w:tc>
          <w:tcPr>
            <w:tcW w:w="100" w:type="dxa"/>
            <w:vAlign w:val="bottom"/>
            <w:tcBorders>
              <w:bottom w:val="single" w:sz="8" w:color="CCEEFF"/>
            </w:tcBorders>
          </w:tcPr>
          <w:p>
            <w:pPr>
              <w:spacing w:after="0"/>
              <w:rPr>
                <w:sz w:val="15"/>
                <w:szCs w:val="15"/>
                <w:color w:val="auto"/>
              </w:rPr>
            </w:pPr>
          </w:p>
        </w:tc>
        <w:tc>
          <w:tcPr>
            <w:tcW w:w="180" w:type="dxa"/>
            <w:vAlign w:val="bottom"/>
            <w:tcBorders>
              <w:top w:val="single" w:sz="8" w:color="auto"/>
              <w:bottom w:val="single" w:sz="8" w:color="auto"/>
            </w:tcBorders>
          </w:tcPr>
          <w:p>
            <w:pPr>
              <w:spacing w:after="0"/>
              <w:rPr>
                <w:sz w:val="15"/>
                <w:szCs w:val="15"/>
                <w:color w:val="auto"/>
              </w:rPr>
            </w:pPr>
          </w:p>
        </w:tc>
        <w:tc>
          <w:tcPr>
            <w:tcW w:w="1040" w:type="dxa"/>
            <w:vAlign w:val="bottom"/>
            <w:tcBorders>
              <w:top w:val="single" w:sz="8" w:color="auto"/>
              <w:bottom w:val="single" w:sz="8" w:color="auto"/>
            </w:tcBorders>
          </w:tcPr>
          <w:p>
            <w:pPr>
              <w:jc w:val="right"/>
              <w:ind w:right="180"/>
              <w:spacing w:after="0"/>
              <w:rPr>
                <w:sz w:val="20"/>
                <w:szCs w:val="20"/>
                <w:color w:val="auto"/>
              </w:rPr>
            </w:pPr>
            <w:r>
              <w:rPr>
                <w:rFonts w:ascii="Arial" w:cs="Arial" w:eastAsia="Arial" w:hAnsi="Arial"/>
                <w:sz w:val="14"/>
                <w:szCs w:val="14"/>
                <w:b w:val="1"/>
                <w:bCs w:val="1"/>
                <w:color w:val="auto"/>
                <w:w w:val="99"/>
              </w:rPr>
              <w:t>Book Value</w:t>
            </w:r>
          </w:p>
        </w:tc>
        <w:tc>
          <w:tcPr>
            <w:tcW w:w="100" w:type="dxa"/>
            <w:vAlign w:val="bottom"/>
            <w:tcBorders>
              <w:top w:val="single" w:sz="8" w:color="auto"/>
              <w:bottom w:val="single" w:sz="8" w:color="CCEEFF"/>
            </w:tcBorders>
          </w:tcPr>
          <w:p>
            <w:pPr>
              <w:spacing w:after="0"/>
              <w:rPr>
                <w:sz w:val="15"/>
                <w:szCs w:val="15"/>
                <w:color w:val="auto"/>
              </w:rPr>
            </w:pPr>
          </w:p>
        </w:tc>
        <w:tc>
          <w:tcPr>
            <w:tcW w:w="220" w:type="dxa"/>
            <w:vAlign w:val="bottom"/>
            <w:tcBorders>
              <w:top w:val="single" w:sz="8" w:color="auto"/>
              <w:bottom w:val="single" w:sz="8" w:color="auto"/>
            </w:tcBorders>
          </w:tcPr>
          <w:p>
            <w:pPr>
              <w:spacing w:after="0"/>
              <w:rPr>
                <w:sz w:val="15"/>
                <w:szCs w:val="15"/>
                <w:color w:val="auto"/>
              </w:rPr>
            </w:pPr>
          </w:p>
        </w:tc>
        <w:tc>
          <w:tcPr>
            <w:tcW w:w="1020" w:type="dxa"/>
            <w:vAlign w:val="bottom"/>
            <w:tcBorders>
              <w:top w:val="single" w:sz="8" w:color="auto"/>
              <w:bottom w:val="single" w:sz="8" w:color="auto"/>
            </w:tcBorders>
          </w:tcPr>
          <w:p>
            <w:pPr>
              <w:jc w:val="right"/>
              <w:ind w:right="217"/>
              <w:spacing w:after="0"/>
              <w:rPr>
                <w:sz w:val="20"/>
                <w:szCs w:val="20"/>
                <w:color w:val="auto"/>
              </w:rPr>
            </w:pPr>
            <w:r>
              <w:rPr>
                <w:rFonts w:ascii="Arial" w:cs="Arial" w:eastAsia="Arial" w:hAnsi="Arial"/>
                <w:sz w:val="14"/>
                <w:szCs w:val="14"/>
                <w:b w:val="1"/>
                <w:bCs w:val="1"/>
                <w:color w:val="auto"/>
              </w:rPr>
              <w:t>Fair Value</w:t>
            </w:r>
          </w:p>
        </w:tc>
      </w:tr>
      <w:tr>
        <w:trPr>
          <w:trHeight w:val="216"/>
        </w:trPr>
        <w:tc>
          <w:tcPr>
            <w:tcW w:w="4600" w:type="dxa"/>
            <w:vAlign w:val="bottom"/>
            <w:shd w:val="clear" w:color="auto" w:fill="CCEEFF"/>
          </w:tcPr>
          <w:p>
            <w:pPr>
              <w:ind w:left="20"/>
              <w:spacing w:after="0" w:line="216" w:lineRule="exact"/>
              <w:rPr>
                <w:sz w:val="20"/>
                <w:szCs w:val="20"/>
                <w:color w:val="auto"/>
              </w:rPr>
            </w:pPr>
            <w:r>
              <w:rPr>
                <w:rFonts w:ascii="Arial" w:cs="Arial" w:eastAsia="Arial" w:hAnsi="Arial"/>
                <w:sz w:val="17"/>
                <w:szCs w:val="17"/>
                <w:color w:val="auto"/>
              </w:rPr>
              <w:t>Senior Notes</w:t>
            </w:r>
            <w:r>
              <w:rPr>
                <w:rFonts w:ascii="Arial" w:cs="Arial" w:eastAsia="Arial" w:hAnsi="Arial"/>
                <w:sz w:val="22"/>
                <w:szCs w:val="22"/>
                <w:color w:val="auto"/>
                <w:vertAlign w:val="superscript"/>
              </w:rPr>
              <w:t>(1)</w:t>
            </w:r>
          </w:p>
        </w:tc>
        <w:tc>
          <w:tcPr>
            <w:tcW w:w="1380" w:type="dxa"/>
            <w:vAlign w:val="bottom"/>
            <w:gridSpan w:val="2"/>
            <w:shd w:val="clear" w:color="auto" w:fill="CCEEFF"/>
          </w:tcPr>
          <w:p>
            <w:pPr>
              <w:jc w:val="center"/>
              <w:ind w:right="100"/>
              <w:spacing w:after="0"/>
              <w:rPr>
                <w:sz w:val="20"/>
                <w:szCs w:val="20"/>
                <w:color w:val="auto"/>
              </w:rPr>
            </w:pPr>
            <w:r>
              <w:rPr>
                <w:rFonts w:ascii="Arial" w:cs="Arial" w:eastAsia="Arial" w:hAnsi="Arial"/>
                <w:sz w:val="17"/>
                <w:szCs w:val="17"/>
                <w:color w:val="auto"/>
                <w:w w:val="94"/>
              </w:rPr>
              <w:t>Level 2</w:t>
            </w:r>
          </w:p>
        </w:tc>
        <w:tc>
          <w:tcPr>
            <w:tcW w:w="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1,096,953</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w w:val="84"/>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1,220,300</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1,096,494</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1,207,665</w:t>
            </w:r>
          </w:p>
        </w:tc>
      </w:tr>
      <w:tr>
        <w:trPr>
          <w:trHeight w:val="222"/>
        </w:trPr>
        <w:tc>
          <w:tcPr>
            <w:tcW w:w="4600" w:type="dxa"/>
            <w:vAlign w:val="bottom"/>
          </w:tcPr>
          <w:p>
            <w:pPr>
              <w:ind w:left="20"/>
              <w:spacing w:after="0" w:line="222" w:lineRule="exact"/>
              <w:rPr>
                <w:sz w:val="20"/>
                <w:szCs w:val="20"/>
                <w:color w:val="auto"/>
              </w:rPr>
            </w:pPr>
            <w:r>
              <w:rPr>
                <w:rFonts w:ascii="Arial" w:cs="Arial" w:eastAsia="Arial" w:hAnsi="Arial"/>
                <w:sz w:val="17"/>
                <w:szCs w:val="17"/>
                <w:color w:val="auto"/>
              </w:rPr>
              <w:t>Term loan</w:t>
            </w:r>
            <w:r>
              <w:rPr>
                <w:rFonts w:ascii="Arial" w:cs="Arial" w:eastAsia="Arial" w:hAnsi="Arial"/>
                <w:sz w:val="22"/>
                <w:szCs w:val="22"/>
                <w:color w:val="auto"/>
                <w:vertAlign w:val="superscript"/>
              </w:rPr>
              <w:t>(2)</w:t>
            </w:r>
          </w:p>
        </w:tc>
        <w:tc>
          <w:tcPr>
            <w:tcW w:w="1380" w:type="dxa"/>
            <w:vAlign w:val="bottom"/>
            <w:gridSpan w:val="2"/>
          </w:tcPr>
          <w:p>
            <w:pPr>
              <w:jc w:val="center"/>
              <w:ind w:right="100"/>
              <w:spacing w:after="0"/>
              <w:rPr>
                <w:sz w:val="20"/>
                <w:szCs w:val="20"/>
                <w:color w:val="auto"/>
              </w:rPr>
            </w:pPr>
            <w:r>
              <w:rPr>
                <w:rFonts w:ascii="Arial" w:cs="Arial" w:eastAsia="Arial" w:hAnsi="Arial"/>
                <w:sz w:val="17"/>
                <w:szCs w:val="17"/>
                <w:color w:val="auto"/>
                <w:w w:val="94"/>
              </w:rPr>
              <w:t>Level 2</w:t>
            </w:r>
          </w:p>
        </w:tc>
        <w:tc>
          <w:tcPr>
            <w:tcW w:w="200" w:type="dxa"/>
            <w:vAlign w:val="bottom"/>
          </w:tcPr>
          <w:p>
            <w:pPr>
              <w:jc w:val="right"/>
              <w:spacing w:after="0"/>
              <w:rPr>
                <w:sz w:val="20"/>
                <w:szCs w:val="20"/>
                <w:color w:val="auto"/>
              </w:rPr>
            </w:pPr>
            <w:r>
              <w:rPr>
                <w:rFonts w:ascii="Arial" w:cs="Arial" w:eastAsia="Arial" w:hAnsi="Arial"/>
                <w:sz w:val="17"/>
                <w:szCs w:val="17"/>
                <w:color w:val="auto"/>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250,000</w:t>
            </w:r>
          </w:p>
        </w:tc>
        <w:tc>
          <w:tcPr>
            <w:tcW w:w="100" w:type="dxa"/>
            <w:vAlign w:val="bottom"/>
          </w:tcPr>
          <w:p>
            <w:pPr>
              <w:spacing w:after="0"/>
              <w:rPr>
                <w:sz w:val="19"/>
                <w:szCs w:val="19"/>
                <w:color w:val="auto"/>
              </w:rPr>
            </w:pPr>
          </w:p>
        </w:tc>
        <w:tc>
          <w:tcPr>
            <w:tcW w:w="200" w:type="dxa"/>
            <w:vAlign w:val="bottom"/>
          </w:tcPr>
          <w:p>
            <w:pPr>
              <w:jc w:val="right"/>
              <w:ind w:right="13"/>
              <w:spacing w:after="0"/>
              <w:rPr>
                <w:sz w:val="20"/>
                <w:szCs w:val="20"/>
                <w:color w:val="auto"/>
              </w:rPr>
            </w:pPr>
            <w:r>
              <w:rPr>
                <w:rFonts w:ascii="Arial" w:cs="Arial" w:eastAsia="Arial" w:hAnsi="Arial"/>
                <w:sz w:val="17"/>
                <w:szCs w:val="17"/>
                <w:color w:val="auto"/>
                <w:w w:val="84"/>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250,000</w:t>
            </w:r>
          </w:p>
        </w:tc>
        <w:tc>
          <w:tcPr>
            <w:tcW w:w="10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250,000</w:t>
            </w:r>
          </w:p>
        </w:tc>
        <w:tc>
          <w:tcPr>
            <w:tcW w:w="100" w:type="dxa"/>
            <w:vAlign w:val="bottom"/>
          </w:tcPr>
          <w:p>
            <w:pPr>
              <w:spacing w:after="0"/>
              <w:rPr>
                <w:sz w:val="19"/>
                <w:szCs w:val="19"/>
                <w:color w:val="auto"/>
              </w:rPr>
            </w:pPr>
          </w:p>
        </w:tc>
        <w:tc>
          <w:tcPr>
            <w:tcW w:w="220" w:type="dxa"/>
            <w:vAlign w:val="bottom"/>
          </w:tcPr>
          <w:p>
            <w:pPr>
              <w:jc w:val="right"/>
              <w:ind w:right="13"/>
              <w:spacing w:after="0"/>
              <w:rPr>
                <w:sz w:val="20"/>
                <w:szCs w:val="20"/>
                <w:color w:val="auto"/>
              </w:rPr>
            </w:pPr>
            <w:r>
              <w:rPr>
                <w:rFonts w:ascii="Arial" w:cs="Arial" w:eastAsia="Arial" w:hAnsi="Arial"/>
                <w:sz w:val="17"/>
                <w:szCs w:val="17"/>
                <w:color w:val="auto"/>
              </w:rPr>
              <w:t>$</w:t>
            </w:r>
          </w:p>
        </w:tc>
        <w:tc>
          <w:tcPr>
            <w:tcW w:w="1020" w:type="dxa"/>
            <w:vAlign w:val="bottom"/>
          </w:tcPr>
          <w:p>
            <w:pPr>
              <w:jc w:val="right"/>
              <w:spacing w:after="0"/>
              <w:rPr>
                <w:sz w:val="20"/>
                <w:szCs w:val="20"/>
                <w:color w:val="auto"/>
              </w:rPr>
            </w:pPr>
            <w:r>
              <w:rPr>
                <w:rFonts w:ascii="Arial" w:cs="Arial" w:eastAsia="Arial" w:hAnsi="Arial"/>
                <w:sz w:val="17"/>
                <w:szCs w:val="17"/>
                <w:color w:val="auto"/>
              </w:rPr>
              <w:t>250,000</w:t>
            </w:r>
          </w:p>
        </w:tc>
      </w:tr>
      <w:tr>
        <w:trPr>
          <w:trHeight w:val="222"/>
        </w:trPr>
        <w:tc>
          <w:tcPr>
            <w:tcW w:w="4600" w:type="dxa"/>
            <w:vAlign w:val="bottom"/>
            <w:shd w:val="clear" w:color="auto" w:fill="CCEEFF"/>
          </w:tcPr>
          <w:p>
            <w:pPr>
              <w:ind w:left="20"/>
              <w:spacing w:after="0" w:line="222" w:lineRule="exact"/>
              <w:rPr>
                <w:sz w:val="20"/>
                <w:szCs w:val="20"/>
                <w:color w:val="auto"/>
              </w:rPr>
            </w:pPr>
            <w:r>
              <w:rPr>
                <w:rFonts w:ascii="Arial" w:cs="Arial" w:eastAsia="Arial" w:hAnsi="Arial"/>
                <w:sz w:val="17"/>
                <w:szCs w:val="17"/>
                <w:color w:val="auto"/>
              </w:rPr>
              <w:t>Seller financed loans</w:t>
            </w:r>
            <w:r>
              <w:rPr>
                <w:rFonts w:ascii="Arial" w:cs="Arial" w:eastAsia="Arial" w:hAnsi="Arial"/>
                <w:sz w:val="22"/>
                <w:szCs w:val="22"/>
                <w:color w:val="auto"/>
                <w:vertAlign w:val="superscript"/>
              </w:rPr>
              <w:t>(3)</w:t>
            </w:r>
          </w:p>
        </w:tc>
        <w:tc>
          <w:tcPr>
            <w:tcW w:w="1380" w:type="dxa"/>
            <w:vAlign w:val="bottom"/>
            <w:gridSpan w:val="2"/>
            <w:shd w:val="clear" w:color="auto" w:fill="CCEEFF"/>
          </w:tcPr>
          <w:p>
            <w:pPr>
              <w:jc w:val="center"/>
              <w:ind w:right="100"/>
              <w:spacing w:after="0"/>
              <w:rPr>
                <w:sz w:val="20"/>
                <w:szCs w:val="20"/>
                <w:color w:val="auto"/>
              </w:rPr>
            </w:pPr>
            <w:r>
              <w:rPr>
                <w:rFonts w:ascii="Arial" w:cs="Arial" w:eastAsia="Arial" w:hAnsi="Arial"/>
                <w:sz w:val="17"/>
                <w:szCs w:val="17"/>
                <w:color w:val="auto"/>
                <w:w w:val="94"/>
              </w:rPr>
              <w:t>Level 2</w:t>
            </w:r>
          </w:p>
        </w:tc>
        <w:tc>
          <w:tcPr>
            <w:tcW w:w="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8,979</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w w:val="84"/>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8,979</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8,979</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8,979</w:t>
            </w:r>
          </w:p>
        </w:tc>
      </w:tr>
    </w:tbl>
    <w:p>
      <w:pPr>
        <w:spacing w:after="0" w:line="82" w:lineRule="exact"/>
        <w:rPr>
          <w:sz w:val="20"/>
          <w:szCs w:val="20"/>
          <w:color w:val="auto"/>
        </w:rPr>
      </w:pPr>
    </w:p>
    <w:p>
      <w:pPr>
        <w:ind w:left="40"/>
        <w:spacing w:after="0"/>
        <w:rPr>
          <w:sz w:val="20"/>
          <w:szCs w:val="20"/>
          <w:color w:val="auto"/>
        </w:rPr>
      </w:pPr>
      <w:r>
        <w:rPr>
          <w:rFonts w:ascii="Arial" w:cs="Arial" w:eastAsia="Arial" w:hAnsi="Arial"/>
          <w:sz w:val="16"/>
          <w:szCs w:val="16"/>
          <w:color w:val="auto"/>
        </w:rPr>
        <w:t>__________</w:t>
      </w:r>
    </w:p>
    <w:p>
      <w:pPr>
        <w:spacing w:after="0" w:line="16" w:lineRule="exact"/>
        <w:rPr>
          <w:sz w:val="20"/>
          <w:szCs w:val="20"/>
          <w:color w:val="auto"/>
        </w:rPr>
      </w:pPr>
    </w:p>
    <w:p>
      <w:pPr>
        <w:ind w:left="600" w:right="440" w:hanging="321"/>
        <w:spacing w:after="0" w:line="259" w:lineRule="auto"/>
        <w:tabs>
          <w:tab w:leader="none" w:pos="594"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book value of the Senior Notes is net of discounts, excluding deferred loan costs of $11.4 million and $12.5 million as of June 30, 2021 and December 31, 2020, respectively. The estimated fair value of the Senior Notes at June 30, 2021 and December 31, 2020 is based on quoted market prices.</w:t>
      </w:r>
    </w:p>
    <w:p>
      <w:pPr>
        <w:ind w:left="600" w:right="20" w:hanging="321"/>
        <w:spacing w:after="0" w:line="256" w:lineRule="auto"/>
        <w:tabs>
          <w:tab w:leader="none" w:pos="594"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estimated fair value of the Term Loan Facility as of June 30, 2021 and December 31, 2020 approximated book value due to the variable interest rate terms of this loan.</w:t>
      </w:r>
    </w:p>
    <w:p>
      <w:pPr>
        <w:spacing w:after="0" w:line="1" w:lineRule="exact"/>
        <w:rPr>
          <w:rFonts w:ascii="Arial" w:cs="Arial" w:eastAsia="Arial" w:hAnsi="Arial"/>
          <w:sz w:val="17"/>
          <w:szCs w:val="17"/>
          <w:color w:val="auto"/>
        </w:rPr>
      </w:pPr>
    </w:p>
    <w:p>
      <w:pPr>
        <w:ind w:left="600" w:right="140" w:hanging="321"/>
        <w:spacing w:after="0" w:line="273" w:lineRule="auto"/>
        <w:tabs>
          <w:tab w:leader="none" w:pos="594"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estimated fair value of our seller financed loans as of June 30, 2021 and December 31, 2020 approximated book value due to the short term nature of these loans, both of which are scheduled to mature in 2021.</w:t>
      </w:r>
    </w:p>
    <w:p>
      <w:pPr>
        <w:spacing w:after="0" w:line="236" w:lineRule="exact"/>
        <w:rPr>
          <w:sz w:val="20"/>
          <w:szCs w:val="20"/>
          <w:color w:val="auto"/>
        </w:rPr>
      </w:pPr>
    </w:p>
    <w:p>
      <w:pPr>
        <w:ind w:right="60" w:firstLine="470"/>
        <w:spacing w:after="0" w:line="288" w:lineRule="auto"/>
        <w:rPr>
          <w:sz w:val="20"/>
          <w:szCs w:val="20"/>
          <w:color w:val="auto"/>
        </w:rPr>
      </w:pPr>
      <w:r>
        <w:rPr>
          <w:rFonts w:ascii="Arial" w:cs="Arial" w:eastAsia="Arial" w:hAnsi="Arial"/>
          <w:sz w:val="17"/>
          <w:szCs w:val="17"/>
          <w:color w:val="auto"/>
        </w:rPr>
        <w:t>At June 30, 2021 and December 31, 2020, the carrying value of cash and cash equivalents and receivables approximated fair value due to their short-term nature and variable interest rate terms.</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- 18 -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77" w:right="339" w:bottom="1440" w:gutter="0" w:footer="0" w:header="0"/>
        </w:sectPr>
      </w:pPr>
    </w:p>
    <w:bookmarkStart w:id="19" w:name="page20"/>
    <w:bookmarkEnd w:id="19"/>
    <w:p>
      <w:pPr>
        <w:spacing w:after="0"/>
        <w:rPr>
          <w:sz w:val="20"/>
          <w:szCs w:val="20"/>
          <w:color w:val="auto"/>
        </w:rPr>
      </w:pPr>
      <w:r>
        <w:rPr>
          <w:rFonts w:ascii="Arial" w:cs="Arial" w:eastAsia="Arial" w:hAnsi="Arial"/>
          <w:sz w:val="17"/>
          <w:szCs w:val="17"/>
          <w:b w:val="1"/>
          <w:bCs w:val="1"/>
          <w:color w:val="auto"/>
        </w:rPr>
        <w:t>Fair Value of Nonfinancial Assets</w:t>
      </w:r>
    </w:p>
    <w:p>
      <w:pPr>
        <w:spacing w:after="0" w:line="124" w:lineRule="exact"/>
        <w:rPr>
          <w:sz w:val="20"/>
          <w:szCs w:val="20"/>
          <w:color w:val="auto"/>
        </w:rPr>
      </w:pPr>
    </w:p>
    <w:p>
      <w:pPr>
        <w:ind w:right="180" w:firstLine="470"/>
        <w:spacing w:after="0" w:line="272" w:lineRule="auto"/>
        <w:rPr>
          <w:sz w:val="20"/>
          <w:szCs w:val="20"/>
          <w:color w:val="auto"/>
        </w:rPr>
      </w:pPr>
      <w:r>
        <w:rPr>
          <w:rFonts w:ascii="Arial" w:cs="Arial" w:eastAsia="Arial" w:hAnsi="Arial"/>
          <w:sz w:val="17"/>
          <w:szCs w:val="17"/>
          <w:color w:val="auto"/>
        </w:rPr>
        <w:t>Nonfinancial assets include items such as real estate inventories and long-lived assets that are measured at fair value on a nonrecurring basis when events and circumstances indicating the carrying value is not recoverable. The following table presents impairment charges and the remaining net fair value for nonfinancial assets that were measured during the periods presented (in thousands):</w:t>
      </w:r>
    </w:p>
    <w:p>
      <w:pPr>
        <w:spacing w:after="0" w:line="96" w:lineRule="exact"/>
        <w:rPr>
          <w:sz w:val="20"/>
          <w:szCs w:val="20"/>
          <w:color w:val="auto"/>
        </w:rPr>
      </w:pPr>
    </w:p>
    <w:tbl>
      <w:tblPr>
        <w:tblLayout w:type="fixed"/>
        <w:tblInd w:w="40" w:type="dxa"/>
        <w:tblCellMar>
          <w:top w:w="0" w:type="dxa"/>
          <w:left w:w="0" w:type="dxa"/>
          <w:bottom w:w="0" w:type="dxa"/>
          <w:right w:w="0" w:type="dxa"/>
        </w:tblCellMar>
      </w:tblPr>
      <w:tr>
        <w:trPr>
          <w:trHeight w:val="187"/>
        </w:trPr>
        <w:tc>
          <w:tcPr>
            <w:tcW w:w="440" w:type="dxa"/>
            <w:vAlign w:val="bottom"/>
          </w:tcPr>
          <w:p>
            <w:pPr>
              <w:spacing w:after="0"/>
              <w:rPr>
                <w:sz w:val="16"/>
                <w:szCs w:val="16"/>
                <w:color w:val="auto"/>
              </w:rPr>
            </w:pPr>
          </w:p>
        </w:tc>
        <w:tc>
          <w:tcPr>
            <w:tcW w:w="24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2740" w:type="dxa"/>
            <w:vAlign w:val="bottom"/>
            <w:tcBorders>
              <w:bottom w:val="single" w:sz="8" w:color="auto"/>
            </w:tcBorders>
            <w:gridSpan w:val="3"/>
          </w:tcPr>
          <w:p>
            <w:pPr>
              <w:jc w:val="right"/>
              <w:ind w:right="266"/>
              <w:spacing w:after="0"/>
              <w:rPr>
                <w:sz w:val="20"/>
                <w:szCs w:val="20"/>
                <w:color w:val="auto"/>
              </w:rPr>
            </w:pPr>
            <w:r>
              <w:rPr>
                <w:rFonts w:ascii="Arial" w:cs="Arial" w:eastAsia="Arial" w:hAnsi="Arial"/>
                <w:sz w:val="14"/>
                <w:szCs w:val="14"/>
                <w:b w:val="1"/>
                <w:bCs w:val="1"/>
                <w:color w:val="auto"/>
              </w:rPr>
              <w:t>Six Months Ended June 30, 2021</w:t>
            </w:r>
          </w:p>
        </w:tc>
        <w:tc>
          <w:tcPr>
            <w:tcW w:w="2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680" w:type="dxa"/>
            <w:vAlign w:val="bottom"/>
            <w:tcBorders>
              <w:bottom w:val="single" w:sz="8" w:color="auto"/>
            </w:tcBorders>
            <w:gridSpan w:val="3"/>
          </w:tcPr>
          <w:p>
            <w:pPr>
              <w:jc w:val="right"/>
              <w:ind w:right="166"/>
              <w:spacing w:after="0"/>
              <w:rPr>
                <w:sz w:val="20"/>
                <w:szCs w:val="20"/>
                <w:color w:val="auto"/>
              </w:rPr>
            </w:pPr>
            <w:r>
              <w:rPr>
                <w:rFonts w:ascii="Arial" w:cs="Arial" w:eastAsia="Arial" w:hAnsi="Arial"/>
                <w:sz w:val="14"/>
                <w:szCs w:val="14"/>
                <w:b w:val="1"/>
                <w:bCs w:val="1"/>
                <w:color w:val="auto"/>
              </w:rPr>
              <w:t>Year Ended December 31, 2020</w:t>
            </w:r>
          </w:p>
        </w:tc>
        <w:tc>
          <w:tcPr>
            <w:tcW w:w="1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9"/>
        </w:trPr>
        <w:tc>
          <w:tcPr>
            <w:tcW w:w="44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6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Impairment</w:t>
            </w:r>
          </w:p>
        </w:tc>
        <w:tc>
          <w:tcPr>
            <w:tcW w:w="14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Fair Value</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2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Impairment</w:t>
            </w:r>
          </w:p>
        </w:tc>
        <w:tc>
          <w:tcPr>
            <w:tcW w:w="154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31"/>
        </w:trPr>
        <w:tc>
          <w:tcPr>
            <w:tcW w:w="44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1120" w:type="dxa"/>
            <w:vAlign w:val="bottom"/>
            <w:vMerge w:val="restart"/>
          </w:tcPr>
          <w:p>
            <w:pPr>
              <w:jc w:val="center"/>
              <w:ind w:left="82"/>
              <w:spacing w:after="0"/>
              <w:rPr>
                <w:sz w:val="20"/>
                <w:szCs w:val="20"/>
                <w:color w:val="auto"/>
              </w:rPr>
            </w:pPr>
            <w:r>
              <w:rPr>
                <w:rFonts w:ascii="Arial" w:cs="Arial" w:eastAsia="Arial" w:hAnsi="Arial"/>
                <w:sz w:val="14"/>
                <w:szCs w:val="14"/>
                <w:b w:val="1"/>
                <w:bCs w:val="1"/>
                <w:color w:val="auto"/>
                <w:w w:val="92"/>
              </w:rPr>
              <w:t>Hierarchy</w:t>
            </w:r>
          </w:p>
        </w:tc>
        <w:tc>
          <w:tcPr>
            <w:tcW w:w="640" w:type="dxa"/>
            <w:vAlign w:val="bottom"/>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1480" w:type="dxa"/>
            <w:vAlign w:val="bottom"/>
          </w:tcPr>
          <w:p>
            <w:pPr>
              <w:jc w:val="center"/>
              <w:ind w:left="206"/>
              <w:spacing w:after="0" w:line="131" w:lineRule="exact"/>
              <w:rPr>
                <w:sz w:val="20"/>
                <w:szCs w:val="20"/>
                <w:color w:val="auto"/>
              </w:rPr>
            </w:pPr>
            <w:r>
              <w:rPr>
                <w:rFonts w:ascii="Arial" w:cs="Arial" w:eastAsia="Arial" w:hAnsi="Arial"/>
                <w:sz w:val="14"/>
                <w:szCs w:val="14"/>
                <w:b w:val="1"/>
                <w:bCs w:val="1"/>
                <w:color w:val="auto"/>
                <w:w w:val="90"/>
              </w:rPr>
              <w:t>Net of</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20" w:type="dxa"/>
            <w:vAlign w:val="bottom"/>
            <w:gridSpan w:val="2"/>
            <w:vMerge w:val="continue"/>
          </w:tcPr>
          <w:p>
            <w:pPr>
              <w:spacing w:after="0"/>
              <w:rPr>
                <w:sz w:val="11"/>
                <w:szCs w:val="11"/>
                <w:color w:val="auto"/>
              </w:rPr>
            </w:pPr>
          </w:p>
        </w:tc>
        <w:tc>
          <w:tcPr>
            <w:tcW w:w="1360" w:type="dxa"/>
            <w:vAlign w:val="bottom"/>
          </w:tcPr>
          <w:p>
            <w:pPr>
              <w:jc w:val="right"/>
              <w:ind w:right="166"/>
              <w:spacing w:after="0" w:line="131" w:lineRule="exact"/>
              <w:rPr>
                <w:sz w:val="20"/>
                <w:szCs w:val="20"/>
                <w:color w:val="auto"/>
              </w:rPr>
            </w:pPr>
            <w:r>
              <w:rPr>
                <w:rFonts w:ascii="Arial" w:cs="Arial" w:eastAsia="Arial" w:hAnsi="Arial"/>
                <w:sz w:val="14"/>
                <w:szCs w:val="14"/>
                <w:b w:val="1"/>
                <w:bCs w:val="1"/>
                <w:color w:val="auto"/>
              </w:rPr>
              <w:t>Net of</w:t>
            </w:r>
          </w:p>
        </w:tc>
        <w:tc>
          <w:tcPr>
            <w:tcW w:w="1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3"/>
        </w:trPr>
        <w:tc>
          <w:tcPr>
            <w:tcW w:w="440" w:type="dxa"/>
            <w:vAlign w:val="bottom"/>
          </w:tcPr>
          <w:p>
            <w:pPr>
              <w:spacing w:after="0"/>
              <w:rPr>
                <w:sz w:val="15"/>
                <w:szCs w:val="15"/>
                <w:color w:val="auto"/>
              </w:rPr>
            </w:pPr>
          </w:p>
        </w:tc>
        <w:tc>
          <w:tcPr>
            <w:tcW w:w="24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vMerge w:val="continue"/>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Charge</w:t>
            </w:r>
          </w:p>
        </w:tc>
        <w:tc>
          <w:tcPr>
            <w:tcW w:w="120" w:type="dxa"/>
            <w:vAlign w:val="bottom"/>
            <w:tcBorders>
              <w:bottom w:val="single" w:sz="8" w:color="CCEEFF"/>
            </w:tcBorders>
          </w:tcPr>
          <w:p>
            <w:pPr>
              <w:spacing w:after="0"/>
              <w:rPr>
                <w:sz w:val="15"/>
                <w:szCs w:val="15"/>
                <w:color w:val="auto"/>
              </w:rPr>
            </w:pPr>
          </w:p>
        </w:tc>
        <w:tc>
          <w:tcPr>
            <w:tcW w:w="1480" w:type="dxa"/>
            <w:vAlign w:val="bottom"/>
            <w:tcBorders>
              <w:bottom w:val="single" w:sz="8" w:color="auto"/>
            </w:tcBorders>
          </w:tcPr>
          <w:p>
            <w:pPr>
              <w:jc w:val="center"/>
              <w:ind w:left="206"/>
              <w:spacing w:after="0"/>
              <w:rPr>
                <w:sz w:val="20"/>
                <w:szCs w:val="20"/>
                <w:color w:val="auto"/>
              </w:rPr>
            </w:pPr>
            <w:r>
              <w:rPr>
                <w:rFonts w:ascii="Arial" w:cs="Arial" w:eastAsia="Arial" w:hAnsi="Arial"/>
                <w:sz w:val="14"/>
                <w:szCs w:val="14"/>
                <w:b w:val="1"/>
                <w:bCs w:val="1"/>
                <w:color w:val="auto"/>
                <w:w w:val="95"/>
              </w:rPr>
              <w:t>Impairment</w:t>
            </w:r>
          </w:p>
        </w:tc>
        <w:tc>
          <w:tcPr>
            <w:tcW w:w="280" w:type="dxa"/>
            <w:vAlign w:val="bottom"/>
            <w:tcBorders>
              <w:bottom w:val="single" w:sz="8" w:color="auto"/>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tcPr>
          <w:p>
            <w:pPr>
              <w:jc w:val="right"/>
              <w:ind w:right="646"/>
              <w:spacing w:after="0"/>
              <w:rPr>
                <w:sz w:val="20"/>
                <w:szCs w:val="20"/>
                <w:color w:val="auto"/>
              </w:rPr>
            </w:pPr>
            <w:r>
              <w:rPr>
                <w:rFonts w:ascii="Arial" w:cs="Arial" w:eastAsia="Arial" w:hAnsi="Arial"/>
                <w:sz w:val="14"/>
                <w:szCs w:val="14"/>
                <w:b w:val="1"/>
                <w:bCs w:val="1"/>
                <w:color w:val="auto"/>
                <w:w w:val="99"/>
              </w:rPr>
              <w:t>Charge</w:t>
            </w:r>
          </w:p>
        </w:tc>
        <w:tc>
          <w:tcPr>
            <w:tcW w:w="100" w:type="dxa"/>
            <w:vAlign w:val="bottom"/>
            <w:tcBorders>
              <w:bottom w:val="single" w:sz="8" w:color="CCEEFF"/>
            </w:tcBorders>
          </w:tcPr>
          <w:p>
            <w:pPr>
              <w:spacing w:after="0"/>
              <w:rPr>
                <w:sz w:val="15"/>
                <w:szCs w:val="15"/>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Impairment</w:t>
            </w:r>
          </w:p>
        </w:tc>
        <w:tc>
          <w:tcPr>
            <w:tcW w:w="1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4"/>
        </w:trPr>
        <w:tc>
          <w:tcPr>
            <w:tcW w:w="440" w:type="dxa"/>
            <w:vAlign w:val="bottom"/>
          </w:tcPr>
          <w:p>
            <w:pPr>
              <w:spacing w:after="0"/>
              <w:rPr>
                <w:sz w:val="14"/>
                <w:szCs w:val="14"/>
                <w:color w:val="auto"/>
              </w:rPr>
            </w:pPr>
          </w:p>
        </w:tc>
        <w:tc>
          <w:tcPr>
            <w:tcW w:w="2460" w:type="dxa"/>
            <w:vAlign w:val="bottom"/>
            <w:shd w:val="clear" w:color="auto" w:fill="CCEEFF"/>
          </w:tcPr>
          <w:p>
            <w:pPr>
              <w:jc w:val="right"/>
              <w:ind w:right="1133"/>
              <w:spacing w:after="0" w:line="164" w:lineRule="exact"/>
              <w:rPr>
                <w:sz w:val="20"/>
                <w:szCs w:val="20"/>
                <w:color w:val="auto"/>
              </w:rPr>
            </w:pPr>
            <w:r>
              <w:rPr>
                <w:rFonts w:ascii="Arial" w:cs="Arial" w:eastAsia="Arial" w:hAnsi="Arial"/>
                <w:sz w:val="17"/>
                <w:szCs w:val="17"/>
                <w:color w:val="auto"/>
              </w:rPr>
              <w:t>Real estate</w:t>
            </w:r>
          </w:p>
        </w:tc>
        <w:tc>
          <w:tcPr>
            <w:tcW w:w="1120" w:type="dxa"/>
            <w:vAlign w:val="bottom"/>
            <w:vMerge w:val="restart"/>
            <w:shd w:val="clear" w:color="auto" w:fill="CCEEFF"/>
          </w:tcPr>
          <w:p>
            <w:pPr>
              <w:jc w:val="center"/>
              <w:ind w:left="82"/>
              <w:spacing w:after="0"/>
              <w:rPr>
                <w:sz w:val="20"/>
                <w:szCs w:val="20"/>
                <w:color w:val="auto"/>
              </w:rPr>
            </w:pPr>
            <w:r>
              <w:rPr>
                <w:rFonts w:ascii="Arial" w:cs="Arial" w:eastAsia="Arial" w:hAnsi="Arial"/>
                <w:sz w:val="17"/>
                <w:szCs w:val="17"/>
                <w:color w:val="auto"/>
                <w:w w:val="94"/>
              </w:rPr>
              <w:t>Level 3</w:t>
            </w: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60" w:type="dxa"/>
            <w:vAlign w:val="bottom"/>
            <w:gridSpan w:val="2"/>
            <w:vMerge w:val="restart"/>
            <w:shd w:val="clear" w:color="auto" w:fill="CCEEFF"/>
          </w:tcPr>
          <w:p>
            <w:pPr>
              <w:ind w:left="900"/>
              <w:spacing w:after="0"/>
              <w:rPr>
                <w:sz w:val="20"/>
                <w:szCs w:val="20"/>
                <w:color w:val="auto"/>
              </w:rPr>
            </w:pPr>
            <w:r>
              <w:rPr>
                <w:rFonts w:ascii="Arial" w:cs="Arial" w:eastAsia="Arial" w:hAnsi="Arial"/>
                <w:sz w:val="17"/>
                <w:szCs w:val="17"/>
                <w:color w:val="auto"/>
              </w:rPr>
              <w:t>—</w:t>
            </w:r>
          </w:p>
        </w:tc>
        <w:tc>
          <w:tcPr>
            <w:tcW w:w="1480" w:type="dxa"/>
            <w:vAlign w:val="bottom"/>
            <w:vMerge w:val="restart"/>
            <w:shd w:val="clear" w:color="auto" w:fill="CCEEFF"/>
          </w:tcPr>
          <w:p>
            <w:pPr>
              <w:jc w:val="right"/>
              <w:ind w:right="846"/>
              <w:spacing w:after="0"/>
              <w:rPr>
                <w:sz w:val="20"/>
                <w:szCs w:val="20"/>
                <w:color w:val="auto"/>
              </w:rPr>
            </w:pPr>
            <w:r>
              <w:rPr>
                <w:rFonts w:ascii="Arial" w:cs="Arial" w:eastAsia="Arial" w:hAnsi="Arial"/>
                <w:sz w:val="17"/>
                <w:szCs w:val="17"/>
                <w:color w:val="auto"/>
              </w:rPr>
              <w:t>$</w:t>
            </w:r>
          </w:p>
        </w:tc>
        <w:tc>
          <w:tcPr>
            <w:tcW w:w="700" w:type="dxa"/>
            <w:vAlign w:val="bottom"/>
            <w:gridSpan w:val="3"/>
            <w:vMerge w:val="restart"/>
            <w:shd w:val="clear" w:color="auto" w:fill="CCEEFF"/>
          </w:tcPr>
          <w:p>
            <w:pPr>
              <w:ind w:left="40"/>
              <w:spacing w:after="0"/>
              <w:rPr>
                <w:sz w:val="20"/>
                <w:szCs w:val="20"/>
                <w:color w:val="auto"/>
              </w:rPr>
            </w:pPr>
            <w:r>
              <w:rPr>
                <w:rFonts w:ascii="Arial" w:cs="Arial" w:eastAsia="Arial" w:hAnsi="Arial"/>
                <w:sz w:val="17"/>
                <w:szCs w:val="17"/>
                <w:color w:val="auto"/>
              </w:rPr>
              <w:t>—</w:t>
            </w:r>
          </w:p>
        </w:tc>
        <w:tc>
          <w:tcPr>
            <w:tcW w:w="34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1,460</w:t>
            </w:r>
          </w:p>
        </w:tc>
        <w:tc>
          <w:tcPr>
            <w:tcW w:w="100" w:type="dxa"/>
            <w:vAlign w:val="bottom"/>
            <w:shd w:val="clear" w:color="auto" w:fill="CCEEFF"/>
          </w:tcPr>
          <w:p>
            <w:pPr>
              <w:spacing w:after="0"/>
              <w:rPr>
                <w:sz w:val="14"/>
                <w:szCs w:val="14"/>
                <w:color w:val="auto"/>
              </w:rPr>
            </w:pPr>
          </w:p>
        </w:tc>
        <w:tc>
          <w:tcPr>
            <w:tcW w:w="1360" w:type="dxa"/>
            <w:vAlign w:val="bottom"/>
            <w:vMerge w:val="restart"/>
            <w:shd w:val="clear" w:color="auto" w:fill="CCEEFF"/>
          </w:tcPr>
          <w:p>
            <w:pPr>
              <w:jc w:val="right"/>
              <w:ind w:right="706"/>
              <w:spacing w:after="0"/>
              <w:rPr>
                <w:sz w:val="20"/>
                <w:szCs w:val="20"/>
                <w:color w:val="auto"/>
              </w:rPr>
            </w:pPr>
            <w:r>
              <w:rPr>
                <w:rFonts w:ascii="Arial" w:cs="Arial" w:eastAsia="Arial" w:hAnsi="Arial"/>
                <w:sz w:val="17"/>
                <w:szCs w:val="17"/>
                <w:color w:val="auto"/>
              </w:rPr>
              <w:t>$</w:t>
            </w:r>
          </w:p>
        </w:tc>
        <w:tc>
          <w:tcPr>
            <w:tcW w:w="1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2,</w:t>
            </w:r>
          </w:p>
        </w:tc>
        <w:tc>
          <w:tcPr>
            <w:tcW w:w="0" w:type="dxa"/>
            <w:vAlign w:val="bottom"/>
          </w:tcPr>
          <w:p>
            <w:pPr>
              <w:spacing w:after="0"/>
              <w:rPr>
                <w:sz w:val="1"/>
                <w:szCs w:val="1"/>
                <w:color w:val="auto"/>
              </w:rPr>
            </w:pPr>
          </w:p>
        </w:tc>
      </w:tr>
      <w:tr>
        <w:trPr>
          <w:trHeight w:val="221"/>
        </w:trPr>
        <w:tc>
          <w:tcPr>
            <w:tcW w:w="440" w:type="dxa"/>
            <w:vAlign w:val="bottom"/>
          </w:tcPr>
          <w:p>
            <w:pPr>
              <w:spacing w:after="0"/>
              <w:rPr>
                <w:sz w:val="19"/>
                <w:szCs w:val="19"/>
                <w:color w:val="auto"/>
              </w:rPr>
            </w:pPr>
          </w:p>
        </w:tc>
        <w:tc>
          <w:tcPr>
            <w:tcW w:w="2460" w:type="dxa"/>
            <w:vAlign w:val="bottom"/>
            <w:shd w:val="clear" w:color="auto" w:fill="CCEEFF"/>
          </w:tcPr>
          <w:p>
            <w:pPr>
              <w:jc w:val="right"/>
              <w:ind w:right="1473"/>
              <w:spacing w:after="0"/>
              <w:rPr>
                <w:sz w:val="20"/>
                <w:szCs w:val="20"/>
                <w:color w:val="auto"/>
              </w:rPr>
            </w:pPr>
            <w:r>
              <w:rPr>
                <w:rFonts w:ascii="Arial" w:cs="Arial" w:eastAsia="Arial" w:hAnsi="Arial"/>
                <w:sz w:val="17"/>
                <w:szCs w:val="17"/>
                <w:color w:val="auto"/>
                <w:w w:val="93"/>
              </w:rPr>
              <w:t>inventories</w:t>
            </w:r>
            <w:r>
              <w:rPr>
                <w:rFonts w:ascii="Arial" w:cs="Arial" w:eastAsia="Arial" w:hAnsi="Arial"/>
                <w:sz w:val="10"/>
                <w:szCs w:val="10"/>
                <w:color w:val="auto"/>
                <w:w w:val="93"/>
              </w:rPr>
              <w:t>(1)</w:t>
            </w:r>
          </w:p>
        </w:tc>
        <w:tc>
          <w:tcPr>
            <w:tcW w:w="1120" w:type="dxa"/>
            <w:vAlign w:val="bottom"/>
            <w:vMerge w:val="continue"/>
            <w:shd w:val="clear" w:color="auto" w:fill="CCEEFF"/>
          </w:tcPr>
          <w:p>
            <w:pPr>
              <w:spacing w:after="0"/>
              <w:rPr>
                <w:sz w:val="19"/>
                <w:szCs w:val="19"/>
                <w:color w:val="auto"/>
              </w:rPr>
            </w:pPr>
          </w:p>
        </w:tc>
        <w:tc>
          <w:tcPr>
            <w:tcW w:w="640" w:type="dxa"/>
            <w:vAlign w:val="bottom"/>
            <w:vMerge w:val="continue"/>
            <w:shd w:val="clear" w:color="auto" w:fill="CCEEFF"/>
          </w:tcPr>
          <w:p>
            <w:pPr>
              <w:spacing w:after="0"/>
              <w:rPr>
                <w:sz w:val="19"/>
                <w:szCs w:val="19"/>
                <w:color w:val="auto"/>
              </w:rPr>
            </w:pPr>
          </w:p>
        </w:tc>
        <w:tc>
          <w:tcPr>
            <w:tcW w:w="1260" w:type="dxa"/>
            <w:vAlign w:val="bottom"/>
            <w:gridSpan w:val="2"/>
            <w:vMerge w:val="continue"/>
            <w:shd w:val="clear" w:color="auto" w:fill="CCEEFF"/>
          </w:tcPr>
          <w:p>
            <w:pPr>
              <w:spacing w:after="0"/>
              <w:rPr>
                <w:sz w:val="19"/>
                <w:szCs w:val="19"/>
                <w:color w:val="auto"/>
              </w:rPr>
            </w:pPr>
          </w:p>
        </w:tc>
        <w:tc>
          <w:tcPr>
            <w:tcW w:w="1480" w:type="dxa"/>
            <w:vAlign w:val="bottom"/>
            <w:vMerge w:val="continue"/>
            <w:shd w:val="clear" w:color="auto" w:fill="CCEEFF"/>
          </w:tcPr>
          <w:p>
            <w:pPr>
              <w:spacing w:after="0"/>
              <w:rPr>
                <w:sz w:val="19"/>
                <w:szCs w:val="19"/>
                <w:color w:val="auto"/>
              </w:rPr>
            </w:pPr>
          </w:p>
        </w:tc>
        <w:tc>
          <w:tcPr>
            <w:tcW w:w="700" w:type="dxa"/>
            <w:vAlign w:val="bottom"/>
            <w:gridSpan w:val="3"/>
            <w:vMerge w:val="continue"/>
            <w:shd w:val="clear" w:color="auto" w:fill="CCEEFF"/>
          </w:tcPr>
          <w:p>
            <w:pPr>
              <w:spacing w:after="0"/>
              <w:rPr>
                <w:sz w:val="19"/>
                <w:szCs w:val="19"/>
                <w:color w:val="auto"/>
              </w:rPr>
            </w:pPr>
          </w:p>
        </w:tc>
        <w:tc>
          <w:tcPr>
            <w:tcW w:w="340" w:type="dxa"/>
            <w:vAlign w:val="bottom"/>
            <w:vMerge w:val="continue"/>
            <w:shd w:val="clear" w:color="auto" w:fill="CCEEFF"/>
          </w:tcPr>
          <w:p>
            <w:pPr>
              <w:spacing w:after="0"/>
              <w:rPr>
                <w:sz w:val="19"/>
                <w:szCs w:val="19"/>
                <w:color w:val="auto"/>
              </w:rPr>
            </w:pPr>
          </w:p>
        </w:tc>
        <w:tc>
          <w:tcPr>
            <w:tcW w:w="122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60" w:type="dxa"/>
            <w:vAlign w:val="bottom"/>
            <w:vMerge w:val="continue"/>
            <w:shd w:val="clear" w:color="auto" w:fill="CCEEFF"/>
          </w:tcPr>
          <w:p>
            <w:pPr>
              <w:spacing w:after="0"/>
              <w:rPr>
                <w:sz w:val="19"/>
                <w:szCs w:val="19"/>
                <w:color w:val="auto"/>
              </w:rPr>
            </w:pPr>
          </w:p>
        </w:tc>
        <w:tc>
          <w:tcPr>
            <w:tcW w:w="18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301"/>
        </w:trPr>
        <w:tc>
          <w:tcPr>
            <w:tcW w:w="2900" w:type="dxa"/>
            <w:vAlign w:val="bottom"/>
            <w:gridSpan w:val="2"/>
          </w:tcPr>
          <w:p>
            <w:pPr>
              <w:jc w:val="right"/>
              <w:ind w:right="2013"/>
              <w:spacing w:after="0"/>
              <w:rPr>
                <w:sz w:val="20"/>
                <w:szCs w:val="20"/>
                <w:color w:val="auto"/>
              </w:rPr>
            </w:pPr>
            <w:r>
              <w:rPr>
                <w:rFonts w:ascii="Arial" w:cs="Arial" w:eastAsia="Arial" w:hAnsi="Arial"/>
                <w:sz w:val="16"/>
                <w:szCs w:val="16"/>
                <w:color w:val="auto"/>
                <w:w w:val="87"/>
              </w:rPr>
              <w:t>__________</w:t>
            </w:r>
          </w:p>
        </w:tc>
        <w:tc>
          <w:tcPr>
            <w:tcW w:w="1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9"/>
        </w:trPr>
        <w:tc>
          <w:tcPr>
            <w:tcW w:w="8100" w:type="dxa"/>
            <w:vAlign w:val="bottom"/>
            <w:gridSpan w:val="10"/>
          </w:tcPr>
          <w:p>
            <w:pPr>
              <w:ind w:left="240"/>
              <w:spacing w:after="0"/>
              <w:rPr>
                <w:sz w:val="20"/>
                <w:szCs w:val="20"/>
                <w:color w:val="auto"/>
              </w:rPr>
            </w:pPr>
            <w:r>
              <w:rPr>
                <w:rFonts w:ascii="Arial" w:cs="Arial" w:eastAsia="Arial" w:hAnsi="Arial"/>
                <w:sz w:val="17"/>
                <w:szCs w:val="17"/>
                <w:color w:val="auto"/>
                <w:w w:val="93"/>
              </w:rPr>
              <w:t>(1) Fair value of real estate inventories, net of impairment charges represents only those assets whose carrying</w:t>
            </w:r>
          </w:p>
        </w:tc>
        <w:tc>
          <w:tcPr>
            <w:tcW w:w="3020" w:type="dxa"/>
            <w:vAlign w:val="bottom"/>
            <w:gridSpan w:val="4"/>
          </w:tcPr>
          <w:p>
            <w:pPr>
              <w:jc w:val="right"/>
              <w:ind w:right="66"/>
              <w:spacing w:after="0"/>
              <w:rPr>
                <w:sz w:val="20"/>
                <w:szCs w:val="20"/>
                <w:color w:val="auto"/>
              </w:rPr>
            </w:pPr>
            <w:r>
              <w:rPr>
                <w:rFonts w:ascii="Arial" w:cs="Arial" w:eastAsia="Arial" w:hAnsi="Arial"/>
                <w:sz w:val="17"/>
                <w:szCs w:val="17"/>
                <w:color w:val="auto"/>
                <w:w w:val="95"/>
              </w:rPr>
              <w:t>values were adjusted to fair value in the</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440" w:type="dxa"/>
            <w:vAlign w:val="bottom"/>
          </w:tcPr>
          <w:p>
            <w:pPr>
              <w:spacing w:after="0"/>
              <w:rPr>
                <w:sz w:val="19"/>
                <w:szCs w:val="19"/>
                <w:color w:val="auto"/>
              </w:rPr>
            </w:pPr>
          </w:p>
        </w:tc>
        <w:tc>
          <w:tcPr>
            <w:tcW w:w="2460" w:type="dxa"/>
            <w:vAlign w:val="bottom"/>
          </w:tcPr>
          <w:p>
            <w:pPr>
              <w:jc w:val="right"/>
              <w:ind w:right="253"/>
              <w:spacing w:after="0"/>
              <w:rPr>
                <w:sz w:val="20"/>
                <w:szCs w:val="20"/>
                <w:color w:val="auto"/>
              </w:rPr>
            </w:pPr>
            <w:r>
              <w:rPr>
                <w:rFonts w:ascii="Arial" w:cs="Arial" w:eastAsia="Arial" w:hAnsi="Arial"/>
                <w:sz w:val="17"/>
                <w:szCs w:val="17"/>
                <w:color w:val="auto"/>
                <w:w w:val="94"/>
              </w:rPr>
              <w:t>respective periods presented,</w:t>
            </w:r>
          </w:p>
        </w:tc>
        <w:tc>
          <w:tcPr>
            <w:tcW w:w="1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17" w:lineRule="exact"/>
        <w:rPr>
          <w:sz w:val="20"/>
          <w:szCs w:val="20"/>
          <w:color w:val="auto"/>
        </w:rPr>
      </w:pPr>
    </w:p>
    <w:p>
      <w:pPr>
        <w:ind w:left="480" w:right="8480" w:hanging="475"/>
        <w:spacing w:after="0" w:line="388" w:lineRule="auto"/>
        <w:tabs>
          <w:tab w:leader="none" w:pos="401" w:val="left"/>
        </w:tabs>
        <w:numPr>
          <w:ilvl w:val="0"/>
          <w:numId w:val="9"/>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Commitments and Contingencies </w:t>
      </w:r>
      <w:r>
        <w:rPr>
          <w:rFonts w:ascii="Arial" w:cs="Arial" w:eastAsia="Arial" w:hAnsi="Arial"/>
          <w:sz w:val="17"/>
          <w:szCs w:val="17"/>
          <w:b w:val="1"/>
          <w:bCs w:val="1"/>
          <w:i w:val="1"/>
          <w:iCs w:val="1"/>
          <w:color w:val="auto"/>
        </w:rPr>
        <w:t>Legal Matters</w:t>
      </w:r>
    </w:p>
    <w:p>
      <w:pPr>
        <w:spacing w:after="0" w:line="1" w:lineRule="exact"/>
        <w:rPr>
          <w:sz w:val="20"/>
          <w:szCs w:val="20"/>
          <w:color w:val="auto"/>
        </w:rPr>
      </w:pPr>
    </w:p>
    <w:p>
      <w:pPr>
        <w:ind w:right="320" w:firstLine="470"/>
        <w:spacing w:after="0" w:line="267" w:lineRule="auto"/>
        <w:rPr>
          <w:sz w:val="20"/>
          <w:szCs w:val="20"/>
          <w:color w:val="auto"/>
        </w:rPr>
      </w:pPr>
      <w:r>
        <w:rPr>
          <w:rFonts w:ascii="Arial" w:cs="Arial" w:eastAsia="Arial" w:hAnsi="Arial"/>
          <w:sz w:val="17"/>
          <w:szCs w:val="17"/>
          <w:color w:val="auto"/>
        </w:rPr>
        <w:t>Lawsuits, claims and proceedings have been and may be instituted or asserted against us in the normal course of business, including actions brought on behalf of various classes of claimants. We are also subject to local, state and federal laws and regulations related to land development activities, house construction standards, sales practices, employment practices, environmental protection and financial services. As a result, we are subject to periodic examinations or inquiry by agencies administering these laws and regulations.</w:t>
      </w:r>
    </w:p>
    <w:p>
      <w:pPr>
        <w:spacing w:after="0" w:line="176" w:lineRule="exact"/>
        <w:rPr>
          <w:sz w:val="20"/>
          <w:szCs w:val="20"/>
          <w:color w:val="auto"/>
        </w:rPr>
      </w:pPr>
    </w:p>
    <w:p>
      <w:pPr>
        <w:ind w:right="120" w:firstLine="470"/>
        <w:spacing w:after="0" w:line="263" w:lineRule="auto"/>
        <w:rPr>
          <w:sz w:val="20"/>
          <w:szCs w:val="20"/>
          <w:color w:val="auto"/>
        </w:rPr>
      </w:pPr>
      <w:r>
        <w:rPr>
          <w:rFonts w:ascii="Arial" w:cs="Arial" w:eastAsia="Arial" w:hAnsi="Arial"/>
          <w:sz w:val="17"/>
          <w:szCs w:val="17"/>
          <w:color w:val="auto"/>
        </w:rPr>
        <w:t>We record a reserve for potential legal claims and regulatory matters when they are probable of occurring and a potential loss is reasonably estimable. We accrue for these matters based on facts and circumstances specific to each matter and revise these estimates when necessary. In view of the inherent difficulty of predicting outcomes of legal claims and related contingencies, we generally cannot predict their ultimate resolution, related timing or eventual loss. Accordingly, it is possible that the ultimate outcome of any matter, if in excess of a related accrual or if no accrual was made, could be material to our financial statements. For matters as to which the Company believes a loss is probable and reasonably estimable, we had zero and $1.3 million of legal reserves as of June 30, 2021 and December 31, 2020, respectively.</w:t>
      </w:r>
    </w:p>
    <w:p>
      <w:pPr>
        <w:spacing w:after="0" w:line="283" w:lineRule="exact"/>
        <w:rPr>
          <w:sz w:val="20"/>
          <w:szCs w:val="20"/>
          <w:color w:val="auto"/>
        </w:rPr>
      </w:pPr>
    </w:p>
    <w:p>
      <w:pPr>
        <w:ind w:left="480"/>
        <w:spacing w:after="0"/>
        <w:rPr>
          <w:sz w:val="20"/>
          <w:szCs w:val="20"/>
          <w:color w:val="auto"/>
        </w:rPr>
      </w:pPr>
      <w:r>
        <w:rPr>
          <w:rFonts w:ascii="Arial" w:cs="Arial" w:eastAsia="Arial" w:hAnsi="Arial"/>
          <w:sz w:val="17"/>
          <w:szCs w:val="17"/>
          <w:b w:val="1"/>
          <w:bCs w:val="1"/>
          <w:i w:val="1"/>
          <w:iCs w:val="1"/>
          <w:color w:val="auto"/>
        </w:rPr>
        <w:t>Warranty</w:t>
      </w:r>
    </w:p>
    <w:p>
      <w:pPr>
        <w:spacing w:after="0" w:line="118" w:lineRule="exact"/>
        <w:rPr>
          <w:sz w:val="20"/>
          <w:szCs w:val="20"/>
          <w:color w:val="auto"/>
        </w:rPr>
      </w:pPr>
    </w:p>
    <w:p>
      <w:pPr>
        <w:ind w:right="180" w:firstLine="470"/>
        <w:spacing w:after="0" w:line="267" w:lineRule="auto"/>
        <w:rPr>
          <w:sz w:val="20"/>
          <w:szCs w:val="20"/>
          <w:color w:val="auto"/>
        </w:rPr>
      </w:pPr>
      <w:r>
        <w:rPr>
          <w:rFonts w:ascii="Arial" w:cs="Arial" w:eastAsia="Arial" w:hAnsi="Arial"/>
          <w:sz w:val="17"/>
          <w:szCs w:val="17"/>
          <w:color w:val="auto"/>
        </w:rPr>
        <w:t>Warranty reserves are accrued as home deliveries occur. Our warranty reserves on homes delivered will vary based on product type and geographic area and also depending on state and local laws. The warranty reserve is included in accrued expenses and other liabilities on our consolidated balance sheets and represents expected future costs based on our historical experience over previous years. Estimated warranty costs are charged to cost of home sales in the period in which the related home sales revenue is recognized.</w:t>
      </w:r>
    </w:p>
    <w:p>
      <w:pPr>
        <w:spacing w:after="0" w:line="176" w:lineRule="exact"/>
        <w:rPr>
          <w:sz w:val="20"/>
          <w:szCs w:val="20"/>
          <w:color w:val="auto"/>
        </w:rPr>
      </w:pPr>
    </w:p>
    <w:p>
      <w:pPr>
        <w:ind w:right="620" w:firstLine="470"/>
        <w:spacing w:after="0" w:line="297" w:lineRule="auto"/>
        <w:rPr>
          <w:sz w:val="20"/>
          <w:szCs w:val="20"/>
          <w:color w:val="auto"/>
        </w:rPr>
      </w:pPr>
      <w:r>
        <w:rPr>
          <w:rFonts w:ascii="Arial" w:cs="Arial" w:eastAsia="Arial" w:hAnsi="Arial"/>
          <w:sz w:val="16"/>
          <w:szCs w:val="16"/>
          <w:color w:val="auto"/>
        </w:rPr>
        <w:t>We maintain general liability insurance designed to protect us against a portion of our risk of loss from warranty and construction defect-related claims. We also generally require our subcontractors and design professionals to indemnify us for liabilities arising from their work, subject to various limitations. However, such indemnity is significantly limited with respect to certain subcontractors that are added to our general liability insurance policy.</w:t>
      </w:r>
    </w:p>
    <w:p>
      <w:pPr>
        <w:spacing w:after="0" w:line="153" w:lineRule="exact"/>
        <w:rPr>
          <w:sz w:val="20"/>
          <w:szCs w:val="20"/>
          <w:color w:val="auto"/>
        </w:rPr>
      </w:pPr>
    </w:p>
    <w:p>
      <w:pPr>
        <w:ind w:right="120" w:firstLine="470"/>
        <w:spacing w:after="0" w:line="278" w:lineRule="auto"/>
        <w:rPr>
          <w:sz w:val="20"/>
          <w:szCs w:val="20"/>
          <w:color w:val="auto"/>
        </w:rPr>
      </w:pPr>
      <w:r>
        <w:rPr>
          <w:rFonts w:ascii="Arial" w:cs="Arial" w:eastAsia="Arial" w:hAnsi="Arial"/>
          <w:sz w:val="16"/>
          <w:szCs w:val="16"/>
          <w:color w:val="auto"/>
        </w:rPr>
        <w:t>Our warranty reserve and related estimated insurance recoveries are based on actuarial analysis that uses our historical claim and expense data, as well as industry data to estimate these overall costs and related recoveries. Key assumptions used in developing these estimates include claim frequencies, severities and resolution patterns, which can occur over an extended period of time. Our warranty reserve may also include an estimate of future fit and finish warranty claims to the extent not contemplated in the actuarial analysis. These estimates are subject to variability due to the length of time between the delivery of a home to a homebuyer and when a warranty or construction defect claim is made, and the ultimate resolution of such claim; uncertainties regarding such claims relative to our markets and the types of product we build; and legal or regulatory actions and/or interpretations, among other factors. Due to the degree of judgment involved and the potential for variability in these underlying assumptions, our actual future costs could differ from those estimated. There can be no assurance that the terms and limitations of the limited warranty will be effective against claims made by homebuyers, that we will be able to renew our insurance coverage or renew it at reasonable rates, that we will not be liable for damages, cost of repairs, and/or the expense of litigation surrounding possible construction defects, soil subsidence or building related claims or that claims will not arise out</w:t>
      </w:r>
    </w:p>
    <w:p>
      <w:pPr>
        <w:spacing w:after="0" w:line="200" w:lineRule="exact"/>
        <w:rPr>
          <w:sz w:val="20"/>
          <w:szCs w:val="20"/>
          <w:color w:val="auto"/>
        </w:rPr>
      </w:pPr>
    </w:p>
    <w:p>
      <w:pPr>
        <w:spacing w:after="0" w:line="296"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- 19 -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340"/>
          </w:cols>
          <w:pgMar w:left="320" w:top="1075" w:right="239" w:bottom="1440" w:gutter="0" w:footer="0" w:header="0"/>
        </w:sectPr>
      </w:pPr>
    </w:p>
    <w:bookmarkStart w:id="20" w:name="page21"/>
    <w:bookmarkEnd w:id="20"/>
    <w:p>
      <w:pPr>
        <w:spacing w:after="0"/>
        <w:rPr>
          <w:sz w:val="20"/>
          <w:szCs w:val="20"/>
          <w:color w:val="auto"/>
        </w:rPr>
      </w:pPr>
      <w:r>
        <w:rPr>
          <w:rFonts w:ascii="Arial" w:cs="Arial" w:eastAsia="Arial" w:hAnsi="Arial"/>
          <w:sz w:val="17"/>
          <w:szCs w:val="17"/>
          <w:color w:val="auto"/>
        </w:rPr>
        <w:t>of uninsurable events or circumstances not covered by insurance and not subject to effective indemnification agreements with certain subcontractors.</w:t>
      </w:r>
    </w:p>
    <w:p>
      <w:pPr>
        <w:spacing w:after="0" w:line="223" w:lineRule="exact"/>
        <w:rPr>
          <w:sz w:val="20"/>
          <w:szCs w:val="20"/>
          <w:color w:val="auto"/>
        </w:rPr>
      </w:pPr>
    </w:p>
    <w:p>
      <w:pPr>
        <w:ind w:right="40" w:firstLine="470"/>
        <w:spacing w:after="0" w:line="284" w:lineRule="auto"/>
        <w:rPr>
          <w:sz w:val="20"/>
          <w:szCs w:val="20"/>
          <w:color w:val="auto"/>
        </w:rPr>
      </w:pPr>
      <w:r>
        <w:rPr>
          <w:rFonts w:ascii="Arial" w:cs="Arial" w:eastAsia="Arial" w:hAnsi="Arial"/>
          <w:sz w:val="16"/>
          <w:szCs w:val="16"/>
          <w:color w:val="auto"/>
        </w:rPr>
        <w:t>We also record expected recoveries from insurance carriers based on actual insurance claims made and actuarially determined amounts that depend on various factors, including the above-described reserve estimates, our insurance policy coverage limits for the applicable policy years and historical recovery rates. Because of the inherent uncertainty and variability in these assumptions, our actual insurance recoveries could differ significantly from amounts currently estimated. Outstanding warranty insurance receivables were $46.5 million and $46.9 million as of June 30, 2021 and December 31, 2020, respectively. Warranty insurance receivables are recorded in receivables on the accompanying consolidated balance sheets.</w:t>
      </w:r>
    </w:p>
    <w:p>
      <w:pPr>
        <w:spacing w:after="0" w:line="166" w:lineRule="exact"/>
        <w:rPr>
          <w:sz w:val="20"/>
          <w:szCs w:val="20"/>
          <w:color w:val="auto"/>
        </w:rPr>
      </w:pPr>
    </w:p>
    <w:p>
      <w:pPr>
        <w:ind w:left="480"/>
        <w:spacing w:after="0"/>
        <w:rPr>
          <w:sz w:val="20"/>
          <w:szCs w:val="20"/>
          <w:color w:val="auto"/>
        </w:rPr>
      </w:pPr>
      <w:r>
        <w:rPr>
          <w:rFonts w:ascii="Arial" w:cs="Arial" w:eastAsia="Arial" w:hAnsi="Arial"/>
          <w:sz w:val="17"/>
          <w:szCs w:val="17"/>
          <w:color w:val="auto"/>
        </w:rPr>
        <w:t>Warranty reserve activity consisted of the following (in thousands):</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6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360" w:type="dxa"/>
            <w:vAlign w:val="bottom"/>
            <w:gridSpan w:val="5"/>
          </w:tcPr>
          <w:p>
            <w:pPr>
              <w:ind w:left="120"/>
              <w:spacing w:after="0"/>
              <w:rPr>
                <w:sz w:val="20"/>
                <w:szCs w:val="20"/>
                <w:color w:val="auto"/>
              </w:rPr>
            </w:pPr>
            <w:r>
              <w:rPr>
                <w:rFonts w:ascii="Arial" w:cs="Arial" w:eastAsia="Arial" w:hAnsi="Arial"/>
                <w:sz w:val="14"/>
                <w:szCs w:val="14"/>
                <w:b w:val="1"/>
                <w:bCs w:val="1"/>
                <w:color w:val="auto"/>
              </w:rPr>
              <w:t>Three Months Ended June 30,</w:t>
            </w:r>
          </w:p>
        </w:tc>
        <w:tc>
          <w:tcPr>
            <w:tcW w:w="280" w:type="dxa"/>
            <w:vAlign w:val="bottom"/>
          </w:tcPr>
          <w:p>
            <w:pPr>
              <w:spacing w:after="0"/>
              <w:rPr>
                <w:sz w:val="16"/>
                <w:szCs w:val="16"/>
                <w:color w:val="auto"/>
              </w:rPr>
            </w:pPr>
          </w:p>
        </w:tc>
        <w:tc>
          <w:tcPr>
            <w:tcW w:w="2220" w:type="dxa"/>
            <w:vAlign w:val="bottom"/>
            <w:gridSpan w:val="4"/>
          </w:tcPr>
          <w:p>
            <w:pPr>
              <w:ind w:left="160"/>
              <w:spacing w:after="0"/>
              <w:rPr>
                <w:sz w:val="20"/>
                <w:szCs w:val="20"/>
                <w:color w:val="auto"/>
              </w:rPr>
            </w:pPr>
            <w:r>
              <w:rPr>
                <w:rFonts w:ascii="Arial" w:cs="Arial" w:eastAsia="Arial" w:hAnsi="Arial"/>
                <w:sz w:val="14"/>
                <w:szCs w:val="14"/>
                <w:b w:val="1"/>
                <w:bCs w:val="1"/>
                <w:color w:val="auto"/>
              </w:rPr>
              <w:t>Six Months Ended June 30,</w:t>
            </w:r>
          </w:p>
        </w:tc>
      </w:tr>
      <w:tr>
        <w:trPr>
          <w:trHeight w:val="181"/>
        </w:trPr>
        <w:tc>
          <w:tcPr>
            <w:tcW w:w="6140" w:type="dxa"/>
            <w:vAlign w:val="bottom"/>
            <w:tcBorders>
              <w:bottom w:val="single" w:sz="8" w:color="CCEEFF"/>
            </w:tcBorders>
          </w:tcPr>
          <w:p>
            <w:pPr>
              <w:spacing w:after="0"/>
              <w:rPr>
                <w:sz w:val="15"/>
                <w:szCs w:val="15"/>
                <w:color w:val="auto"/>
              </w:rPr>
            </w:pPr>
          </w:p>
        </w:tc>
        <w:tc>
          <w:tcPr>
            <w:tcW w:w="220" w:type="dxa"/>
            <w:vAlign w:val="bottom"/>
            <w:tcBorders>
              <w:top w:val="single" w:sz="8" w:color="auto"/>
              <w:bottom w:val="single" w:sz="8" w:color="auto"/>
            </w:tcBorders>
          </w:tcPr>
          <w:p>
            <w:pPr>
              <w:spacing w:after="0"/>
              <w:rPr>
                <w:sz w:val="15"/>
                <w:szCs w:val="15"/>
                <w:color w:val="auto"/>
              </w:rPr>
            </w:pPr>
          </w:p>
        </w:tc>
        <w:tc>
          <w:tcPr>
            <w:tcW w:w="980" w:type="dxa"/>
            <w:vAlign w:val="bottom"/>
            <w:tcBorders>
              <w:top w:val="single" w:sz="8" w:color="auto"/>
              <w:bottom w:val="single" w:sz="8" w:color="auto"/>
            </w:tcBorders>
          </w:tcPr>
          <w:p>
            <w:pPr>
              <w:jc w:val="right"/>
              <w:ind w:right="379"/>
              <w:spacing w:after="0"/>
              <w:rPr>
                <w:sz w:val="20"/>
                <w:szCs w:val="20"/>
                <w:color w:val="auto"/>
              </w:rPr>
            </w:pPr>
            <w:r>
              <w:rPr>
                <w:rFonts w:ascii="Arial" w:cs="Arial" w:eastAsia="Arial" w:hAnsi="Arial"/>
                <w:sz w:val="14"/>
                <w:szCs w:val="14"/>
                <w:b w:val="1"/>
                <w:bCs w:val="1"/>
                <w:color w:val="auto"/>
              </w:rPr>
              <w:t>2021</w:t>
            </w:r>
          </w:p>
        </w:tc>
        <w:tc>
          <w:tcPr>
            <w:tcW w:w="80" w:type="dxa"/>
            <w:vAlign w:val="bottom"/>
            <w:tcBorders>
              <w:top w:val="single" w:sz="8" w:color="auto"/>
              <w:bottom w:val="single" w:sz="8" w:color="CCEEFF"/>
            </w:tcBorders>
          </w:tcPr>
          <w:p>
            <w:pPr>
              <w:spacing w:after="0"/>
              <w:rPr>
                <w:sz w:val="15"/>
                <w:szCs w:val="15"/>
                <w:color w:val="auto"/>
              </w:rPr>
            </w:pPr>
          </w:p>
        </w:tc>
        <w:tc>
          <w:tcPr>
            <w:tcW w:w="300" w:type="dxa"/>
            <w:vAlign w:val="bottom"/>
            <w:tcBorders>
              <w:top w:val="single" w:sz="8" w:color="auto"/>
              <w:bottom w:val="single" w:sz="8" w:color="auto"/>
            </w:tcBorders>
          </w:tcPr>
          <w:p>
            <w:pPr>
              <w:spacing w:after="0"/>
              <w:rPr>
                <w:sz w:val="15"/>
                <w:szCs w:val="15"/>
                <w:color w:val="auto"/>
              </w:rPr>
            </w:pPr>
          </w:p>
        </w:tc>
        <w:tc>
          <w:tcPr>
            <w:tcW w:w="900" w:type="dxa"/>
            <w:vAlign w:val="bottom"/>
            <w:tcBorders>
              <w:top w:val="single" w:sz="8" w:color="auto"/>
              <w:bottom w:val="single" w:sz="8" w:color="auto"/>
            </w:tcBorders>
          </w:tcPr>
          <w:p>
            <w:pPr>
              <w:jc w:val="right"/>
              <w:ind w:right="376"/>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5"/>
                <w:szCs w:val="15"/>
                <w:color w:val="auto"/>
              </w:rPr>
            </w:pPr>
          </w:p>
        </w:tc>
        <w:tc>
          <w:tcPr>
            <w:tcW w:w="280" w:type="dxa"/>
            <w:vAlign w:val="bottom"/>
            <w:tcBorders>
              <w:top w:val="single" w:sz="8" w:color="auto"/>
              <w:bottom w:val="single" w:sz="8" w:color="auto"/>
            </w:tcBorders>
          </w:tcPr>
          <w:p>
            <w:pPr>
              <w:spacing w:after="0"/>
              <w:rPr>
                <w:sz w:val="15"/>
                <w:szCs w:val="15"/>
                <w:color w:val="auto"/>
              </w:rPr>
            </w:pPr>
          </w:p>
        </w:tc>
        <w:tc>
          <w:tcPr>
            <w:tcW w:w="920" w:type="dxa"/>
            <w:vAlign w:val="bottom"/>
            <w:tcBorders>
              <w:top w:val="single" w:sz="8" w:color="auto"/>
              <w:bottom w:val="single" w:sz="8" w:color="auto"/>
            </w:tcBorders>
          </w:tcPr>
          <w:p>
            <w:pPr>
              <w:jc w:val="right"/>
              <w:ind w:right="379"/>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5"/>
                <w:szCs w:val="15"/>
                <w:color w:val="auto"/>
              </w:rPr>
            </w:pPr>
          </w:p>
        </w:tc>
        <w:tc>
          <w:tcPr>
            <w:tcW w:w="280" w:type="dxa"/>
            <w:vAlign w:val="bottom"/>
            <w:tcBorders>
              <w:top w:val="single" w:sz="8" w:color="auto"/>
              <w:bottom w:val="single" w:sz="8" w:color="auto"/>
            </w:tcBorders>
          </w:tcPr>
          <w:p>
            <w:pPr>
              <w:spacing w:after="0"/>
              <w:rPr>
                <w:sz w:val="15"/>
                <w:szCs w:val="15"/>
                <w:color w:val="auto"/>
              </w:rPr>
            </w:pPr>
          </w:p>
        </w:tc>
        <w:tc>
          <w:tcPr>
            <w:tcW w:w="920" w:type="dxa"/>
            <w:vAlign w:val="bottom"/>
            <w:tcBorders>
              <w:top w:val="single" w:sz="8" w:color="auto"/>
              <w:bottom w:val="single" w:sz="8" w:color="auto"/>
            </w:tcBorders>
          </w:tcPr>
          <w:p>
            <w:pPr>
              <w:ind w:left="180"/>
              <w:spacing w:after="0"/>
              <w:rPr>
                <w:sz w:val="20"/>
                <w:szCs w:val="20"/>
                <w:color w:val="auto"/>
              </w:rPr>
            </w:pPr>
            <w:r>
              <w:rPr>
                <w:rFonts w:ascii="Arial" w:cs="Arial" w:eastAsia="Arial" w:hAnsi="Arial"/>
                <w:sz w:val="14"/>
                <w:szCs w:val="14"/>
                <w:b w:val="1"/>
                <w:bCs w:val="1"/>
                <w:color w:val="auto"/>
              </w:rPr>
              <w:t>2020</w:t>
            </w:r>
          </w:p>
        </w:tc>
      </w:tr>
      <w:tr>
        <w:trPr>
          <w:trHeight w:val="216"/>
        </w:trPr>
        <w:tc>
          <w:tcPr>
            <w:tcW w:w="6140" w:type="dxa"/>
            <w:vAlign w:val="bottom"/>
            <w:shd w:val="clear" w:color="auto" w:fill="CCEEFF"/>
          </w:tcPr>
          <w:p>
            <w:pPr>
              <w:ind w:left="20"/>
              <w:spacing w:after="0"/>
              <w:rPr>
                <w:sz w:val="20"/>
                <w:szCs w:val="20"/>
                <w:color w:val="auto"/>
              </w:rPr>
            </w:pPr>
            <w:r>
              <w:rPr>
                <w:rFonts w:ascii="Arial" w:cs="Arial" w:eastAsia="Arial" w:hAnsi="Arial"/>
                <w:sz w:val="17"/>
                <w:szCs w:val="17"/>
                <w:color w:val="auto"/>
              </w:rPr>
              <w:t>Warranty reserves, beginning of period</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94,793</w:t>
            </w:r>
          </w:p>
        </w:tc>
        <w:tc>
          <w:tcPr>
            <w:tcW w:w="8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76,487</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920" w:type="dxa"/>
            <w:vAlign w:val="bottom"/>
            <w:shd w:val="clear" w:color="auto" w:fill="CCEEFF"/>
          </w:tcPr>
          <w:p>
            <w:pPr>
              <w:jc w:val="center"/>
              <w:ind w:left="239"/>
              <w:spacing w:after="0"/>
              <w:rPr>
                <w:sz w:val="20"/>
                <w:szCs w:val="20"/>
                <w:color w:val="auto"/>
              </w:rPr>
            </w:pPr>
            <w:r>
              <w:rPr>
                <w:rFonts w:ascii="Arial" w:cs="Arial" w:eastAsia="Arial" w:hAnsi="Arial"/>
                <w:sz w:val="17"/>
                <w:szCs w:val="17"/>
                <w:color w:val="auto"/>
                <w:w w:val="92"/>
              </w:rPr>
              <w:t>94,475</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920" w:type="dxa"/>
            <w:vAlign w:val="bottom"/>
            <w:shd w:val="clear" w:color="auto" w:fill="CCEEFF"/>
          </w:tcPr>
          <w:p>
            <w:pPr>
              <w:ind w:left="360"/>
              <w:spacing w:after="0"/>
              <w:rPr>
                <w:sz w:val="20"/>
                <w:szCs w:val="20"/>
                <w:color w:val="auto"/>
              </w:rPr>
            </w:pPr>
            <w:r>
              <w:rPr>
                <w:rFonts w:ascii="Arial" w:cs="Arial" w:eastAsia="Arial" w:hAnsi="Arial"/>
                <w:sz w:val="17"/>
                <w:szCs w:val="17"/>
                <w:color w:val="auto"/>
              </w:rPr>
              <w:t>76,607</w:t>
            </w:r>
          </w:p>
        </w:tc>
      </w:tr>
      <w:tr>
        <w:trPr>
          <w:trHeight w:val="222"/>
        </w:trPr>
        <w:tc>
          <w:tcPr>
            <w:tcW w:w="6140" w:type="dxa"/>
            <w:vAlign w:val="bottom"/>
          </w:tcPr>
          <w:p>
            <w:pPr>
              <w:ind w:left="220"/>
              <w:spacing w:after="0"/>
              <w:rPr>
                <w:sz w:val="20"/>
                <w:szCs w:val="20"/>
                <w:color w:val="auto"/>
              </w:rPr>
            </w:pPr>
            <w:r>
              <w:rPr>
                <w:rFonts w:ascii="Arial" w:cs="Arial" w:eastAsia="Arial" w:hAnsi="Arial"/>
                <w:sz w:val="17"/>
                <w:szCs w:val="17"/>
                <w:color w:val="auto"/>
              </w:rPr>
              <w:t>Warranty reserves accrued</w:t>
            </w:r>
          </w:p>
        </w:tc>
        <w:tc>
          <w:tcPr>
            <w:tcW w:w="2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7"/>
                <w:szCs w:val="17"/>
                <w:color w:val="auto"/>
              </w:rPr>
              <w:t>5,779</w:t>
            </w: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6,988</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20" w:type="dxa"/>
            <w:vAlign w:val="bottom"/>
          </w:tcPr>
          <w:p>
            <w:pPr>
              <w:jc w:val="center"/>
              <w:ind w:left="239"/>
              <w:spacing w:after="0"/>
              <w:rPr>
                <w:sz w:val="20"/>
                <w:szCs w:val="20"/>
                <w:color w:val="auto"/>
              </w:rPr>
            </w:pPr>
            <w:r>
              <w:rPr>
                <w:rFonts w:ascii="Arial" w:cs="Arial" w:eastAsia="Arial" w:hAnsi="Arial"/>
                <w:sz w:val="17"/>
                <w:szCs w:val="17"/>
                <w:color w:val="auto"/>
                <w:w w:val="92"/>
              </w:rPr>
              <w:t>12,293</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20" w:type="dxa"/>
            <w:vAlign w:val="bottom"/>
          </w:tcPr>
          <w:p>
            <w:pPr>
              <w:ind w:left="360"/>
              <w:spacing w:after="0"/>
              <w:rPr>
                <w:sz w:val="20"/>
                <w:szCs w:val="20"/>
                <w:color w:val="auto"/>
              </w:rPr>
            </w:pPr>
            <w:r>
              <w:rPr>
                <w:rFonts w:ascii="Arial" w:cs="Arial" w:eastAsia="Arial" w:hAnsi="Arial"/>
                <w:sz w:val="17"/>
                <w:szCs w:val="17"/>
                <w:color w:val="auto"/>
              </w:rPr>
              <w:t>12,144</w:t>
            </w:r>
          </w:p>
        </w:tc>
      </w:tr>
      <w:tr>
        <w:trPr>
          <w:trHeight w:val="222"/>
        </w:trPr>
        <w:tc>
          <w:tcPr>
            <w:tcW w:w="61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Warranty expenditures</w:t>
            </w:r>
          </w:p>
        </w:tc>
        <w:tc>
          <w:tcPr>
            <w:tcW w:w="22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(7,050)</w:t>
            </w:r>
          </w:p>
        </w:tc>
        <w:tc>
          <w:tcPr>
            <w:tcW w:w="8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(4,285)</w:t>
            </w:r>
          </w:p>
        </w:tc>
        <w:tc>
          <w:tcPr>
            <w:tcW w:w="10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center"/>
              <w:ind w:left="199"/>
              <w:spacing w:after="0"/>
              <w:rPr>
                <w:sz w:val="20"/>
                <w:szCs w:val="20"/>
                <w:color w:val="auto"/>
              </w:rPr>
            </w:pPr>
            <w:r>
              <w:rPr>
                <w:rFonts w:ascii="Arial" w:cs="Arial" w:eastAsia="Arial" w:hAnsi="Arial"/>
                <w:sz w:val="17"/>
                <w:szCs w:val="17"/>
                <w:color w:val="auto"/>
                <w:w w:val="94"/>
              </w:rPr>
              <w:t>(13,246)</w:t>
            </w:r>
          </w:p>
        </w:tc>
        <w:tc>
          <w:tcPr>
            <w:tcW w:w="10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ind w:left="380"/>
              <w:spacing w:after="0"/>
              <w:rPr>
                <w:sz w:val="20"/>
                <w:szCs w:val="20"/>
                <w:color w:val="auto"/>
              </w:rPr>
            </w:pPr>
            <w:r>
              <w:rPr>
                <w:rFonts w:ascii="Arial" w:cs="Arial" w:eastAsia="Arial" w:hAnsi="Arial"/>
                <w:sz w:val="17"/>
                <w:szCs w:val="17"/>
                <w:color w:val="auto"/>
                <w:w w:val="96"/>
              </w:rPr>
              <w:t>(9,561)</w:t>
            </w:r>
          </w:p>
        </w:tc>
      </w:tr>
      <w:tr>
        <w:trPr>
          <w:trHeight w:val="215"/>
        </w:trPr>
        <w:tc>
          <w:tcPr>
            <w:tcW w:w="6140" w:type="dxa"/>
            <w:vAlign w:val="bottom"/>
          </w:tcPr>
          <w:p>
            <w:pPr>
              <w:ind w:left="20"/>
              <w:spacing w:after="0"/>
              <w:rPr>
                <w:sz w:val="20"/>
                <w:szCs w:val="20"/>
                <w:color w:val="auto"/>
              </w:rPr>
            </w:pPr>
            <w:r>
              <w:rPr>
                <w:rFonts w:ascii="Arial" w:cs="Arial" w:eastAsia="Arial" w:hAnsi="Arial"/>
                <w:sz w:val="17"/>
                <w:szCs w:val="17"/>
                <w:color w:val="auto"/>
              </w:rPr>
              <w:t>Warranty reserves, end of period</w:t>
            </w:r>
          </w:p>
        </w:tc>
        <w:tc>
          <w:tcPr>
            <w:tcW w:w="22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w w:val="84"/>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93,522</w:t>
            </w:r>
          </w:p>
        </w:tc>
        <w:tc>
          <w:tcPr>
            <w:tcW w:w="80" w:type="dxa"/>
            <w:vAlign w:val="bottom"/>
          </w:tcPr>
          <w:p>
            <w:pPr>
              <w:spacing w:after="0"/>
              <w:rPr>
                <w:sz w:val="18"/>
                <w:szCs w:val="18"/>
                <w:color w:val="auto"/>
              </w:rPr>
            </w:pPr>
          </w:p>
        </w:tc>
        <w:tc>
          <w:tcPr>
            <w:tcW w:w="300" w:type="dxa"/>
            <w:vAlign w:val="bottom"/>
            <w:tcBorders>
              <w:bottom w:val="single" w:sz="8" w:color="auto"/>
            </w:tcBorders>
          </w:tcPr>
          <w:p>
            <w:pPr>
              <w:jc w:val="right"/>
              <w:ind w:right="93"/>
              <w:spacing w:after="0"/>
              <w:rPr>
                <w:sz w:val="20"/>
                <w:szCs w:val="20"/>
                <w:color w:val="auto"/>
              </w:rPr>
            </w:pPr>
            <w:r>
              <w:rPr>
                <w:rFonts w:ascii="Arial" w:cs="Arial" w:eastAsia="Arial" w:hAnsi="Arial"/>
                <w:sz w:val="17"/>
                <w:szCs w:val="17"/>
                <w:color w:val="auto"/>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79,190</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93"/>
              <w:spacing w:after="0"/>
              <w:rPr>
                <w:sz w:val="20"/>
                <w:szCs w:val="20"/>
                <w:color w:val="auto"/>
              </w:rPr>
            </w:pPr>
            <w:r>
              <w:rPr>
                <w:rFonts w:ascii="Arial" w:cs="Arial" w:eastAsia="Arial" w:hAnsi="Arial"/>
                <w:sz w:val="17"/>
                <w:szCs w:val="17"/>
                <w:color w:val="auto"/>
                <w:w w:val="84"/>
              </w:rPr>
              <w:t>$</w:t>
            </w:r>
          </w:p>
        </w:tc>
        <w:tc>
          <w:tcPr>
            <w:tcW w:w="920" w:type="dxa"/>
            <w:vAlign w:val="bottom"/>
            <w:tcBorders>
              <w:bottom w:val="single" w:sz="8" w:color="auto"/>
            </w:tcBorders>
          </w:tcPr>
          <w:p>
            <w:pPr>
              <w:jc w:val="center"/>
              <w:ind w:left="239"/>
              <w:spacing w:after="0"/>
              <w:rPr>
                <w:sz w:val="20"/>
                <w:szCs w:val="20"/>
                <w:color w:val="auto"/>
              </w:rPr>
            </w:pPr>
            <w:r>
              <w:rPr>
                <w:rFonts w:ascii="Arial" w:cs="Arial" w:eastAsia="Arial" w:hAnsi="Arial"/>
                <w:sz w:val="17"/>
                <w:szCs w:val="17"/>
                <w:color w:val="auto"/>
                <w:w w:val="92"/>
              </w:rPr>
              <w:t>93,522</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93"/>
              <w:spacing w:after="0"/>
              <w:rPr>
                <w:sz w:val="20"/>
                <w:szCs w:val="20"/>
                <w:color w:val="auto"/>
              </w:rPr>
            </w:pPr>
            <w:r>
              <w:rPr>
                <w:rFonts w:ascii="Arial" w:cs="Arial" w:eastAsia="Arial" w:hAnsi="Arial"/>
                <w:sz w:val="17"/>
                <w:szCs w:val="17"/>
                <w:color w:val="auto"/>
                <w:w w:val="84"/>
              </w:rPr>
              <w:t>$</w:t>
            </w:r>
          </w:p>
        </w:tc>
        <w:tc>
          <w:tcPr>
            <w:tcW w:w="920" w:type="dxa"/>
            <w:vAlign w:val="bottom"/>
            <w:tcBorders>
              <w:bottom w:val="single" w:sz="8" w:color="auto"/>
            </w:tcBorders>
          </w:tcPr>
          <w:p>
            <w:pPr>
              <w:ind w:left="360"/>
              <w:spacing w:after="0"/>
              <w:rPr>
                <w:sz w:val="20"/>
                <w:szCs w:val="20"/>
                <w:color w:val="auto"/>
              </w:rPr>
            </w:pPr>
            <w:r>
              <w:rPr>
                <w:rFonts w:ascii="Arial" w:cs="Arial" w:eastAsia="Arial" w:hAnsi="Arial"/>
                <w:sz w:val="17"/>
                <w:szCs w:val="17"/>
                <w:color w:val="auto"/>
              </w:rPr>
              <w:t>79,190</w:t>
            </w:r>
          </w:p>
        </w:tc>
      </w:tr>
      <w:tr>
        <w:trPr>
          <w:trHeight w:val="20"/>
        </w:trPr>
        <w:tc>
          <w:tcPr>
            <w:tcW w:w="6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89" w:lineRule="exact"/>
        <w:rPr>
          <w:sz w:val="20"/>
          <w:szCs w:val="20"/>
          <w:color w:val="auto"/>
        </w:rPr>
      </w:pPr>
    </w:p>
    <w:p>
      <w:pPr>
        <w:ind w:left="480"/>
        <w:spacing w:after="0"/>
        <w:rPr>
          <w:sz w:val="20"/>
          <w:szCs w:val="20"/>
          <w:color w:val="auto"/>
        </w:rPr>
      </w:pPr>
      <w:r>
        <w:rPr>
          <w:rFonts w:ascii="Arial" w:cs="Arial" w:eastAsia="Arial" w:hAnsi="Arial"/>
          <w:sz w:val="17"/>
          <w:szCs w:val="17"/>
          <w:b w:val="1"/>
          <w:bCs w:val="1"/>
          <w:i w:val="1"/>
          <w:iCs w:val="1"/>
          <w:color w:val="auto"/>
        </w:rPr>
        <w:t>Performance Bonds</w:t>
      </w:r>
    </w:p>
    <w:p>
      <w:pPr>
        <w:spacing w:after="0" w:line="118" w:lineRule="exact"/>
        <w:rPr>
          <w:sz w:val="20"/>
          <w:szCs w:val="20"/>
          <w:color w:val="auto"/>
        </w:rPr>
      </w:pPr>
    </w:p>
    <w:p>
      <w:pPr>
        <w:ind w:left="480"/>
        <w:spacing w:after="0"/>
        <w:rPr>
          <w:sz w:val="20"/>
          <w:szCs w:val="20"/>
          <w:color w:val="auto"/>
        </w:rPr>
      </w:pPr>
      <w:r>
        <w:rPr>
          <w:rFonts w:ascii="Arial" w:cs="Arial" w:eastAsia="Arial" w:hAnsi="Arial"/>
          <w:sz w:val="15"/>
          <w:szCs w:val="15"/>
          <w:color w:val="auto"/>
        </w:rPr>
        <w:t>We obtain surety bonds in the normal course of business to ensure completion of certain infrastructure improvements of our projects. The beneficiaries of</w:t>
      </w:r>
    </w:p>
    <w:p>
      <w:pPr>
        <w:spacing w:after="0" w:line="49" w:lineRule="exact"/>
        <w:rPr>
          <w:sz w:val="20"/>
          <w:szCs w:val="20"/>
          <w:color w:val="auto"/>
        </w:rPr>
      </w:pPr>
    </w:p>
    <w:p>
      <w:pPr>
        <w:spacing w:after="0"/>
        <w:rPr>
          <w:sz w:val="20"/>
          <w:szCs w:val="20"/>
          <w:color w:val="auto"/>
        </w:rPr>
      </w:pPr>
      <w:r>
        <w:rPr>
          <w:rFonts w:ascii="Arial" w:cs="Arial" w:eastAsia="Arial" w:hAnsi="Arial"/>
          <w:sz w:val="16"/>
          <w:szCs w:val="16"/>
          <w:color w:val="auto"/>
        </w:rPr>
        <w:t>the bonds are various municipalities. As of June 30, 2021 and December 31, 2020, the Company had outstanding surety bonds totaling $650.5 million and</w:t>
      </w:r>
    </w:p>
    <w:p>
      <w:pPr>
        <w:spacing w:after="0" w:line="25" w:lineRule="exact"/>
        <w:rPr>
          <w:sz w:val="20"/>
          <w:szCs w:val="20"/>
          <w:color w:val="auto"/>
        </w:rPr>
      </w:pPr>
    </w:p>
    <w:p>
      <w:pPr>
        <w:spacing w:after="0"/>
        <w:rPr>
          <w:sz w:val="20"/>
          <w:szCs w:val="20"/>
          <w:color w:val="auto"/>
        </w:rPr>
      </w:pPr>
      <w:r>
        <w:rPr>
          <w:rFonts w:ascii="Arial" w:cs="Arial" w:eastAsia="Arial" w:hAnsi="Arial"/>
          <w:sz w:val="15"/>
          <w:szCs w:val="15"/>
          <w:color w:val="auto"/>
        </w:rPr>
        <w:t>$615.4 million, respectively. As of June 30, 2021 and December 31, 2020, our estimated cost to complete obligations related to these surety bonds was $422.4</w:t>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million and $323.2 million, respectively.</w:t>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Lease Obligations</w:t>
      </w:r>
    </w:p>
    <w:p>
      <w:pPr>
        <w:spacing w:after="0" w:line="124" w:lineRule="exact"/>
        <w:rPr>
          <w:sz w:val="20"/>
          <w:szCs w:val="20"/>
          <w:color w:val="auto"/>
        </w:rPr>
      </w:pPr>
    </w:p>
    <w:p>
      <w:pPr>
        <w:ind w:firstLine="470"/>
        <w:spacing w:after="0" w:line="263" w:lineRule="auto"/>
        <w:rPr>
          <w:sz w:val="20"/>
          <w:szCs w:val="20"/>
          <w:color w:val="auto"/>
        </w:rPr>
      </w:pPr>
      <w:r>
        <w:rPr>
          <w:rFonts w:ascii="Arial" w:cs="Arial" w:eastAsia="Arial" w:hAnsi="Arial"/>
          <w:sz w:val="17"/>
          <w:szCs w:val="17"/>
          <w:color w:val="auto"/>
        </w:rPr>
        <w:t>Under ASC 842 we recognize a right-of-use lease asset and a lease liability for contracts deemed to contain a lease at the inception of the contract. Our lease population is fully comprised of operating leases, which are now recorded at the net present value of future lease obligations existing at each balance sheet date. At the inception of a lease, or if a lease is subsequently modified, we determine whether the lease is an operating or financing lease. Key estimates involved with ASC 842 include the discount rate used to measure our future lease obligations and the lease term, where considerations include renewal options and intent to renew. Lease right-of-use assets are included in other assets and lease liabilities are included in accrued expenses and other liabilities on our consolidated balance sheet.</w:t>
      </w:r>
    </w:p>
    <w:p>
      <w:pPr>
        <w:spacing w:after="0" w:line="11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Operating Leases</w:t>
      </w:r>
    </w:p>
    <w:p>
      <w:pPr>
        <w:spacing w:after="0" w:line="118" w:lineRule="exact"/>
        <w:rPr>
          <w:sz w:val="20"/>
          <w:szCs w:val="20"/>
          <w:color w:val="auto"/>
        </w:rPr>
      </w:pPr>
    </w:p>
    <w:p>
      <w:pPr>
        <w:ind w:right="20" w:firstLine="470"/>
        <w:spacing w:after="0" w:line="272" w:lineRule="auto"/>
        <w:rPr>
          <w:sz w:val="20"/>
          <w:szCs w:val="20"/>
          <w:color w:val="auto"/>
        </w:rPr>
      </w:pPr>
      <w:r>
        <w:rPr>
          <w:rFonts w:ascii="Arial" w:cs="Arial" w:eastAsia="Arial" w:hAnsi="Arial"/>
          <w:sz w:val="17"/>
          <w:szCs w:val="17"/>
          <w:color w:val="auto"/>
        </w:rPr>
        <w:t>We lease certain property and equipment under non-cancelable operating leases. Office leases are for terms of up to ten years and generally provide renewal options. In most cases, we expect that, in the normal course of business, leases that expire will be renewed or replaced by other leases. Equipment leases are typically for terms of three to four years.</w:t>
      </w:r>
    </w:p>
    <w:p>
      <w:pPr>
        <w:spacing w:after="0" w:line="10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Ground Leases</w:t>
      </w:r>
    </w:p>
    <w:p>
      <w:pPr>
        <w:spacing w:after="0" w:line="118" w:lineRule="exact"/>
        <w:rPr>
          <w:sz w:val="20"/>
          <w:szCs w:val="20"/>
          <w:color w:val="auto"/>
        </w:rPr>
      </w:pPr>
    </w:p>
    <w:p>
      <w:pPr>
        <w:ind w:right="200" w:firstLine="470"/>
        <w:spacing w:after="0" w:line="272" w:lineRule="auto"/>
        <w:rPr>
          <w:sz w:val="20"/>
          <w:szCs w:val="20"/>
          <w:color w:val="auto"/>
        </w:rPr>
      </w:pPr>
      <w:r>
        <w:rPr>
          <w:rFonts w:ascii="Arial" w:cs="Arial" w:eastAsia="Arial" w:hAnsi="Arial"/>
          <w:sz w:val="17"/>
          <w:szCs w:val="17"/>
          <w:color w:val="auto"/>
        </w:rPr>
        <w:t>In 1987, we obtained two 55-year ground leases of commercial property that provided for three renewal options of ten years each and one 45-year renewal option. We exercised the three ten-year extensions on one of these ground leases to extend the lease through 2071. The commercial buildings on these properties have been sold and the ground leases have been sublet to the buyers.</w:t>
      </w:r>
    </w:p>
    <w:p>
      <w:pPr>
        <w:spacing w:after="0" w:line="172" w:lineRule="exact"/>
        <w:rPr>
          <w:sz w:val="20"/>
          <w:szCs w:val="20"/>
          <w:color w:val="auto"/>
        </w:rPr>
      </w:pPr>
    </w:p>
    <w:p>
      <w:pPr>
        <w:ind w:right="140" w:firstLine="470"/>
        <w:spacing w:after="0" w:line="267" w:lineRule="auto"/>
        <w:rPr>
          <w:sz w:val="20"/>
          <w:szCs w:val="20"/>
          <w:color w:val="auto"/>
        </w:rPr>
      </w:pPr>
      <w:r>
        <w:rPr>
          <w:rFonts w:ascii="Arial" w:cs="Arial" w:eastAsia="Arial" w:hAnsi="Arial"/>
          <w:sz w:val="17"/>
          <w:szCs w:val="17"/>
          <w:color w:val="auto"/>
        </w:rPr>
        <w:t>For one of these leases, we are responsible for making lease payments to the landowner, and we collect sublease payments from the buyers of the buildings. This ground lease has been subleased through 2041 to the buyers of the commercial buildings. For the second lease, the buyers of the buildings are responsible for making lease payments directly to the landowner, however, we have guaranteed the performance of the buyers/lessees. See below for additional information on leases (dollars in thousands):</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- 20 -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81" w:right="33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144"/>
        </w:trPr>
        <w:tc>
          <w:tcPr>
            <w:tcW w:w="4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1800" w:type="dxa"/>
            <w:vAlign w:val="bottom"/>
            <w:tcBorders>
              <w:top w:val="single" w:sz="8" w:color="auto"/>
            </w:tcBorders>
            <w:gridSpan w:val="2"/>
          </w:tcPr>
          <w:p>
            <w:pPr>
              <w:jc w:val="right"/>
              <w:spacing w:after="0" w:line="144" w:lineRule="exact"/>
              <w:rPr>
                <w:sz w:val="20"/>
                <w:szCs w:val="20"/>
                <w:color w:val="auto"/>
              </w:rPr>
            </w:pPr>
            <w:r>
              <w:rPr>
                <w:rFonts w:ascii="Arial" w:cs="Arial" w:eastAsia="Arial" w:hAnsi="Arial"/>
                <w:sz w:val="14"/>
                <w:szCs w:val="14"/>
                <w:b w:val="1"/>
                <w:bCs w:val="1"/>
                <w:color w:val="auto"/>
              </w:rPr>
              <w:t>Three Months Ended</w:t>
            </w:r>
          </w:p>
        </w:tc>
        <w:tc>
          <w:tcPr>
            <w:tcW w:w="100" w:type="dxa"/>
            <w:vAlign w:val="bottom"/>
            <w:gridSpan w:val="2"/>
          </w:tcPr>
          <w:p>
            <w:pPr>
              <w:spacing w:after="0"/>
              <w:rPr>
                <w:sz w:val="12"/>
                <w:szCs w:val="12"/>
                <w:color w:val="auto"/>
              </w:rPr>
            </w:pPr>
          </w:p>
        </w:tc>
        <w:tc>
          <w:tcPr>
            <w:tcW w:w="1840" w:type="dxa"/>
            <w:vAlign w:val="bottom"/>
            <w:tcBorders>
              <w:top w:val="single" w:sz="8" w:color="auto"/>
            </w:tcBorders>
            <w:gridSpan w:val="3"/>
          </w:tcPr>
          <w:p>
            <w:pPr>
              <w:jc w:val="center"/>
              <w:ind w:left="379"/>
              <w:spacing w:after="0" w:line="144" w:lineRule="exact"/>
              <w:rPr>
                <w:sz w:val="20"/>
                <w:szCs w:val="20"/>
                <w:color w:val="auto"/>
              </w:rPr>
            </w:pPr>
            <w:r>
              <w:rPr>
                <w:rFonts w:ascii="Arial" w:cs="Arial" w:eastAsia="Arial" w:hAnsi="Arial"/>
                <w:sz w:val="14"/>
                <w:szCs w:val="14"/>
                <w:b w:val="1"/>
                <w:bCs w:val="1"/>
                <w:color w:val="auto"/>
                <w:w w:val="90"/>
              </w:rPr>
              <w:t>Three Months Ended</w:t>
            </w:r>
          </w:p>
        </w:tc>
        <w:tc>
          <w:tcPr>
            <w:tcW w:w="120" w:type="dxa"/>
            <w:vAlign w:val="bottom"/>
          </w:tcPr>
          <w:p>
            <w:pPr>
              <w:spacing w:after="0"/>
              <w:rPr>
                <w:sz w:val="12"/>
                <w:szCs w:val="12"/>
                <w:color w:val="auto"/>
              </w:rPr>
            </w:pPr>
          </w:p>
        </w:tc>
        <w:tc>
          <w:tcPr>
            <w:tcW w:w="3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140" w:type="dxa"/>
            <w:vAlign w:val="bottom"/>
            <w:tcBorders>
              <w:top w:val="single" w:sz="8" w:color="auto"/>
            </w:tcBorders>
            <w:gridSpan w:val="2"/>
          </w:tcPr>
          <w:p>
            <w:pPr>
              <w:ind w:left="20"/>
              <w:spacing w:after="0" w:line="144" w:lineRule="exact"/>
              <w:rPr>
                <w:sz w:val="20"/>
                <w:szCs w:val="20"/>
                <w:color w:val="auto"/>
              </w:rPr>
            </w:pPr>
            <w:r>
              <w:rPr>
                <w:rFonts w:ascii="Arial" w:cs="Arial" w:eastAsia="Arial" w:hAnsi="Arial"/>
                <w:sz w:val="14"/>
                <w:szCs w:val="14"/>
                <w:b w:val="1"/>
                <w:bCs w:val="1"/>
                <w:color w:val="auto"/>
                <w:w w:val="90"/>
              </w:rPr>
              <w:t>Six Months Ended</w:t>
            </w:r>
          </w:p>
        </w:tc>
        <w:tc>
          <w:tcPr>
            <w:tcW w:w="100" w:type="dxa"/>
            <w:vAlign w:val="bottom"/>
          </w:tcPr>
          <w:p>
            <w:pPr>
              <w:spacing w:after="0"/>
              <w:rPr>
                <w:sz w:val="12"/>
                <w:szCs w:val="12"/>
                <w:color w:val="auto"/>
              </w:rPr>
            </w:pPr>
          </w:p>
        </w:tc>
        <w:tc>
          <w:tcPr>
            <w:tcW w:w="1240" w:type="dxa"/>
            <w:vAlign w:val="bottom"/>
            <w:tcBorders>
              <w:top w:val="single" w:sz="8" w:color="auto"/>
            </w:tcBorders>
            <w:gridSpan w:val="3"/>
          </w:tcPr>
          <w:p>
            <w:pPr>
              <w:ind w:left="480"/>
              <w:spacing w:after="0" w:line="144" w:lineRule="exact"/>
              <w:rPr>
                <w:sz w:val="20"/>
                <w:szCs w:val="20"/>
                <w:color w:val="auto"/>
              </w:rPr>
            </w:pPr>
            <w:r>
              <w:rPr>
                <w:rFonts w:ascii="Arial" w:cs="Arial" w:eastAsia="Arial" w:hAnsi="Arial"/>
                <w:sz w:val="14"/>
                <w:szCs w:val="14"/>
                <w:b w:val="1"/>
                <w:bCs w:val="1"/>
                <w:color w:val="auto"/>
                <w:w w:val="99"/>
              </w:rPr>
              <w:t>Six Months</w:t>
            </w:r>
          </w:p>
        </w:tc>
        <w:tc>
          <w:tcPr>
            <w:tcW w:w="0" w:type="dxa"/>
            <w:vAlign w:val="bottom"/>
          </w:tcPr>
          <w:p>
            <w:pPr>
              <w:spacing w:after="0"/>
              <w:rPr>
                <w:sz w:val="1"/>
                <w:szCs w:val="1"/>
                <w:color w:val="auto"/>
              </w:rPr>
            </w:pPr>
          </w:p>
        </w:tc>
      </w:tr>
      <w:tr>
        <w:trPr>
          <w:trHeight w:val="183"/>
        </w:trPr>
        <w:tc>
          <w:tcPr>
            <w:tcW w:w="4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180" w:type="dxa"/>
            <w:vAlign w:val="bottom"/>
          </w:tcPr>
          <w:p>
            <w:pPr>
              <w:spacing w:after="0"/>
              <w:rPr>
                <w:sz w:val="15"/>
                <w:szCs w:val="15"/>
                <w:color w:val="auto"/>
              </w:rPr>
            </w:pPr>
          </w:p>
        </w:tc>
        <w:tc>
          <w:tcPr>
            <w:tcW w:w="1320" w:type="dxa"/>
            <w:vAlign w:val="bottom"/>
          </w:tcPr>
          <w:p>
            <w:pPr>
              <w:ind w:left="500"/>
              <w:spacing w:after="0"/>
              <w:rPr>
                <w:sz w:val="20"/>
                <w:szCs w:val="20"/>
                <w:color w:val="auto"/>
              </w:rPr>
            </w:pPr>
            <w:r>
              <w:rPr>
                <w:rFonts w:ascii="Arial" w:cs="Arial" w:eastAsia="Arial" w:hAnsi="Arial"/>
                <w:sz w:val="14"/>
                <w:szCs w:val="14"/>
                <w:b w:val="1"/>
                <w:bCs w:val="1"/>
                <w:color w:val="auto"/>
                <w:w w:val="87"/>
              </w:rPr>
              <w:t>June 30, 2021</w:t>
            </w:r>
          </w:p>
        </w:tc>
        <w:tc>
          <w:tcPr>
            <w:tcW w:w="4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360" w:type="dxa"/>
            <w:vAlign w:val="bottom"/>
            <w:gridSpan w:val="2"/>
          </w:tcPr>
          <w:p>
            <w:pPr>
              <w:ind w:left="520"/>
              <w:spacing w:after="0"/>
              <w:rPr>
                <w:sz w:val="20"/>
                <w:szCs w:val="20"/>
                <w:color w:val="auto"/>
              </w:rPr>
            </w:pPr>
            <w:r>
              <w:rPr>
                <w:rFonts w:ascii="Arial" w:cs="Arial" w:eastAsia="Arial" w:hAnsi="Arial"/>
                <w:sz w:val="14"/>
                <w:szCs w:val="14"/>
                <w:b w:val="1"/>
                <w:bCs w:val="1"/>
                <w:color w:val="auto"/>
                <w:w w:val="90"/>
              </w:rPr>
              <w:t>June 30, 2020</w:t>
            </w:r>
          </w:p>
        </w:tc>
        <w:tc>
          <w:tcPr>
            <w:tcW w:w="4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340" w:type="dxa"/>
            <w:vAlign w:val="bottom"/>
            <w:gridSpan w:val="4"/>
          </w:tcPr>
          <w:p>
            <w:pPr>
              <w:ind w:left="20"/>
              <w:spacing w:after="0"/>
              <w:rPr>
                <w:sz w:val="20"/>
                <w:szCs w:val="20"/>
                <w:color w:val="auto"/>
              </w:rPr>
            </w:pPr>
            <w:r>
              <w:rPr>
                <w:rFonts w:ascii="Arial" w:cs="Arial" w:eastAsia="Arial" w:hAnsi="Arial"/>
                <w:sz w:val="14"/>
                <w:szCs w:val="14"/>
                <w:b w:val="1"/>
                <w:bCs w:val="1"/>
                <w:color w:val="auto"/>
              </w:rPr>
              <w:t>June 30, 2021</w:t>
            </w:r>
          </w:p>
        </w:tc>
        <w:tc>
          <w:tcPr>
            <w:tcW w:w="1240" w:type="dxa"/>
            <w:vAlign w:val="bottom"/>
            <w:gridSpan w:val="3"/>
          </w:tcPr>
          <w:p>
            <w:pPr>
              <w:jc w:val="right"/>
              <w:ind w:right="40"/>
              <w:spacing w:after="0"/>
              <w:rPr>
                <w:sz w:val="20"/>
                <w:szCs w:val="20"/>
                <w:color w:val="auto"/>
              </w:rPr>
            </w:pPr>
            <w:r>
              <w:rPr>
                <w:rFonts w:ascii="Arial" w:cs="Arial" w:eastAsia="Arial" w:hAnsi="Arial"/>
                <w:sz w:val="14"/>
                <w:szCs w:val="14"/>
                <w:b w:val="1"/>
                <w:bCs w:val="1"/>
                <w:color w:val="auto"/>
              </w:rPr>
              <w:t>June 30, 2020</w:t>
            </w:r>
          </w:p>
        </w:tc>
        <w:tc>
          <w:tcPr>
            <w:tcW w:w="0" w:type="dxa"/>
            <w:vAlign w:val="bottom"/>
          </w:tcPr>
          <w:p>
            <w:pPr>
              <w:spacing w:after="0"/>
              <w:rPr>
                <w:sz w:val="1"/>
                <w:szCs w:val="1"/>
                <w:color w:val="auto"/>
              </w:rPr>
            </w:pPr>
          </w:p>
        </w:tc>
      </w:tr>
      <w:tr>
        <w:trPr>
          <w:trHeight w:val="183"/>
        </w:trPr>
        <w:tc>
          <w:tcPr>
            <w:tcW w:w="480" w:type="dxa"/>
            <w:vAlign w:val="bottom"/>
          </w:tcPr>
          <w:p>
            <w:pPr>
              <w:spacing w:after="0"/>
              <w:rPr>
                <w:sz w:val="15"/>
                <w:szCs w:val="15"/>
                <w:color w:val="auto"/>
              </w:rPr>
            </w:pPr>
          </w:p>
        </w:tc>
        <w:tc>
          <w:tcPr>
            <w:tcW w:w="480" w:type="dxa"/>
            <w:vAlign w:val="bottom"/>
            <w:tcBorders>
              <w:top w:val="single" w:sz="8" w:color="CCEEFF"/>
              <w:bottom w:val="single" w:sz="8" w:color="CCEEFF"/>
            </w:tcBorders>
            <w:shd w:val="clear" w:color="auto" w:fill="CCEEFF"/>
          </w:tcPr>
          <w:p>
            <w:pPr>
              <w:spacing w:after="0"/>
              <w:rPr>
                <w:sz w:val="15"/>
                <w:szCs w:val="15"/>
                <w:color w:val="auto"/>
              </w:rPr>
            </w:pPr>
          </w:p>
        </w:tc>
        <w:tc>
          <w:tcPr>
            <w:tcW w:w="820" w:type="dxa"/>
            <w:vAlign w:val="bottom"/>
            <w:tcBorders>
              <w:top w:val="single" w:sz="8" w:color="CCEEFF"/>
              <w:bottom w:val="single" w:sz="8" w:color="auto"/>
            </w:tcBorders>
            <w:shd w:val="clear" w:color="auto" w:fill="CCEEFF"/>
          </w:tcPr>
          <w:p>
            <w:pPr>
              <w:spacing w:after="0" w:line="163" w:lineRule="exact"/>
              <w:rPr>
                <w:sz w:val="20"/>
                <w:szCs w:val="20"/>
                <w:color w:val="auto"/>
              </w:rPr>
            </w:pPr>
            <w:r>
              <w:rPr>
                <w:rFonts w:ascii="Arial" w:cs="Arial" w:eastAsia="Arial" w:hAnsi="Arial"/>
                <w:sz w:val="17"/>
                <w:szCs w:val="17"/>
                <w:b w:val="1"/>
                <w:bCs w:val="1"/>
                <w:color w:val="auto"/>
                <w:w w:val="88"/>
              </w:rPr>
              <w:t>Lease Cost</w:t>
            </w:r>
          </w:p>
        </w:tc>
        <w:tc>
          <w:tcPr>
            <w:tcW w:w="2740" w:type="dxa"/>
            <w:vAlign w:val="bottom"/>
            <w:tcBorders>
              <w:top w:val="single" w:sz="8" w:color="CCEEFF"/>
              <w:bottom w:val="single" w:sz="8" w:color="CCEEFF"/>
            </w:tcBorders>
            <w:gridSpan w:val="2"/>
            <w:shd w:val="clear" w:color="auto" w:fill="CCEEFF"/>
          </w:tcPr>
          <w:p>
            <w:pPr>
              <w:spacing w:after="0"/>
              <w:rPr>
                <w:sz w:val="15"/>
                <w:szCs w:val="15"/>
                <w:color w:val="auto"/>
              </w:rPr>
            </w:pPr>
          </w:p>
        </w:tc>
        <w:tc>
          <w:tcPr>
            <w:tcW w:w="1320" w:type="dxa"/>
            <w:vAlign w:val="bottom"/>
            <w:tcBorders>
              <w:top w:val="single" w:sz="8" w:color="auto"/>
              <w:bottom w:val="single" w:sz="8" w:color="CCEEFF"/>
            </w:tcBorders>
            <w:shd w:val="clear" w:color="auto" w:fill="CCEEFF"/>
          </w:tcPr>
          <w:p>
            <w:pPr>
              <w:spacing w:after="0"/>
              <w:rPr>
                <w:sz w:val="15"/>
                <w:szCs w:val="15"/>
                <w:color w:val="auto"/>
              </w:rPr>
            </w:pPr>
          </w:p>
        </w:tc>
        <w:tc>
          <w:tcPr>
            <w:tcW w:w="480" w:type="dxa"/>
            <w:vAlign w:val="bottom"/>
            <w:tcBorders>
              <w:top w:val="single" w:sz="8" w:color="auto"/>
              <w:bottom w:val="single" w:sz="8" w:color="CCEEFF"/>
            </w:tcBorders>
            <w:shd w:val="clear" w:color="auto" w:fill="CCEEFF"/>
          </w:tcPr>
          <w:p>
            <w:pPr>
              <w:spacing w:after="0"/>
              <w:rPr>
                <w:sz w:val="15"/>
                <w:szCs w:val="15"/>
                <w:color w:val="auto"/>
              </w:rPr>
            </w:pPr>
          </w:p>
        </w:tc>
        <w:tc>
          <w:tcPr>
            <w:tcW w:w="80" w:type="dxa"/>
            <w:vAlign w:val="bottom"/>
            <w:tcBorders>
              <w:top w:val="single" w:sz="8" w:color="CCEEFF"/>
              <w:bottom w:val="single" w:sz="8" w:color="CCEEFF"/>
            </w:tcBorders>
            <w:shd w:val="clear" w:color="auto" w:fill="CCEEFF"/>
          </w:tcPr>
          <w:p>
            <w:pPr>
              <w:spacing w:after="0"/>
              <w:rPr>
                <w:sz w:val="15"/>
                <w:szCs w:val="15"/>
                <w:color w:val="auto"/>
              </w:rPr>
            </w:pPr>
          </w:p>
        </w:tc>
        <w:tc>
          <w:tcPr>
            <w:tcW w:w="20" w:type="dxa"/>
            <w:vAlign w:val="bottom"/>
            <w:tcBorders>
              <w:top w:val="single" w:sz="8" w:color="CCEEFF"/>
              <w:bottom w:val="single" w:sz="8" w:color="CCEEFF"/>
            </w:tcBorders>
            <w:shd w:val="clear" w:color="auto" w:fill="CCEEFF"/>
          </w:tcPr>
          <w:p>
            <w:pPr>
              <w:spacing w:after="0"/>
              <w:rPr>
                <w:sz w:val="15"/>
                <w:szCs w:val="15"/>
                <w:color w:val="auto"/>
              </w:rPr>
            </w:pPr>
          </w:p>
        </w:tc>
        <w:tc>
          <w:tcPr>
            <w:tcW w:w="1040" w:type="dxa"/>
            <w:vAlign w:val="bottom"/>
            <w:tcBorders>
              <w:top w:val="single" w:sz="8" w:color="auto"/>
              <w:bottom w:val="single" w:sz="8" w:color="CCEEFF"/>
            </w:tcBorders>
            <w:shd w:val="clear" w:color="auto" w:fill="CCEEFF"/>
          </w:tcPr>
          <w:p>
            <w:pPr>
              <w:spacing w:after="0"/>
              <w:rPr>
                <w:sz w:val="15"/>
                <w:szCs w:val="15"/>
                <w:color w:val="auto"/>
              </w:rPr>
            </w:pPr>
          </w:p>
        </w:tc>
        <w:tc>
          <w:tcPr>
            <w:tcW w:w="320" w:type="dxa"/>
            <w:vAlign w:val="bottom"/>
            <w:tcBorders>
              <w:top w:val="single" w:sz="8" w:color="auto"/>
              <w:bottom w:val="single" w:sz="8" w:color="CCEEFF"/>
            </w:tcBorders>
            <w:shd w:val="clear" w:color="auto" w:fill="CCEEFF"/>
          </w:tcPr>
          <w:p>
            <w:pPr>
              <w:spacing w:after="0"/>
              <w:rPr>
                <w:sz w:val="15"/>
                <w:szCs w:val="15"/>
                <w:color w:val="auto"/>
              </w:rPr>
            </w:pPr>
          </w:p>
        </w:tc>
        <w:tc>
          <w:tcPr>
            <w:tcW w:w="480" w:type="dxa"/>
            <w:vAlign w:val="bottom"/>
            <w:tcBorders>
              <w:top w:val="single" w:sz="8" w:color="auto"/>
              <w:bottom w:val="single" w:sz="8" w:color="CCEEFF"/>
            </w:tcBorders>
            <w:shd w:val="clear" w:color="auto" w:fill="CCEEFF"/>
          </w:tcPr>
          <w:p>
            <w:pPr>
              <w:spacing w:after="0"/>
              <w:rPr>
                <w:sz w:val="15"/>
                <w:szCs w:val="15"/>
                <w:color w:val="auto"/>
              </w:rPr>
            </w:pPr>
          </w:p>
        </w:tc>
        <w:tc>
          <w:tcPr>
            <w:tcW w:w="120" w:type="dxa"/>
            <w:vAlign w:val="bottom"/>
            <w:tcBorders>
              <w:top w:val="single" w:sz="8" w:color="CCEEFF"/>
              <w:bottom w:val="single" w:sz="8" w:color="CCEEFF"/>
            </w:tcBorders>
            <w:shd w:val="clear" w:color="auto" w:fill="CCEEFF"/>
          </w:tcPr>
          <w:p>
            <w:pPr>
              <w:spacing w:after="0"/>
              <w:rPr>
                <w:sz w:val="15"/>
                <w:szCs w:val="15"/>
                <w:color w:val="auto"/>
              </w:rPr>
            </w:pPr>
          </w:p>
        </w:tc>
        <w:tc>
          <w:tcPr>
            <w:tcW w:w="380" w:type="dxa"/>
            <w:vAlign w:val="bottom"/>
            <w:tcBorders>
              <w:top w:val="single" w:sz="8" w:color="auto"/>
              <w:bottom w:val="single" w:sz="8" w:color="CCEEFF"/>
            </w:tcBorders>
            <w:shd w:val="clear" w:color="auto" w:fill="CCEEFF"/>
          </w:tcPr>
          <w:p>
            <w:pPr>
              <w:spacing w:after="0"/>
              <w:rPr>
                <w:sz w:val="15"/>
                <w:szCs w:val="15"/>
                <w:color w:val="auto"/>
              </w:rPr>
            </w:pPr>
          </w:p>
        </w:tc>
        <w:tc>
          <w:tcPr>
            <w:tcW w:w="100" w:type="dxa"/>
            <w:vAlign w:val="bottom"/>
            <w:tcBorders>
              <w:top w:val="single" w:sz="8" w:color="auto"/>
              <w:bottom w:val="single" w:sz="8" w:color="CCEEFF"/>
            </w:tcBorders>
            <w:shd w:val="clear" w:color="auto" w:fill="CCEEFF"/>
          </w:tcPr>
          <w:p>
            <w:pPr>
              <w:spacing w:after="0"/>
              <w:rPr>
                <w:sz w:val="15"/>
                <w:szCs w:val="15"/>
                <w:color w:val="auto"/>
              </w:rPr>
            </w:pPr>
          </w:p>
        </w:tc>
        <w:tc>
          <w:tcPr>
            <w:tcW w:w="520" w:type="dxa"/>
            <w:vAlign w:val="bottom"/>
            <w:tcBorders>
              <w:top w:val="single" w:sz="8" w:color="auto"/>
              <w:bottom w:val="single" w:sz="8" w:color="CCEEFF"/>
            </w:tcBorders>
            <w:shd w:val="clear" w:color="auto" w:fill="CCEEFF"/>
          </w:tcPr>
          <w:p>
            <w:pPr>
              <w:spacing w:after="0"/>
              <w:rPr>
                <w:sz w:val="15"/>
                <w:szCs w:val="15"/>
                <w:color w:val="auto"/>
              </w:rPr>
            </w:pPr>
          </w:p>
        </w:tc>
        <w:tc>
          <w:tcPr>
            <w:tcW w:w="620" w:type="dxa"/>
            <w:vAlign w:val="bottom"/>
            <w:tcBorders>
              <w:top w:val="single" w:sz="8" w:color="auto"/>
              <w:bottom w:val="single" w:sz="8" w:color="CCEEFF"/>
            </w:tcBorders>
            <w:shd w:val="clear" w:color="auto" w:fill="CCEEFF"/>
          </w:tcPr>
          <w:p>
            <w:pPr>
              <w:spacing w:after="0"/>
              <w:rPr>
                <w:sz w:val="15"/>
                <w:szCs w:val="15"/>
                <w:color w:val="auto"/>
              </w:rPr>
            </w:pP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560" w:type="dxa"/>
            <w:vAlign w:val="bottom"/>
            <w:tcBorders>
              <w:top w:val="single" w:sz="8" w:color="auto"/>
              <w:bottom w:val="single" w:sz="8" w:color="CCEEFF"/>
            </w:tcBorders>
            <w:shd w:val="clear" w:color="auto" w:fill="CCEEFF"/>
          </w:tcPr>
          <w:p>
            <w:pPr>
              <w:spacing w:after="0"/>
              <w:rPr>
                <w:sz w:val="15"/>
                <w:szCs w:val="15"/>
                <w:color w:val="auto"/>
              </w:rPr>
            </w:pPr>
          </w:p>
        </w:tc>
        <w:tc>
          <w:tcPr>
            <w:tcW w:w="560" w:type="dxa"/>
            <w:vAlign w:val="bottom"/>
            <w:tcBorders>
              <w:top w:val="single" w:sz="8" w:color="auto"/>
              <w:bottom w:val="single" w:sz="8" w:color="CCEEFF"/>
            </w:tcBorders>
            <w:shd w:val="clear" w:color="auto" w:fill="CCEEFF"/>
          </w:tcPr>
          <w:p>
            <w:pPr>
              <w:spacing w:after="0"/>
              <w:rPr>
                <w:sz w:val="15"/>
                <w:szCs w:val="15"/>
                <w:color w:val="auto"/>
              </w:rPr>
            </w:pPr>
          </w:p>
        </w:tc>
        <w:tc>
          <w:tcPr>
            <w:tcW w:w="120" w:type="dxa"/>
            <w:vAlign w:val="bottom"/>
            <w:tcBorders>
              <w:top w:val="single" w:sz="8" w:color="auto"/>
              <w:left w:val="single" w:sz="8" w:color="CCEEFF"/>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4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560" w:type="dxa"/>
            <w:vAlign w:val="bottom"/>
            <w:gridSpan w:val="3"/>
          </w:tcPr>
          <w:p>
            <w:pPr>
              <w:ind w:left="120"/>
              <w:spacing w:after="0" w:line="171" w:lineRule="exact"/>
              <w:rPr>
                <w:sz w:val="20"/>
                <w:szCs w:val="20"/>
                <w:color w:val="auto"/>
              </w:rPr>
            </w:pPr>
            <w:r>
              <w:rPr>
                <w:rFonts w:ascii="Arial" w:cs="Arial" w:eastAsia="Arial" w:hAnsi="Arial"/>
                <w:sz w:val="17"/>
                <w:szCs w:val="17"/>
                <w:color w:val="auto"/>
              </w:rPr>
              <w:t>Operating lease cost (included in SG&amp;A</w:t>
            </w:r>
          </w:p>
        </w:tc>
        <w:tc>
          <w:tcPr>
            <w:tcW w:w="1320" w:type="dxa"/>
            <w:vAlign w:val="bottom"/>
            <w:vMerge w:val="restart"/>
          </w:tcPr>
          <w:p>
            <w:pPr>
              <w:ind w:left="480"/>
              <w:spacing w:after="0"/>
              <w:rPr>
                <w:sz w:val="20"/>
                <w:szCs w:val="20"/>
                <w:color w:val="auto"/>
              </w:rPr>
            </w:pPr>
            <w:r>
              <w:rPr>
                <w:rFonts w:ascii="Arial" w:cs="Arial" w:eastAsia="Arial" w:hAnsi="Arial"/>
                <w:sz w:val="17"/>
                <w:szCs w:val="17"/>
                <w:color w:val="auto"/>
              </w:rPr>
              <w:t>$</w:t>
            </w:r>
          </w:p>
        </w:tc>
        <w:tc>
          <w:tcPr>
            <w:tcW w:w="480" w:type="dxa"/>
            <w:vAlign w:val="bottom"/>
            <w:vMerge w:val="restart"/>
          </w:tcPr>
          <w:p>
            <w:pPr>
              <w:jc w:val="right"/>
              <w:spacing w:after="0"/>
              <w:rPr>
                <w:sz w:val="20"/>
                <w:szCs w:val="20"/>
                <w:color w:val="auto"/>
              </w:rPr>
            </w:pPr>
            <w:r>
              <w:rPr>
                <w:rFonts w:ascii="Arial" w:cs="Arial" w:eastAsia="Arial" w:hAnsi="Arial"/>
                <w:sz w:val="17"/>
                <w:szCs w:val="17"/>
                <w:color w:val="auto"/>
                <w:w w:val="93"/>
              </w:rPr>
              <w:t>2,443</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40" w:type="dxa"/>
            <w:vAlign w:val="bottom"/>
            <w:vMerge w:val="restart"/>
          </w:tcPr>
          <w:p>
            <w:pPr>
              <w:jc w:val="right"/>
              <w:ind w:right="379"/>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4"/>
                <w:szCs w:val="14"/>
                <w:color w:val="auto"/>
              </w:rPr>
            </w:pPr>
          </w:p>
        </w:tc>
        <w:tc>
          <w:tcPr>
            <w:tcW w:w="480" w:type="dxa"/>
            <w:vAlign w:val="bottom"/>
            <w:vMerge w:val="restart"/>
          </w:tcPr>
          <w:p>
            <w:pPr>
              <w:jc w:val="right"/>
              <w:spacing w:after="0"/>
              <w:rPr>
                <w:sz w:val="20"/>
                <w:szCs w:val="20"/>
                <w:color w:val="auto"/>
              </w:rPr>
            </w:pPr>
            <w:r>
              <w:rPr>
                <w:rFonts w:ascii="Arial" w:cs="Arial" w:eastAsia="Arial" w:hAnsi="Arial"/>
                <w:sz w:val="17"/>
                <w:szCs w:val="17"/>
                <w:color w:val="auto"/>
                <w:w w:val="89"/>
              </w:rPr>
              <w:t>2,456</w:t>
            </w:r>
          </w:p>
        </w:tc>
        <w:tc>
          <w:tcPr>
            <w:tcW w:w="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20" w:type="dxa"/>
            <w:vAlign w:val="bottom"/>
            <w:gridSpan w:val="2"/>
            <w:vMerge w:val="restart"/>
          </w:tcPr>
          <w:p>
            <w:pPr>
              <w:ind w:left="100"/>
              <w:spacing w:after="0"/>
              <w:rPr>
                <w:sz w:val="20"/>
                <w:szCs w:val="20"/>
                <w:color w:val="auto"/>
              </w:rPr>
            </w:pPr>
            <w:r>
              <w:rPr>
                <w:rFonts w:ascii="Arial" w:cs="Arial" w:eastAsia="Arial" w:hAnsi="Arial"/>
                <w:sz w:val="17"/>
                <w:szCs w:val="17"/>
                <w:color w:val="auto"/>
              </w:rPr>
              <w:t>$</w:t>
            </w:r>
          </w:p>
        </w:tc>
        <w:tc>
          <w:tcPr>
            <w:tcW w:w="620" w:type="dxa"/>
            <w:vAlign w:val="bottom"/>
            <w:vMerge w:val="restart"/>
          </w:tcPr>
          <w:p>
            <w:pPr>
              <w:jc w:val="right"/>
              <w:spacing w:after="0"/>
              <w:rPr>
                <w:sz w:val="20"/>
                <w:szCs w:val="20"/>
                <w:color w:val="auto"/>
              </w:rPr>
            </w:pPr>
            <w:r>
              <w:rPr>
                <w:rFonts w:ascii="Arial" w:cs="Arial" w:eastAsia="Arial" w:hAnsi="Arial"/>
                <w:sz w:val="17"/>
                <w:szCs w:val="17"/>
                <w:color w:val="auto"/>
              </w:rPr>
              <w:t>4,924</w:t>
            </w:r>
          </w:p>
        </w:tc>
        <w:tc>
          <w:tcPr>
            <w:tcW w:w="100" w:type="dxa"/>
            <w:vAlign w:val="bottom"/>
          </w:tcPr>
          <w:p>
            <w:pPr>
              <w:spacing w:after="0"/>
              <w:rPr>
                <w:sz w:val="14"/>
                <w:szCs w:val="14"/>
                <w:color w:val="auto"/>
              </w:rPr>
            </w:pPr>
          </w:p>
        </w:tc>
        <w:tc>
          <w:tcPr>
            <w:tcW w:w="560" w:type="dxa"/>
            <w:vAlign w:val="bottom"/>
            <w:vMerge w:val="restart"/>
          </w:tcPr>
          <w:p>
            <w:pPr>
              <w:ind w:left="480"/>
              <w:spacing w:after="0"/>
              <w:rPr>
                <w:sz w:val="20"/>
                <w:szCs w:val="20"/>
                <w:color w:val="auto"/>
              </w:rPr>
            </w:pPr>
            <w:r>
              <w:rPr>
                <w:rFonts w:ascii="Arial" w:cs="Arial" w:eastAsia="Arial" w:hAnsi="Arial"/>
                <w:sz w:val="15"/>
                <w:szCs w:val="15"/>
                <w:color w:val="auto"/>
                <w:w w:val="71"/>
              </w:rPr>
              <w:t>$</w:t>
            </w:r>
          </w:p>
        </w:tc>
        <w:tc>
          <w:tcPr>
            <w:tcW w:w="680" w:type="dxa"/>
            <w:vAlign w:val="bottom"/>
            <w:gridSpan w:val="2"/>
            <w:vMerge w:val="restart"/>
          </w:tcPr>
          <w:p>
            <w:pPr>
              <w:jc w:val="right"/>
              <w:spacing w:after="0"/>
              <w:rPr>
                <w:sz w:val="20"/>
                <w:szCs w:val="20"/>
                <w:color w:val="auto"/>
              </w:rPr>
            </w:pPr>
            <w:r>
              <w:rPr>
                <w:rFonts w:ascii="Arial" w:cs="Arial" w:eastAsia="Arial" w:hAnsi="Arial"/>
                <w:sz w:val="17"/>
                <w:szCs w:val="17"/>
                <w:color w:val="auto"/>
              </w:rPr>
              <w:t>4</w:t>
            </w:r>
          </w:p>
        </w:tc>
        <w:tc>
          <w:tcPr>
            <w:tcW w:w="0" w:type="dxa"/>
            <w:vAlign w:val="bottom"/>
          </w:tcPr>
          <w:p>
            <w:pPr>
              <w:spacing w:after="0"/>
              <w:rPr>
                <w:sz w:val="1"/>
                <w:szCs w:val="1"/>
                <w:color w:val="auto"/>
              </w:rPr>
            </w:pPr>
          </w:p>
        </w:tc>
      </w:tr>
      <w:tr>
        <w:trPr>
          <w:trHeight w:val="221"/>
        </w:trPr>
        <w:tc>
          <w:tcPr>
            <w:tcW w:w="480" w:type="dxa"/>
            <w:vAlign w:val="bottom"/>
          </w:tcPr>
          <w:p>
            <w:pPr>
              <w:spacing w:after="0"/>
              <w:rPr>
                <w:sz w:val="19"/>
                <w:szCs w:val="19"/>
                <w:color w:val="auto"/>
              </w:rPr>
            </w:pPr>
          </w:p>
        </w:tc>
        <w:tc>
          <w:tcPr>
            <w:tcW w:w="4040" w:type="dxa"/>
            <w:vAlign w:val="bottom"/>
            <w:gridSpan w:val="4"/>
          </w:tcPr>
          <w:p>
            <w:pPr>
              <w:ind w:left="140"/>
              <w:spacing w:after="0"/>
              <w:rPr>
                <w:sz w:val="20"/>
                <w:szCs w:val="20"/>
                <w:color w:val="auto"/>
              </w:rPr>
            </w:pPr>
            <w:r>
              <w:rPr>
                <w:rFonts w:ascii="Arial" w:cs="Arial" w:eastAsia="Arial" w:hAnsi="Arial"/>
                <w:sz w:val="17"/>
                <w:szCs w:val="17"/>
                <w:color w:val="auto"/>
              </w:rPr>
              <w:t>expense)</w:t>
            </w:r>
          </w:p>
        </w:tc>
        <w:tc>
          <w:tcPr>
            <w:tcW w:w="1320" w:type="dxa"/>
            <w:vAlign w:val="bottom"/>
            <w:vMerge w:val="continue"/>
          </w:tcPr>
          <w:p>
            <w:pPr>
              <w:spacing w:after="0"/>
              <w:rPr>
                <w:sz w:val="19"/>
                <w:szCs w:val="19"/>
                <w:color w:val="auto"/>
              </w:rPr>
            </w:pPr>
          </w:p>
        </w:tc>
        <w:tc>
          <w:tcPr>
            <w:tcW w:w="48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40" w:type="dxa"/>
            <w:vAlign w:val="bottom"/>
            <w:vMerge w:val="continue"/>
          </w:tcPr>
          <w:p>
            <w:pPr>
              <w:spacing w:after="0"/>
              <w:rPr>
                <w:sz w:val="19"/>
                <w:szCs w:val="19"/>
                <w:color w:val="auto"/>
              </w:rPr>
            </w:pPr>
          </w:p>
        </w:tc>
        <w:tc>
          <w:tcPr>
            <w:tcW w:w="320" w:type="dxa"/>
            <w:vAlign w:val="bottom"/>
          </w:tcPr>
          <w:p>
            <w:pPr>
              <w:spacing w:after="0"/>
              <w:rPr>
                <w:sz w:val="19"/>
                <w:szCs w:val="19"/>
                <w:color w:val="auto"/>
              </w:rPr>
            </w:pPr>
          </w:p>
        </w:tc>
        <w:tc>
          <w:tcPr>
            <w:tcW w:w="48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20" w:type="dxa"/>
            <w:vAlign w:val="bottom"/>
            <w:gridSpan w:val="2"/>
            <w:vMerge w:val="continue"/>
          </w:tcPr>
          <w:p>
            <w:pPr>
              <w:spacing w:after="0"/>
              <w:rPr>
                <w:sz w:val="19"/>
                <w:szCs w:val="19"/>
                <w:color w:val="auto"/>
              </w:rPr>
            </w:pPr>
          </w:p>
        </w:tc>
        <w:tc>
          <w:tcPr>
            <w:tcW w:w="6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vMerge w:val="continue"/>
          </w:tcPr>
          <w:p>
            <w:pPr>
              <w:spacing w:after="0"/>
              <w:rPr>
                <w:sz w:val="19"/>
                <w:szCs w:val="19"/>
                <w:color w:val="auto"/>
              </w:rPr>
            </w:pPr>
          </w:p>
        </w:tc>
        <w:tc>
          <w:tcPr>
            <w:tcW w:w="68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1"/>
        </w:trPr>
        <w:tc>
          <w:tcPr>
            <w:tcW w:w="480" w:type="dxa"/>
            <w:vAlign w:val="bottom"/>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3560" w:type="dxa"/>
            <w:vAlign w:val="bottom"/>
            <w:gridSpan w:val="3"/>
            <w:shd w:val="clear" w:color="auto" w:fill="CCEEFF"/>
          </w:tcPr>
          <w:p>
            <w:pPr>
              <w:ind w:left="120"/>
              <w:spacing w:after="0" w:line="171" w:lineRule="exact"/>
              <w:rPr>
                <w:sz w:val="20"/>
                <w:szCs w:val="20"/>
                <w:color w:val="auto"/>
              </w:rPr>
            </w:pPr>
            <w:r>
              <w:rPr>
                <w:rFonts w:ascii="Arial" w:cs="Arial" w:eastAsia="Arial" w:hAnsi="Arial"/>
                <w:sz w:val="17"/>
                <w:szCs w:val="17"/>
                <w:color w:val="auto"/>
                <w:w w:val="95"/>
              </w:rPr>
              <w:t>Ground lease cost (included in other operations</w:t>
            </w:r>
          </w:p>
        </w:tc>
        <w:tc>
          <w:tcPr>
            <w:tcW w:w="1320" w:type="dxa"/>
            <w:vAlign w:val="bottom"/>
            <w:shd w:val="clear" w:color="auto" w:fill="CCEEFF"/>
          </w:tcPr>
          <w:p>
            <w:pPr>
              <w:spacing w:after="0"/>
              <w:rPr>
                <w:sz w:val="14"/>
                <w:szCs w:val="14"/>
                <w:color w:val="auto"/>
              </w:rPr>
            </w:pP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645</w:t>
            </w: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624</w:t>
            </w:r>
          </w:p>
        </w:tc>
        <w:tc>
          <w:tcPr>
            <w:tcW w:w="12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6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1,269</w:t>
            </w: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680" w:type="dxa"/>
            <w:vAlign w:val="bottom"/>
            <w:gridSpan w:val="2"/>
            <w:vMerge w:val="restart"/>
            <w:shd w:val="clear" w:color="auto" w:fill="CCEEFF"/>
          </w:tcPr>
          <w:p>
            <w:pPr>
              <w:jc w:val="right"/>
              <w:spacing w:after="0"/>
              <w:rPr>
                <w:sz w:val="20"/>
                <w:szCs w:val="20"/>
                <w:color w:val="auto"/>
              </w:rPr>
            </w:pPr>
            <w:r>
              <w:rPr>
                <w:rFonts w:ascii="Arial" w:cs="Arial" w:eastAsia="Arial" w:hAnsi="Arial"/>
                <w:sz w:val="17"/>
                <w:szCs w:val="17"/>
                <w:color w:val="auto"/>
              </w:rPr>
              <w:t>1</w:t>
            </w:r>
          </w:p>
        </w:tc>
        <w:tc>
          <w:tcPr>
            <w:tcW w:w="0" w:type="dxa"/>
            <w:vAlign w:val="bottom"/>
          </w:tcPr>
          <w:p>
            <w:pPr>
              <w:spacing w:after="0"/>
              <w:rPr>
                <w:sz w:val="1"/>
                <w:szCs w:val="1"/>
                <w:color w:val="auto"/>
              </w:rPr>
            </w:pPr>
          </w:p>
        </w:tc>
      </w:tr>
      <w:tr>
        <w:trPr>
          <w:trHeight w:val="221"/>
        </w:trPr>
        <w:tc>
          <w:tcPr>
            <w:tcW w:w="480" w:type="dxa"/>
            <w:vAlign w:val="bottom"/>
          </w:tcPr>
          <w:p>
            <w:pPr>
              <w:spacing w:after="0"/>
              <w:rPr>
                <w:sz w:val="19"/>
                <w:szCs w:val="19"/>
                <w:color w:val="auto"/>
              </w:rPr>
            </w:pPr>
          </w:p>
        </w:tc>
        <w:tc>
          <w:tcPr>
            <w:tcW w:w="4040" w:type="dxa"/>
            <w:vAlign w:val="bottom"/>
            <w:gridSpan w:val="4"/>
            <w:shd w:val="clear" w:color="auto" w:fill="CCEEFF"/>
          </w:tcPr>
          <w:p>
            <w:pPr>
              <w:ind w:left="140"/>
              <w:spacing w:after="0"/>
              <w:rPr>
                <w:sz w:val="20"/>
                <w:szCs w:val="20"/>
                <w:color w:val="auto"/>
              </w:rPr>
            </w:pPr>
            <w:r>
              <w:rPr>
                <w:rFonts w:ascii="Arial" w:cs="Arial" w:eastAsia="Arial" w:hAnsi="Arial"/>
                <w:sz w:val="17"/>
                <w:szCs w:val="17"/>
                <w:color w:val="auto"/>
              </w:rPr>
              <w:t>expense)</w:t>
            </w:r>
          </w:p>
        </w:tc>
        <w:tc>
          <w:tcPr>
            <w:tcW w:w="1320" w:type="dxa"/>
            <w:vAlign w:val="bottom"/>
            <w:shd w:val="clear" w:color="auto" w:fill="CCEEFF"/>
          </w:tcPr>
          <w:p>
            <w:pPr>
              <w:spacing w:after="0"/>
              <w:rPr>
                <w:sz w:val="19"/>
                <w:szCs w:val="19"/>
                <w:color w:val="auto"/>
              </w:rPr>
            </w:pPr>
          </w:p>
        </w:tc>
        <w:tc>
          <w:tcPr>
            <w:tcW w:w="480" w:type="dxa"/>
            <w:vAlign w:val="bottom"/>
            <w:vMerge w:val="continue"/>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80" w:type="dxa"/>
            <w:vAlign w:val="bottom"/>
            <w:vMerge w:val="continue"/>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62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680" w:type="dxa"/>
            <w:vAlign w:val="bottom"/>
            <w:gridSpan w:val="2"/>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560" w:type="dxa"/>
            <w:vAlign w:val="bottom"/>
            <w:gridSpan w:val="3"/>
          </w:tcPr>
          <w:p>
            <w:pPr>
              <w:ind w:left="120"/>
              <w:spacing w:after="0"/>
              <w:rPr>
                <w:sz w:val="20"/>
                <w:szCs w:val="20"/>
                <w:color w:val="auto"/>
              </w:rPr>
            </w:pPr>
            <w:r>
              <w:rPr>
                <w:rFonts w:ascii="Arial" w:cs="Arial" w:eastAsia="Arial" w:hAnsi="Arial"/>
                <w:sz w:val="17"/>
                <w:szCs w:val="17"/>
                <w:color w:val="auto"/>
              </w:rPr>
              <w:t>Sublease income, operating leases</w:t>
            </w:r>
          </w:p>
        </w:tc>
        <w:tc>
          <w:tcPr>
            <w:tcW w:w="1320" w:type="dxa"/>
            <w:vAlign w:val="bottom"/>
          </w:tcPr>
          <w:p>
            <w:pPr>
              <w:spacing w:after="0"/>
              <w:rPr>
                <w:sz w:val="19"/>
                <w:szCs w:val="19"/>
                <w:color w:val="auto"/>
              </w:rPr>
            </w:pPr>
          </w:p>
        </w:tc>
        <w:tc>
          <w:tcPr>
            <w:tcW w:w="580" w:type="dxa"/>
            <w:vAlign w:val="bottom"/>
            <w:gridSpan w:val="3"/>
          </w:tcPr>
          <w:p>
            <w:pPr>
              <w:jc w:val="right"/>
              <w:ind w:right="160"/>
              <w:spacing w:after="0"/>
              <w:rPr>
                <w:sz w:val="20"/>
                <w:szCs w:val="20"/>
                <w:color w:val="auto"/>
              </w:rPr>
            </w:pPr>
            <w:r>
              <w:rPr>
                <w:rFonts w:ascii="Arial" w:cs="Arial" w:eastAsia="Arial" w:hAnsi="Arial"/>
                <w:sz w:val="17"/>
                <w:szCs w:val="17"/>
                <w:color w:val="auto"/>
              </w:rPr>
              <w:t>—</w:t>
            </w:r>
          </w:p>
        </w:tc>
        <w:tc>
          <w:tcPr>
            <w:tcW w:w="10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80" w:type="dxa"/>
            <w:vAlign w:val="bottom"/>
            <w:gridSpan w:val="3"/>
          </w:tcPr>
          <w:p>
            <w:pPr>
              <w:jc w:val="right"/>
              <w:ind w:right="58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5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1"/>
        </w:trPr>
        <w:tc>
          <w:tcPr>
            <w:tcW w:w="480" w:type="dxa"/>
            <w:vAlign w:val="bottom"/>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3560" w:type="dxa"/>
            <w:vAlign w:val="bottom"/>
            <w:gridSpan w:val="3"/>
            <w:shd w:val="clear" w:color="auto" w:fill="CCEEFF"/>
          </w:tcPr>
          <w:p>
            <w:pPr>
              <w:ind w:left="120"/>
              <w:spacing w:after="0" w:line="171" w:lineRule="exact"/>
              <w:rPr>
                <w:sz w:val="20"/>
                <w:szCs w:val="20"/>
                <w:color w:val="auto"/>
              </w:rPr>
            </w:pPr>
            <w:r>
              <w:rPr>
                <w:rFonts w:ascii="Arial" w:cs="Arial" w:eastAsia="Arial" w:hAnsi="Arial"/>
                <w:sz w:val="17"/>
                <w:szCs w:val="17"/>
                <w:color w:val="auto"/>
              </w:rPr>
              <w:t>Sublease income, ground leases (included in</w:t>
            </w:r>
          </w:p>
        </w:tc>
        <w:tc>
          <w:tcPr>
            <w:tcW w:w="1320" w:type="dxa"/>
            <w:vAlign w:val="bottom"/>
            <w:shd w:val="clear" w:color="auto" w:fill="CCEEFF"/>
          </w:tcPr>
          <w:p>
            <w:pPr>
              <w:spacing w:after="0"/>
              <w:rPr>
                <w:sz w:val="14"/>
                <w:szCs w:val="14"/>
                <w:color w:val="auto"/>
              </w:rPr>
            </w:pP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(655)</w:t>
            </w: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(648)</w:t>
            </w:r>
          </w:p>
        </w:tc>
        <w:tc>
          <w:tcPr>
            <w:tcW w:w="12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6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(1,288)</w:t>
            </w: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68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7"/>
                <w:szCs w:val="17"/>
                <w:color w:val="auto"/>
              </w:rPr>
              <w:t>(1</w:t>
            </w:r>
          </w:p>
        </w:tc>
        <w:tc>
          <w:tcPr>
            <w:tcW w:w="0" w:type="dxa"/>
            <w:vAlign w:val="bottom"/>
          </w:tcPr>
          <w:p>
            <w:pPr>
              <w:spacing w:after="0"/>
              <w:rPr>
                <w:sz w:val="1"/>
                <w:szCs w:val="1"/>
                <w:color w:val="auto"/>
              </w:rPr>
            </w:pPr>
          </w:p>
        </w:tc>
      </w:tr>
      <w:tr>
        <w:trPr>
          <w:trHeight w:val="221"/>
        </w:trPr>
        <w:tc>
          <w:tcPr>
            <w:tcW w:w="480" w:type="dxa"/>
            <w:vAlign w:val="bottom"/>
          </w:tcPr>
          <w:p>
            <w:pPr>
              <w:spacing w:after="0"/>
              <w:rPr>
                <w:sz w:val="19"/>
                <w:szCs w:val="19"/>
                <w:color w:val="auto"/>
              </w:rPr>
            </w:pPr>
          </w:p>
        </w:tc>
        <w:tc>
          <w:tcPr>
            <w:tcW w:w="4040" w:type="dxa"/>
            <w:vAlign w:val="bottom"/>
            <w:gridSpan w:val="4"/>
            <w:shd w:val="clear" w:color="auto" w:fill="CCEEFF"/>
          </w:tcPr>
          <w:p>
            <w:pPr>
              <w:ind w:left="140"/>
              <w:spacing w:after="0"/>
              <w:rPr>
                <w:sz w:val="20"/>
                <w:szCs w:val="20"/>
                <w:color w:val="auto"/>
              </w:rPr>
            </w:pPr>
            <w:r>
              <w:rPr>
                <w:rFonts w:ascii="Arial" w:cs="Arial" w:eastAsia="Arial" w:hAnsi="Arial"/>
                <w:sz w:val="17"/>
                <w:szCs w:val="17"/>
                <w:color w:val="auto"/>
              </w:rPr>
              <w:t>other operations revenue)</w:t>
            </w:r>
          </w:p>
        </w:tc>
        <w:tc>
          <w:tcPr>
            <w:tcW w:w="1320" w:type="dxa"/>
            <w:vAlign w:val="bottom"/>
            <w:tcBorders>
              <w:bottom w:val="single" w:sz="8" w:color="auto"/>
            </w:tcBorders>
            <w:shd w:val="clear" w:color="auto" w:fill="CCEEFF"/>
          </w:tcPr>
          <w:p>
            <w:pPr>
              <w:spacing w:after="0"/>
              <w:rPr>
                <w:sz w:val="19"/>
                <w:szCs w:val="19"/>
                <w:color w:val="auto"/>
              </w:rPr>
            </w:pPr>
          </w:p>
        </w:tc>
        <w:tc>
          <w:tcPr>
            <w:tcW w:w="480" w:type="dxa"/>
            <w:vAlign w:val="bottom"/>
            <w:tcBorders>
              <w:bottom w:val="single" w:sz="8" w:color="auto"/>
            </w:tcBorders>
            <w:vMerge w:val="continue"/>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480" w:type="dxa"/>
            <w:vAlign w:val="bottom"/>
            <w:tcBorders>
              <w:bottom w:val="single" w:sz="8" w:color="auto"/>
            </w:tcBorders>
            <w:vMerge w:val="continue"/>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spacing w:after="0"/>
              <w:rPr>
                <w:sz w:val="19"/>
                <w:szCs w:val="19"/>
                <w:color w:val="auto"/>
              </w:rPr>
            </w:pPr>
          </w:p>
        </w:tc>
        <w:tc>
          <w:tcPr>
            <w:tcW w:w="6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tcBorders>
              <w:bottom w:val="single" w:sz="8" w:color="auto"/>
            </w:tcBorders>
            <w:shd w:val="clear" w:color="auto" w:fill="CCEEFF"/>
          </w:tcPr>
          <w:p>
            <w:pPr>
              <w:spacing w:after="0"/>
              <w:rPr>
                <w:sz w:val="19"/>
                <w:szCs w:val="19"/>
                <w:color w:val="auto"/>
              </w:rPr>
            </w:pPr>
          </w:p>
        </w:tc>
        <w:tc>
          <w:tcPr>
            <w:tcW w:w="680" w:type="dxa"/>
            <w:vAlign w:val="bottom"/>
            <w:tcBorders>
              <w:bottom w:val="single" w:sz="8" w:color="auto"/>
            </w:tcBorders>
            <w:gridSpan w:val="2"/>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480" w:type="dxa"/>
            <w:vAlign w:val="bottom"/>
          </w:tcPr>
          <w:p>
            <w:pPr>
              <w:spacing w:after="0"/>
              <w:rPr>
                <w:sz w:val="18"/>
                <w:szCs w:val="18"/>
                <w:color w:val="auto"/>
              </w:rPr>
            </w:pPr>
          </w:p>
        </w:tc>
        <w:tc>
          <w:tcPr>
            <w:tcW w:w="4040" w:type="dxa"/>
            <w:vAlign w:val="bottom"/>
            <w:gridSpan w:val="4"/>
          </w:tcPr>
          <w:p>
            <w:pPr>
              <w:ind w:left="480"/>
              <w:spacing w:after="0"/>
              <w:rPr>
                <w:sz w:val="20"/>
                <w:szCs w:val="20"/>
                <w:color w:val="auto"/>
              </w:rPr>
            </w:pPr>
            <w:r>
              <w:rPr>
                <w:rFonts w:ascii="Arial" w:cs="Arial" w:eastAsia="Arial" w:hAnsi="Arial"/>
                <w:sz w:val="17"/>
                <w:szCs w:val="17"/>
                <w:color w:val="auto"/>
              </w:rPr>
              <w:t>Net lease cost</w:t>
            </w:r>
          </w:p>
        </w:tc>
        <w:tc>
          <w:tcPr>
            <w:tcW w:w="1320" w:type="dxa"/>
            <w:vAlign w:val="bottom"/>
            <w:tcBorders>
              <w:bottom w:val="single" w:sz="8" w:color="auto"/>
            </w:tcBorders>
          </w:tcPr>
          <w:p>
            <w:pPr>
              <w:ind w:left="480"/>
              <w:spacing w:after="0"/>
              <w:rPr>
                <w:sz w:val="20"/>
                <w:szCs w:val="20"/>
                <w:color w:val="auto"/>
              </w:rPr>
            </w:pPr>
            <w:r>
              <w:rPr>
                <w:rFonts w:ascii="Arial" w:cs="Arial" w:eastAsia="Arial" w:hAnsi="Arial"/>
                <w:sz w:val="17"/>
                <w:szCs w:val="17"/>
                <w:color w:val="auto"/>
              </w:rPr>
              <w:t>$</w:t>
            </w: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3"/>
              </w:rPr>
              <w:t>2,433</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40" w:type="dxa"/>
            <w:vAlign w:val="bottom"/>
            <w:tcBorders>
              <w:bottom w:val="single" w:sz="8" w:color="auto"/>
            </w:tcBorders>
          </w:tcPr>
          <w:p>
            <w:pPr>
              <w:jc w:val="right"/>
              <w:ind w:right="379"/>
              <w:spacing w:after="0"/>
              <w:rPr>
                <w:sz w:val="20"/>
                <w:szCs w:val="20"/>
                <w:color w:val="auto"/>
              </w:rPr>
            </w:pPr>
            <w:r>
              <w:rPr>
                <w:rFonts w:ascii="Arial" w:cs="Arial" w:eastAsia="Arial" w:hAnsi="Arial"/>
                <w:sz w:val="17"/>
                <w:szCs w:val="17"/>
                <w:color w:val="auto"/>
              </w:rPr>
              <w:t>$</w:t>
            </w:r>
          </w:p>
        </w:tc>
        <w:tc>
          <w:tcPr>
            <w:tcW w:w="32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9"/>
              </w:rPr>
              <w:t>2,432</w:t>
            </w:r>
          </w:p>
        </w:tc>
        <w:tc>
          <w:tcPr>
            <w:tcW w:w="1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gridSpan w:val="2"/>
          </w:tcPr>
          <w:p>
            <w:pPr>
              <w:ind w:left="100"/>
              <w:spacing w:after="0"/>
              <w:rPr>
                <w:sz w:val="20"/>
                <w:szCs w:val="20"/>
                <w:color w:val="auto"/>
              </w:rPr>
            </w:pPr>
            <w:r>
              <w:rPr>
                <w:rFonts w:ascii="Arial" w:cs="Arial" w:eastAsia="Arial" w:hAnsi="Arial"/>
                <w:sz w:val="17"/>
                <w:szCs w:val="17"/>
                <w:color w:val="auto"/>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4,905</w:t>
            </w:r>
          </w:p>
        </w:tc>
        <w:tc>
          <w:tcPr>
            <w:tcW w:w="100" w:type="dxa"/>
            <w:vAlign w:val="bottom"/>
          </w:tcPr>
          <w:p>
            <w:pPr>
              <w:spacing w:after="0"/>
              <w:rPr>
                <w:sz w:val="18"/>
                <w:szCs w:val="18"/>
                <w:color w:val="auto"/>
              </w:rPr>
            </w:pPr>
          </w:p>
        </w:tc>
        <w:tc>
          <w:tcPr>
            <w:tcW w:w="560" w:type="dxa"/>
            <w:vAlign w:val="bottom"/>
            <w:tcBorders>
              <w:bottom w:val="single" w:sz="8" w:color="auto"/>
            </w:tcBorders>
          </w:tcPr>
          <w:p>
            <w:pPr>
              <w:ind w:left="480"/>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gridSpan w:val="2"/>
          </w:tcPr>
          <w:p>
            <w:pPr>
              <w:jc w:val="right"/>
              <w:spacing w:after="0"/>
              <w:rPr>
                <w:sz w:val="20"/>
                <w:szCs w:val="20"/>
                <w:color w:val="auto"/>
              </w:rPr>
            </w:pPr>
            <w:r>
              <w:rPr>
                <w:rFonts w:ascii="Arial" w:cs="Arial" w:eastAsia="Arial" w:hAnsi="Arial"/>
                <w:sz w:val="17"/>
                <w:szCs w:val="17"/>
                <w:color w:val="auto"/>
              </w:rPr>
              <w:t>4</w:t>
            </w:r>
          </w:p>
        </w:tc>
        <w:tc>
          <w:tcPr>
            <w:tcW w:w="0" w:type="dxa"/>
            <w:vAlign w:val="bottom"/>
          </w:tcPr>
          <w:p>
            <w:pPr>
              <w:spacing w:after="0"/>
              <w:rPr>
                <w:sz w:val="1"/>
                <w:szCs w:val="1"/>
                <w:color w:val="auto"/>
              </w:rPr>
            </w:pPr>
          </w:p>
        </w:tc>
      </w:tr>
      <w:tr>
        <w:trPr>
          <w:trHeight w:val="20"/>
        </w:trPr>
        <w:tc>
          <w:tcPr>
            <w:tcW w:w="480" w:type="dxa"/>
            <w:vAlign w:val="bottom"/>
          </w:tcPr>
          <w:p>
            <w:pPr>
              <w:spacing w:after="0" w:line="20" w:lineRule="exact"/>
              <w:rPr>
                <w:sz w:val="1"/>
                <w:szCs w:val="1"/>
                <w:color w:val="auto"/>
              </w:rPr>
            </w:pPr>
          </w:p>
        </w:tc>
        <w:tc>
          <w:tcPr>
            <w:tcW w:w="480" w:type="dxa"/>
            <w:vAlign w:val="bottom"/>
            <w:tcBorders>
              <w:bottom w:val="single" w:sz="8" w:color="CCEEFF"/>
            </w:tcBorders>
          </w:tcPr>
          <w:p>
            <w:pPr>
              <w:spacing w:after="0" w:line="20" w:lineRule="exact"/>
              <w:rPr>
                <w:sz w:val="1"/>
                <w:szCs w:val="1"/>
                <w:color w:val="auto"/>
              </w:rPr>
            </w:pPr>
          </w:p>
        </w:tc>
        <w:tc>
          <w:tcPr>
            <w:tcW w:w="820" w:type="dxa"/>
            <w:vAlign w:val="bottom"/>
            <w:tcBorders>
              <w:bottom w:val="single" w:sz="8" w:color="CCEEFF"/>
            </w:tcBorders>
          </w:tcPr>
          <w:p>
            <w:pPr>
              <w:spacing w:after="0" w:line="20" w:lineRule="exact"/>
              <w:rPr>
                <w:sz w:val="1"/>
                <w:szCs w:val="1"/>
                <w:color w:val="auto"/>
              </w:rPr>
            </w:pPr>
          </w:p>
        </w:tc>
        <w:tc>
          <w:tcPr>
            <w:tcW w:w="560" w:type="dxa"/>
            <w:vAlign w:val="bottom"/>
            <w:tcBorders>
              <w:bottom w:val="single" w:sz="8" w:color="CCEEFF"/>
            </w:tcBorders>
          </w:tcPr>
          <w:p>
            <w:pPr>
              <w:spacing w:after="0" w:line="20" w:lineRule="exact"/>
              <w:rPr>
                <w:sz w:val="1"/>
                <w:szCs w:val="1"/>
                <w:color w:val="auto"/>
              </w:rPr>
            </w:pPr>
          </w:p>
        </w:tc>
        <w:tc>
          <w:tcPr>
            <w:tcW w:w="2180" w:type="dxa"/>
            <w:vAlign w:val="bottom"/>
            <w:tcBorders>
              <w:bottom w:val="single" w:sz="8" w:color="CCEEFF"/>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480" w:type="dxa"/>
            <w:vAlign w:val="bottom"/>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218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20" w:type="dxa"/>
            <w:vAlign w:val="bottom"/>
            <w:tcBorders>
              <w:left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83"/>
        </w:trPr>
        <w:tc>
          <w:tcPr>
            <w:tcW w:w="4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560" w:type="dxa"/>
            <w:vAlign w:val="bottom"/>
            <w:gridSpan w:val="3"/>
          </w:tcPr>
          <w:p>
            <w:pPr>
              <w:spacing w:after="0" w:line="183" w:lineRule="exact"/>
              <w:rPr>
                <w:sz w:val="20"/>
                <w:szCs w:val="20"/>
                <w:color w:val="auto"/>
              </w:rPr>
            </w:pPr>
            <w:r>
              <w:rPr>
                <w:rFonts w:ascii="Arial" w:cs="Arial" w:eastAsia="Arial" w:hAnsi="Arial"/>
                <w:sz w:val="17"/>
                <w:szCs w:val="17"/>
                <w:b w:val="1"/>
                <w:bCs w:val="1"/>
                <w:color w:val="auto"/>
              </w:rPr>
              <w:t>Other information</w:t>
            </w:r>
          </w:p>
        </w:tc>
        <w:tc>
          <w:tcPr>
            <w:tcW w:w="13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
        </w:trPr>
        <w:tc>
          <w:tcPr>
            <w:tcW w:w="4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0"/>
        </w:trPr>
        <w:tc>
          <w:tcPr>
            <w:tcW w:w="480" w:type="dxa"/>
            <w:vAlign w:val="bottom"/>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3560" w:type="dxa"/>
            <w:vAlign w:val="bottom"/>
            <w:gridSpan w:val="3"/>
            <w:shd w:val="clear" w:color="auto" w:fill="CCEEFF"/>
          </w:tcPr>
          <w:p>
            <w:pPr>
              <w:spacing w:after="0" w:line="180" w:lineRule="exact"/>
              <w:rPr>
                <w:sz w:val="20"/>
                <w:szCs w:val="20"/>
                <w:color w:val="auto"/>
              </w:rPr>
            </w:pPr>
            <w:r>
              <w:rPr>
                <w:rFonts w:ascii="Arial" w:cs="Arial" w:eastAsia="Arial" w:hAnsi="Arial"/>
                <w:sz w:val="17"/>
                <w:szCs w:val="17"/>
                <w:color w:val="auto"/>
              </w:rPr>
              <w:t>Cash paid for amounts included in the</w:t>
            </w:r>
          </w:p>
        </w:tc>
        <w:tc>
          <w:tcPr>
            <w:tcW w:w="132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120" w:type="dxa"/>
            <w:vAlign w:val="bottom"/>
            <w:tcBorders>
              <w:left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21"/>
        </w:trPr>
        <w:tc>
          <w:tcPr>
            <w:tcW w:w="480" w:type="dxa"/>
            <w:vAlign w:val="bottom"/>
          </w:tcPr>
          <w:p>
            <w:pPr>
              <w:spacing w:after="0"/>
              <w:rPr>
                <w:sz w:val="19"/>
                <w:szCs w:val="19"/>
                <w:color w:val="auto"/>
              </w:rPr>
            </w:pPr>
          </w:p>
        </w:tc>
        <w:tc>
          <w:tcPr>
            <w:tcW w:w="4040" w:type="dxa"/>
            <w:vAlign w:val="bottom"/>
            <w:gridSpan w:val="4"/>
            <w:shd w:val="clear" w:color="auto" w:fill="CCEEFF"/>
          </w:tcPr>
          <w:p>
            <w:pPr>
              <w:ind w:left="20"/>
              <w:spacing w:after="0"/>
              <w:rPr>
                <w:sz w:val="20"/>
                <w:szCs w:val="20"/>
                <w:color w:val="auto"/>
              </w:rPr>
            </w:pPr>
            <w:r>
              <w:rPr>
                <w:rFonts w:ascii="Arial" w:cs="Arial" w:eastAsia="Arial" w:hAnsi="Arial"/>
                <w:sz w:val="17"/>
                <w:szCs w:val="17"/>
                <w:color w:val="auto"/>
              </w:rPr>
              <w:t>measurement of lease liabilities:</w:t>
            </w:r>
          </w:p>
        </w:tc>
        <w:tc>
          <w:tcPr>
            <w:tcW w:w="13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20" w:type="dxa"/>
            <w:vAlign w:val="bottom"/>
            <w:tcBorders>
              <w:left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1"/>
        </w:trPr>
        <w:tc>
          <w:tcPr>
            <w:tcW w:w="4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560" w:type="dxa"/>
            <w:vAlign w:val="bottom"/>
            <w:gridSpan w:val="3"/>
          </w:tcPr>
          <w:p>
            <w:pPr>
              <w:ind w:left="120"/>
              <w:spacing w:after="0" w:line="171" w:lineRule="exact"/>
              <w:rPr>
                <w:sz w:val="20"/>
                <w:szCs w:val="20"/>
                <w:color w:val="auto"/>
              </w:rPr>
            </w:pPr>
            <w:r>
              <w:rPr>
                <w:rFonts w:ascii="Arial" w:cs="Arial" w:eastAsia="Arial" w:hAnsi="Arial"/>
                <w:sz w:val="17"/>
                <w:szCs w:val="17"/>
                <w:color w:val="auto"/>
              </w:rPr>
              <w:t>Operating lease cash flows (included in</w:t>
            </w:r>
          </w:p>
        </w:tc>
        <w:tc>
          <w:tcPr>
            <w:tcW w:w="1320" w:type="dxa"/>
            <w:vAlign w:val="bottom"/>
            <w:vMerge w:val="restart"/>
          </w:tcPr>
          <w:p>
            <w:pPr>
              <w:ind w:left="480"/>
              <w:spacing w:after="0"/>
              <w:rPr>
                <w:sz w:val="20"/>
                <w:szCs w:val="20"/>
                <w:color w:val="auto"/>
              </w:rPr>
            </w:pPr>
            <w:r>
              <w:rPr>
                <w:rFonts w:ascii="Arial" w:cs="Arial" w:eastAsia="Arial" w:hAnsi="Arial"/>
                <w:sz w:val="17"/>
                <w:szCs w:val="17"/>
                <w:color w:val="auto"/>
              </w:rPr>
              <w:t>$</w:t>
            </w:r>
          </w:p>
        </w:tc>
        <w:tc>
          <w:tcPr>
            <w:tcW w:w="480" w:type="dxa"/>
            <w:vAlign w:val="bottom"/>
            <w:vMerge w:val="restart"/>
          </w:tcPr>
          <w:p>
            <w:pPr>
              <w:jc w:val="right"/>
              <w:spacing w:after="0"/>
              <w:rPr>
                <w:sz w:val="20"/>
                <w:szCs w:val="20"/>
                <w:color w:val="auto"/>
              </w:rPr>
            </w:pPr>
            <w:r>
              <w:rPr>
                <w:rFonts w:ascii="Arial" w:cs="Arial" w:eastAsia="Arial" w:hAnsi="Arial"/>
                <w:sz w:val="17"/>
                <w:szCs w:val="17"/>
                <w:color w:val="auto"/>
                <w:w w:val="93"/>
              </w:rPr>
              <w:t>1,838</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40" w:type="dxa"/>
            <w:vAlign w:val="bottom"/>
            <w:vMerge w:val="restart"/>
          </w:tcPr>
          <w:p>
            <w:pPr>
              <w:jc w:val="right"/>
              <w:ind w:right="379"/>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4"/>
                <w:szCs w:val="14"/>
                <w:color w:val="auto"/>
              </w:rPr>
            </w:pPr>
          </w:p>
        </w:tc>
        <w:tc>
          <w:tcPr>
            <w:tcW w:w="480" w:type="dxa"/>
            <w:vAlign w:val="bottom"/>
            <w:vMerge w:val="restart"/>
          </w:tcPr>
          <w:p>
            <w:pPr>
              <w:jc w:val="right"/>
              <w:spacing w:after="0"/>
              <w:rPr>
                <w:sz w:val="20"/>
                <w:szCs w:val="20"/>
                <w:color w:val="auto"/>
              </w:rPr>
            </w:pPr>
            <w:r>
              <w:rPr>
                <w:rFonts w:ascii="Arial" w:cs="Arial" w:eastAsia="Arial" w:hAnsi="Arial"/>
                <w:sz w:val="17"/>
                <w:szCs w:val="17"/>
                <w:color w:val="auto"/>
                <w:w w:val="89"/>
              </w:rPr>
              <w:t>2,220</w:t>
            </w:r>
          </w:p>
        </w:tc>
        <w:tc>
          <w:tcPr>
            <w:tcW w:w="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20" w:type="dxa"/>
            <w:vAlign w:val="bottom"/>
            <w:gridSpan w:val="2"/>
            <w:vMerge w:val="restart"/>
          </w:tcPr>
          <w:p>
            <w:pPr>
              <w:ind w:left="100"/>
              <w:spacing w:after="0"/>
              <w:rPr>
                <w:sz w:val="20"/>
                <w:szCs w:val="20"/>
                <w:color w:val="auto"/>
              </w:rPr>
            </w:pPr>
            <w:r>
              <w:rPr>
                <w:rFonts w:ascii="Arial" w:cs="Arial" w:eastAsia="Arial" w:hAnsi="Arial"/>
                <w:sz w:val="17"/>
                <w:szCs w:val="17"/>
                <w:color w:val="auto"/>
              </w:rPr>
              <w:t>$</w:t>
            </w:r>
          </w:p>
        </w:tc>
        <w:tc>
          <w:tcPr>
            <w:tcW w:w="620" w:type="dxa"/>
            <w:vAlign w:val="bottom"/>
            <w:vMerge w:val="restart"/>
          </w:tcPr>
          <w:p>
            <w:pPr>
              <w:jc w:val="right"/>
              <w:spacing w:after="0"/>
              <w:rPr>
                <w:sz w:val="20"/>
                <w:szCs w:val="20"/>
                <w:color w:val="auto"/>
              </w:rPr>
            </w:pPr>
            <w:r>
              <w:rPr>
                <w:rFonts w:ascii="Arial" w:cs="Arial" w:eastAsia="Arial" w:hAnsi="Arial"/>
                <w:sz w:val="17"/>
                <w:szCs w:val="17"/>
                <w:color w:val="auto"/>
              </w:rPr>
              <w:t>4,626</w:t>
            </w:r>
          </w:p>
        </w:tc>
        <w:tc>
          <w:tcPr>
            <w:tcW w:w="100" w:type="dxa"/>
            <w:vAlign w:val="bottom"/>
          </w:tcPr>
          <w:p>
            <w:pPr>
              <w:spacing w:after="0"/>
              <w:rPr>
                <w:sz w:val="14"/>
                <w:szCs w:val="14"/>
                <w:color w:val="auto"/>
              </w:rPr>
            </w:pPr>
          </w:p>
        </w:tc>
        <w:tc>
          <w:tcPr>
            <w:tcW w:w="560" w:type="dxa"/>
            <w:vAlign w:val="bottom"/>
            <w:vMerge w:val="restart"/>
          </w:tcPr>
          <w:p>
            <w:pPr>
              <w:ind w:left="480"/>
              <w:spacing w:after="0"/>
              <w:rPr>
                <w:sz w:val="20"/>
                <w:szCs w:val="20"/>
                <w:color w:val="auto"/>
              </w:rPr>
            </w:pPr>
            <w:r>
              <w:rPr>
                <w:rFonts w:ascii="Arial" w:cs="Arial" w:eastAsia="Arial" w:hAnsi="Arial"/>
                <w:sz w:val="15"/>
                <w:szCs w:val="15"/>
                <w:color w:val="auto"/>
                <w:w w:val="71"/>
              </w:rPr>
              <w:t>$</w:t>
            </w:r>
          </w:p>
        </w:tc>
        <w:tc>
          <w:tcPr>
            <w:tcW w:w="680" w:type="dxa"/>
            <w:vAlign w:val="bottom"/>
            <w:gridSpan w:val="2"/>
            <w:vMerge w:val="restart"/>
          </w:tcPr>
          <w:p>
            <w:pPr>
              <w:jc w:val="right"/>
              <w:spacing w:after="0"/>
              <w:rPr>
                <w:sz w:val="20"/>
                <w:szCs w:val="20"/>
                <w:color w:val="auto"/>
              </w:rPr>
            </w:pPr>
            <w:r>
              <w:rPr>
                <w:rFonts w:ascii="Arial" w:cs="Arial" w:eastAsia="Arial" w:hAnsi="Arial"/>
                <w:sz w:val="17"/>
                <w:szCs w:val="17"/>
                <w:color w:val="auto"/>
              </w:rPr>
              <w:t>4</w:t>
            </w:r>
          </w:p>
        </w:tc>
        <w:tc>
          <w:tcPr>
            <w:tcW w:w="0" w:type="dxa"/>
            <w:vAlign w:val="bottom"/>
          </w:tcPr>
          <w:p>
            <w:pPr>
              <w:spacing w:after="0"/>
              <w:rPr>
                <w:sz w:val="1"/>
                <w:szCs w:val="1"/>
                <w:color w:val="auto"/>
              </w:rPr>
            </w:pPr>
          </w:p>
        </w:tc>
      </w:tr>
      <w:tr>
        <w:trPr>
          <w:trHeight w:val="221"/>
        </w:trPr>
        <w:tc>
          <w:tcPr>
            <w:tcW w:w="480" w:type="dxa"/>
            <w:vAlign w:val="bottom"/>
          </w:tcPr>
          <w:p>
            <w:pPr>
              <w:spacing w:after="0"/>
              <w:rPr>
                <w:sz w:val="19"/>
                <w:szCs w:val="19"/>
                <w:color w:val="auto"/>
              </w:rPr>
            </w:pPr>
          </w:p>
        </w:tc>
        <w:tc>
          <w:tcPr>
            <w:tcW w:w="4040" w:type="dxa"/>
            <w:vAlign w:val="bottom"/>
            <w:gridSpan w:val="4"/>
          </w:tcPr>
          <w:p>
            <w:pPr>
              <w:ind w:left="140"/>
              <w:spacing w:after="0"/>
              <w:rPr>
                <w:sz w:val="20"/>
                <w:szCs w:val="20"/>
                <w:color w:val="auto"/>
              </w:rPr>
            </w:pPr>
            <w:r>
              <w:rPr>
                <w:rFonts w:ascii="Arial" w:cs="Arial" w:eastAsia="Arial" w:hAnsi="Arial"/>
                <w:sz w:val="17"/>
                <w:szCs w:val="17"/>
                <w:color w:val="auto"/>
              </w:rPr>
              <w:t>operating cash flows)</w:t>
            </w:r>
          </w:p>
        </w:tc>
        <w:tc>
          <w:tcPr>
            <w:tcW w:w="1320" w:type="dxa"/>
            <w:vAlign w:val="bottom"/>
            <w:vMerge w:val="continue"/>
          </w:tcPr>
          <w:p>
            <w:pPr>
              <w:spacing w:after="0"/>
              <w:rPr>
                <w:sz w:val="19"/>
                <w:szCs w:val="19"/>
                <w:color w:val="auto"/>
              </w:rPr>
            </w:pPr>
          </w:p>
        </w:tc>
        <w:tc>
          <w:tcPr>
            <w:tcW w:w="48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40" w:type="dxa"/>
            <w:vAlign w:val="bottom"/>
            <w:vMerge w:val="continue"/>
          </w:tcPr>
          <w:p>
            <w:pPr>
              <w:spacing w:after="0"/>
              <w:rPr>
                <w:sz w:val="19"/>
                <w:szCs w:val="19"/>
                <w:color w:val="auto"/>
              </w:rPr>
            </w:pPr>
          </w:p>
        </w:tc>
        <w:tc>
          <w:tcPr>
            <w:tcW w:w="320" w:type="dxa"/>
            <w:vAlign w:val="bottom"/>
          </w:tcPr>
          <w:p>
            <w:pPr>
              <w:spacing w:after="0"/>
              <w:rPr>
                <w:sz w:val="19"/>
                <w:szCs w:val="19"/>
                <w:color w:val="auto"/>
              </w:rPr>
            </w:pPr>
          </w:p>
        </w:tc>
        <w:tc>
          <w:tcPr>
            <w:tcW w:w="48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20" w:type="dxa"/>
            <w:vAlign w:val="bottom"/>
            <w:gridSpan w:val="2"/>
            <w:vMerge w:val="continue"/>
          </w:tcPr>
          <w:p>
            <w:pPr>
              <w:spacing w:after="0"/>
              <w:rPr>
                <w:sz w:val="19"/>
                <w:szCs w:val="19"/>
                <w:color w:val="auto"/>
              </w:rPr>
            </w:pPr>
          </w:p>
        </w:tc>
        <w:tc>
          <w:tcPr>
            <w:tcW w:w="6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vMerge w:val="continue"/>
          </w:tcPr>
          <w:p>
            <w:pPr>
              <w:spacing w:after="0"/>
              <w:rPr>
                <w:sz w:val="19"/>
                <w:szCs w:val="19"/>
                <w:color w:val="auto"/>
              </w:rPr>
            </w:pPr>
          </w:p>
        </w:tc>
        <w:tc>
          <w:tcPr>
            <w:tcW w:w="68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1"/>
        </w:trPr>
        <w:tc>
          <w:tcPr>
            <w:tcW w:w="480" w:type="dxa"/>
            <w:vAlign w:val="bottom"/>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3560" w:type="dxa"/>
            <w:vAlign w:val="bottom"/>
            <w:gridSpan w:val="3"/>
            <w:shd w:val="clear" w:color="auto" w:fill="CCEEFF"/>
          </w:tcPr>
          <w:p>
            <w:pPr>
              <w:ind w:left="120"/>
              <w:spacing w:after="0" w:line="171" w:lineRule="exact"/>
              <w:rPr>
                <w:sz w:val="20"/>
                <w:szCs w:val="20"/>
                <w:color w:val="auto"/>
              </w:rPr>
            </w:pPr>
            <w:r>
              <w:rPr>
                <w:rFonts w:ascii="Arial" w:cs="Arial" w:eastAsia="Arial" w:hAnsi="Arial"/>
                <w:sz w:val="17"/>
                <w:szCs w:val="17"/>
                <w:color w:val="auto"/>
                <w:w w:val="96"/>
              </w:rPr>
              <w:t>Ground lease cash flows (included in operating</w:t>
            </w:r>
          </w:p>
        </w:tc>
        <w:tc>
          <w:tcPr>
            <w:tcW w:w="1320" w:type="dxa"/>
            <w:vAlign w:val="bottom"/>
            <w:vMerge w:val="restart"/>
            <w:shd w:val="clear" w:color="auto" w:fill="CCEEFF"/>
          </w:tcPr>
          <w:p>
            <w:pPr>
              <w:ind w:left="480"/>
              <w:spacing w:after="0"/>
              <w:rPr>
                <w:sz w:val="20"/>
                <w:szCs w:val="20"/>
                <w:color w:val="auto"/>
              </w:rPr>
            </w:pPr>
            <w:r>
              <w:rPr>
                <w:rFonts w:ascii="Arial" w:cs="Arial" w:eastAsia="Arial" w:hAnsi="Arial"/>
                <w:sz w:val="17"/>
                <w:szCs w:val="17"/>
                <w:color w:val="auto"/>
              </w:rPr>
              <w:t>$</w:t>
            </w: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634</w:t>
            </w: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040" w:type="dxa"/>
            <w:vAlign w:val="bottom"/>
            <w:vMerge w:val="restart"/>
            <w:shd w:val="clear" w:color="auto" w:fill="CCEEFF"/>
          </w:tcPr>
          <w:p>
            <w:pPr>
              <w:jc w:val="right"/>
              <w:ind w:right="379"/>
              <w:spacing w:after="0"/>
              <w:rPr>
                <w:sz w:val="20"/>
                <w:szCs w:val="20"/>
                <w:color w:val="auto"/>
              </w:rPr>
            </w:pPr>
            <w:r>
              <w:rPr>
                <w:rFonts w:ascii="Arial" w:cs="Arial" w:eastAsia="Arial" w:hAnsi="Arial"/>
                <w:sz w:val="17"/>
                <w:szCs w:val="17"/>
                <w:color w:val="auto"/>
              </w:rPr>
              <w:t>$</w:t>
            </w:r>
          </w:p>
        </w:tc>
        <w:tc>
          <w:tcPr>
            <w:tcW w:w="320" w:type="dxa"/>
            <w:vAlign w:val="bottom"/>
            <w:shd w:val="clear" w:color="auto" w:fill="CCEEFF"/>
          </w:tcPr>
          <w:p>
            <w:pPr>
              <w:spacing w:after="0"/>
              <w:rPr>
                <w:sz w:val="14"/>
                <w:szCs w:val="14"/>
                <w:color w:val="auto"/>
              </w:rPr>
            </w:pP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624</w:t>
            </w:r>
          </w:p>
        </w:tc>
        <w:tc>
          <w:tcPr>
            <w:tcW w:w="12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620" w:type="dxa"/>
            <w:vAlign w:val="bottom"/>
            <w:gridSpan w:val="2"/>
            <w:vMerge w:val="restart"/>
            <w:shd w:val="clear" w:color="auto" w:fill="CCEEFF"/>
          </w:tcPr>
          <w:p>
            <w:pPr>
              <w:ind w:left="100"/>
              <w:spacing w:after="0"/>
              <w:rPr>
                <w:sz w:val="20"/>
                <w:szCs w:val="20"/>
                <w:color w:val="auto"/>
              </w:rPr>
            </w:pPr>
            <w:r>
              <w:rPr>
                <w:rFonts w:ascii="Arial" w:cs="Arial" w:eastAsia="Arial" w:hAnsi="Arial"/>
                <w:sz w:val="17"/>
                <w:szCs w:val="17"/>
                <w:color w:val="auto"/>
              </w:rPr>
              <w:t>$</w:t>
            </w:r>
          </w:p>
        </w:tc>
        <w:tc>
          <w:tcPr>
            <w:tcW w:w="6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1,269</w:t>
            </w:r>
          </w:p>
        </w:tc>
        <w:tc>
          <w:tcPr>
            <w:tcW w:w="100" w:type="dxa"/>
            <w:vAlign w:val="bottom"/>
            <w:shd w:val="clear" w:color="auto" w:fill="CCEEFF"/>
          </w:tcPr>
          <w:p>
            <w:pPr>
              <w:spacing w:after="0"/>
              <w:rPr>
                <w:sz w:val="14"/>
                <w:szCs w:val="14"/>
                <w:color w:val="auto"/>
              </w:rPr>
            </w:pPr>
          </w:p>
        </w:tc>
        <w:tc>
          <w:tcPr>
            <w:tcW w:w="560" w:type="dxa"/>
            <w:vAlign w:val="bottom"/>
            <w:vMerge w:val="restart"/>
            <w:shd w:val="clear" w:color="auto" w:fill="CCEEFF"/>
          </w:tcPr>
          <w:p>
            <w:pPr>
              <w:ind w:left="480"/>
              <w:spacing w:after="0"/>
              <w:rPr>
                <w:sz w:val="20"/>
                <w:szCs w:val="20"/>
                <w:color w:val="auto"/>
              </w:rPr>
            </w:pPr>
            <w:r>
              <w:rPr>
                <w:rFonts w:ascii="Arial" w:cs="Arial" w:eastAsia="Arial" w:hAnsi="Arial"/>
                <w:sz w:val="15"/>
                <w:szCs w:val="15"/>
                <w:color w:val="auto"/>
                <w:w w:val="71"/>
              </w:rPr>
              <w:t>$</w:t>
            </w:r>
          </w:p>
        </w:tc>
        <w:tc>
          <w:tcPr>
            <w:tcW w:w="680" w:type="dxa"/>
            <w:vAlign w:val="bottom"/>
            <w:gridSpan w:val="2"/>
            <w:vMerge w:val="restart"/>
            <w:shd w:val="clear" w:color="auto" w:fill="CCEEFF"/>
          </w:tcPr>
          <w:p>
            <w:pPr>
              <w:jc w:val="right"/>
              <w:spacing w:after="0"/>
              <w:rPr>
                <w:sz w:val="20"/>
                <w:szCs w:val="20"/>
                <w:color w:val="auto"/>
              </w:rPr>
            </w:pPr>
            <w:r>
              <w:rPr>
                <w:rFonts w:ascii="Arial" w:cs="Arial" w:eastAsia="Arial" w:hAnsi="Arial"/>
                <w:sz w:val="17"/>
                <w:szCs w:val="17"/>
                <w:color w:val="auto"/>
              </w:rPr>
              <w:t>1</w:t>
            </w:r>
          </w:p>
        </w:tc>
        <w:tc>
          <w:tcPr>
            <w:tcW w:w="0" w:type="dxa"/>
            <w:vAlign w:val="bottom"/>
          </w:tcPr>
          <w:p>
            <w:pPr>
              <w:spacing w:after="0"/>
              <w:rPr>
                <w:sz w:val="1"/>
                <w:szCs w:val="1"/>
                <w:color w:val="auto"/>
              </w:rPr>
            </w:pPr>
          </w:p>
        </w:tc>
      </w:tr>
      <w:tr>
        <w:trPr>
          <w:trHeight w:val="221"/>
        </w:trPr>
        <w:tc>
          <w:tcPr>
            <w:tcW w:w="480" w:type="dxa"/>
            <w:vAlign w:val="bottom"/>
          </w:tcPr>
          <w:p>
            <w:pPr>
              <w:spacing w:after="0"/>
              <w:rPr>
                <w:sz w:val="19"/>
                <w:szCs w:val="19"/>
                <w:color w:val="auto"/>
              </w:rPr>
            </w:pPr>
          </w:p>
        </w:tc>
        <w:tc>
          <w:tcPr>
            <w:tcW w:w="4040" w:type="dxa"/>
            <w:vAlign w:val="bottom"/>
            <w:gridSpan w:val="4"/>
            <w:shd w:val="clear" w:color="auto" w:fill="CCEEFF"/>
          </w:tcPr>
          <w:p>
            <w:pPr>
              <w:ind w:left="140"/>
              <w:spacing w:after="0"/>
              <w:rPr>
                <w:sz w:val="20"/>
                <w:szCs w:val="20"/>
                <w:color w:val="auto"/>
              </w:rPr>
            </w:pPr>
            <w:r>
              <w:rPr>
                <w:rFonts w:ascii="Arial" w:cs="Arial" w:eastAsia="Arial" w:hAnsi="Arial"/>
                <w:sz w:val="17"/>
                <w:szCs w:val="17"/>
                <w:color w:val="auto"/>
              </w:rPr>
              <w:t>cash flows)</w:t>
            </w:r>
          </w:p>
        </w:tc>
        <w:tc>
          <w:tcPr>
            <w:tcW w:w="1320" w:type="dxa"/>
            <w:vAlign w:val="bottom"/>
            <w:vMerge w:val="continue"/>
            <w:shd w:val="clear" w:color="auto" w:fill="CCEEFF"/>
          </w:tcPr>
          <w:p>
            <w:pPr>
              <w:spacing w:after="0"/>
              <w:rPr>
                <w:sz w:val="19"/>
                <w:szCs w:val="19"/>
                <w:color w:val="auto"/>
              </w:rPr>
            </w:pPr>
          </w:p>
        </w:tc>
        <w:tc>
          <w:tcPr>
            <w:tcW w:w="480" w:type="dxa"/>
            <w:vAlign w:val="bottom"/>
            <w:vMerge w:val="continue"/>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40" w:type="dxa"/>
            <w:vAlign w:val="bottom"/>
            <w:vMerge w:val="continue"/>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80" w:type="dxa"/>
            <w:vAlign w:val="bottom"/>
            <w:vMerge w:val="continue"/>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620" w:type="dxa"/>
            <w:vAlign w:val="bottom"/>
            <w:gridSpan w:val="2"/>
            <w:vMerge w:val="continue"/>
            <w:shd w:val="clear" w:color="auto" w:fill="CCEEFF"/>
          </w:tcPr>
          <w:p>
            <w:pPr>
              <w:spacing w:after="0"/>
              <w:rPr>
                <w:sz w:val="19"/>
                <w:szCs w:val="19"/>
                <w:color w:val="auto"/>
              </w:rPr>
            </w:pPr>
          </w:p>
        </w:tc>
        <w:tc>
          <w:tcPr>
            <w:tcW w:w="62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vMerge w:val="continue"/>
            <w:shd w:val="clear" w:color="auto" w:fill="CCEEFF"/>
          </w:tcPr>
          <w:p>
            <w:pPr>
              <w:spacing w:after="0"/>
              <w:rPr>
                <w:sz w:val="19"/>
                <w:szCs w:val="19"/>
                <w:color w:val="auto"/>
              </w:rPr>
            </w:pPr>
          </w:p>
        </w:tc>
        <w:tc>
          <w:tcPr>
            <w:tcW w:w="680" w:type="dxa"/>
            <w:vAlign w:val="bottom"/>
            <w:gridSpan w:val="2"/>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1"/>
        </w:trPr>
        <w:tc>
          <w:tcPr>
            <w:tcW w:w="480" w:type="dxa"/>
            <w:vAlign w:val="bottom"/>
          </w:tcPr>
          <w:p>
            <w:pPr>
              <w:spacing w:after="0"/>
              <w:rPr>
                <w:sz w:val="14"/>
                <w:szCs w:val="14"/>
                <w:color w:val="auto"/>
              </w:rPr>
            </w:pPr>
          </w:p>
        </w:tc>
        <w:tc>
          <w:tcPr>
            <w:tcW w:w="4040" w:type="dxa"/>
            <w:vAlign w:val="bottom"/>
            <w:gridSpan w:val="4"/>
          </w:tcPr>
          <w:p>
            <w:pPr>
              <w:ind w:left="480"/>
              <w:spacing w:after="0" w:line="171" w:lineRule="exact"/>
              <w:rPr>
                <w:sz w:val="20"/>
                <w:szCs w:val="20"/>
                <w:color w:val="auto"/>
              </w:rPr>
            </w:pPr>
            <w:r>
              <w:rPr>
                <w:rFonts w:ascii="Arial" w:cs="Arial" w:eastAsia="Arial" w:hAnsi="Arial"/>
                <w:sz w:val="17"/>
                <w:szCs w:val="17"/>
                <w:color w:val="auto"/>
                <w:w w:val="94"/>
              </w:rPr>
              <w:t>Right-of-use assets obtained in exchange for new</w:t>
            </w:r>
          </w:p>
        </w:tc>
        <w:tc>
          <w:tcPr>
            <w:tcW w:w="1320" w:type="dxa"/>
            <w:vAlign w:val="bottom"/>
            <w:vMerge w:val="restart"/>
          </w:tcPr>
          <w:p>
            <w:pPr>
              <w:ind w:left="480"/>
              <w:spacing w:after="0"/>
              <w:rPr>
                <w:sz w:val="20"/>
                <w:szCs w:val="20"/>
                <w:color w:val="auto"/>
              </w:rPr>
            </w:pPr>
            <w:r>
              <w:rPr>
                <w:rFonts w:ascii="Arial" w:cs="Arial" w:eastAsia="Arial" w:hAnsi="Arial"/>
                <w:sz w:val="17"/>
                <w:szCs w:val="17"/>
                <w:color w:val="auto"/>
              </w:rPr>
              <w:t>$</w:t>
            </w:r>
          </w:p>
        </w:tc>
        <w:tc>
          <w:tcPr>
            <w:tcW w:w="580" w:type="dxa"/>
            <w:vAlign w:val="bottom"/>
            <w:gridSpan w:val="3"/>
            <w:vMerge w:val="restart"/>
          </w:tcPr>
          <w:p>
            <w:pPr>
              <w:jc w:val="right"/>
              <w:ind w:right="160"/>
              <w:spacing w:after="0"/>
              <w:rPr>
                <w:sz w:val="20"/>
                <w:szCs w:val="20"/>
                <w:color w:val="auto"/>
              </w:rPr>
            </w:pPr>
            <w:r>
              <w:rPr>
                <w:rFonts w:ascii="Arial" w:cs="Arial" w:eastAsia="Arial" w:hAnsi="Arial"/>
                <w:sz w:val="17"/>
                <w:szCs w:val="17"/>
                <w:color w:val="auto"/>
              </w:rPr>
              <w:t>—</w:t>
            </w:r>
          </w:p>
        </w:tc>
        <w:tc>
          <w:tcPr>
            <w:tcW w:w="1040" w:type="dxa"/>
            <w:vAlign w:val="bottom"/>
            <w:vMerge w:val="restart"/>
          </w:tcPr>
          <w:p>
            <w:pPr>
              <w:jc w:val="right"/>
              <w:ind w:right="379"/>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4"/>
                <w:szCs w:val="14"/>
                <w:color w:val="auto"/>
              </w:rPr>
            </w:pPr>
          </w:p>
        </w:tc>
        <w:tc>
          <w:tcPr>
            <w:tcW w:w="480" w:type="dxa"/>
            <w:vAlign w:val="bottom"/>
            <w:vMerge w:val="restart"/>
          </w:tcPr>
          <w:p>
            <w:pPr>
              <w:jc w:val="right"/>
              <w:spacing w:after="0"/>
              <w:rPr>
                <w:sz w:val="20"/>
                <w:szCs w:val="20"/>
                <w:color w:val="auto"/>
              </w:rPr>
            </w:pPr>
            <w:r>
              <w:rPr>
                <w:rFonts w:ascii="Arial" w:cs="Arial" w:eastAsia="Arial" w:hAnsi="Arial"/>
                <w:sz w:val="17"/>
                <w:szCs w:val="17"/>
                <w:color w:val="auto"/>
                <w:w w:val="89"/>
              </w:rPr>
              <w:t>1,135</w:t>
            </w:r>
          </w:p>
        </w:tc>
        <w:tc>
          <w:tcPr>
            <w:tcW w:w="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20" w:type="dxa"/>
            <w:vAlign w:val="bottom"/>
            <w:gridSpan w:val="2"/>
            <w:vMerge w:val="restart"/>
          </w:tcPr>
          <w:p>
            <w:pPr>
              <w:ind w:left="100"/>
              <w:spacing w:after="0"/>
              <w:rPr>
                <w:sz w:val="20"/>
                <w:szCs w:val="20"/>
                <w:color w:val="auto"/>
              </w:rPr>
            </w:pPr>
            <w:r>
              <w:rPr>
                <w:rFonts w:ascii="Arial" w:cs="Arial" w:eastAsia="Arial" w:hAnsi="Arial"/>
                <w:sz w:val="17"/>
                <w:szCs w:val="17"/>
                <w:color w:val="auto"/>
              </w:rPr>
              <w:t>$</w:t>
            </w:r>
          </w:p>
        </w:tc>
        <w:tc>
          <w:tcPr>
            <w:tcW w:w="620" w:type="dxa"/>
            <w:vAlign w:val="bottom"/>
            <w:vMerge w:val="restart"/>
          </w:tcPr>
          <w:p>
            <w:pPr>
              <w:jc w:val="right"/>
              <w:spacing w:after="0"/>
              <w:rPr>
                <w:sz w:val="20"/>
                <w:szCs w:val="20"/>
                <w:color w:val="auto"/>
              </w:rPr>
            </w:pPr>
            <w:r>
              <w:rPr>
                <w:rFonts w:ascii="Arial" w:cs="Arial" w:eastAsia="Arial" w:hAnsi="Arial"/>
                <w:sz w:val="17"/>
                <w:szCs w:val="17"/>
                <w:color w:val="auto"/>
              </w:rPr>
              <w:t>3,006</w:t>
            </w:r>
          </w:p>
        </w:tc>
        <w:tc>
          <w:tcPr>
            <w:tcW w:w="100" w:type="dxa"/>
            <w:vAlign w:val="bottom"/>
          </w:tcPr>
          <w:p>
            <w:pPr>
              <w:spacing w:after="0"/>
              <w:rPr>
                <w:sz w:val="14"/>
                <w:szCs w:val="14"/>
                <w:color w:val="auto"/>
              </w:rPr>
            </w:pPr>
          </w:p>
        </w:tc>
        <w:tc>
          <w:tcPr>
            <w:tcW w:w="560" w:type="dxa"/>
            <w:vAlign w:val="bottom"/>
            <w:vMerge w:val="restart"/>
          </w:tcPr>
          <w:p>
            <w:pPr>
              <w:ind w:left="480"/>
              <w:spacing w:after="0"/>
              <w:rPr>
                <w:sz w:val="20"/>
                <w:szCs w:val="20"/>
                <w:color w:val="auto"/>
              </w:rPr>
            </w:pPr>
            <w:r>
              <w:rPr>
                <w:rFonts w:ascii="Arial" w:cs="Arial" w:eastAsia="Arial" w:hAnsi="Arial"/>
                <w:sz w:val="15"/>
                <w:szCs w:val="15"/>
                <w:color w:val="auto"/>
                <w:w w:val="71"/>
              </w:rPr>
              <w:t>$</w:t>
            </w:r>
          </w:p>
        </w:tc>
        <w:tc>
          <w:tcPr>
            <w:tcW w:w="680" w:type="dxa"/>
            <w:vAlign w:val="bottom"/>
            <w:gridSpan w:val="2"/>
            <w:vMerge w:val="restart"/>
          </w:tcPr>
          <w:p>
            <w:pPr>
              <w:jc w:val="right"/>
              <w:spacing w:after="0"/>
              <w:rPr>
                <w:sz w:val="20"/>
                <w:szCs w:val="20"/>
                <w:color w:val="auto"/>
              </w:rPr>
            </w:pPr>
            <w:r>
              <w:rPr>
                <w:rFonts w:ascii="Arial" w:cs="Arial" w:eastAsia="Arial" w:hAnsi="Arial"/>
                <w:sz w:val="17"/>
                <w:szCs w:val="17"/>
                <w:color w:val="auto"/>
              </w:rPr>
              <w:t>1</w:t>
            </w:r>
          </w:p>
        </w:tc>
        <w:tc>
          <w:tcPr>
            <w:tcW w:w="0" w:type="dxa"/>
            <w:vAlign w:val="bottom"/>
          </w:tcPr>
          <w:p>
            <w:pPr>
              <w:spacing w:after="0"/>
              <w:rPr>
                <w:sz w:val="1"/>
                <w:szCs w:val="1"/>
                <w:color w:val="auto"/>
              </w:rPr>
            </w:pPr>
          </w:p>
        </w:tc>
      </w:tr>
      <w:tr>
        <w:trPr>
          <w:trHeight w:val="221"/>
        </w:trPr>
        <w:tc>
          <w:tcPr>
            <w:tcW w:w="480" w:type="dxa"/>
            <w:vAlign w:val="bottom"/>
          </w:tcPr>
          <w:p>
            <w:pPr>
              <w:spacing w:after="0"/>
              <w:rPr>
                <w:sz w:val="19"/>
                <w:szCs w:val="19"/>
                <w:color w:val="auto"/>
              </w:rPr>
            </w:pPr>
          </w:p>
        </w:tc>
        <w:tc>
          <w:tcPr>
            <w:tcW w:w="4040" w:type="dxa"/>
            <w:vAlign w:val="bottom"/>
            <w:gridSpan w:val="4"/>
          </w:tcPr>
          <w:p>
            <w:pPr>
              <w:ind w:left="20"/>
              <w:spacing w:after="0"/>
              <w:rPr>
                <w:sz w:val="20"/>
                <w:szCs w:val="20"/>
                <w:color w:val="auto"/>
              </w:rPr>
            </w:pPr>
            <w:r>
              <w:rPr>
                <w:rFonts w:ascii="Arial" w:cs="Arial" w:eastAsia="Arial" w:hAnsi="Arial"/>
                <w:sz w:val="17"/>
                <w:szCs w:val="17"/>
                <w:color w:val="auto"/>
              </w:rPr>
              <w:t>operating lease liabilities</w:t>
            </w:r>
          </w:p>
        </w:tc>
        <w:tc>
          <w:tcPr>
            <w:tcW w:w="1320" w:type="dxa"/>
            <w:vAlign w:val="bottom"/>
            <w:vMerge w:val="continue"/>
          </w:tcPr>
          <w:p>
            <w:pPr>
              <w:spacing w:after="0"/>
              <w:rPr>
                <w:sz w:val="19"/>
                <w:szCs w:val="19"/>
                <w:color w:val="auto"/>
              </w:rPr>
            </w:pPr>
          </w:p>
        </w:tc>
        <w:tc>
          <w:tcPr>
            <w:tcW w:w="580" w:type="dxa"/>
            <w:vAlign w:val="bottom"/>
            <w:gridSpan w:val="3"/>
            <w:vMerge w:val="continue"/>
          </w:tcPr>
          <w:p>
            <w:pPr>
              <w:spacing w:after="0"/>
              <w:rPr>
                <w:sz w:val="19"/>
                <w:szCs w:val="19"/>
                <w:color w:val="auto"/>
              </w:rPr>
            </w:pPr>
          </w:p>
        </w:tc>
        <w:tc>
          <w:tcPr>
            <w:tcW w:w="1040" w:type="dxa"/>
            <w:vAlign w:val="bottom"/>
            <w:vMerge w:val="continue"/>
          </w:tcPr>
          <w:p>
            <w:pPr>
              <w:spacing w:after="0"/>
              <w:rPr>
                <w:sz w:val="19"/>
                <w:szCs w:val="19"/>
                <w:color w:val="auto"/>
              </w:rPr>
            </w:pPr>
          </w:p>
        </w:tc>
        <w:tc>
          <w:tcPr>
            <w:tcW w:w="320" w:type="dxa"/>
            <w:vAlign w:val="bottom"/>
          </w:tcPr>
          <w:p>
            <w:pPr>
              <w:spacing w:after="0"/>
              <w:rPr>
                <w:sz w:val="19"/>
                <w:szCs w:val="19"/>
                <w:color w:val="auto"/>
              </w:rPr>
            </w:pPr>
          </w:p>
        </w:tc>
        <w:tc>
          <w:tcPr>
            <w:tcW w:w="48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20" w:type="dxa"/>
            <w:vAlign w:val="bottom"/>
            <w:gridSpan w:val="2"/>
            <w:vMerge w:val="continue"/>
          </w:tcPr>
          <w:p>
            <w:pPr>
              <w:spacing w:after="0"/>
              <w:rPr>
                <w:sz w:val="19"/>
                <w:szCs w:val="19"/>
                <w:color w:val="auto"/>
              </w:rPr>
            </w:pPr>
          </w:p>
        </w:tc>
        <w:tc>
          <w:tcPr>
            <w:tcW w:w="6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vMerge w:val="continue"/>
          </w:tcPr>
          <w:p>
            <w:pPr>
              <w:spacing w:after="0"/>
              <w:rPr>
                <w:sz w:val="19"/>
                <w:szCs w:val="19"/>
                <w:color w:val="auto"/>
              </w:rPr>
            </w:pPr>
          </w:p>
        </w:tc>
        <w:tc>
          <w:tcPr>
            <w:tcW w:w="68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400"/>
        </w:trPr>
        <w:tc>
          <w:tcPr>
            <w:tcW w:w="4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0" w:type="dxa"/>
            <w:vAlign w:val="bottom"/>
            <w:gridSpan w:val="5"/>
          </w:tcPr>
          <w:p>
            <w:pPr>
              <w:jc w:val="right"/>
              <w:ind w:right="530"/>
              <w:spacing w:after="0"/>
              <w:rPr>
                <w:sz w:val="20"/>
                <w:szCs w:val="20"/>
                <w:color w:val="auto"/>
              </w:rPr>
            </w:pPr>
            <w:r>
              <w:rPr>
                <w:rFonts w:ascii="Arial" w:cs="Arial" w:eastAsia="Arial" w:hAnsi="Arial"/>
                <w:sz w:val="14"/>
                <w:szCs w:val="14"/>
                <w:b w:val="1"/>
                <w:bCs w:val="1"/>
                <w:color w:val="auto"/>
              </w:rPr>
              <w:t>June 30, 2021</w:t>
            </w:r>
          </w:p>
        </w:tc>
        <w:tc>
          <w:tcPr>
            <w:tcW w:w="1960" w:type="dxa"/>
            <w:vAlign w:val="bottom"/>
            <w:gridSpan w:val="5"/>
          </w:tcPr>
          <w:p>
            <w:pPr>
              <w:jc w:val="right"/>
              <w:ind w:right="460"/>
              <w:spacing w:after="0"/>
              <w:rPr>
                <w:sz w:val="20"/>
                <w:szCs w:val="20"/>
                <w:color w:val="auto"/>
              </w:rPr>
            </w:pPr>
            <w:r>
              <w:rPr>
                <w:rFonts w:ascii="Arial" w:cs="Arial" w:eastAsia="Arial" w:hAnsi="Arial"/>
                <w:sz w:val="14"/>
                <w:szCs w:val="14"/>
                <w:b w:val="1"/>
                <w:bCs w:val="1"/>
                <w:color w:val="auto"/>
              </w:rPr>
              <w:t>December 31, 2020</w:t>
            </w:r>
          </w:p>
        </w:tc>
        <w:tc>
          <w:tcPr>
            <w:tcW w:w="0" w:type="dxa"/>
            <w:vAlign w:val="bottom"/>
          </w:tcPr>
          <w:p>
            <w:pPr>
              <w:spacing w:after="0"/>
              <w:rPr>
                <w:sz w:val="1"/>
                <w:szCs w:val="1"/>
                <w:color w:val="auto"/>
              </w:rPr>
            </w:pPr>
          </w:p>
        </w:tc>
      </w:tr>
      <w:tr>
        <w:trPr>
          <w:trHeight w:val="207"/>
        </w:trPr>
        <w:tc>
          <w:tcPr>
            <w:tcW w:w="4520" w:type="dxa"/>
            <w:vAlign w:val="bottom"/>
            <w:tcBorders>
              <w:top w:val="single" w:sz="8" w:color="CCEEFF"/>
            </w:tcBorders>
            <w:gridSpan w:val="5"/>
            <w:shd w:val="clear" w:color="auto" w:fill="CCEEFF"/>
          </w:tcPr>
          <w:p>
            <w:pPr>
              <w:ind w:left="20"/>
              <w:spacing w:after="0"/>
              <w:rPr>
                <w:sz w:val="20"/>
                <w:szCs w:val="20"/>
                <w:color w:val="auto"/>
              </w:rPr>
            </w:pPr>
            <w:r>
              <w:rPr>
                <w:rFonts w:ascii="Arial" w:cs="Arial" w:eastAsia="Arial" w:hAnsi="Arial"/>
                <w:sz w:val="17"/>
                <w:szCs w:val="17"/>
                <w:color w:val="auto"/>
              </w:rPr>
              <w:t>Weighted-average discount rate:</w:t>
            </w:r>
          </w:p>
        </w:tc>
        <w:tc>
          <w:tcPr>
            <w:tcW w:w="132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4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12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4520" w:type="dxa"/>
            <w:vAlign w:val="bottom"/>
            <w:gridSpan w:val="5"/>
          </w:tcPr>
          <w:p>
            <w:pPr>
              <w:ind w:left="140"/>
              <w:spacing w:after="0"/>
              <w:rPr>
                <w:sz w:val="20"/>
                <w:szCs w:val="20"/>
                <w:color w:val="auto"/>
              </w:rPr>
            </w:pPr>
            <w:r>
              <w:rPr>
                <w:rFonts w:ascii="Arial" w:cs="Arial" w:eastAsia="Arial" w:hAnsi="Arial"/>
                <w:sz w:val="17"/>
                <w:szCs w:val="17"/>
                <w:color w:val="auto"/>
              </w:rPr>
              <w:t>Operating leases</w:t>
            </w:r>
          </w:p>
        </w:tc>
        <w:tc>
          <w:tcPr>
            <w:tcW w:w="13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20" w:type="dxa"/>
            <w:vAlign w:val="bottom"/>
            <w:gridSpan w:val="2"/>
          </w:tcPr>
          <w:p>
            <w:pPr>
              <w:ind w:left="100"/>
              <w:spacing w:after="0"/>
              <w:rPr>
                <w:sz w:val="20"/>
                <w:szCs w:val="20"/>
                <w:color w:val="auto"/>
              </w:rPr>
            </w:pPr>
            <w:r>
              <w:rPr>
                <w:rFonts w:ascii="Arial" w:cs="Arial" w:eastAsia="Arial" w:hAnsi="Arial"/>
                <w:sz w:val="17"/>
                <w:szCs w:val="17"/>
                <w:color w:val="auto"/>
              </w:rPr>
              <w:t>5.4 %</w:t>
            </w: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5.7 %</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520" w:type="dxa"/>
            <w:vAlign w:val="bottom"/>
            <w:gridSpan w:val="5"/>
            <w:shd w:val="clear" w:color="auto" w:fill="CCEEFF"/>
          </w:tcPr>
          <w:p>
            <w:pPr>
              <w:ind w:left="140"/>
              <w:spacing w:after="0"/>
              <w:rPr>
                <w:sz w:val="20"/>
                <w:szCs w:val="20"/>
                <w:color w:val="auto"/>
              </w:rPr>
            </w:pPr>
            <w:r>
              <w:rPr>
                <w:rFonts w:ascii="Arial" w:cs="Arial" w:eastAsia="Arial" w:hAnsi="Arial"/>
                <w:sz w:val="17"/>
                <w:szCs w:val="17"/>
                <w:color w:val="auto"/>
              </w:rPr>
              <w:t>Ground leases</w:t>
            </w:r>
          </w:p>
        </w:tc>
        <w:tc>
          <w:tcPr>
            <w:tcW w:w="13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620" w:type="dxa"/>
            <w:vAlign w:val="bottom"/>
            <w:gridSpan w:val="2"/>
            <w:shd w:val="clear" w:color="auto" w:fill="CCEEFF"/>
          </w:tcPr>
          <w:p>
            <w:pPr>
              <w:jc w:val="right"/>
              <w:ind w:right="30"/>
              <w:spacing w:after="0"/>
              <w:rPr>
                <w:sz w:val="20"/>
                <w:szCs w:val="20"/>
                <w:color w:val="auto"/>
              </w:rPr>
            </w:pPr>
            <w:r>
              <w:rPr>
                <w:rFonts w:ascii="Arial" w:cs="Arial" w:eastAsia="Arial" w:hAnsi="Arial"/>
                <w:sz w:val="17"/>
                <w:szCs w:val="17"/>
                <w:color w:val="auto"/>
                <w:w w:val="94"/>
              </w:rPr>
              <w:t>10.2 %</w:t>
            </w:r>
          </w:p>
        </w:tc>
        <w:tc>
          <w:tcPr>
            <w:tcW w:w="6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10.2 %</w:t>
            </w:r>
          </w:p>
        </w:tc>
        <w:tc>
          <w:tcPr>
            <w:tcW w:w="120" w:type="dxa"/>
            <w:vAlign w:val="bottom"/>
            <w:tcBorders>
              <w:left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520" w:type="dxa"/>
            <w:vAlign w:val="bottom"/>
            <w:gridSpan w:val="5"/>
          </w:tcPr>
          <w:p>
            <w:pPr>
              <w:ind w:left="20"/>
              <w:spacing w:after="0"/>
              <w:rPr>
                <w:sz w:val="20"/>
                <w:szCs w:val="20"/>
                <w:color w:val="auto"/>
              </w:rPr>
            </w:pPr>
            <w:r>
              <w:rPr>
                <w:rFonts w:ascii="Arial" w:cs="Arial" w:eastAsia="Arial" w:hAnsi="Arial"/>
                <w:sz w:val="17"/>
                <w:szCs w:val="17"/>
                <w:color w:val="auto"/>
              </w:rPr>
              <w:t>Weighted-average remaining lease term (in years):</w:t>
            </w:r>
          </w:p>
        </w:tc>
        <w:tc>
          <w:tcPr>
            <w:tcW w:w="13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520" w:type="dxa"/>
            <w:vAlign w:val="bottom"/>
            <w:gridSpan w:val="5"/>
            <w:shd w:val="clear" w:color="auto" w:fill="CCEEFF"/>
          </w:tcPr>
          <w:p>
            <w:pPr>
              <w:ind w:left="140"/>
              <w:spacing w:after="0"/>
              <w:rPr>
                <w:sz w:val="20"/>
                <w:szCs w:val="20"/>
                <w:color w:val="auto"/>
              </w:rPr>
            </w:pPr>
            <w:r>
              <w:rPr>
                <w:rFonts w:ascii="Arial" w:cs="Arial" w:eastAsia="Arial" w:hAnsi="Arial"/>
                <w:sz w:val="17"/>
                <w:szCs w:val="17"/>
                <w:color w:val="auto"/>
              </w:rPr>
              <w:t>Operating leases</w:t>
            </w:r>
          </w:p>
        </w:tc>
        <w:tc>
          <w:tcPr>
            <w:tcW w:w="13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620" w:type="dxa"/>
            <w:vAlign w:val="bottom"/>
            <w:gridSpan w:val="2"/>
            <w:shd w:val="clear" w:color="auto" w:fill="CCEEFF"/>
          </w:tcPr>
          <w:p>
            <w:pPr>
              <w:jc w:val="right"/>
              <w:ind w:right="30"/>
              <w:spacing w:after="0"/>
              <w:rPr>
                <w:sz w:val="20"/>
                <w:szCs w:val="20"/>
                <w:color w:val="auto"/>
              </w:rPr>
            </w:pPr>
            <w:r>
              <w:rPr>
                <w:rFonts w:ascii="Arial" w:cs="Arial" w:eastAsia="Arial" w:hAnsi="Arial"/>
                <w:sz w:val="17"/>
                <w:szCs w:val="17"/>
                <w:color w:val="auto"/>
              </w:rPr>
              <w:t>6.0</w:t>
            </w:r>
          </w:p>
        </w:tc>
        <w:tc>
          <w:tcPr>
            <w:tcW w:w="6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w:t>
            </w:r>
          </w:p>
        </w:tc>
        <w:tc>
          <w:tcPr>
            <w:tcW w:w="120" w:type="dxa"/>
            <w:vAlign w:val="bottom"/>
            <w:tcBorders>
              <w:left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520" w:type="dxa"/>
            <w:vAlign w:val="bottom"/>
            <w:gridSpan w:val="5"/>
          </w:tcPr>
          <w:p>
            <w:pPr>
              <w:ind w:left="140"/>
              <w:spacing w:after="0"/>
              <w:rPr>
                <w:sz w:val="20"/>
                <w:szCs w:val="20"/>
                <w:color w:val="auto"/>
              </w:rPr>
            </w:pPr>
            <w:r>
              <w:rPr>
                <w:rFonts w:ascii="Arial" w:cs="Arial" w:eastAsia="Arial" w:hAnsi="Arial"/>
                <w:sz w:val="17"/>
                <w:szCs w:val="17"/>
                <w:color w:val="auto"/>
              </w:rPr>
              <w:t>Ground leases</w:t>
            </w:r>
          </w:p>
        </w:tc>
        <w:tc>
          <w:tcPr>
            <w:tcW w:w="13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20" w:type="dxa"/>
            <w:vAlign w:val="bottom"/>
            <w:gridSpan w:val="2"/>
          </w:tcPr>
          <w:p>
            <w:pPr>
              <w:jc w:val="right"/>
              <w:ind w:right="30"/>
              <w:spacing w:after="0"/>
              <w:rPr>
                <w:sz w:val="20"/>
                <w:szCs w:val="20"/>
                <w:color w:val="auto"/>
              </w:rPr>
            </w:pPr>
            <w:r>
              <w:rPr>
                <w:rFonts w:ascii="Arial" w:cs="Arial" w:eastAsia="Arial" w:hAnsi="Arial"/>
                <w:sz w:val="17"/>
                <w:szCs w:val="17"/>
                <w:color w:val="auto"/>
              </w:rPr>
              <w:t>46.6</w:t>
            </w: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47.0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4"/>
        </w:trPr>
        <w:tc>
          <w:tcPr>
            <w:tcW w:w="7780" w:type="dxa"/>
            <w:vAlign w:val="bottom"/>
            <w:gridSpan w:val="11"/>
          </w:tcPr>
          <w:p>
            <w:pPr>
              <w:jc w:val="right"/>
              <w:ind w:right="780"/>
              <w:spacing w:after="0"/>
              <w:rPr>
                <w:sz w:val="20"/>
                <w:szCs w:val="20"/>
                <w:color w:val="auto"/>
              </w:rPr>
            </w:pPr>
            <w:r>
              <w:rPr>
                <w:rFonts w:ascii="Arial" w:cs="Arial" w:eastAsia="Arial" w:hAnsi="Arial"/>
                <w:sz w:val="17"/>
                <w:szCs w:val="17"/>
                <w:color w:val="auto"/>
                <w:w w:val="98"/>
              </w:rPr>
              <w:t>The future minimum lease payments under our operating leases are as follows (in thousands):</w:t>
            </w: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0"/>
        </w:trPr>
        <w:tc>
          <w:tcPr>
            <w:tcW w:w="4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340" w:type="dxa"/>
            <w:vAlign w:val="bottom"/>
            <w:gridSpan w:val="5"/>
          </w:tcPr>
          <w:p>
            <w:pPr>
              <w:jc w:val="center"/>
              <w:spacing w:after="0"/>
              <w:rPr>
                <w:sz w:val="20"/>
                <w:szCs w:val="20"/>
                <w:color w:val="auto"/>
              </w:rPr>
            </w:pPr>
            <w:r>
              <w:rPr>
                <w:rFonts w:ascii="Arial" w:cs="Arial" w:eastAsia="Arial" w:hAnsi="Arial"/>
                <w:sz w:val="14"/>
                <w:szCs w:val="14"/>
                <w:b w:val="1"/>
                <w:bCs w:val="1"/>
                <w:color w:val="auto"/>
                <w:w w:val="91"/>
              </w:rPr>
              <w:t>Property, Equipment and Other</w:t>
            </w: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80" w:type="dxa"/>
            <w:vAlign w:val="bottom"/>
            <w:gridSpan w:val="3"/>
            <w:vMerge w:val="restart"/>
          </w:tcPr>
          <w:p>
            <w:pPr>
              <w:ind w:left="140"/>
              <w:spacing w:after="0"/>
              <w:rPr>
                <w:sz w:val="20"/>
                <w:szCs w:val="20"/>
                <w:color w:val="auto"/>
              </w:rPr>
            </w:pPr>
            <w:r>
              <w:rPr>
                <w:rFonts w:ascii="Arial" w:cs="Arial" w:eastAsia="Arial" w:hAnsi="Arial"/>
                <w:sz w:val="14"/>
                <w:szCs w:val="14"/>
                <w:b w:val="1"/>
                <w:bCs w:val="1"/>
                <w:color w:val="auto"/>
                <w:w w:val="95"/>
              </w:rPr>
              <w:t xml:space="preserve">Ground Leases </w:t>
            </w:r>
            <w:r>
              <w:rPr>
                <w:rFonts w:ascii="Arial" w:cs="Arial" w:eastAsia="Arial" w:hAnsi="Arial"/>
                <w:sz w:val="9"/>
                <w:szCs w:val="9"/>
                <w:b w:val="1"/>
                <w:bCs w:val="1"/>
                <w:color w:val="auto"/>
                <w:w w:val="95"/>
              </w:rPr>
              <w:t>(1)</w:t>
            </w: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480" w:type="dxa"/>
            <w:vAlign w:val="bottom"/>
            <w:tcBorders>
              <w:bottom w:val="single" w:sz="8" w:color="CCEEFF"/>
            </w:tcBorders>
          </w:tcPr>
          <w:p>
            <w:pPr>
              <w:spacing w:after="0"/>
              <w:rPr>
                <w:sz w:val="15"/>
                <w:szCs w:val="15"/>
                <w:color w:val="auto"/>
              </w:rPr>
            </w:pPr>
          </w:p>
        </w:tc>
        <w:tc>
          <w:tcPr>
            <w:tcW w:w="480" w:type="dxa"/>
            <w:vAlign w:val="bottom"/>
            <w:tcBorders>
              <w:bottom w:val="single" w:sz="8" w:color="CCEEFF"/>
            </w:tcBorders>
          </w:tcPr>
          <w:p>
            <w:pPr>
              <w:spacing w:after="0"/>
              <w:rPr>
                <w:sz w:val="15"/>
                <w:szCs w:val="15"/>
                <w:color w:val="auto"/>
              </w:rPr>
            </w:pPr>
          </w:p>
        </w:tc>
        <w:tc>
          <w:tcPr>
            <w:tcW w:w="820" w:type="dxa"/>
            <w:vAlign w:val="bottom"/>
            <w:tcBorders>
              <w:bottom w:val="single" w:sz="8" w:color="CCEEFF"/>
            </w:tcBorders>
          </w:tcPr>
          <w:p>
            <w:pPr>
              <w:spacing w:after="0"/>
              <w:rPr>
                <w:sz w:val="15"/>
                <w:szCs w:val="15"/>
                <w:color w:val="auto"/>
              </w:rPr>
            </w:pPr>
          </w:p>
        </w:tc>
        <w:tc>
          <w:tcPr>
            <w:tcW w:w="560" w:type="dxa"/>
            <w:vAlign w:val="bottom"/>
            <w:tcBorders>
              <w:bottom w:val="single" w:sz="8" w:color="CCEEFF"/>
            </w:tcBorders>
          </w:tcPr>
          <w:p>
            <w:pPr>
              <w:spacing w:after="0"/>
              <w:rPr>
                <w:sz w:val="15"/>
                <w:szCs w:val="15"/>
                <w:color w:val="auto"/>
              </w:rPr>
            </w:pPr>
          </w:p>
        </w:tc>
        <w:tc>
          <w:tcPr>
            <w:tcW w:w="2180" w:type="dxa"/>
            <w:vAlign w:val="bottom"/>
            <w:tcBorders>
              <w:bottom w:val="single" w:sz="8" w:color="CCEEFF"/>
            </w:tcBorders>
          </w:tcPr>
          <w:p>
            <w:pPr>
              <w:spacing w:after="0"/>
              <w:rPr>
                <w:sz w:val="15"/>
                <w:szCs w:val="15"/>
                <w:color w:val="auto"/>
              </w:rPr>
            </w:pPr>
          </w:p>
        </w:tc>
        <w:tc>
          <w:tcPr>
            <w:tcW w:w="1320" w:type="dxa"/>
            <w:vAlign w:val="bottom"/>
            <w:tcBorders>
              <w:bottom w:val="single" w:sz="8" w:color="CCEEFF"/>
            </w:tcBorders>
          </w:tcPr>
          <w:p>
            <w:pPr>
              <w:spacing w:after="0"/>
              <w:rPr>
                <w:sz w:val="15"/>
                <w:szCs w:val="15"/>
                <w:color w:val="auto"/>
              </w:rPr>
            </w:pPr>
          </w:p>
        </w:tc>
        <w:tc>
          <w:tcPr>
            <w:tcW w:w="480" w:type="dxa"/>
            <w:vAlign w:val="bottom"/>
            <w:tcBorders>
              <w:bottom w:val="single" w:sz="8" w:color="CCEEFF"/>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360" w:type="dxa"/>
            <w:vAlign w:val="bottom"/>
            <w:tcBorders>
              <w:bottom w:val="single" w:sz="8" w:color="auto"/>
            </w:tcBorders>
            <w:gridSpan w:val="2"/>
          </w:tcPr>
          <w:p>
            <w:pPr>
              <w:jc w:val="center"/>
              <w:ind w:left="879"/>
              <w:spacing w:after="0"/>
              <w:rPr>
                <w:sz w:val="20"/>
                <w:szCs w:val="20"/>
                <w:color w:val="auto"/>
              </w:rPr>
            </w:pPr>
            <w:r>
              <w:rPr>
                <w:rFonts w:ascii="Arial" w:cs="Arial" w:eastAsia="Arial" w:hAnsi="Arial"/>
                <w:sz w:val="14"/>
                <w:szCs w:val="14"/>
                <w:b w:val="1"/>
                <w:bCs w:val="1"/>
                <w:color w:val="auto"/>
                <w:w w:val="84"/>
              </w:rPr>
              <w:t>Leases</w:t>
            </w:r>
          </w:p>
        </w:tc>
        <w:tc>
          <w:tcPr>
            <w:tcW w:w="4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gridSpan w:val="3"/>
            <w:vMerge w:val="continue"/>
          </w:tcPr>
          <w:p>
            <w:pPr>
              <w:spacing w:after="0"/>
              <w:rPr>
                <w:sz w:val="15"/>
                <w:szCs w:val="15"/>
                <w:color w:val="auto"/>
              </w:rPr>
            </w:pPr>
          </w:p>
        </w:tc>
        <w:tc>
          <w:tcPr>
            <w:tcW w:w="56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4520" w:type="dxa"/>
            <w:vAlign w:val="bottom"/>
            <w:gridSpan w:val="5"/>
            <w:shd w:val="clear" w:color="auto" w:fill="CCEEFF"/>
          </w:tcPr>
          <w:p>
            <w:pPr>
              <w:ind w:left="20"/>
              <w:spacing w:after="0"/>
              <w:rPr>
                <w:sz w:val="20"/>
                <w:szCs w:val="20"/>
                <w:color w:val="auto"/>
              </w:rPr>
            </w:pPr>
            <w:r>
              <w:rPr>
                <w:rFonts w:ascii="Arial" w:cs="Arial" w:eastAsia="Arial" w:hAnsi="Arial"/>
                <w:sz w:val="17"/>
                <w:szCs w:val="17"/>
                <w:color w:val="auto"/>
              </w:rPr>
              <w:t>Remaining in 2021</w:t>
            </w:r>
          </w:p>
        </w:tc>
        <w:tc>
          <w:tcPr>
            <w:tcW w:w="13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859"/>
              <w:spacing w:after="0"/>
              <w:rPr>
                <w:sz w:val="20"/>
                <w:szCs w:val="20"/>
                <w:color w:val="auto"/>
              </w:rPr>
            </w:pPr>
            <w:r>
              <w:rPr>
                <w:rFonts w:ascii="Arial" w:cs="Arial" w:eastAsia="Arial" w:hAnsi="Arial"/>
                <w:sz w:val="17"/>
                <w:szCs w:val="17"/>
                <w:color w:val="auto"/>
                <w:w w:val="84"/>
              </w:rPr>
              <w:t>$</w:t>
            </w:r>
          </w:p>
        </w:tc>
        <w:tc>
          <w:tcPr>
            <w:tcW w:w="32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4,687</w:t>
            </w:r>
          </w:p>
        </w:tc>
        <w:tc>
          <w:tcPr>
            <w:tcW w:w="62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w:t>
            </w: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1,561</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480" w:type="dxa"/>
            <w:vAlign w:val="bottom"/>
          </w:tcPr>
          <w:p>
            <w:pPr>
              <w:ind w:left="20"/>
              <w:spacing w:after="0"/>
              <w:rPr>
                <w:sz w:val="20"/>
                <w:szCs w:val="20"/>
                <w:color w:val="auto"/>
              </w:rPr>
            </w:pPr>
            <w:r>
              <w:rPr>
                <w:rFonts w:ascii="Arial" w:cs="Arial" w:eastAsia="Arial" w:hAnsi="Arial"/>
                <w:sz w:val="17"/>
                <w:szCs w:val="17"/>
                <w:color w:val="auto"/>
              </w:rPr>
              <w:t>2022</w:t>
            </w:r>
          </w:p>
        </w:tc>
        <w:tc>
          <w:tcPr>
            <w:tcW w:w="4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18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80" w:type="dxa"/>
            <w:vAlign w:val="bottom"/>
            <w:gridSpan w:val="3"/>
          </w:tcPr>
          <w:p>
            <w:pPr>
              <w:jc w:val="right"/>
              <w:ind w:right="60"/>
              <w:spacing w:after="0"/>
              <w:rPr>
                <w:sz w:val="20"/>
                <w:szCs w:val="20"/>
                <w:color w:val="auto"/>
              </w:rPr>
            </w:pPr>
            <w:r>
              <w:rPr>
                <w:rFonts w:ascii="Arial" w:cs="Arial" w:eastAsia="Arial" w:hAnsi="Arial"/>
                <w:sz w:val="17"/>
                <w:szCs w:val="17"/>
                <w:color w:val="auto"/>
              </w:rPr>
              <w:t>6,255</w:t>
            </w: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3,122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8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2023</w:t>
            </w:r>
          </w:p>
        </w:tc>
        <w:tc>
          <w:tcPr>
            <w:tcW w:w="48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218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80" w:type="dxa"/>
            <w:vAlign w:val="bottom"/>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5,260</w:t>
            </w: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3,122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80" w:type="dxa"/>
            <w:vAlign w:val="bottom"/>
          </w:tcPr>
          <w:p>
            <w:pPr>
              <w:ind w:left="20"/>
              <w:spacing w:after="0"/>
              <w:rPr>
                <w:sz w:val="20"/>
                <w:szCs w:val="20"/>
                <w:color w:val="auto"/>
              </w:rPr>
            </w:pPr>
            <w:r>
              <w:rPr>
                <w:rFonts w:ascii="Arial" w:cs="Arial" w:eastAsia="Arial" w:hAnsi="Arial"/>
                <w:sz w:val="17"/>
                <w:szCs w:val="17"/>
                <w:color w:val="auto"/>
              </w:rPr>
              <w:t>2024</w:t>
            </w:r>
          </w:p>
        </w:tc>
        <w:tc>
          <w:tcPr>
            <w:tcW w:w="4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18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80" w:type="dxa"/>
            <w:vAlign w:val="bottom"/>
            <w:gridSpan w:val="3"/>
          </w:tcPr>
          <w:p>
            <w:pPr>
              <w:jc w:val="right"/>
              <w:ind w:right="60"/>
              <w:spacing w:after="0"/>
              <w:rPr>
                <w:sz w:val="20"/>
                <w:szCs w:val="20"/>
                <w:color w:val="auto"/>
              </w:rPr>
            </w:pPr>
            <w:r>
              <w:rPr>
                <w:rFonts w:ascii="Arial" w:cs="Arial" w:eastAsia="Arial" w:hAnsi="Arial"/>
                <w:sz w:val="17"/>
                <w:szCs w:val="17"/>
                <w:color w:val="auto"/>
              </w:rPr>
              <w:t>3,522</w:t>
            </w: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3,122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8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2025</w:t>
            </w:r>
          </w:p>
        </w:tc>
        <w:tc>
          <w:tcPr>
            <w:tcW w:w="48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218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980" w:type="dxa"/>
            <w:vAlign w:val="bottom"/>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2,376</w:t>
            </w: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3,122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520" w:type="dxa"/>
            <w:vAlign w:val="bottom"/>
            <w:tcBorders>
              <w:bottom w:val="single" w:sz="8" w:color="CCEEFF"/>
            </w:tcBorders>
            <w:gridSpan w:val="5"/>
          </w:tcPr>
          <w:p>
            <w:pPr>
              <w:ind w:left="20"/>
              <w:spacing w:after="0"/>
              <w:rPr>
                <w:sz w:val="20"/>
                <w:szCs w:val="20"/>
                <w:color w:val="auto"/>
              </w:rPr>
            </w:pPr>
            <w:r>
              <w:rPr>
                <w:rFonts w:ascii="Arial" w:cs="Arial" w:eastAsia="Arial" w:hAnsi="Arial"/>
                <w:sz w:val="17"/>
                <w:szCs w:val="17"/>
                <w:color w:val="auto"/>
              </w:rPr>
              <w:t>Thereafter</w:t>
            </w:r>
          </w:p>
        </w:tc>
        <w:tc>
          <w:tcPr>
            <w:tcW w:w="1320" w:type="dxa"/>
            <w:vAlign w:val="bottom"/>
            <w:tcBorders>
              <w:bottom w:val="single" w:sz="8" w:color="CCEEFF"/>
            </w:tcBorders>
          </w:tcPr>
          <w:p>
            <w:pPr>
              <w:spacing w:after="0"/>
              <w:rPr>
                <w:sz w:val="19"/>
                <w:szCs w:val="19"/>
                <w:color w:val="auto"/>
              </w:rPr>
            </w:pPr>
          </w:p>
        </w:tc>
        <w:tc>
          <w:tcPr>
            <w:tcW w:w="48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7"/>
                <w:szCs w:val="17"/>
                <w:color w:val="auto"/>
              </w:rPr>
              <w:t>7,608</w:t>
            </w:r>
          </w:p>
        </w:tc>
        <w:tc>
          <w:tcPr>
            <w:tcW w:w="100" w:type="dxa"/>
            <w:vAlign w:val="bottom"/>
            <w:tcBorders>
              <w:bottom w:val="single" w:sz="8" w:color="CCEEFF"/>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8"/>
              </w:rPr>
              <w:t>81,808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4520" w:type="dxa"/>
            <w:vAlign w:val="bottom"/>
            <w:gridSpan w:val="5"/>
            <w:shd w:val="clear" w:color="auto" w:fill="CCEEFF"/>
          </w:tcPr>
          <w:p>
            <w:pPr>
              <w:ind w:left="20"/>
              <w:spacing w:after="0"/>
              <w:rPr>
                <w:sz w:val="20"/>
                <w:szCs w:val="20"/>
                <w:color w:val="auto"/>
              </w:rPr>
            </w:pPr>
            <w:r>
              <w:rPr>
                <w:rFonts w:ascii="Arial" w:cs="Arial" w:eastAsia="Arial" w:hAnsi="Arial"/>
                <w:sz w:val="17"/>
                <w:szCs w:val="17"/>
                <w:color w:val="auto"/>
              </w:rPr>
              <w:t>Total lease payments</w:t>
            </w:r>
          </w:p>
        </w:tc>
        <w:tc>
          <w:tcPr>
            <w:tcW w:w="13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859"/>
              <w:spacing w:after="0"/>
              <w:rPr>
                <w:sz w:val="20"/>
                <w:szCs w:val="20"/>
                <w:color w:val="auto"/>
              </w:rPr>
            </w:pPr>
            <w:r>
              <w:rPr>
                <w:rFonts w:ascii="Arial" w:cs="Arial" w:eastAsia="Arial" w:hAnsi="Arial"/>
                <w:sz w:val="17"/>
                <w:szCs w:val="17"/>
                <w:color w:val="auto"/>
                <w:w w:val="84"/>
              </w:rPr>
              <w:t>$</w:t>
            </w:r>
          </w:p>
        </w:tc>
        <w:tc>
          <w:tcPr>
            <w:tcW w:w="32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29,708</w:t>
            </w:r>
          </w:p>
        </w:tc>
        <w:tc>
          <w:tcPr>
            <w:tcW w:w="62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w:t>
            </w: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8"/>
              </w:rPr>
              <w:t>95,857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4520" w:type="dxa"/>
            <w:vAlign w:val="bottom"/>
            <w:tcBorders>
              <w:bottom w:val="single" w:sz="8" w:color="CCEEFF"/>
            </w:tcBorders>
            <w:gridSpan w:val="5"/>
          </w:tcPr>
          <w:p>
            <w:pPr>
              <w:ind w:left="20"/>
              <w:spacing w:after="0"/>
              <w:rPr>
                <w:sz w:val="20"/>
                <w:szCs w:val="20"/>
                <w:color w:val="auto"/>
              </w:rPr>
            </w:pPr>
            <w:r>
              <w:rPr>
                <w:rFonts w:ascii="Arial" w:cs="Arial" w:eastAsia="Arial" w:hAnsi="Arial"/>
                <w:sz w:val="17"/>
                <w:szCs w:val="17"/>
                <w:color w:val="auto"/>
              </w:rPr>
              <w:t>Less: Interest</w:t>
            </w:r>
          </w:p>
        </w:tc>
        <w:tc>
          <w:tcPr>
            <w:tcW w:w="1320" w:type="dxa"/>
            <w:vAlign w:val="bottom"/>
            <w:tcBorders>
              <w:bottom w:val="single" w:sz="8" w:color="CCEEFF"/>
            </w:tcBorders>
          </w:tcPr>
          <w:p>
            <w:pPr>
              <w:spacing w:after="0"/>
              <w:rPr>
                <w:sz w:val="18"/>
                <w:szCs w:val="18"/>
                <w:color w:val="auto"/>
              </w:rPr>
            </w:pPr>
          </w:p>
        </w:tc>
        <w:tc>
          <w:tcPr>
            <w:tcW w:w="4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0" w:type="dxa"/>
            <w:vAlign w:val="bottom"/>
            <w:tcBorders>
              <w:top w:val="single" w:sz="8" w:color="auto"/>
              <w:bottom w:val="single" w:sz="8" w:color="auto"/>
            </w:tcBorders>
          </w:tcPr>
          <w:p>
            <w:pPr>
              <w:spacing w:after="0"/>
              <w:rPr>
                <w:sz w:val="18"/>
                <w:szCs w:val="18"/>
                <w:color w:val="auto"/>
              </w:rPr>
            </w:pPr>
          </w:p>
        </w:tc>
        <w:tc>
          <w:tcPr>
            <w:tcW w:w="1040" w:type="dxa"/>
            <w:vAlign w:val="bottom"/>
            <w:tcBorders>
              <w:top w:val="single" w:sz="8" w:color="auto"/>
              <w:bottom w:val="single" w:sz="8" w:color="auto"/>
            </w:tcBorders>
          </w:tcPr>
          <w:p>
            <w:pPr>
              <w:spacing w:after="0"/>
              <w:rPr>
                <w:sz w:val="18"/>
                <w:szCs w:val="18"/>
                <w:color w:val="auto"/>
              </w:rPr>
            </w:pPr>
          </w:p>
        </w:tc>
        <w:tc>
          <w:tcPr>
            <w:tcW w:w="32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gridSpan w:val="3"/>
          </w:tcPr>
          <w:p>
            <w:pPr>
              <w:jc w:val="right"/>
              <w:ind w:right="60"/>
              <w:spacing w:after="0"/>
              <w:rPr>
                <w:sz w:val="20"/>
                <w:szCs w:val="20"/>
                <w:color w:val="auto"/>
              </w:rPr>
            </w:pPr>
            <w:r>
              <w:rPr>
                <w:rFonts w:ascii="Arial" w:cs="Arial" w:eastAsia="Arial" w:hAnsi="Arial"/>
                <w:sz w:val="17"/>
                <w:szCs w:val="17"/>
                <w:color w:val="auto"/>
              </w:rPr>
              <w:t>4,563</w:t>
            </w:r>
          </w:p>
        </w:tc>
        <w:tc>
          <w:tcPr>
            <w:tcW w:w="100" w:type="dxa"/>
            <w:vAlign w:val="bottom"/>
            <w:tcBorders>
              <w:bottom w:val="single" w:sz="8" w:color="CCEEFF"/>
            </w:tcBorders>
          </w:tcPr>
          <w:p>
            <w:pPr>
              <w:spacing w:after="0"/>
              <w:rPr>
                <w:sz w:val="18"/>
                <w:szCs w:val="18"/>
                <w:color w:val="auto"/>
              </w:rPr>
            </w:pPr>
          </w:p>
        </w:tc>
        <w:tc>
          <w:tcPr>
            <w:tcW w:w="520" w:type="dxa"/>
            <w:vAlign w:val="bottom"/>
            <w:tcBorders>
              <w:top w:val="single" w:sz="8" w:color="auto"/>
              <w:bottom w:val="single" w:sz="8" w:color="auto"/>
            </w:tcBorders>
          </w:tcPr>
          <w:p>
            <w:pPr>
              <w:spacing w:after="0"/>
              <w:rPr>
                <w:sz w:val="18"/>
                <w:szCs w:val="18"/>
                <w:color w:val="auto"/>
              </w:rPr>
            </w:pPr>
          </w:p>
        </w:tc>
        <w:tc>
          <w:tcPr>
            <w:tcW w:w="620" w:type="dxa"/>
            <w:vAlign w:val="bottom"/>
            <w:tcBorders>
              <w:top w:val="single" w:sz="8" w:color="auto"/>
              <w:bottom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560" w:type="dxa"/>
            <w:vAlign w:val="bottom"/>
            <w:tcBorders>
              <w:top w:val="single" w:sz="8" w:color="auto"/>
              <w:bottom w:val="single" w:sz="8" w:color="auto"/>
            </w:tcBorders>
          </w:tcPr>
          <w:p>
            <w:pPr>
              <w:spacing w:after="0"/>
              <w:rPr>
                <w:sz w:val="18"/>
                <w:szCs w:val="18"/>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8"/>
              </w:rPr>
              <w:t>68,101</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5"/>
        </w:trPr>
        <w:tc>
          <w:tcPr>
            <w:tcW w:w="4520" w:type="dxa"/>
            <w:vAlign w:val="bottom"/>
            <w:gridSpan w:val="5"/>
            <w:shd w:val="clear" w:color="auto" w:fill="CCEEFF"/>
          </w:tcPr>
          <w:p>
            <w:pPr>
              <w:ind w:left="20"/>
              <w:spacing w:after="0"/>
              <w:rPr>
                <w:sz w:val="20"/>
                <w:szCs w:val="20"/>
                <w:color w:val="auto"/>
              </w:rPr>
            </w:pPr>
            <w:r>
              <w:rPr>
                <w:rFonts w:ascii="Arial" w:cs="Arial" w:eastAsia="Arial" w:hAnsi="Arial"/>
                <w:sz w:val="17"/>
                <w:szCs w:val="17"/>
                <w:color w:val="auto"/>
              </w:rPr>
              <w:t>Present value of operating lease liabilities</w:t>
            </w:r>
          </w:p>
        </w:tc>
        <w:tc>
          <w:tcPr>
            <w:tcW w:w="132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040" w:type="dxa"/>
            <w:vAlign w:val="bottom"/>
            <w:shd w:val="clear" w:color="auto" w:fill="CCEEFF"/>
          </w:tcPr>
          <w:p>
            <w:pPr>
              <w:jc w:val="right"/>
              <w:ind w:right="859"/>
              <w:spacing w:after="0"/>
              <w:rPr>
                <w:sz w:val="20"/>
                <w:szCs w:val="20"/>
                <w:color w:val="auto"/>
              </w:rPr>
            </w:pPr>
            <w:r>
              <w:rPr>
                <w:rFonts w:ascii="Arial" w:cs="Arial" w:eastAsia="Arial" w:hAnsi="Arial"/>
                <w:sz w:val="17"/>
                <w:szCs w:val="17"/>
                <w:color w:val="auto"/>
                <w:w w:val="84"/>
              </w:rPr>
              <w:t>$</w:t>
            </w:r>
          </w:p>
        </w:tc>
        <w:tc>
          <w:tcPr>
            <w:tcW w:w="320" w:type="dxa"/>
            <w:vAlign w:val="bottom"/>
            <w:shd w:val="clear" w:color="auto" w:fill="CCEEFF"/>
          </w:tcPr>
          <w:p>
            <w:pPr>
              <w:spacing w:after="0"/>
              <w:rPr>
                <w:sz w:val="20"/>
                <w:szCs w:val="20"/>
                <w:color w:val="auto"/>
              </w:rPr>
            </w:pPr>
          </w:p>
        </w:tc>
        <w:tc>
          <w:tcPr>
            <w:tcW w:w="980" w:type="dxa"/>
            <w:vAlign w:val="bottom"/>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25,145</w:t>
            </w:r>
          </w:p>
        </w:tc>
        <w:tc>
          <w:tcPr>
            <w:tcW w:w="62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w:t>
            </w:r>
          </w:p>
        </w:tc>
        <w:tc>
          <w:tcPr>
            <w:tcW w:w="6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8"/>
              </w:rPr>
              <w:t>27,756</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8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tcBorders>
          </w:tcPr>
          <w:p>
            <w:pPr>
              <w:spacing w:after="0" w:line="20" w:lineRule="exact"/>
              <w:rPr>
                <w:sz w:val="1"/>
                <w:szCs w:val="1"/>
                <w:color w:val="auto"/>
              </w:rPr>
            </w:pPr>
          </w:p>
        </w:tc>
        <w:tc>
          <w:tcPr>
            <w:tcW w:w="218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8" w:lineRule="exact"/>
        <w:rPr>
          <w:sz w:val="20"/>
          <w:szCs w:val="20"/>
          <w:color w:val="auto"/>
        </w:rPr>
      </w:pPr>
    </w:p>
    <w:p>
      <w:pPr>
        <w:ind w:left="40"/>
        <w:spacing w:after="0"/>
        <w:rPr>
          <w:sz w:val="20"/>
          <w:szCs w:val="20"/>
          <w:color w:val="auto"/>
        </w:rPr>
      </w:pPr>
      <w:r>
        <w:rPr>
          <w:rFonts w:ascii="Arial" w:cs="Arial" w:eastAsia="Arial" w:hAnsi="Arial"/>
          <w:sz w:val="16"/>
          <w:szCs w:val="16"/>
          <w:color w:val="auto"/>
        </w:rPr>
        <w:t>__________</w:t>
      </w:r>
    </w:p>
    <w:p>
      <w:pPr>
        <w:spacing w:after="0" w:line="114" w:lineRule="exact"/>
        <w:rPr>
          <w:sz w:val="20"/>
          <w:szCs w:val="20"/>
          <w:color w:val="auto"/>
        </w:rPr>
      </w:pPr>
    </w:p>
    <w:p>
      <w:pPr>
        <w:ind w:left="800" w:hanging="325"/>
        <w:spacing w:after="0"/>
        <w:tabs>
          <w:tab w:leader="none" w:pos="800" w:val="left"/>
        </w:tabs>
        <w:numPr>
          <w:ilvl w:val="1"/>
          <w:numId w:val="10"/>
        </w:numPr>
        <w:rPr>
          <w:rFonts w:ascii="Arial" w:cs="Arial" w:eastAsia="Arial" w:hAnsi="Arial"/>
          <w:sz w:val="17"/>
          <w:szCs w:val="17"/>
          <w:color w:val="auto"/>
        </w:rPr>
      </w:pPr>
      <w:r>
        <w:rPr>
          <w:rFonts w:ascii="Arial" w:cs="Arial" w:eastAsia="Arial" w:hAnsi="Arial"/>
          <w:sz w:val="17"/>
          <w:szCs w:val="17"/>
          <w:color w:val="auto"/>
        </w:rPr>
        <w:t>Ground leases are fully subleased through 2041, representing $63.5 million of the $95.9 million future ground lease obligations.</w:t>
      </w:r>
    </w:p>
    <w:p>
      <w:pPr>
        <w:spacing w:after="0" w:line="216" w:lineRule="exact"/>
        <w:rPr>
          <w:rFonts w:ascii="Arial" w:cs="Arial" w:eastAsia="Arial" w:hAnsi="Arial"/>
          <w:sz w:val="17"/>
          <w:szCs w:val="17"/>
          <w:color w:val="auto"/>
        </w:rPr>
      </w:pPr>
    </w:p>
    <w:p>
      <w:pPr>
        <w:ind w:left="400" w:hanging="395"/>
        <w:spacing w:after="0"/>
        <w:tabs>
          <w:tab w:leader="none" w:pos="400" w:val="left"/>
        </w:tabs>
        <w:numPr>
          <w:ilvl w:val="0"/>
          <w:numId w:val="11"/>
        </w:numPr>
        <w:rPr>
          <w:rFonts w:ascii="Arial" w:cs="Arial" w:eastAsia="Arial" w:hAnsi="Arial"/>
          <w:sz w:val="17"/>
          <w:szCs w:val="17"/>
          <w:b w:val="1"/>
          <w:bCs w:val="1"/>
          <w:color w:val="auto"/>
        </w:rPr>
      </w:pPr>
      <w:r>
        <w:rPr>
          <w:rFonts w:ascii="Arial" w:cs="Arial" w:eastAsia="Arial" w:hAnsi="Arial"/>
          <w:sz w:val="17"/>
          <w:szCs w:val="17"/>
          <w:b w:val="1"/>
          <w:bCs w:val="1"/>
          <w:color w:val="auto"/>
        </w:rPr>
        <w:t>Stock-Based Compensation</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2013 Long-Term Incentive Plan</w:t>
      </w:r>
    </w:p>
    <w:p>
      <w:pPr>
        <w:spacing w:after="0" w:line="124" w:lineRule="exact"/>
        <w:rPr>
          <w:sz w:val="20"/>
          <w:szCs w:val="20"/>
          <w:color w:val="auto"/>
        </w:rPr>
      </w:pPr>
    </w:p>
    <w:p>
      <w:pPr>
        <w:ind w:right="100" w:firstLine="470"/>
        <w:spacing w:after="0" w:line="288" w:lineRule="auto"/>
        <w:rPr>
          <w:sz w:val="20"/>
          <w:szCs w:val="20"/>
          <w:color w:val="auto"/>
        </w:rPr>
      </w:pPr>
      <w:r>
        <w:rPr>
          <w:rFonts w:ascii="Arial" w:cs="Arial" w:eastAsia="Arial" w:hAnsi="Arial"/>
          <w:sz w:val="16"/>
          <w:szCs w:val="16"/>
          <w:color w:val="auto"/>
        </w:rPr>
        <w:t>The Company’s stock compensation plan, the 2013 Long-Term Incentive Plan (the “2013 Incentive Plan”), was adopted by Tri Pointe in January 2013 and amended, with the approval of our stockholders, in 2014 and 2015. In addition, our board of directors amended the 2013 Incentive Plan in 2014 to prohibit repricing (other than in connection with any equity restructuring or any change in capitalization) of outstanding options or stock appreciation rights without stockholder approval. The 2013 Incentive Plan provides for the grant of equity-based awards, including options to purchase shares of common stock, stock</w:t>
      </w:r>
    </w:p>
    <w:p>
      <w:pPr>
        <w:spacing w:after="0" w:line="200" w:lineRule="exact"/>
        <w:rPr>
          <w:sz w:val="20"/>
          <w:szCs w:val="20"/>
          <w:color w:val="auto"/>
        </w:rPr>
      </w:pPr>
    </w:p>
    <w:p>
      <w:pPr>
        <w:spacing w:after="0" w:line="289"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- 21 -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340"/>
          </w:cols>
          <w:pgMar w:left="320" w:top="995" w:right="239" w:bottom="1440" w:gutter="0" w:footer="0" w:header="0"/>
        </w:sectPr>
      </w:pPr>
    </w:p>
    <w:bookmarkStart w:id="22" w:name="page23"/>
    <w:bookmarkEnd w:id="22"/>
    <w:p>
      <w:pPr>
        <w:ind w:right="80"/>
        <w:spacing w:after="0" w:line="272" w:lineRule="auto"/>
        <w:rPr>
          <w:sz w:val="20"/>
          <w:szCs w:val="20"/>
          <w:color w:val="auto"/>
        </w:rPr>
      </w:pPr>
      <w:r>
        <w:rPr>
          <w:rFonts w:ascii="Arial" w:cs="Arial" w:eastAsia="Arial" w:hAnsi="Arial"/>
          <w:sz w:val="17"/>
          <w:szCs w:val="17"/>
          <w:color w:val="auto"/>
        </w:rPr>
        <w:t>appreciation rights, bonus stock, restricted stock, restricted stock units (“RSUs”) and performance awards. The 2013 Incentive Plan will automatically expire on the tenth anniversary of its effective date. Our board of directors may terminate or amend the 2013 Incentive Plan at any time, subject to any requirement of stockholder approval required by applicable law, rule or regulation.</w:t>
      </w:r>
    </w:p>
    <w:p>
      <w:pPr>
        <w:spacing w:after="0" w:line="172" w:lineRule="exact"/>
        <w:rPr>
          <w:sz w:val="20"/>
          <w:szCs w:val="20"/>
          <w:color w:val="auto"/>
        </w:rPr>
      </w:pPr>
    </w:p>
    <w:p>
      <w:pPr>
        <w:ind w:right="20" w:firstLine="470"/>
        <w:spacing w:after="0" w:line="264" w:lineRule="auto"/>
        <w:rPr>
          <w:sz w:val="20"/>
          <w:szCs w:val="20"/>
          <w:color w:val="auto"/>
        </w:rPr>
      </w:pPr>
      <w:r>
        <w:rPr>
          <w:rFonts w:ascii="Arial" w:cs="Arial" w:eastAsia="Arial" w:hAnsi="Arial"/>
          <w:sz w:val="17"/>
          <w:szCs w:val="17"/>
          <w:color w:val="auto"/>
        </w:rPr>
        <w:t>As amended, the number of shares of our common stock that may be issued under the 2013 Incentive Plan is 11,727,833 shares. To the extent that shares of our common stock subject to an outstanding option, stock appreciation right, stock award or performance award granted under the 2013 Incentive Plan are not issued or delivered by reason of the expiration, termination, cancellation or forfeiture of such award or the settlement of such award in cash, then such shares of our common stock generally shall again be available under the 2013 Incentive Plan. As of June 30, 2021, there were 4,709,017 shares available for future grant under the 2013 Incentive Plan.</w:t>
      </w:r>
    </w:p>
    <w:p>
      <w:pPr>
        <w:spacing w:after="0" w:line="179" w:lineRule="exact"/>
        <w:rPr>
          <w:sz w:val="20"/>
          <w:szCs w:val="20"/>
          <w:color w:val="auto"/>
        </w:rPr>
      </w:pPr>
    </w:p>
    <w:p>
      <w:pPr>
        <w:ind w:left="480"/>
        <w:spacing w:after="0"/>
        <w:rPr>
          <w:sz w:val="20"/>
          <w:szCs w:val="20"/>
          <w:color w:val="auto"/>
        </w:rPr>
      </w:pPr>
      <w:r>
        <w:rPr>
          <w:rFonts w:ascii="Arial" w:cs="Arial" w:eastAsia="Arial" w:hAnsi="Arial"/>
          <w:sz w:val="17"/>
          <w:szCs w:val="17"/>
          <w:color w:val="auto"/>
        </w:rPr>
        <w:t>The following table presents compensation expense recognized related to all stock-based awards (in thousands):</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5240" w:type="dxa"/>
            <w:vAlign w:val="bottom"/>
          </w:tcPr>
          <w:p>
            <w:pPr>
              <w:spacing w:after="0"/>
              <w:rPr>
                <w:sz w:val="16"/>
                <w:szCs w:val="16"/>
                <w:color w:val="auto"/>
              </w:rPr>
            </w:pPr>
          </w:p>
        </w:tc>
        <w:tc>
          <w:tcPr>
            <w:tcW w:w="2420" w:type="dxa"/>
            <w:vAlign w:val="bottom"/>
            <w:tcBorders>
              <w:bottom w:val="single" w:sz="8" w:color="auto"/>
            </w:tcBorders>
            <w:gridSpan w:val="4"/>
          </w:tcPr>
          <w:p>
            <w:pPr>
              <w:ind w:left="580"/>
              <w:spacing w:after="0"/>
              <w:rPr>
                <w:sz w:val="20"/>
                <w:szCs w:val="20"/>
                <w:color w:val="auto"/>
              </w:rPr>
            </w:pPr>
            <w:r>
              <w:rPr>
                <w:rFonts w:ascii="Arial" w:cs="Arial" w:eastAsia="Arial" w:hAnsi="Arial"/>
                <w:sz w:val="14"/>
                <w:szCs w:val="14"/>
                <w:b w:val="1"/>
                <w:bCs w:val="1"/>
                <w:color w:val="auto"/>
                <w:w w:val="91"/>
              </w:rPr>
              <w:t>Three Months Ended June 30,</w:t>
            </w:r>
          </w:p>
        </w:tc>
        <w:tc>
          <w:tcPr>
            <w:tcW w:w="5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620" w:type="dxa"/>
            <w:vAlign w:val="bottom"/>
            <w:tcBorders>
              <w:bottom w:val="single" w:sz="8" w:color="auto"/>
            </w:tcBorders>
            <w:gridSpan w:val="4"/>
          </w:tcPr>
          <w:p>
            <w:pPr>
              <w:jc w:val="right"/>
              <w:ind w:right="582"/>
              <w:spacing w:after="0"/>
              <w:rPr>
                <w:sz w:val="20"/>
                <w:szCs w:val="20"/>
                <w:color w:val="auto"/>
              </w:rPr>
            </w:pPr>
            <w:r>
              <w:rPr>
                <w:rFonts w:ascii="Arial" w:cs="Arial" w:eastAsia="Arial" w:hAnsi="Arial"/>
                <w:sz w:val="14"/>
                <w:szCs w:val="14"/>
                <w:b w:val="1"/>
                <w:bCs w:val="1"/>
                <w:color w:val="auto"/>
              </w:rPr>
              <w:t>Six Months Ended June 30,</w:t>
            </w:r>
          </w:p>
        </w:tc>
      </w:tr>
      <w:tr>
        <w:trPr>
          <w:trHeight w:val="181"/>
        </w:trPr>
        <w:tc>
          <w:tcPr>
            <w:tcW w:w="524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ind w:left="560"/>
              <w:spacing w:after="0"/>
              <w:rPr>
                <w:sz w:val="20"/>
                <w:szCs w:val="20"/>
                <w:color w:val="auto"/>
              </w:rPr>
            </w:pPr>
            <w:r>
              <w:rPr>
                <w:rFonts w:ascii="Arial" w:cs="Arial" w:eastAsia="Arial" w:hAnsi="Arial"/>
                <w:sz w:val="14"/>
                <w:szCs w:val="14"/>
                <w:b w:val="1"/>
                <w:bCs w:val="1"/>
                <w:color w:val="auto"/>
              </w:rPr>
              <w:t>2021</w:t>
            </w:r>
          </w:p>
        </w:tc>
        <w:tc>
          <w:tcPr>
            <w:tcW w:w="52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52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ind w:right="50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482"/>
              <w:spacing w:after="0"/>
              <w:rPr>
                <w:sz w:val="20"/>
                <w:szCs w:val="20"/>
                <w:color w:val="auto"/>
              </w:rPr>
            </w:pPr>
            <w:r>
              <w:rPr>
                <w:rFonts w:ascii="Arial" w:cs="Arial" w:eastAsia="Arial" w:hAnsi="Arial"/>
                <w:sz w:val="14"/>
                <w:szCs w:val="14"/>
                <w:b w:val="1"/>
                <w:bCs w:val="1"/>
                <w:color w:val="auto"/>
              </w:rPr>
              <w:t>2020</w:t>
            </w:r>
          </w:p>
        </w:tc>
      </w:tr>
      <w:tr>
        <w:trPr>
          <w:trHeight w:val="241"/>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stock-based compensation</w:t>
            </w:r>
          </w:p>
        </w:tc>
        <w:tc>
          <w:tcPr>
            <w:tcW w:w="900" w:type="dxa"/>
            <w:vAlign w:val="bottom"/>
            <w:tcBorders>
              <w:bottom w:val="single" w:sz="8" w:color="auto"/>
            </w:tcBorders>
            <w:shd w:val="clear" w:color="auto" w:fill="CCEEFF"/>
          </w:tcPr>
          <w:p>
            <w:pPr>
              <w:jc w:val="right"/>
              <w:ind w:right="725"/>
              <w:spacing w:after="0"/>
              <w:rPr>
                <w:sz w:val="20"/>
                <w:szCs w:val="20"/>
                <w:color w:val="auto"/>
              </w:rPr>
            </w:pPr>
            <w:r>
              <w:rPr>
                <w:rFonts w:ascii="Arial" w:cs="Arial" w:eastAsia="Arial" w:hAnsi="Arial"/>
                <w:sz w:val="17"/>
                <w:szCs w:val="17"/>
                <w:color w:val="auto"/>
                <w:w w:val="84"/>
              </w:rPr>
              <w:t>$</w:t>
            </w: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8"/>
              </w:rPr>
              <w:t>4,506</w:t>
            </w:r>
          </w:p>
        </w:tc>
        <w:tc>
          <w:tcPr>
            <w:tcW w:w="10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ind w:right="722"/>
              <w:spacing w:after="0"/>
              <w:rPr>
                <w:sz w:val="20"/>
                <w:szCs w:val="20"/>
                <w:color w:val="auto"/>
              </w:rPr>
            </w:pPr>
            <w:r>
              <w:rPr>
                <w:rFonts w:ascii="Arial" w:cs="Arial" w:eastAsia="Arial" w:hAnsi="Arial"/>
                <w:sz w:val="17"/>
                <w:szCs w:val="17"/>
                <w:color w:val="auto"/>
                <w:w w:val="84"/>
              </w:rPr>
              <w:t>$</w:t>
            </w: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3,786</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w:t>
            </w:r>
          </w:p>
        </w:tc>
        <w:tc>
          <w:tcPr>
            <w:tcW w:w="110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7"/>
                <w:szCs w:val="17"/>
                <w:color w:val="auto"/>
              </w:rPr>
              <w:t>8,162</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7,411</w:t>
            </w:r>
          </w:p>
        </w:tc>
      </w:tr>
      <w:tr>
        <w:trPr>
          <w:trHeight w:val="20"/>
        </w:trPr>
        <w:tc>
          <w:tcPr>
            <w:tcW w:w="524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jc w:val="both"/>
        <w:ind w:right="160" w:firstLine="470"/>
        <w:spacing w:after="0" w:line="272" w:lineRule="auto"/>
        <w:rPr>
          <w:sz w:val="20"/>
          <w:szCs w:val="20"/>
          <w:color w:val="auto"/>
        </w:rPr>
      </w:pPr>
      <w:r>
        <w:rPr>
          <w:rFonts w:ascii="Arial" w:cs="Arial" w:eastAsia="Arial" w:hAnsi="Arial"/>
          <w:sz w:val="17"/>
          <w:szCs w:val="17"/>
          <w:color w:val="auto"/>
        </w:rPr>
        <w:t>Stock-based compensation is charged to general and administrative expense on the accompanying consolidated statements of operations. As of June 30, 2021, total unrecognized stock-based compensation related to all stock-based awards was $29.6 million and the weighted average term over which the expense was expected to be recognized was 2.0 years.</w:t>
      </w:r>
    </w:p>
    <w:p>
      <w:pPr>
        <w:spacing w:after="0" w:line="2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Summary of Stock Option Activity</w:t>
      </w:r>
    </w:p>
    <w:p>
      <w:pPr>
        <w:spacing w:after="0" w:line="124" w:lineRule="exact"/>
        <w:rPr>
          <w:sz w:val="20"/>
          <w:szCs w:val="20"/>
          <w:color w:val="auto"/>
        </w:rPr>
      </w:pPr>
    </w:p>
    <w:p>
      <w:pPr>
        <w:ind w:left="480"/>
        <w:spacing w:after="0"/>
        <w:rPr>
          <w:sz w:val="20"/>
          <w:szCs w:val="20"/>
          <w:color w:val="auto"/>
        </w:rPr>
      </w:pPr>
      <w:r>
        <w:rPr>
          <w:rFonts w:ascii="Arial" w:cs="Arial" w:eastAsia="Arial" w:hAnsi="Arial"/>
          <w:sz w:val="17"/>
          <w:szCs w:val="17"/>
          <w:color w:val="auto"/>
        </w:rPr>
        <w:t>The following table presents a summary of stock option awards for the six months ended June 30, 2021:</w:t>
      </w:r>
    </w:p>
    <w:p>
      <w:pPr>
        <w:spacing w:after="0" w:line="1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8"/>
              </w:rPr>
              <w:t>Weighted</w:t>
            </w:r>
          </w:p>
        </w:tc>
        <w:tc>
          <w:tcPr>
            <w:tcW w:w="13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Weighted</w:t>
            </w:r>
          </w:p>
        </w:tc>
        <w:tc>
          <w:tcPr>
            <w:tcW w:w="160" w:type="dxa"/>
            <w:vAlign w:val="bottom"/>
          </w:tcPr>
          <w:p>
            <w:pPr>
              <w:spacing w:after="0"/>
              <w:rPr>
                <w:sz w:val="14"/>
                <w:szCs w:val="14"/>
                <w:color w:val="auto"/>
              </w:rPr>
            </w:pPr>
          </w:p>
        </w:tc>
        <w:tc>
          <w:tcPr>
            <w:tcW w:w="1100" w:type="dxa"/>
            <w:vAlign w:val="bottom"/>
            <w:vMerge w:val="restart"/>
          </w:tcPr>
          <w:p>
            <w:pPr>
              <w:jc w:val="center"/>
              <w:ind w:right="60"/>
              <w:spacing w:after="0"/>
              <w:rPr>
                <w:sz w:val="20"/>
                <w:szCs w:val="20"/>
                <w:color w:val="auto"/>
              </w:rPr>
            </w:pPr>
            <w:r>
              <w:rPr>
                <w:rFonts w:ascii="Arial" w:cs="Arial" w:eastAsia="Arial" w:hAnsi="Arial"/>
                <w:sz w:val="14"/>
                <w:szCs w:val="14"/>
                <w:b w:val="1"/>
                <w:bCs w:val="1"/>
                <w:color w:val="auto"/>
                <w:w w:val="86"/>
              </w:rPr>
              <w:t>Aggregate</w:t>
            </w:r>
          </w:p>
        </w:tc>
        <w:tc>
          <w:tcPr>
            <w:tcW w:w="0" w:type="dxa"/>
            <w:vAlign w:val="bottom"/>
          </w:tcPr>
          <w:p>
            <w:pPr>
              <w:spacing w:after="0"/>
              <w:rPr>
                <w:sz w:val="1"/>
                <w:szCs w:val="1"/>
                <w:color w:val="auto"/>
              </w:rPr>
            </w:pPr>
          </w:p>
        </w:tc>
      </w:tr>
      <w:tr>
        <w:trPr>
          <w:trHeight w:val="131"/>
        </w:trPr>
        <w:tc>
          <w:tcPr>
            <w:tcW w:w="58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60" w:type="dxa"/>
            <w:vAlign w:val="bottom"/>
            <w:gridSpan w:val="2"/>
          </w:tcPr>
          <w:p>
            <w:pPr>
              <w:jc w:val="center"/>
              <w:ind w:right="320"/>
              <w:spacing w:after="0" w:line="131" w:lineRule="exact"/>
              <w:rPr>
                <w:sz w:val="20"/>
                <w:szCs w:val="20"/>
                <w:color w:val="auto"/>
              </w:rPr>
            </w:pPr>
            <w:r>
              <w:rPr>
                <w:rFonts w:ascii="Arial" w:cs="Arial" w:eastAsia="Arial" w:hAnsi="Arial"/>
                <w:sz w:val="14"/>
                <w:szCs w:val="14"/>
                <w:b w:val="1"/>
                <w:bCs w:val="1"/>
                <w:color w:val="auto"/>
                <w:w w:val="86"/>
              </w:rPr>
              <w:t>Average</w:t>
            </w:r>
          </w:p>
        </w:tc>
        <w:tc>
          <w:tcPr>
            <w:tcW w:w="134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6"/>
              </w:rPr>
              <w:t>Average</w:t>
            </w:r>
          </w:p>
        </w:tc>
        <w:tc>
          <w:tcPr>
            <w:tcW w:w="160" w:type="dxa"/>
            <w:vAlign w:val="bottom"/>
          </w:tcPr>
          <w:p>
            <w:pPr>
              <w:spacing w:after="0"/>
              <w:rPr>
                <w:sz w:val="11"/>
                <w:szCs w:val="11"/>
                <w:color w:val="auto"/>
              </w:rPr>
            </w:pPr>
          </w:p>
        </w:tc>
        <w:tc>
          <w:tcPr>
            <w:tcW w:w="11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58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60" w:type="dxa"/>
            <w:vAlign w:val="bottom"/>
            <w:gridSpan w:val="2"/>
          </w:tcPr>
          <w:p>
            <w:pPr>
              <w:jc w:val="center"/>
              <w:ind w:right="340"/>
              <w:spacing w:after="0" w:line="131" w:lineRule="exact"/>
              <w:rPr>
                <w:sz w:val="20"/>
                <w:szCs w:val="20"/>
                <w:color w:val="auto"/>
              </w:rPr>
            </w:pPr>
            <w:r>
              <w:rPr>
                <w:rFonts w:ascii="Arial" w:cs="Arial" w:eastAsia="Arial" w:hAnsi="Arial"/>
                <w:sz w:val="14"/>
                <w:szCs w:val="14"/>
                <w:b w:val="1"/>
                <w:bCs w:val="1"/>
                <w:color w:val="auto"/>
                <w:w w:val="86"/>
              </w:rPr>
              <w:t>Exercise</w:t>
            </w:r>
          </w:p>
        </w:tc>
        <w:tc>
          <w:tcPr>
            <w:tcW w:w="134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9"/>
              </w:rPr>
              <w:t>Remaining</w:t>
            </w:r>
          </w:p>
        </w:tc>
        <w:tc>
          <w:tcPr>
            <w:tcW w:w="160" w:type="dxa"/>
            <w:vAlign w:val="bottom"/>
          </w:tcPr>
          <w:p>
            <w:pPr>
              <w:spacing w:after="0"/>
              <w:rPr>
                <w:sz w:val="11"/>
                <w:szCs w:val="11"/>
                <w:color w:val="auto"/>
              </w:rPr>
            </w:pPr>
          </w:p>
        </w:tc>
        <w:tc>
          <w:tcPr>
            <w:tcW w:w="1100" w:type="dxa"/>
            <w:vAlign w:val="bottom"/>
          </w:tcPr>
          <w:p>
            <w:pPr>
              <w:jc w:val="center"/>
              <w:ind w:right="60"/>
              <w:spacing w:after="0" w:line="131"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31"/>
        </w:trPr>
        <w:tc>
          <w:tcPr>
            <w:tcW w:w="5880" w:type="dxa"/>
            <w:vAlign w:val="bottom"/>
          </w:tcPr>
          <w:p>
            <w:pPr>
              <w:spacing w:after="0"/>
              <w:rPr>
                <w:sz w:val="11"/>
                <w:szCs w:val="11"/>
                <w:color w:val="auto"/>
              </w:rPr>
            </w:pPr>
          </w:p>
        </w:tc>
        <w:tc>
          <w:tcPr>
            <w:tcW w:w="1240" w:type="dxa"/>
            <w:vAlign w:val="bottom"/>
            <w:vMerge w:val="restart"/>
          </w:tcPr>
          <w:p>
            <w:pPr>
              <w:jc w:val="right"/>
              <w:ind w:right="295"/>
              <w:spacing w:after="0"/>
              <w:rPr>
                <w:sz w:val="20"/>
                <w:szCs w:val="20"/>
                <w:color w:val="auto"/>
              </w:rPr>
            </w:pPr>
            <w:r>
              <w:rPr>
                <w:rFonts w:ascii="Arial" w:cs="Arial" w:eastAsia="Arial" w:hAnsi="Arial"/>
                <w:sz w:val="14"/>
                <w:szCs w:val="14"/>
                <w:b w:val="1"/>
                <w:bCs w:val="1"/>
                <w:color w:val="auto"/>
              </w:rPr>
              <w:t>Options</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60" w:type="dxa"/>
            <w:vAlign w:val="bottom"/>
            <w:gridSpan w:val="2"/>
          </w:tcPr>
          <w:p>
            <w:pPr>
              <w:jc w:val="center"/>
              <w:ind w:right="320"/>
              <w:spacing w:after="0" w:line="131" w:lineRule="exact"/>
              <w:rPr>
                <w:sz w:val="20"/>
                <w:szCs w:val="20"/>
                <w:color w:val="auto"/>
              </w:rPr>
            </w:pPr>
            <w:r>
              <w:rPr>
                <w:rFonts w:ascii="Arial" w:cs="Arial" w:eastAsia="Arial" w:hAnsi="Arial"/>
                <w:sz w:val="14"/>
                <w:szCs w:val="14"/>
                <w:b w:val="1"/>
                <w:bCs w:val="1"/>
                <w:color w:val="auto"/>
                <w:w w:val="93"/>
              </w:rPr>
              <w:t>Price</w:t>
            </w:r>
          </w:p>
        </w:tc>
        <w:tc>
          <w:tcPr>
            <w:tcW w:w="134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92"/>
              </w:rPr>
              <w:t>Contractual</w:t>
            </w:r>
          </w:p>
        </w:tc>
        <w:tc>
          <w:tcPr>
            <w:tcW w:w="160" w:type="dxa"/>
            <w:vAlign w:val="bottom"/>
          </w:tcPr>
          <w:p>
            <w:pPr>
              <w:spacing w:after="0"/>
              <w:rPr>
                <w:sz w:val="11"/>
                <w:szCs w:val="11"/>
                <w:color w:val="auto"/>
              </w:rPr>
            </w:pPr>
          </w:p>
        </w:tc>
        <w:tc>
          <w:tcPr>
            <w:tcW w:w="1100" w:type="dxa"/>
            <w:vAlign w:val="bottom"/>
          </w:tcPr>
          <w:p>
            <w:pPr>
              <w:jc w:val="center"/>
              <w:ind w:right="80"/>
              <w:spacing w:after="0" w:line="131" w:lineRule="exact"/>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83"/>
        </w:trPr>
        <w:tc>
          <w:tcPr>
            <w:tcW w:w="5880" w:type="dxa"/>
            <w:vAlign w:val="bottom"/>
            <w:tcBorders>
              <w:bottom w:val="single" w:sz="8" w:color="CCEEFF"/>
            </w:tcBorders>
          </w:tcPr>
          <w:p>
            <w:pPr>
              <w:spacing w:after="0"/>
              <w:rPr>
                <w:sz w:val="15"/>
                <w:szCs w:val="15"/>
                <w:color w:val="auto"/>
              </w:rPr>
            </w:pPr>
          </w:p>
        </w:tc>
        <w:tc>
          <w:tcPr>
            <w:tcW w:w="1240" w:type="dxa"/>
            <w:vAlign w:val="bottom"/>
            <w:tcBorders>
              <w:bottom w:val="single" w:sz="8" w:color="auto"/>
            </w:tcBorders>
            <w:vMerge w:val="continue"/>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121"/>
              <w:spacing w:after="0"/>
              <w:rPr>
                <w:sz w:val="20"/>
                <w:szCs w:val="20"/>
                <w:color w:val="auto"/>
              </w:rPr>
            </w:pPr>
            <w:r>
              <w:rPr>
                <w:rFonts w:ascii="Arial" w:cs="Arial" w:eastAsia="Arial" w:hAnsi="Arial"/>
                <w:sz w:val="14"/>
                <w:szCs w:val="14"/>
                <w:b w:val="1"/>
                <w:bCs w:val="1"/>
                <w:color w:val="auto"/>
                <w:w w:val="91"/>
              </w:rPr>
              <w:t>Per Share</w:t>
            </w:r>
          </w:p>
        </w:tc>
        <w:tc>
          <w:tcPr>
            <w:tcW w:w="120" w:type="dxa"/>
            <w:vAlign w:val="bottom"/>
            <w:tcBorders>
              <w:bottom w:val="single" w:sz="8" w:color="CCEEFF"/>
            </w:tcBorders>
          </w:tcPr>
          <w:p>
            <w:pPr>
              <w:spacing w:after="0"/>
              <w:rPr>
                <w:sz w:val="15"/>
                <w:szCs w:val="15"/>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Life</w:t>
            </w: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center"/>
              <w:ind w:right="60"/>
              <w:spacing w:after="0"/>
              <w:rPr>
                <w:sz w:val="20"/>
                <w:szCs w:val="20"/>
                <w:color w:val="auto"/>
              </w:rPr>
            </w:pPr>
            <w:r>
              <w:rPr>
                <w:rFonts w:ascii="Arial" w:cs="Arial" w:eastAsia="Arial" w:hAnsi="Arial"/>
                <w:sz w:val="14"/>
                <w:szCs w:val="14"/>
                <w:b w:val="1"/>
                <w:bCs w:val="1"/>
                <w:color w:val="auto"/>
                <w:w w:val="87"/>
              </w:rPr>
              <w:t>(in thousands)</w:t>
            </w:r>
          </w:p>
        </w:tc>
        <w:tc>
          <w:tcPr>
            <w:tcW w:w="0" w:type="dxa"/>
            <w:vAlign w:val="bottom"/>
          </w:tcPr>
          <w:p>
            <w:pPr>
              <w:spacing w:after="0"/>
              <w:rPr>
                <w:sz w:val="1"/>
                <w:szCs w:val="1"/>
                <w:color w:val="auto"/>
              </w:rPr>
            </w:pPr>
          </w:p>
        </w:tc>
      </w:tr>
      <w:tr>
        <w:trPr>
          <w:trHeight w:val="216"/>
        </w:trPr>
        <w:tc>
          <w:tcPr>
            <w:tcW w:w="5880" w:type="dxa"/>
            <w:vAlign w:val="bottom"/>
            <w:shd w:val="clear" w:color="auto" w:fill="CCEEFF"/>
          </w:tcPr>
          <w:p>
            <w:pPr>
              <w:ind w:left="20"/>
              <w:spacing w:after="0"/>
              <w:rPr>
                <w:sz w:val="20"/>
                <w:szCs w:val="20"/>
                <w:color w:val="auto"/>
              </w:rPr>
            </w:pPr>
            <w:r>
              <w:rPr>
                <w:rFonts w:ascii="Arial" w:cs="Arial" w:eastAsia="Arial" w:hAnsi="Arial"/>
                <w:sz w:val="17"/>
                <w:szCs w:val="17"/>
                <w:color w:val="auto"/>
              </w:rPr>
              <w:t>Options outstanding at December 31, 2020</w:t>
            </w: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650,770</w:t>
            </w:r>
          </w:p>
        </w:tc>
        <w:tc>
          <w:tcPr>
            <w:tcW w:w="3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15.78</w:t>
            </w: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ind w:left="1020"/>
              <w:spacing w:after="0"/>
              <w:rPr>
                <w:sz w:val="20"/>
                <w:szCs w:val="20"/>
                <w:color w:val="auto"/>
              </w:rPr>
            </w:pPr>
            <w:r>
              <w:rPr>
                <w:rFonts w:ascii="Arial" w:cs="Arial" w:eastAsia="Arial" w:hAnsi="Arial"/>
                <w:sz w:val="17"/>
                <w:szCs w:val="17"/>
                <w:color w:val="auto"/>
                <w:w w:val="84"/>
              </w:rPr>
              <w:t>2.5</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1,155</w:t>
            </w:r>
          </w:p>
        </w:tc>
        <w:tc>
          <w:tcPr>
            <w:tcW w:w="0" w:type="dxa"/>
            <w:vAlign w:val="bottom"/>
          </w:tcPr>
          <w:p>
            <w:pPr>
              <w:spacing w:after="0"/>
              <w:rPr>
                <w:sz w:val="1"/>
                <w:szCs w:val="1"/>
                <w:color w:val="auto"/>
              </w:rPr>
            </w:pPr>
          </w:p>
        </w:tc>
      </w:tr>
      <w:tr>
        <w:trPr>
          <w:trHeight w:val="222"/>
        </w:trPr>
        <w:tc>
          <w:tcPr>
            <w:tcW w:w="5880" w:type="dxa"/>
            <w:vAlign w:val="bottom"/>
          </w:tcPr>
          <w:p>
            <w:pPr>
              <w:ind w:left="220"/>
              <w:spacing w:after="0"/>
              <w:rPr>
                <w:sz w:val="20"/>
                <w:szCs w:val="20"/>
                <w:color w:val="auto"/>
              </w:rPr>
            </w:pPr>
            <w:r>
              <w:rPr>
                <w:rFonts w:ascii="Arial" w:cs="Arial" w:eastAsia="Arial" w:hAnsi="Arial"/>
                <w:sz w:val="17"/>
                <w:szCs w:val="17"/>
                <w:color w:val="auto"/>
              </w:rPr>
              <w:t>Granted</w:t>
            </w:r>
          </w:p>
        </w:tc>
        <w:tc>
          <w:tcPr>
            <w:tcW w:w="124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340" w:type="dxa"/>
            <w:vAlign w:val="bottom"/>
            <w:gridSpan w:val="2"/>
          </w:tcPr>
          <w:p>
            <w:pPr>
              <w:ind w:left="100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2"/>
        </w:trPr>
        <w:tc>
          <w:tcPr>
            <w:tcW w:w="58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Exercised</w:t>
            </w: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(196,049)</w:t>
            </w:r>
          </w:p>
        </w:tc>
        <w:tc>
          <w:tcPr>
            <w:tcW w:w="3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15.90</w:t>
            </w:r>
          </w:p>
        </w:tc>
        <w:tc>
          <w:tcPr>
            <w:tcW w:w="120" w:type="dxa"/>
            <w:vAlign w:val="bottom"/>
            <w:shd w:val="clear" w:color="auto" w:fill="CCEEFF"/>
          </w:tcPr>
          <w:p>
            <w:pPr>
              <w:spacing w:after="0"/>
              <w:rPr>
                <w:sz w:val="19"/>
                <w:szCs w:val="19"/>
                <w:color w:val="auto"/>
              </w:rPr>
            </w:pPr>
          </w:p>
        </w:tc>
        <w:tc>
          <w:tcPr>
            <w:tcW w:w="1340" w:type="dxa"/>
            <w:vAlign w:val="bottom"/>
            <w:gridSpan w:val="2"/>
            <w:shd w:val="clear" w:color="auto" w:fill="CCEEFF"/>
          </w:tcPr>
          <w:p>
            <w:pPr>
              <w:ind w:left="100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2"/>
        </w:trPr>
        <w:tc>
          <w:tcPr>
            <w:tcW w:w="588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Forfeited</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320" w:type="dxa"/>
            <w:vAlign w:val="bottom"/>
            <w:tcBorders>
              <w:bottom w:val="single" w:sz="8" w:color="CCEEFF"/>
            </w:tcBorders>
            <w:gridSpan w:val="2"/>
          </w:tcPr>
          <w:p>
            <w:pPr>
              <w:jc w:val="right"/>
              <w:ind w:right="100"/>
              <w:spacing w:after="0"/>
              <w:rPr>
                <w:sz w:val="20"/>
                <w:szCs w:val="20"/>
                <w:color w:val="auto"/>
              </w:rPr>
            </w:pPr>
            <w:r>
              <w:rPr>
                <w:rFonts w:ascii="Arial" w:cs="Arial" w:eastAsia="Arial" w:hAnsi="Arial"/>
                <w:sz w:val="17"/>
                <w:szCs w:val="17"/>
                <w:color w:val="auto"/>
              </w:rPr>
              <w:t>$</w:t>
            </w:r>
          </w:p>
        </w:tc>
        <w:tc>
          <w:tcPr>
            <w:tcW w:w="1160" w:type="dxa"/>
            <w:vAlign w:val="bottom"/>
            <w:tcBorders>
              <w:bottom w:val="single" w:sz="8" w:color="CCEEFF"/>
            </w:tcBorders>
            <w:gridSpan w:val="2"/>
          </w:tcPr>
          <w:p>
            <w:pPr>
              <w:jc w:val="right"/>
              <w:ind w:right="180"/>
              <w:spacing w:after="0"/>
              <w:rPr>
                <w:sz w:val="20"/>
                <w:szCs w:val="20"/>
                <w:color w:val="auto"/>
              </w:rPr>
            </w:pPr>
            <w:r>
              <w:rPr>
                <w:rFonts w:ascii="Arial" w:cs="Arial" w:eastAsia="Arial" w:hAnsi="Arial"/>
                <w:sz w:val="17"/>
                <w:szCs w:val="17"/>
                <w:color w:val="auto"/>
              </w:rPr>
              <w:t>—</w:t>
            </w:r>
          </w:p>
        </w:tc>
        <w:tc>
          <w:tcPr>
            <w:tcW w:w="1340" w:type="dxa"/>
            <w:vAlign w:val="bottom"/>
            <w:tcBorders>
              <w:bottom w:val="single" w:sz="8" w:color="CCEEFF"/>
            </w:tcBorders>
            <w:gridSpan w:val="2"/>
          </w:tcPr>
          <w:p>
            <w:pPr>
              <w:ind w:left="1000"/>
              <w:spacing w:after="0"/>
              <w:rPr>
                <w:sz w:val="20"/>
                <w:szCs w:val="20"/>
                <w:color w:val="auto"/>
              </w:rPr>
            </w:pPr>
            <w:r>
              <w:rPr>
                <w:rFonts w:ascii="Arial" w:cs="Arial" w:eastAsia="Arial" w:hAnsi="Arial"/>
                <w:sz w:val="17"/>
                <w:szCs w:val="17"/>
                <w:color w:val="auto"/>
              </w:rPr>
              <w:t>—</w:t>
            </w:r>
          </w:p>
        </w:tc>
        <w:tc>
          <w:tcPr>
            <w:tcW w:w="160" w:type="dxa"/>
            <w:vAlign w:val="bottom"/>
            <w:tcBorders>
              <w:bottom w:val="single" w:sz="8" w:color="CCEEFF"/>
            </w:tcBorders>
          </w:tcPr>
          <w:p>
            <w:pPr>
              <w:spacing w:after="0"/>
              <w:rPr>
                <w:sz w:val="19"/>
                <w:szCs w:val="19"/>
                <w:color w:val="auto"/>
              </w:rPr>
            </w:pPr>
          </w:p>
        </w:tc>
        <w:tc>
          <w:tcPr>
            <w:tcW w:w="1100" w:type="dxa"/>
            <w:vAlign w:val="bottom"/>
            <w:tcBorders>
              <w:bottom w:val="single" w:sz="8" w:color="CCEEFF"/>
            </w:tcBorders>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40"/>
        </w:trPr>
        <w:tc>
          <w:tcPr>
            <w:tcW w:w="58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Options outstanding at June 30, 2021</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454,721</w:t>
            </w:r>
          </w:p>
        </w:tc>
        <w:tc>
          <w:tcPr>
            <w:tcW w:w="3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15.73</w:t>
            </w:r>
          </w:p>
        </w:tc>
        <w:tc>
          <w:tcPr>
            <w:tcW w:w="1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ind w:left="1020"/>
              <w:spacing w:after="0"/>
              <w:rPr>
                <w:sz w:val="20"/>
                <w:szCs w:val="20"/>
                <w:color w:val="auto"/>
              </w:rPr>
            </w:pPr>
            <w:r>
              <w:rPr>
                <w:rFonts w:ascii="Arial" w:cs="Arial" w:eastAsia="Arial" w:hAnsi="Arial"/>
                <w:sz w:val="17"/>
                <w:szCs w:val="17"/>
                <w:color w:val="auto"/>
                <w:w w:val="84"/>
              </w:rPr>
              <w:t>2.0</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2,566</w:t>
            </w:r>
          </w:p>
        </w:tc>
        <w:tc>
          <w:tcPr>
            <w:tcW w:w="0" w:type="dxa"/>
            <w:vAlign w:val="bottom"/>
          </w:tcPr>
          <w:p>
            <w:pPr>
              <w:spacing w:after="0"/>
              <w:rPr>
                <w:sz w:val="1"/>
                <w:szCs w:val="1"/>
                <w:color w:val="auto"/>
              </w:rPr>
            </w:pPr>
          </w:p>
        </w:tc>
      </w:tr>
      <w:tr>
        <w:trPr>
          <w:trHeight w:val="20"/>
        </w:trPr>
        <w:tc>
          <w:tcPr>
            <w:tcW w:w="58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Options exercisable at June 30, 2021</w:t>
            </w: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CCEEFF"/>
            </w:tcBorders>
            <w:gridSpan w:val="2"/>
            <w:vMerge w:val="restart"/>
          </w:tcPr>
          <w:p>
            <w:pPr>
              <w:jc w:val="right"/>
              <w:ind w:right="100"/>
              <w:spacing w:after="0"/>
              <w:rPr>
                <w:sz w:val="20"/>
                <w:szCs w:val="20"/>
                <w:color w:val="auto"/>
              </w:rPr>
            </w:pPr>
            <w:r>
              <w:rPr>
                <w:rFonts w:ascii="Arial" w:cs="Arial" w:eastAsia="Arial" w:hAnsi="Arial"/>
                <w:sz w:val="17"/>
                <w:szCs w:val="17"/>
                <w:color w:val="auto"/>
              </w:rPr>
              <w:t>$</w:t>
            </w:r>
          </w:p>
        </w:tc>
        <w:tc>
          <w:tcPr>
            <w:tcW w:w="1040" w:type="dxa"/>
            <w:vAlign w:val="bottom"/>
            <w:tcBorders>
              <w:top w:val="single" w:sz="8" w:color="CCEEFF"/>
              <w:bottom w:val="single" w:sz="8" w:color="CCEEFF"/>
            </w:tcBorders>
            <w:vMerge w:val="restart"/>
          </w:tcPr>
          <w:p>
            <w:pPr>
              <w:jc w:val="right"/>
              <w:spacing w:after="0"/>
              <w:rPr>
                <w:sz w:val="20"/>
                <w:szCs w:val="20"/>
                <w:color w:val="auto"/>
              </w:rPr>
            </w:pPr>
            <w:r>
              <w:rPr>
                <w:rFonts w:ascii="Arial" w:cs="Arial" w:eastAsia="Arial" w:hAnsi="Arial"/>
                <w:sz w:val="17"/>
                <w:szCs w:val="17"/>
                <w:color w:val="auto"/>
              </w:rPr>
              <w:t>15.73</w:t>
            </w:r>
          </w:p>
        </w:tc>
        <w:tc>
          <w:tcPr>
            <w:tcW w:w="12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bottom w:val="single" w:sz="8" w:color="CCEEFF"/>
            </w:tcBorders>
            <w:vMerge w:val="restart"/>
          </w:tcPr>
          <w:p>
            <w:pPr>
              <w:ind w:left="1020"/>
              <w:spacing w:after="0"/>
              <w:rPr>
                <w:sz w:val="20"/>
                <w:szCs w:val="20"/>
                <w:color w:val="auto"/>
              </w:rPr>
            </w:pPr>
            <w:r>
              <w:rPr>
                <w:rFonts w:ascii="Arial" w:cs="Arial" w:eastAsia="Arial" w:hAnsi="Arial"/>
                <w:sz w:val="17"/>
                <w:szCs w:val="17"/>
                <w:color w:val="auto"/>
                <w:w w:val="84"/>
              </w:rPr>
              <w:t>2.0</w:t>
            </w: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CCEEFF"/>
            </w:tcBorders>
            <w:vMerge w:val="restart"/>
          </w:tcPr>
          <w:p>
            <w:pPr>
              <w:jc w:val="right"/>
              <w:spacing w:after="0"/>
              <w:rPr>
                <w:sz w:val="20"/>
                <w:szCs w:val="20"/>
                <w:color w:val="auto"/>
              </w:rPr>
            </w:pPr>
            <w:r>
              <w:rPr>
                <w:rFonts w:ascii="Arial" w:cs="Arial" w:eastAsia="Arial" w:hAnsi="Arial"/>
                <w:sz w:val="17"/>
                <w:szCs w:val="17"/>
                <w:color w:val="auto"/>
              </w:rPr>
              <w:t>$</w:t>
            </w:r>
          </w:p>
        </w:tc>
        <w:tc>
          <w:tcPr>
            <w:tcW w:w="1100" w:type="dxa"/>
            <w:vAlign w:val="bottom"/>
            <w:tcBorders>
              <w:top w:val="single" w:sz="8" w:color="CCEEFF"/>
              <w:bottom w:val="single" w:sz="8" w:color="CCEEFF"/>
            </w:tcBorders>
            <w:vMerge w:val="restart"/>
          </w:tcPr>
          <w:p>
            <w:pPr>
              <w:jc w:val="right"/>
              <w:spacing w:after="0"/>
              <w:rPr>
                <w:sz w:val="20"/>
                <w:szCs w:val="20"/>
                <w:color w:val="auto"/>
              </w:rPr>
            </w:pPr>
            <w:r>
              <w:rPr>
                <w:rFonts w:ascii="Arial" w:cs="Arial" w:eastAsia="Arial" w:hAnsi="Arial"/>
                <w:sz w:val="17"/>
                <w:szCs w:val="17"/>
                <w:color w:val="auto"/>
              </w:rPr>
              <w:t>2,566</w:t>
            </w:r>
          </w:p>
        </w:tc>
        <w:tc>
          <w:tcPr>
            <w:tcW w:w="0" w:type="dxa"/>
            <w:vAlign w:val="bottom"/>
          </w:tcPr>
          <w:p>
            <w:pPr>
              <w:spacing w:after="0" w:line="20" w:lineRule="exact"/>
              <w:rPr>
                <w:sz w:val="1"/>
                <w:szCs w:val="1"/>
                <w:color w:val="auto"/>
              </w:rPr>
            </w:pPr>
          </w:p>
        </w:tc>
      </w:tr>
      <w:tr>
        <w:trPr>
          <w:trHeight w:val="194"/>
        </w:trPr>
        <w:tc>
          <w:tcPr>
            <w:tcW w:w="5880" w:type="dxa"/>
            <w:vAlign w:val="bottom"/>
            <w:vMerge w:val="continue"/>
          </w:tcPr>
          <w:p>
            <w:pPr>
              <w:spacing w:after="0"/>
              <w:rPr>
                <w:sz w:val="16"/>
                <w:szCs w:val="16"/>
                <w:color w:val="auto"/>
              </w:rPr>
            </w:pPr>
          </w:p>
        </w:tc>
        <w:tc>
          <w:tcPr>
            <w:tcW w:w="1240" w:type="dxa"/>
            <w:vAlign w:val="bottom"/>
          </w:tcPr>
          <w:p>
            <w:pPr>
              <w:jc w:val="right"/>
              <w:spacing w:after="0" w:line="194" w:lineRule="exact"/>
              <w:rPr>
                <w:sz w:val="20"/>
                <w:szCs w:val="20"/>
                <w:color w:val="auto"/>
              </w:rPr>
            </w:pPr>
            <w:r>
              <w:rPr>
                <w:rFonts w:ascii="Arial" w:cs="Arial" w:eastAsia="Arial" w:hAnsi="Arial"/>
                <w:sz w:val="17"/>
                <w:szCs w:val="17"/>
                <w:color w:val="auto"/>
              </w:rPr>
              <w:t>454,721</w:t>
            </w:r>
          </w:p>
        </w:tc>
        <w:tc>
          <w:tcPr>
            <w:tcW w:w="320" w:type="dxa"/>
            <w:vAlign w:val="bottom"/>
            <w:gridSpan w:val="2"/>
            <w:vMerge w:val="continue"/>
          </w:tcPr>
          <w:p>
            <w:pPr>
              <w:spacing w:after="0"/>
              <w:rPr>
                <w:sz w:val="16"/>
                <w:szCs w:val="16"/>
                <w:color w:val="auto"/>
              </w:rPr>
            </w:pPr>
          </w:p>
        </w:tc>
        <w:tc>
          <w:tcPr>
            <w:tcW w:w="10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4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vMerge w:val="continue"/>
          </w:tcPr>
          <w:p>
            <w:pPr>
              <w:spacing w:after="0"/>
              <w:rPr>
                <w:sz w:val="16"/>
                <w:szCs w:val="16"/>
                <w:color w:val="auto"/>
              </w:rPr>
            </w:pPr>
          </w:p>
        </w:tc>
        <w:tc>
          <w:tcPr>
            <w:tcW w:w="11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bl>
    <w:p>
      <w:pPr>
        <w:spacing w:after="0" w:line="315" w:lineRule="exact"/>
        <w:rPr>
          <w:sz w:val="20"/>
          <w:szCs w:val="20"/>
          <w:color w:val="auto"/>
        </w:rPr>
      </w:pPr>
    </w:p>
    <w:p>
      <w:pPr>
        <w:ind w:right="40" w:firstLine="470"/>
        <w:spacing w:after="0" w:line="284" w:lineRule="auto"/>
        <w:rPr>
          <w:sz w:val="20"/>
          <w:szCs w:val="20"/>
          <w:color w:val="auto"/>
        </w:rPr>
      </w:pPr>
      <w:r>
        <w:rPr>
          <w:rFonts w:ascii="Arial" w:cs="Arial" w:eastAsia="Arial" w:hAnsi="Arial"/>
          <w:sz w:val="16"/>
          <w:szCs w:val="16"/>
          <w:color w:val="auto"/>
        </w:rPr>
        <w:t>The intrinsic value of each stock option award outstanding or exercisable is the difference between the fair market value of the Company’s common stock at the end of the period and the exercise price of each stock option award to the extent it is considered “in-the-money”. A stock option award is considered to be “in-the-money” if the fair market value of the Company’s stock is greater than the exercise price of the stock option award. The aggregate intrinsic value of options outstanding and options exercisable represents the value that would have been received by the holders of stock option awards had they exercised their stock option award on the last trading day of the period and sold the underlying shares at the closing price on that day.</w:t>
      </w:r>
    </w:p>
    <w:p>
      <w:pPr>
        <w:spacing w:after="0" w:line="25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Summary of Restricted Stock Unit Activity</w:t>
      </w:r>
    </w:p>
    <w:p>
      <w:pPr>
        <w:spacing w:after="0" w:line="124" w:lineRule="exact"/>
        <w:rPr>
          <w:sz w:val="20"/>
          <w:szCs w:val="20"/>
          <w:color w:val="auto"/>
        </w:rPr>
      </w:pPr>
    </w:p>
    <w:p>
      <w:pPr>
        <w:ind w:left="480"/>
        <w:spacing w:after="0"/>
        <w:rPr>
          <w:sz w:val="20"/>
          <w:szCs w:val="20"/>
          <w:color w:val="auto"/>
        </w:rPr>
      </w:pPr>
      <w:r>
        <w:rPr>
          <w:rFonts w:ascii="Arial" w:cs="Arial" w:eastAsia="Arial" w:hAnsi="Arial"/>
          <w:sz w:val="17"/>
          <w:szCs w:val="17"/>
          <w:color w:val="auto"/>
        </w:rPr>
        <w:t>The following table presents a summary of RSUs for the six months ended June 30, 2021:</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- 22 -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77" w:right="339" w:bottom="1440" w:gutter="0" w:footer="0" w:header="0"/>
        </w:sectPr>
      </w:pPr>
    </w:p>
    <w:bookmarkStart w:id="23" w:name="page24"/>
    <w:bookmarkEnd w:id="23"/>
    <w:tbl>
      <w:tblPr>
        <w:tblLayout w:type="fixed"/>
        <w:tblInd w:w="0" w:type="dxa"/>
        <w:tblCellMar>
          <w:top w:w="0" w:type="dxa"/>
          <w:left w:w="0" w:type="dxa"/>
          <w:bottom w:w="0" w:type="dxa"/>
          <w:right w:w="0" w:type="dxa"/>
        </w:tblCellMar>
      </w:tblPr>
      <w:tr>
        <w:trPr>
          <w:trHeight w:val="161"/>
        </w:trPr>
        <w:tc>
          <w:tcPr>
            <w:tcW w:w="674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8"/>
              </w:rPr>
              <w:t>Weighted</w:t>
            </w:r>
          </w:p>
        </w:tc>
        <w:tc>
          <w:tcPr>
            <w:tcW w:w="180" w:type="dxa"/>
            <w:vAlign w:val="bottom"/>
          </w:tcPr>
          <w:p>
            <w:pPr>
              <w:spacing w:after="0"/>
              <w:rPr>
                <w:sz w:val="14"/>
                <w:szCs w:val="14"/>
                <w:color w:val="auto"/>
              </w:rPr>
            </w:pPr>
          </w:p>
        </w:tc>
        <w:tc>
          <w:tcPr>
            <w:tcW w:w="1240" w:type="dxa"/>
            <w:vAlign w:val="bottom"/>
            <w:vMerge w:val="restart"/>
          </w:tcPr>
          <w:p>
            <w:pPr>
              <w:jc w:val="center"/>
              <w:ind w:right="121"/>
              <w:spacing w:after="0"/>
              <w:rPr>
                <w:sz w:val="20"/>
                <w:szCs w:val="20"/>
                <w:color w:val="auto"/>
              </w:rPr>
            </w:pPr>
            <w:r>
              <w:rPr>
                <w:rFonts w:ascii="Arial" w:cs="Arial" w:eastAsia="Arial" w:hAnsi="Arial"/>
                <w:sz w:val="14"/>
                <w:szCs w:val="14"/>
                <w:b w:val="1"/>
                <w:bCs w:val="1"/>
                <w:color w:val="auto"/>
                <w:w w:val="86"/>
              </w:rPr>
              <w:t>Aggregate</w:t>
            </w:r>
          </w:p>
        </w:tc>
        <w:tc>
          <w:tcPr>
            <w:tcW w:w="0" w:type="dxa"/>
            <w:vAlign w:val="bottom"/>
          </w:tcPr>
          <w:p>
            <w:pPr>
              <w:spacing w:after="0"/>
              <w:rPr>
                <w:sz w:val="1"/>
                <w:szCs w:val="1"/>
                <w:color w:val="auto"/>
              </w:rPr>
            </w:pPr>
          </w:p>
        </w:tc>
      </w:tr>
      <w:tr>
        <w:trPr>
          <w:trHeight w:val="131"/>
        </w:trPr>
        <w:tc>
          <w:tcPr>
            <w:tcW w:w="6740" w:type="dxa"/>
            <w:vAlign w:val="bottom"/>
          </w:tcPr>
          <w:p>
            <w:pPr>
              <w:spacing w:after="0"/>
              <w:rPr>
                <w:sz w:val="11"/>
                <w:szCs w:val="11"/>
                <w:color w:val="auto"/>
              </w:rPr>
            </w:pPr>
          </w:p>
        </w:tc>
        <w:tc>
          <w:tcPr>
            <w:tcW w:w="14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Restricted</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300" w:type="dxa"/>
            <w:vAlign w:val="bottom"/>
            <w:gridSpan w:val="2"/>
          </w:tcPr>
          <w:p>
            <w:pPr>
              <w:jc w:val="center"/>
              <w:ind w:right="340"/>
              <w:spacing w:after="0" w:line="131" w:lineRule="exact"/>
              <w:rPr>
                <w:sz w:val="20"/>
                <w:szCs w:val="20"/>
                <w:color w:val="auto"/>
              </w:rPr>
            </w:pPr>
            <w:r>
              <w:rPr>
                <w:rFonts w:ascii="Arial" w:cs="Arial" w:eastAsia="Arial" w:hAnsi="Arial"/>
                <w:sz w:val="14"/>
                <w:szCs w:val="14"/>
                <w:b w:val="1"/>
                <w:bCs w:val="1"/>
                <w:color w:val="auto"/>
                <w:w w:val="86"/>
              </w:rPr>
              <w:t>Average</w:t>
            </w:r>
          </w:p>
        </w:tc>
        <w:tc>
          <w:tcPr>
            <w:tcW w:w="180" w:type="dxa"/>
            <w:vAlign w:val="bottom"/>
          </w:tcPr>
          <w:p>
            <w:pPr>
              <w:spacing w:after="0"/>
              <w:rPr>
                <w:sz w:val="11"/>
                <w:szCs w:val="11"/>
                <w:color w:val="auto"/>
              </w:rPr>
            </w:pPr>
          </w:p>
        </w:tc>
        <w:tc>
          <w:tcPr>
            <w:tcW w:w="12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6740" w:type="dxa"/>
            <w:vAlign w:val="bottom"/>
          </w:tcPr>
          <w:p>
            <w:pPr>
              <w:spacing w:after="0"/>
              <w:rPr>
                <w:sz w:val="11"/>
                <w:szCs w:val="11"/>
                <w:color w:val="auto"/>
              </w:rPr>
            </w:pPr>
          </w:p>
        </w:tc>
        <w:tc>
          <w:tcPr>
            <w:tcW w:w="142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300" w:type="dxa"/>
            <w:vAlign w:val="bottom"/>
            <w:gridSpan w:val="2"/>
          </w:tcPr>
          <w:p>
            <w:pPr>
              <w:jc w:val="center"/>
              <w:ind w:right="340"/>
              <w:spacing w:after="0" w:line="131" w:lineRule="exact"/>
              <w:rPr>
                <w:sz w:val="20"/>
                <w:szCs w:val="20"/>
                <w:color w:val="auto"/>
              </w:rPr>
            </w:pPr>
            <w:r>
              <w:rPr>
                <w:rFonts w:ascii="Arial" w:cs="Arial" w:eastAsia="Arial" w:hAnsi="Arial"/>
                <w:sz w:val="14"/>
                <w:szCs w:val="14"/>
                <w:b w:val="1"/>
                <w:bCs w:val="1"/>
                <w:color w:val="auto"/>
                <w:w w:val="94"/>
              </w:rPr>
              <w:t>Grant Date</w:t>
            </w:r>
          </w:p>
        </w:tc>
        <w:tc>
          <w:tcPr>
            <w:tcW w:w="180" w:type="dxa"/>
            <w:vAlign w:val="bottom"/>
          </w:tcPr>
          <w:p>
            <w:pPr>
              <w:spacing w:after="0"/>
              <w:rPr>
                <w:sz w:val="11"/>
                <w:szCs w:val="11"/>
                <w:color w:val="auto"/>
              </w:rPr>
            </w:pPr>
          </w:p>
        </w:tc>
        <w:tc>
          <w:tcPr>
            <w:tcW w:w="1240" w:type="dxa"/>
            <w:vAlign w:val="bottom"/>
          </w:tcPr>
          <w:p>
            <w:pPr>
              <w:jc w:val="center"/>
              <w:ind w:right="121"/>
              <w:spacing w:after="0" w:line="131"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31"/>
        </w:trPr>
        <w:tc>
          <w:tcPr>
            <w:tcW w:w="6740" w:type="dxa"/>
            <w:vAlign w:val="bottom"/>
          </w:tcPr>
          <w:p>
            <w:pPr>
              <w:spacing w:after="0"/>
              <w:rPr>
                <w:sz w:val="11"/>
                <w:szCs w:val="11"/>
                <w:color w:val="auto"/>
              </w:rPr>
            </w:pPr>
          </w:p>
        </w:tc>
        <w:tc>
          <w:tcPr>
            <w:tcW w:w="142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89"/>
              </w:rPr>
              <w:t>Stock</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300" w:type="dxa"/>
            <w:vAlign w:val="bottom"/>
            <w:gridSpan w:val="2"/>
          </w:tcPr>
          <w:p>
            <w:pPr>
              <w:jc w:val="center"/>
              <w:ind w:right="360"/>
              <w:spacing w:after="0" w:line="131" w:lineRule="exact"/>
              <w:rPr>
                <w:sz w:val="20"/>
                <w:szCs w:val="20"/>
                <w:color w:val="auto"/>
              </w:rPr>
            </w:pPr>
            <w:r>
              <w:rPr>
                <w:rFonts w:ascii="Arial" w:cs="Arial" w:eastAsia="Arial" w:hAnsi="Arial"/>
                <w:sz w:val="14"/>
                <w:szCs w:val="14"/>
                <w:b w:val="1"/>
                <w:bCs w:val="1"/>
                <w:color w:val="auto"/>
                <w:w w:val="92"/>
              </w:rPr>
              <w:t>Fair Value</w:t>
            </w:r>
          </w:p>
        </w:tc>
        <w:tc>
          <w:tcPr>
            <w:tcW w:w="180" w:type="dxa"/>
            <w:vAlign w:val="bottom"/>
          </w:tcPr>
          <w:p>
            <w:pPr>
              <w:spacing w:after="0"/>
              <w:rPr>
                <w:sz w:val="11"/>
                <w:szCs w:val="11"/>
                <w:color w:val="auto"/>
              </w:rPr>
            </w:pPr>
          </w:p>
        </w:tc>
        <w:tc>
          <w:tcPr>
            <w:tcW w:w="1240" w:type="dxa"/>
            <w:vAlign w:val="bottom"/>
          </w:tcPr>
          <w:p>
            <w:pPr>
              <w:jc w:val="center"/>
              <w:ind w:right="101"/>
              <w:spacing w:after="0" w:line="131" w:lineRule="exact"/>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83"/>
        </w:trPr>
        <w:tc>
          <w:tcPr>
            <w:tcW w:w="6740" w:type="dxa"/>
            <w:vAlign w:val="bottom"/>
            <w:tcBorders>
              <w:bottom w:val="single" w:sz="8" w:color="CCEEFF"/>
            </w:tcBorders>
          </w:tcPr>
          <w:p>
            <w:pPr>
              <w:spacing w:after="0"/>
              <w:rPr>
                <w:sz w:val="15"/>
                <w:szCs w:val="15"/>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Units</w:t>
            </w:r>
          </w:p>
        </w:tc>
        <w:tc>
          <w:tcPr>
            <w:tcW w:w="10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jc w:val="center"/>
              <w:ind w:right="142"/>
              <w:spacing w:after="0"/>
              <w:rPr>
                <w:sz w:val="20"/>
                <w:szCs w:val="20"/>
                <w:color w:val="auto"/>
              </w:rPr>
            </w:pPr>
            <w:r>
              <w:rPr>
                <w:rFonts w:ascii="Arial" w:cs="Arial" w:eastAsia="Arial" w:hAnsi="Arial"/>
                <w:sz w:val="14"/>
                <w:szCs w:val="14"/>
                <w:b w:val="1"/>
                <w:bCs w:val="1"/>
                <w:color w:val="auto"/>
                <w:w w:val="91"/>
              </w:rPr>
              <w:t>Per Share</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tcPr>
          <w:p>
            <w:pPr>
              <w:jc w:val="center"/>
              <w:ind w:right="121"/>
              <w:spacing w:after="0"/>
              <w:rPr>
                <w:sz w:val="20"/>
                <w:szCs w:val="20"/>
                <w:color w:val="auto"/>
              </w:rPr>
            </w:pPr>
            <w:r>
              <w:rPr>
                <w:rFonts w:ascii="Arial" w:cs="Arial" w:eastAsia="Arial" w:hAnsi="Arial"/>
                <w:sz w:val="14"/>
                <w:szCs w:val="14"/>
                <w:b w:val="1"/>
                <w:bCs w:val="1"/>
                <w:color w:val="auto"/>
                <w:w w:val="87"/>
              </w:rPr>
              <w:t>(in thousands)</w:t>
            </w:r>
          </w:p>
        </w:tc>
        <w:tc>
          <w:tcPr>
            <w:tcW w:w="0" w:type="dxa"/>
            <w:vAlign w:val="bottom"/>
          </w:tcPr>
          <w:p>
            <w:pPr>
              <w:spacing w:after="0"/>
              <w:rPr>
                <w:sz w:val="1"/>
                <w:szCs w:val="1"/>
                <w:color w:val="auto"/>
              </w:rPr>
            </w:pPr>
          </w:p>
        </w:tc>
      </w:tr>
      <w:tr>
        <w:trPr>
          <w:trHeight w:val="216"/>
        </w:trPr>
        <w:tc>
          <w:tcPr>
            <w:tcW w:w="6740" w:type="dxa"/>
            <w:vAlign w:val="bottom"/>
            <w:shd w:val="clear" w:color="auto" w:fill="CCEEFF"/>
          </w:tcPr>
          <w:p>
            <w:pPr>
              <w:ind w:left="20"/>
              <w:spacing w:after="0"/>
              <w:rPr>
                <w:sz w:val="20"/>
                <w:szCs w:val="20"/>
                <w:color w:val="auto"/>
              </w:rPr>
            </w:pPr>
            <w:r>
              <w:rPr>
                <w:rFonts w:ascii="Arial" w:cs="Arial" w:eastAsia="Arial" w:hAnsi="Arial"/>
                <w:sz w:val="17"/>
                <w:szCs w:val="17"/>
                <w:color w:val="auto"/>
              </w:rPr>
              <w:t>Nonvested RSUs at December 31, 2020</w:t>
            </w:r>
          </w:p>
        </w:tc>
        <w:tc>
          <w:tcPr>
            <w:tcW w:w="1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2,873,655</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15.35</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40" w:type="dxa"/>
            <w:vAlign w:val="bottom"/>
            <w:shd w:val="clear" w:color="auto" w:fill="CCEEFF"/>
          </w:tcPr>
          <w:p>
            <w:pPr>
              <w:jc w:val="right"/>
              <w:ind w:right="1"/>
              <w:spacing w:after="0"/>
              <w:rPr>
                <w:sz w:val="20"/>
                <w:szCs w:val="20"/>
                <w:color w:val="auto"/>
              </w:rPr>
            </w:pPr>
            <w:r>
              <w:rPr>
                <w:rFonts w:ascii="Arial" w:cs="Arial" w:eastAsia="Arial" w:hAnsi="Arial"/>
                <w:sz w:val="17"/>
                <w:szCs w:val="17"/>
                <w:color w:val="auto"/>
              </w:rPr>
              <w:t>50,404</w:t>
            </w:r>
          </w:p>
        </w:tc>
        <w:tc>
          <w:tcPr>
            <w:tcW w:w="0" w:type="dxa"/>
            <w:vAlign w:val="bottom"/>
          </w:tcPr>
          <w:p>
            <w:pPr>
              <w:spacing w:after="0"/>
              <w:rPr>
                <w:sz w:val="1"/>
                <w:szCs w:val="1"/>
                <w:color w:val="auto"/>
              </w:rPr>
            </w:pPr>
          </w:p>
        </w:tc>
      </w:tr>
      <w:tr>
        <w:trPr>
          <w:trHeight w:val="222"/>
        </w:trPr>
        <w:tc>
          <w:tcPr>
            <w:tcW w:w="6740" w:type="dxa"/>
            <w:vAlign w:val="bottom"/>
          </w:tcPr>
          <w:p>
            <w:pPr>
              <w:ind w:left="220"/>
              <w:spacing w:after="0"/>
              <w:rPr>
                <w:sz w:val="20"/>
                <w:szCs w:val="20"/>
                <w:color w:val="auto"/>
              </w:rPr>
            </w:pPr>
            <w:r>
              <w:rPr>
                <w:rFonts w:ascii="Arial" w:cs="Arial" w:eastAsia="Arial" w:hAnsi="Arial"/>
                <w:sz w:val="17"/>
                <w:szCs w:val="17"/>
                <w:color w:val="auto"/>
              </w:rPr>
              <w:t>Granted</w:t>
            </w:r>
          </w:p>
        </w:tc>
        <w:tc>
          <w:tcPr>
            <w:tcW w:w="1420" w:type="dxa"/>
            <w:vAlign w:val="bottom"/>
          </w:tcPr>
          <w:p>
            <w:pPr>
              <w:jc w:val="right"/>
              <w:spacing w:after="0"/>
              <w:rPr>
                <w:sz w:val="20"/>
                <w:szCs w:val="20"/>
                <w:color w:val="auto"/>
              </w:rPr>
            </w:pPr>
            <w:r>
              <w:rPr>
                <w:rFonts w:ascii="Arial" w:cs="Arial" w:eastAsia="Arial" w:hAnsi="Arial"/>
                <w:sz w:val="17"/>
                <w:szCs w:val="17"/>
                <w:color w:val="auto"/>
              </w:rPr>
              <w:t>1,559,588</w:t>
            </w:r>
          </w:p>
        </w:tc>
        <w:tc>
          <w:tcPr>
            <w:tcW w:w="3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180" w:type="dxa"/>
            <w:vAlign w:val="bottom"/>
          </w:tcPr>
          <w:p>
            <w:pPr>
              <w:jc w:val="right"/>
              <w:spacing w:after="0"/>
              <w:rPr>
                <w:sz w:val="20"/>
                <w:szCs w:val="20"/>
                <w:color w:val="auto"/>
              </w:rPr>
            </w:pPr>
            <w:r>
              <w:rPr>
                <w:rFonts w:ascii="Arial" w:cs="Arial" w:eastAsia="Arial" w:hAnsi="Arial"/>
                <w:sz w:val="17"/>
                <w:szCs w:val="17"/>
                <w:color w:val="auto"/>
              </w:rPr>
              <w:t>18.79</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40" w:type="dxa"/>
            <w:vAlign w:val="bottom"/>
          </w:tcPr>
          <w:p>
            <w:pPr>
              <w:jc w:val="right"/>
              <w:ind w:right="1"/>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2"/>
        </w:trPr>
        <w:tc>
          <w:tcPr>
            <w:tcW w:w="67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Vested</w:t>
            </w:r>
          </w:p>
        </w:tc>
        <w:tc>
          <w:tcPr>
            <w:tcW w:w="1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(716,879)</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15.26</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40" w:type="dxa"/>
            <w:vAlign w:val="bottom"/>
            <w:shd w:val="clear" w:color="auto" w:fill="CCEEFF"/>
          </w:tcPr>
          <w:p>
            <w:pPr>
              <w:jc w:val="right"/>
              <w:ind w:right="1"/>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2"/>
        </w:trPr>
        <w:tc>
          <w:tcPr>
            <w:tcW w:w="674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Forfeited</w:t>
            </w: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(321,809)</w:t>
            </w:r>
          </w:p>
        </w:tc>
        <w:tc>
          <w:tcPr>
            <w:tcW w:w="340" w:type="dxa"/>
            <w:vAlign w:val="bottom"/>
            <w:tcBorders>
              <w:bottom w:val="single" w:sz="8" w:color="CCEEFF"/>
            </w:tcBorders>
            <w:gridSpan w:val="2"/>
          </w:tcPr>
          <w:p>
            <w:pPr>
              <w:jc w:val="right"/>
              <w:ind w:right="140"/>
              <w:spacing w:after="0"/>
              <w:rPr>
                <w:sz w:val="20"/>
                <w:szCs w:val="20"/>
                <w:color w:val="auto"/>
              </w:rPr>
            </w:pPr>
            <w:r>
              <w:rPr>
                <w:rFonts w:ascii="Arial" w:cs="Arial" w:eastAsia="Arial" w:hAnsi="Arial"/>
                <w:sz w:val="17"/>
                <w:szCs w:val="17"/>
                <w:color w:val="auto"/>
              </w:rPr>
              <w:t>$</w:t>
            </w:r>
          </w:p>
        </w:tc>
        <w:tc>
          <w:tcPr>
            <w:tcW w:w="1180" w:type="dxa"/>
            <w:vAlign w:val="bottom"/>
            <w:tcBorders>
              <w:bottom w:val="single" w:sz="8" w:color="CCEEFF"/>
            </w:tcBorders>
          </w:tcPr>
          <w:p>
            <w:pPr>
              <w:jc w:val="right"/>
              <w:spacing w:after="0"/>
              <w:rPr>
                <w:sz w:val="20"/>
                <w:szCs w:val="20"/>
                <w:color w:val="auto"/>
              </w:rPr>
            </w:pPr>
            <w:r>
              <w:rPr>
                <w:rFonts w:ascii="Arial" w:cs="Arial" w:eastAsia="Arial" w:hAnsi="Arial"/>
                <w:sz w:val="17"/>
                <w:szCs w:val="17"/>
                <w:color w:val="auto"/>
              </w:rPr>
              <w:t>12.84</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CCEEFF"/>
            </w:tcBorders>
          </w:tcPr>
          <w:p>
            <w:pPr>
              <w:spacing w:after="0"/>
              <w:rPr>
                <w:sz w:val="19"/>
                <w:szCs w:val="19"/>
                <w:color w:val="auto"/>
              </w:rPr>
            </w:pPr>
          </w:p>
        </w:tc>
        <w:tc>
          <w:tcPr>
            <w:tcW w:w="1240" w:type="dxa"/>
            <w:vAlign w:val="bottom"/>
            <w:tcBorders>
              <w:bottom w:val="single" w:sz="8" w:color="CCEEFF"/>
            </w:tcBorders>
          </w:tcPr>
          <w:p>
            <w:pPr>
              <w:jc w:val="right"/>
              <w:ind w:right="1"/>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40"/>
        </w:trPr>
        <w:tc>
          <w:tcPr>
            <w:tcW w:w="6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Nonvested RSUs at June 30, 2021</w:t>
            </w: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3,394,555</w:t>
            </w:r>
          </w:p>
        </w:tc>
        <w:tc>
          <w:tcPr>
            <w:tcW w:w="34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17.19</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4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7"/>
                <w:szCs w:val="17"/>
                <w:color w:val="auto"/>
              </w:rPr>
              <w:t>72,542</w:t>
            </w:r>
          </w:p>
        </w:tc>
        <w:tc>
          <w:tcPr>
            <w:tcW w:w="0" w:type="dxa"/>
            <w:vAlign w:val="bottom"/>
          </w:tcPr>
          <w:p>
            <w:pPr>
              <w:spacing w:after="0"/>
              <w:rPr>
                <w:sz w:val="1"/>
                <w:szCs w:val="1"/>
                <w:color w:val="auto"/>
              </w:rPr>
            </w:pP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1" w:lineRule="exact"/>
        <w:rPr>
          <w:sz w:val="20"/>
          <w:szCs w:val="20"/>
          <w:color w:val="auto"/>
        </w:rPr>
      </w:pPr>
    </w:p>
    <w:p>
      <w:pPr>
        <w:jc w:val="both"/>
        <w:ind w:right="360" w:firstLine="470"/>
        <w:spacing w:after="0" w:line="272" w:lineRule="auto"/>
        <w:rPr>
          <w:sz w:val="20"/>
          <w:szCs w:val="20"/>
          <w:color w:val="auto"/>
        </w:rPr>
      </w:pPr>
      <w:r>
        <w:rPr>
          <w:rFonts w:ascii="Arial" w:cs="Arial" w:eastAsia="Arial" w:hAnsi="Arial"/>
          <w:sz w:val="17"/>
          <w:szCs w:val="17"/>
          <w:color w:val="auto"/>
        </w:rPr>
        <w:t>RSUs that vested, as reflected in the table above, during the six months ended June 30, 2021 include previously granted time-based RSUs. RSUs that were forfeited, as reflected in the table above, during the six months ended June 30, 2021 include performance-based RSUs and time-based RSUs that were forfeited for no consideration.</w:t>
      </w:r>
    </w:p>
    <w:p>
      <w:pPr>
        <w:spacing w:after="0" w:line="198" w:lineRule="exact"/>
        <w:rPr>
          <w:sz w:val="20"/>
          <w:szCs w:val="20"/>
          <w:color w:val="auto"/>
        </w:rPr>
      </w:pPr>
    </w:p>
    <w:p>
      <w:pPr>
        <w:ind w:right="120" w:firstLine="470"/>
        <w:spacing w:after="0" w:line="297" w:lineRule="auto"/>
        <w:rPr>
          <w:sz w:val="20"/>
          <w:szCs w:val="20"/>
          <w:color w:val="auto"/>
        </w:rPr>
      </w:pPr>
      <w:r>
        <w:rPr>
          <w:rFonts w:ascii="Arial" w:cs="Arial" w:eastAsia="Arial" w:hAnsi="Arial"/>
          <w:sz w:val="16"/>
          <w:szCs w:val="16"/>
          <w:color w:val="auto"/>
        </w:rPr>
        <w:t>On April 26, 2021, the Company granted an aggregate of 3,190 time-based RSUs to certain employees. The RSUs granted vest in equal installment annually beginning on April 26, 2022 over a three-year period. The fair value of each RSU granted on April 26, 2021 was measured using a price of $23.51 per share, which was the closing stock price on the date of grant. Each award will be expensed on a straight-line basis over the vesting period.</w:t>
      </w:r>
    </w:p>
    <w:p>
      <w:pPr>
        <w:spacing w:after="0" w:line="179" w:lineRule="exact"/>
        <w:rPr>
          <w:sz w:val="20"/>
          <w:szCs w:val="20"/>
          <w:color w:val="auto"/>
        </w:rPr>
      </w:pPr>
    </w:p>
    <w:p>
      <w:pPr>
        <w:ind w:right="80" w:firstLine="470"/>
        <w:spacing w:after="0" w:line="267" w:lineRule="auto"/>
        <w:rPr>
          <w:sz w:val="20"/>
          <w:szCs w:val="20"/>
          <w:color w:val="auto"/>
        </w:rPr>
      </w:pPr>
      <w:r>
        <w:rPr>
          <w:rFonts w:ascii="Arial" w:cs="Arial" w:eastAsia="Arial" w:hAnsi="Arial"/>
          <w:sz w:val="17"/>
          <w:szCs w:val="17"/>
          <w:color w:val="auto"/>
        </w:rPr>
        <w:t>On April 26, 2021, the Company granted an aggregate of 32,960 time-based RSUs to the non-employee members of its board of directors. The RSUs granted to non-employee directors vest in their entirety on the day immediately prior to the Company’s 2022 annual meeting of stockholders. The fair value of each RSU granted on April 26, 2021 was measured using a price of $23.51 per share, which was the closing stock price on the date of grant. Each award will be expensed on a straight-line basis over the vesting period.</w:t>
      </w:r>
    </w:p>
    <w:p>
      <w:pPr>
        <w:spacing w:after="0" w:line="202" w:lineRule="exact"/>
        <w:rPr>
          <w:sz w:val="20"/>
          <w:szCs w:val="20"/>
          <w:color w:val="auto"/>
        </w:rPr>
      </w:pPr>
    </w:p>
    <w:p>
      <w:pPr>
        <w:ind w:firstLine="470"/>
        <w:spacing w:after="0" w:line="267" w:lineRule="auto"/>
        <w:rPr>
          <w:sz w:val="20"/>
          <w:szCs w:val="20"/>
          <w:color w:val="auto"/>
        </w:rPr>
      </w:pPr>
      <w:r>
        <w:rPr>
          <w:rFonts w:ascii="Arial" w:cs="Arial" w:eastAsia="Arial" w:hAnsi="Arial"/>
          <w:sz w:val="17"/>
          <w:szCs w:val="17"/>
          <w:color w:val="auto"/>
        </w:rPr>
        <w:t>On February 22, 2021, the Company granted an aggregate of 625,000 time-based RSUs to certain employees and officers. The RSUs granted vest in equal installment annually on the anniversary of the grant date over a three-year period. The fair value of each RSU granted on February 22, 2021 was measured using a price of $18.26 per share per share, which was the closing stock price on the date of grant. Each award will be expensed on a straight-line basis over the vesting period.</w:t>
      </w:r>
    </w:p>
    <w:p>
      <w:pPr>
        <w:spacing w:after="0" w:line="202" w:lineRule="exact"/>
        <w:rPr>
          <w:sz w:val="20"/>
          <w:szCs w:val="20"/>
          <w:color w:val="auto"/>
        </w:rPr>
      </w:pPr>
    </w:p>
    <w:p>
      <w:pPr>
        <w:ind w:right="60" w:firstLine="470"/>
        <w:spacing w:after="0" w:line="261" w:lineRule="auto"/>
        <w:rPr>
          <w:sz w:val="20"/>
          <w:szCs w:val="20"/>
          <w:color w:val="auto"/>
        </w:rPr>
      </w:pPr>
      <w:r>
        <w:rPr>
          <w:rFonts w:ascii="Arial" w:cs="Arial" w:eastAsia="Arial" w:hAnsi="Arial"/>
          <w:sz w:val="17"/>
          <w:szCs w:val="17"/>
          <w:color w:val="auto"/>
        </w:rPr>
        <w:t>On February 22, 2021, the Company granted an aggregate of 669,141 performance-based RSUs to the Company’s Chief Executive Officer, Chief Operating Officer and President, Chief Financial Officer, General Counsel, Chief Marketing Officer and Chief Human Resources Officer. These performance-based RSUs are allocated to two separate performance metrics, as follows: (i) 50% to homebuilding revenue, and (ii) 50% to pre-tax earnings. The vesting, if at all, of these performance-based RSUs may range from 0% to 100% and will be based on the Company’s percentage attainment of specified threshold, target and maximum performance goals. Any award earned based on performance achieved may be increased or decreased by 25% based on the Company’s total stockholder return (“TSR'”) relative to its peer-group homebuilders. The performance period for these performance-based RSUs is January 1, 2021 to December 31, 2023. The fair value of these performance-based RSUs was determined to be $19.22 per share based on a Monte Carlo simulation. Each award will be expensed over the requisite service period.</w:t>
      </w:r>
    </w:p>
    <w:p>
      <w:pPr>
        <w:spacing w:after="0" w:line="207" w:lineRule="exact"/>
        <w:rPr>
          <w:sz w:val="20"/>
          <w:szCs w:val="20"/>
          <w:color w:val="auto"/>
        </w:rPr>
      </w:pPr>
    </w:p>
    <w:p>
      <w:pPr>
        <w:ind w:right="160" w:firstLine="470"/>
        <w:spacing w:after="0" w:line="282" w:lineRule="auto"/>
        <w:rPr>
          <w:sz w:val="20"/>
          <w:szCs w:val="20"/>
          <w:color w:val="auto"/>
        </w:rPr>
      </w:pPr>
      <w:r>
        <w:rPr>
          <w:rFonts w:ascii="Arial" w:cs="Arial" w:eastAsia="Arial" w:hAnsi="Arial"/>
          <w:sz w:val="16"/>
          <w:szCs w:val="16"/>
          <w:color w:val="auto"/>
        </w:rPr>
        <w:t>On February 22, 2021, the Company granted an aggregate of 229,297 performance-based RSUs to the Company’s division presidents. These performance-based RSUs are allocated to two separate performance metrics, as follows: (i) 50% to homebuilding revenue of the applicable Company division, and (ii) 50% to pre-tax earnings of the applicable Company division. The vesting, if at all, of these performance-based RSUs may range from 0% to 100% and will be based on the applicable Company division’s percentage attainment of specified threshold, target and maximum performance goals. The performance period for these performance-based RSUs is January 1, 2021 to December 31, 2023. The fair value of these performance-based RSUs was measured using a price of $18.26, which was the closing stock price on the date of grant. Each award will be expensed over the requisite service period.</w:t>
      </w:r>
    </w:p>
    <w:p>
      <w:pPr>
        <w:spacing w:after="0" w:line="193" w:lineRule="exact"/>
        <w:rPr>
          <w:sz w:val="20"/>
          <w:szCs w:val="20"/>
          <w:color w:val="auto"/>
        </w:rPr>
      </w:pPr>
    </w:p>
    <w:p>
      <w:pPr>
        <w:ind w:right="200" w:firstLine="470"/>
        <w:spacing w:after="0" w:line="297" w:lineRule="auto"/>
        <w:rPr>
          <w:sz w:val="20"/>
          <w:szCs w:val="20"/>
          <w:color w:val="auto"/>
        </w:rPr>
      </w:pPr>
      <w:r>
        <w:rPr>
          <w:rFonts w:ascii="Arial" w:cs="Arial" w:eastAsia="Arial" w:hAnsi="Arial"/>
          <w:sz w:val="16"/>
          <w:szCs w:val="16"/>
          <w:color w:val="auto"/>
        </w:rPr>
        <w:t>On July 28, 2020, the Company granted an aggregate of 5,632 time-based RSUs to certain employees. The RSUs granted vest in equal installment annually beginning on February 20, 2021 over a three-year period. The fair value of each RSU granted on July 28, 2020 was measured using a price of $16.79 per share, which was the closing stock price on the date of grant. Each award will be expensed on a straight-line basis over the vesting period.</w:t>
      </w:r>
    </w:p>
    <w:p>
      <w:pPr>
        <w:spacing w:after="0" w:line="179" w:lineRule="exact"/>
        <w:rPr>
          <w:sz w:val="20"/>
          <w:szCs w:val="20"/>
          <w:color w:val="auto"/>
        </w:rPr>
      </w:pPr>
    </w:p>
    <w:p>
      <w:pPr>
        <w:ind w:right="200" w:firstLine="470"/>
        <w:spacing w:after="0" w:line="272" w:lineRule="auto"/>
        <w:rPr>
          <w:sz w:val="20"/>
          <w:szCs w:val="20"/>
          <w:color w:val="auto"/>
        </w:rPr>
      </w:pPr>
      <w:r>
        <w:rPr>
          <w:rFonts w:ascii="Arial" w:cs="Arial" w:eastAsia="Arial" w:hAnsi="Arial"/>
          <w:sz w:val="17"/>
          <w:szCs w:val="17"/>
          <w:color w:val="auto"/>
        </w:rPr>
        <w:t>On April 27, 2020, the Company granted an aggregate of 47,080 time-based RSUs to the non-employee members of its board of directors. The RSUs granted to non-employee directors vest in their entirety on the day immediately prior to the Company’s 2021 annual meeting of stockholders. The fair value of each RSU granted on April 27, 2020 was measured using a</w:t>
      </w:r>
    </w:p>
    <w:p>
      <w:pPr>
        <w:spacing w:after="0" w:line="200" w:lineRule="exact"/>
        <w:rPr>
          <w:sz w:val="20"/>
          <w:szCs w:val="20"/>
          <w:color w:val="auto"/>
        </w:rPr>
      </w:pPr>
    </w:p>
    <w:p>
      <w:pPr>
        <w:spacing w:after="0" w:line="29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- 23 -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72" w:right="339" w:bottom="1440" w:gutter="0" w:footer="0" w:header="0"/>
        </w:sectPr>
      </w:pPr>
    </w:p>
    <w:bookmarkStart w:id="24" w:name="page25"/>
    <w:bookmarkEnd w:id="24"/>
    <w:p>
      <w:pPr>
        <w:spacing w:after="0"/>
        <w:rPr>
          <w:sz w:val="20"/>
          <w:szCs w:val="20"/>
          <w:color w:val="auto"/>
        </w:rPr>
      </w:pPr>
      <w:r>
        <w:rPr>
          <w:rFonts w:ascii="Arial" w:cs="Arial" w:eastAsia="Arial" w:hAnsi="Arial"/>
          <w:sz w:val="16"/>
          <w:szCs w:val="16"/>
          <w:color w:val="auto"/>
        </w:rPr>
        <w:t>price of $10.62 per share, which was the closing stock price on the date of grant. Each award will be expensed on a straight-line basis over the vesting period.</w:t>
      </w:r>
    </w:p>
    <w:p>
      <w:pPr>
        <w:spacing w:after="0" w:line="260" w:lineRule="exact"/>
        <w:rPr>
          <w:sz w:val="20"/>
          <w:szCs w:val="20"/>
          <w:color w:val="auto"/>
        </w:rPr>
      </w:pPr>
    </w:p>
    <w:p>
      <w:pPr>
        <w:ind w:firstLine="470"/>
        <w:spacing w:after="0" w:line="267" w:lineRule="auto"/>
        <w:rPr>
          <w:sz w:val="20"/>
          <w:szCs w:val="20"/>
          <w:color w:val="auto"/>
        </w:rPr>
      </w:pPr>
      <w:r>
        <w:rPr>
          <w:rFonts w:ascii="Arial" w:cs="Arial" w:eastAsia="Arial" w:hAnsi="Arial"/>
          <w:sz w:val="17"/>
          <w:szCs w:val="17"/>
          <w:color w:val="auto"/>
        </w:rPr>
        <w:t>On March 9, 2020 and February 20, 2020, the Company granted an aggregate of 17,692 and 639,395, respectively, time-based RSUs to certain employees and officers. The RSUs granted vest in equal installment annually on the anniversary of the grant date over a three-year period. The fair value of each RSU granted on March 9, 2020 and February 20, 2020 was measured using a price of $14.13 and $18.39 per share, respectively, which were the closing stock prices on the dates of grant. Each award will be expensed on a straight-line basis over the vesting period.</w:t>
      </w:r>
    </w:p>
    <w:p>
      <w:pPr>
        <w:spacing w:after="0" w:line="202" w:lineRule="exact"/>
        <w:rPr>
          <w:sz w:val="20"/>
          <w:szCs w:val="20"/>
          <w:color w:val="auto"/>
        </w:rPr>
      </w:pPr>
    </w:p>
    <w:p>
      <w:pPr>
        <w:ind w:right="20" w:firstLine="470"/>
        <w:spacing w:after="0" w:line="261" w:lineRule="auto"/>
        <w:rPr>
          <w:sz w:val="20"/>
          <w:szCs w:val="20"/>
          <w:color w:val="auto"/>
        </w:rPr>
      </w:pPr>
      <w:r>
        <w:rPr>
          <w:rFonts w:ascii="Arial" w:cs="Arial" w:eastAsia="Arial" w:hAnsi="Arial"/>
          <w:sz w:val="17"/>
          <w:szCs w:val="17"/>
          <w:color w:val="auto"/>
        </w:rPr>
        <w:t>On February 20, 2020, the Company granted an aggregate of 547,166 performance-based RSUs to the Company’s Chief Executive Officer, Chief Operating Officer and President, Chief Financial Officer, General Counsel, Chief Marketing Officer and Chief Human Resources Officer. These performance-based RSUs are allocated to two separate performance metrics, as follows: (i) 50% to homebuilding revenue, and (ii) 50% to pre-tax earnings. The vesting, if at all, of these performance-based RSUs may range from 0% to 100% and will be based on the Company’s percentage attainment of specified threshold, target and maximum performance goals. Any award earned based on performance achieved may be increased or decreased by 25% based on the Company’s TSR relative to its peer-group homebuilders. The performance period for these performance-based RSUs is January 1, 2020 to December 31, 2022. The fair value of these performance-based RSUs was determined to be $19.36 per share based on a Monte Carlo simulation. Each award will be expensed over the requisite service period.</w:t>
      </w:r>
    </w:p>
    <w:p>
      <w:pPr>
        <w:spacing w:after="0" w:line="207" w:lineRule="exact"/>
        <w:rPr>
          <w:sz w:val="20"/>
          <w:szCs w:val="20"/>
          <w:color w:val="auto"/>
        </w:rPr>
      </w:pPr>
    </w:p>
    <w:p>
      <w:pPr>
        <w:ind w:right="120" w:firstLine="470"/>
        <w:spacing w:after="0" w:line="282" w:lineRule="auto"/>
        <w:rPr>
          <w:sz w:val="20"/>
          <w:szCs w:val="20"/>
          <w:color w:val="auto"/>
        </w:rPr>
      </w:pPr>
      <w:r>
        <w:rPr>
          <w:rFonts w:ascii="Arial" w:cs="Arial" w:eastAsia="Arial" w:hAnsi="Arial"/>
          <w:sz w:val="16"/>
          <w:szCs w:val="16"/>
          <w:color w:val="auto"/>
        </w:rPr>
        <w:t>On February 20, 2020, the Company granted an aggregate of 207,300 performance-based RSUs to the Company’s division presidents. These performance-based RSUs are allocated to two separate performance metrics, as follows: (i) 50% to homebuilding revenue of the applicable Company division, and (ii) 50% to pre-tax earnings of the applicable Company division. The vesting, if at all, of these performance-based RSUs may range from 0% to 100% and will be based on the applicable Company division’s percentage attainment of specified threshold, target and maximum performance goals. The performance period for these performance-based RSUs is January 1, 2020 to December 31, 2022. The fair value of these performance-based RSUs was measured using a price of $18.39, which was the closing stock price on the date of grant. Each award will be expensed over the requisite service period.</w:t>
      </w:r>
    </w:p>
    <w:p>
      <w:pPr>
        <w:spacing w:after="0" w:line="167" w:lineRule="exact"/>
        <w:rPr>
          <w:sz w:val="20"/>
          <w:szCs w:val="20"/>
          <w:color w:val="auto"/>
        </w:rPr>
      </w:pPr>
    </w:p>
    <w:p>
      <w:pPr>
        <w:ind w:right="60" w:firstLine="470"/>
        <w:spacing w:after="0" w:line="288" w:lineRule="auto"/>
        <w:rPr>
          <w:sz w:val="20"/>
          <w:szCs w:val="20"/>
          <w:color w:val="auto"/>
        </w:rPr>
      </w:pPr>
      <w:r>
        <w:rPr>
          <w:rFonts w:ascii="Arial" w:cs="Arial" w:eastAsia="Arial" w:hAnsi="Arial"/>
          <w:sz w:val="17"/>
          <w:szCs w:val="17"/>
          <w:color w:val="auto"/>
        </w:rPr>
        <w:t>As RSUs vest for employees, a portion of the shares awarded is generally withheld to cover employee tax withholdings. As a result, the number of RSUs vested and the number of shares of Tri Pointe common stock issued will differ.</w:t>
      </w:r>
    </w:p>
    <w:p>
      <w:pPr>
        <w:spacing w:after="0" w:line="178" w:lineRule="exact"/>
        <w:rPr>
          <w:sz w:val="20"/>
          <w:szCs w:val="20"/>
          <w:color w:val="auto"/>
        </w:rPr>
      </w:pPr>
    </w:p>
    <w:p>
      <w:pPr>
        <w:spacing w:after="0"/>
        <w:tabs>
          <w:tab w:leader="none" w:pos="380" w:val="left"/>
        </w:tabs>
        <w:rPr>
          <w:sz w:val="20"/>
          <w:szCs w:val="20"/>
          <w:color w:val="auto"/>
        </w:rPr>
      </w:pPr>
      <w:r>
        <w:rPr>
          <w:rFonts w:ascii="Arial" w:cs="Arial" w:eastAsia="Arial" w:hAnsi="Arial"/>
          <w:sz w:val="17"/>
          <w:szCs w:val="17"/>
          <w:b w:val="1"/>
          <w:bCs w:val="1"/>
          <w:color w:val="auto"/>
        </w:rPr>
        <w:t>15.</w:t>
      </w:r>
      <w:r>
        <w:rPr>
          <w:sz w:val="20"/>
          <w:szCs w:val="20"/>
          <w:color w:val="auto"/>
        </w:rPr>
        <w:tab/>
      </w:r>
      <w:r>
        <w:rPr>
          <w:rFonts w:ascii="Arial" w:cs="Arial" w:eastAsia="Arial" w:hAnsi="Arial"/>
          <w:sz w:val="15"/>
          <w:szCs w:val="15"/>
          <w:b w:val="1"/>
          <w:bCs w:val="1"/>
          <w:color w:val="auto"/>
        </w:rPr>
        <w:t>Income Taxes</w:t>
      </w:r>
    </w:p>
    <w:p>
      <w:pPr>
        <w:spacing w:after="0" w:line="124" w:lineRule="exact"/>
        <w:rPr>
          <w:sz w:val="20"/>
          <w:szCs w:val="20"/>
          <w:color w:val="auto"/>
        </w:rPr>
      </w:pPr>
    </w:p>
    <w:p>
      <w:pPr>
        <w:ind w:firstLine="470"/>
        <w:spacing w:after="0" w:line="282" w:lineRule="auto"/>
        <w:rPr>
          <w:sz w:val="20"/>
          <w:szCs w:val="20"/>
          <w:color w:val="auto"/>
        </w:rPr>
      </w:pPr>
      <w:r>
        <w:rPr>
          <w:rFonts w:ascii="Arial" w:cs="Arial" w:eastAsia="Arial" w:hAnsi="Arial"/>
          <w:sz w:val="16"/>
          <w:szCs w:val="16"/>
          <w:color w:val="auto"/>
        </w:rPr>
        <w:t xml:space="preserve">We account for income taxes in accordance with ASC Topic 740, </w:t>
      </w:r>
      <w:r>
        <w:rPr>
          <w:rFonts w:ascii="Arial" w:cs="Arial" w:eastAsia="Arial" w:hAnsi="Arial"/>
          <w:sz w:val="16"/>
          <w:szCs w:val="16"/>
          <w:i w:val="1"/>
          <w:iCs w:val="1"/>
          <w:color w:val="auto"/>
        </w:rPr>
        <w:t>Income Taxes</w:t>
      </w:r>
      <w:r>
        <w:rPr>
          <w:rFonts w:ascii="Arial" w:cs="Arial" w:eastAsia="Arial" w:hAnsi="Arial"/>
          <w:sz w:val="16"/>
          <w:szCs w:val="16"/>
          <w:color w:val="auto"/>
        </w:rPr>
        <w:t xml:space="preserve"> (“ASC 740”), which requires an asset and liability approach for measuring deferred taxes based on temporary differences between the financial statements and tax bases of assets and liabilities using enacted tax rates for the years in which taxes are expected to be paid or recovered. Each quarter we assess our deferred tax asset to determine whether all or any portion of the asset is more likely than not unrealizable under ASC 740. We are required to establish a valuation allowance for any portion of the asset we conclude is more likely than not to be unrealizable. Our assessment considers, among other things, the nature, frequency and severity of our current and cumulative losses, forecasts of our future taxable income, the duration of statutory carryforward periods and tax planning alternatives.</w:t>
      </w:r>
    </w:p>
    <w:p>
      <w:pPr>
        <w:spacing w:after="0" w:line="167" w:lineRule="exact"/>
        <w:rPr>
          <w:sz w:val="20"/>
          <w:szCs w:val="20"/>
          <w:color w:val="auto"/>
        </w:rPr>
      </w:pPr>
    </w:p>
    <w:p>
      <w:pPr>
        <w:ind w:firstLine="470"/>
        <w:spacing w:after="0" w:line="261" w:lineRule="auto"/>
        <w:rPr>
          <w:sz w:val="20"/>
          <w:szCs w:val="20"/>
          <w:color w:val="auto"/>
        </w:rPr>
      </w:pPr>
      <w:r>
        <w:rPr>
          <w:rFonts w:ascii="Arial" w:cs="Arial" w:eastAsia="Arial" w:hAnsi="Arial"/>
          <w:sz w:val="17"/>
          <w:szCs w:val="17"/>
          <w:color w:val="auto"/>
        </w:rPr>
        <w:t>We had net deferred tax assets of $44.4 million and $47.5 million as of June 30, 2021 and December 31, 2020. We had a valuation allowance related to those net deferred tax assets of $3.4 million as of both June 30, 2021 and December 31, 2020. The Company will continue to evaluate both positive and negative evidence in determining the need for a valuation allowance against its deferred tax assets. Changes in positive and negative evidence, including differences between the Company’s future operating results and the estimates utilized in the determination of the valuation allowance, could result in changes in the Company’s estimate of the valuation allowance against its deferred tax assets. The accounting for deferred taxes is based upon estimates of future results. Differences between the anticipated and actual outcomes of these future results could have a material impact on the Company’s consolidated results of operations or financial position. Also, changes in existing federal and state tax laws and tax rates could affect future tax results and the valuation allowance against the Company’s deferred tax assets.</w:t>
      </w:r>
    </w:p>
    <w:p>
      <w:pPr>
        <w:spacing w:after="0" w:line="181" w:lineRule="exact"/>
        <w:rPr>
          <w:sz w:val="20"/>
          <w:szCs w:val="20"/>
          <w:color w:val="auto"/>
        </w:rPr>
      </w:pPr>
    </w:p>
    <w:p>
      <w:pPr>
        <w:jc w:val="both"/>
        <w:ind w:right="120" w:firstLine="470"/>
        <w:spacing w:after="0" w:line="272" w:lineRule="auto"/>
        <w:rPr>
          <w:sz w:val="20"/>
          <w:szCs w:val="20"/>
          <w:color w:val="auto"/>
        </w:rPr>
      </w:pPr>
      <w:r>
        <w:rPr>
          <w:rFonts w:ascii="Arial" w:cs="Arial" w:eastAsia="Arial" w:hAnsi="Arial"/>
          <w:sz w:val="17"/>
          <w:szCs w:val="17"/>
          <w:color w:val="auto"/>
        </w:rPr>
        <w:t>Tri Pointe has certain liabilities to Weyerhaeuser Company (“Weyerhaeuser”) related to a tax sharing agreement. As of June 30, 2021 and December 31, 2020, we had an income tax liability to Weyerhaeuser of $307,000 and $240,000, respectively. The income tax liability to Weyerhaeuser is recorded in accrued expenses and other liabilities on the accompanying consolidated balance sheets.</w:t>
      </w:r>
    </w:p>
    <w:p>
      <w:pPr>
        <w:spacing w:after="0" w:line="200" w:lineRule="exact"/>
        <w:rPr>
          <w:sz w:val="20"/>
          <w:szCs w:val="20"/>
          <w:color w:val="auto"/>
        </w:rPr>
      </w:pPr>
    </w:p>
    <w:p>
      <w:pPr>
        <w:spacing w:after="0" w:line="298"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- 24 -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00"/>
          </w:cols>
          <w:pgMar w:left="320" w:top="872" w:right="379" w:bottom="1440" w:gutter="0" w:footer="0" w:header="0"/>
        </w:sectPr>
      </w:pPr>
    </w:p>
    <w:bookmarkStart w:id="25" w:name="page26"/>
    <w:bookmarkEnd w:id="25"/>
    <w:p>
      <w:pPr>
        <w:ind w:right="240" w:firstLine="470"/>
        <w:spacing w:after="0" w:line="288" w:lineRule="auto"/>
        <w:rPr>
          <w:sz w:val="20"/>
          <w:szCs w:val="20"/>
          <w:color w:val="auto"/>
        </w:rPr>
      </w:pPr>
      <w:r>
        <w:rPr>
          <w:rFonts w:ascii="Arial" w:cs="Arial" w:eastAsia="Arial" w:hAnsi="Arial"/>
          <w:sz w:val="16"/>
          <w:szCs w:val="16"/>
          <w:color w:val="auto"/>
        </w:rPr>
        <w:t>Our provision for income taxes totaled $39.3 million and $18.1 million for the three months ended June 30, 2021 and 2020, respectively and $62.9 million and $28.0 million for the six months ended June 30, 2021 and 2020, respectively. The Company classifies any interest and penalties related to income taxes assessed by jurisdiction as part of income tax expense. The Company did not have any uncertain tax positions recorded as of June 30, 2021 and December 31, 2020. The Company has not been assessed interest or penalties by any major tax jurisdictions related to prior years.</w:t>
      </w:r>
    </w:p>
    <w:p>
      <w:pPr>
        <w:spacing w:after="0" w:line="182" w:lineRule="exact"/>
        <w:rPr>
          <w:sz w:val="20"/>
          <w:szCs w:val="20"/>
          <w:color w:val="auto"/>
        </w:rPr>
      </w:pPr>
    </w:p>
    <w:p>
      <w:pPr>
        <w:spacing w:after="0"/>
        <w:tabs>
          <w:tab w:leader="none" w:pos="380" w:val="left"/>
        </w:tabs>
        <w:rPr>
          <w:sz w:val="20"/>
          <w:szCs w:val="20"/>
          <w:color w:val="auto"/>
        </w:rPr>
      </w:pPr>
      <w:r>
        <w:rPr>
          <w:rFonts w:ascii="Arial" w:cs="Arial" w:eastAsia="Arial" w:hAnsi="Arial"/>
          <w:sz w:val="17"/>
          <w:szCs w:val="17"/>
          <w:b w:val="1"/>
          <w:bCs w:val="1"/>
          <w:color w:val="auto"/>
        </w:rPr>
        <w:t>16.</w:t>
      </w:r>
      <w:r>
        <w:rPr>
          <w:sz w:val="20"/>
          <w:szCs w:val="20"/>
          <w:color w:val="auto"/>
        </w:rPr>
        <w:tab/>
      </w:r>
      <w:r>
        <w:rPr>
          <w:rFonts w:ascii="Arial" w:cs="Arial" w:eastAsia="Arial" w:hAnsi="Arial"/>
          <w:sz w:val="15"/>
          <w:szCs w:val="15"/>
          <w:b w:val="1"/>
          <w:bCs w:val="1"/>
          <w:color w:val="auto"/>
        </w:rPr>
        <w:t>Related Party Transactions</w:t>
      </w:r>
    </w:p>
    <w:p>
      <w:pPr>
        <w:spacing w:after="0" w:line="124" w:lineRule="exact"/>
        <w:rPr>
          <w:sz w:val="20"/>
          <w:szCs w:val="20"/>
          <w:color w:val="auto"/>
        </w:rPr>
      </w:pPr>
    </w:p>
    <w:p>
      <w:pPr>
        <w:ind w:left="480"/>
        <w:spacing w:after="0"/>
        <w:rPr>
          <w:sz w:val="20"/>
          <w:szCs w:val="20"/>
          <w:color w:val="auto"/>
        </w:rPr>
      </w:pPr>
      <w:r>
        <w:rPr>
          <w:rFonts w:ascii="Arial" w:cs="Arial" w:eastAsia="Arial" w:hAnsi="Arial"/>
          <w:sz w:val="17"/>
          <w:szCs w:val="17"/>
          <w:color w:val="auto"/>
        </w:rPr>
        <w:t>We had no related party transactions for the six months ended June 30, 2021 and 2020.</w:t>
      </w:r>
    </w:p>
    <w:p>
      <w:pPr>
        <w:spacing w:after="0" w:line="347" w:lineRule="exact"/>
        <w:rPr>
          <w:sz w:val="20"/>
          <w:szCs w:val="20"/>
          <w:color w:val="auto"/>
        </w:rPr>
      </w:pPr>
    </w:p>
    <w:p>
      <w:pPr>
        <w:spacing w:after="0"/>
        <w:tabs>
          <w:tab w:leader="none" w:pos="380" w:val="left"/>
        </w:tabs>
        <w:rPr>
          <w:sz w:val="20"/>
          <w:szCs w:val="20"/>
          <w:color w:val="auto"/>
        </w:rPr>
      </w:pPr>
      <w:r>
        <w:rPr>
          <w:rFonts w:ascii="Arial" w:cs="Arial" w:eastAsia="Arial" w:hAnsi="Arial"/>
          <w:sz w:val="17"/>
          <w:szCs w:val="17"/>
          <w:b w:val="1"/>
          <w:bCs w:val="1"/>
          <w:color w:val="auto"/>
        </w:rPr>
        <w:t>17.</w:t>
      </w:r>
      <w:r>
        <w:rPr>
          <w:sz w:val="20"/>
          <w:szCs w:val="20"/>
          <w:color w:val="auto"/>
        </w:rPr>
        <w:tab/>
      </w:r>
      <w:r>
        <w:rPr>
          <w:rFonts w:ascii="Arial" w:cs="Arial" w:eastAsia="Arial" w:hAnsi="Arial"/>
          <w:sz w:val="15"/>
          <w:szCs w:val="15"/>
          <w:b w:val="1"/>
          <w:bCs w:val="1"/>
          <w:color w:val="auto"/>
        </w:rPr>
        <w:t>Supplemental Disclosure to Consolidated Statements of Cash Flows</w:t>
      </w:r>
    </w:p>
    <w:p>
      <w:pPr>
        <w:spacing w:after="0" w:line="124" w:lineRule="exact"/>
        <w:rPr>
          <w:sz w:val="20"/>
          <w:szCs w:val="20"/>
          <w:color w:val="auto"/>
        </w:rPr>
      </w:pPr>
    </w:p>
    <w:p>
      <w:pPr>
        <w:ind w:left="480"/>
        <w:spacing w:after="0"/>
        <w:rPr>
          <w:sz w:val="20"/>
          <w:szCs w:val="20"/>
          <w:color w:val="auto"/>
        </w:rPr>
      </w:pPr>
      <w:r>
        <w:rPr>
          <w:rFonts w:ascii="Arial" w:cs="Arial" w:eastAsia="Arial" w:hAnsi="Arial"/>
          <w:sz w:val="17"/>
          <w:szCs w:val="17"/>
          <w:color w:val="auto"/>
        </w:rPr>
        <w:t>The following are supplemental disclosures to the consolidated statements of cash flows (in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784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3000" w:type="dxa"/>
            <w:vAlign w:val="bottom"/>
            <w:tcBorders>
              <w:bottom w:val="single" w:sz="8" w:color="auto"/>
            </w:tcBorders>
            <w:gridSpan w:val="4"/>
          </w:tcPr>
          <w:p>
            <w:pPr>
              <w:jc w:val="right"/>
              <w:ind w:right="796"/>
              <w:spacing w:after="0"/>
              <w:rPr>
                <w:sz w:val="20"/>
                <w:szCs w:val="20"/>
                <w:color w:val="auto"/>
              </w:rPr>
            </w:pPr>
            <w:r>
              <w:rPr>
                <w:rFonts w:ascii="Arial" w:cs="Arial" w:eastAsia="Arial" w:hAnsi="Arial"/>
                <w:sz w:val="14"/>
                <w:szCs w:val="14"/>
                <w:b w:val="1"/>
                <w:bCs w:val="1"/>
                <w:color w:val="auto"/>
              </w:rPr>
              <w:t>Six Months Ended June 30,</w:t>
            </w:r>
          </w:p>
        </w:tc>
      </w:tr>
      <w:tr>
        <w:trPr>
          <w:trHeight w:val="181"/>
        </w:trPr>
        <w:tc>
          <w:tcPr>
            <w:tcW w:w="7840" w:type="dxa"/>
            <w:vAlign w:val="bottom"/>
            <w:tcBorders>
              <w:bottom w:val="single" w:sz="8" w:color="CCEEFF"/>
            </w:tcBorders>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tcPr>
          <w:p>
            <w:pPr>
              <w:jc w:val="right"/>
              <w:ind w:right="596"/>
              <w:spacing w:after="0"/>
              <w:rPr>
                <w:sz w:val="20"/>
                <w:szCs w:val="20"/>
                <w:color w:val="auto"/>
              </w:rPr>
            </w:pPr>
            <w:r>
              <w:rPr>
                <w:rFonts w:ascii="Arial" w:cs="Arial" w:eastAsia="Arial" w:hAnsi="Arial"/>
                <w:sz w:val="14"/>
                <w:szCs w:val="14"/>
                <w:b w:val="1"/>
                <w:bCs w:val="1"/>
                <w:color w:val="auto"/>
              </w:rPr>
              <w:t>2020</w:t>
            </w:r>
          </w:p>
        </w:tc>
      </w:tr>
      <w:tr>
        <w:trPr>
          <w:trHeight w:val="203"/>
        </w:trPr>
        <w:tc>
          <w:tcPr>
            <w:tcW w:w="7840" w:type="dxa"/>
            <w:vAlign w:val="bottom"/>
            <w:shd w:val="clear" w:color="auto" w:fill="CCEEFF"/>
          </w:tcPr>
          <w:p>
            <w:pPr>
              <w:ind w:left="20"/>
              <w:spacing w:after="0"/>
              <w:rPr>
                <w:sz w:val="20"/>
                <w:szCs w:val="20"/>
                <w:color w:val="auto"/>
              </w:rPr>
            </w:pPr>
            <w:r>
              <w:rPr>
                <w:rFonts w:ascii="Arial" w:cs="Arial" w:eastAsia="Arial" w:hAnsi="Arial"/>
                <w:sz w:val="17"/>
                <w:szCs w:val="17"/>
                <w:color w:val="auto"/>
              </w:rPr>
              <w:t>Supplemental disclosure of cash flow information:</w:t>
            </w:r>
          </w:p>
        </w:tc>
        <w:tc>
          <w:tcPr>
            <w:tcW w:w="4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r>
      <w:tr>
        <w:trPr>
          <w:trHeight w:val="222"/>
        </w:trPr>
        <w:tc>
          <w:tcPr>
            <w:tcW w:w="7840" w:type="dxa"/>
            <w:vAlign w:val="bottom"/>
          </w:tcPr>
          <w:p>
            <w:pPr>
              <w:ind w:left="460"/>
              <w:spacing w:after="0"/>
              <w:rPr>
                <w:sz w:val="20"/>
                <w:szCs w:val="20"/>
                <w:color w:val="auto"/>
              </w:rPr>
            </w:pPr>
            <w:r>
              <w:rPr>
                <w:rFonts w:ascii="Arial" w:cs="Arial" w:eastAsia="Arial" w:hAnsi="Arial"/>
                <w:sz w:val="17"/>
                <w:szCs w:val="17"/>
                <w:color w:val="auto"/>
              </w:rPr>
              <w:t>Interest paid (capitalized), net</w:t>
            </w:r>
          </w:p>
        </w:tc>
        <w:tc>
          <w:tcPr>
            <w:tcW w:w="400" w:type="dxa"/>
            <w:vAlign w:val="bottom"/>
          </w:tcPr>
          <w:p>
            <w:pPr>
              <w:jc w:val="right"/>
              <w:ind w:right="193"/>
              <w:spacing w:after="0"/>
              <w:rPr>
                <w:sz w:val="20"/>
                <w:szCs w:val="20"/>
                <w:color w:val="auto"/>
              </w:rPr>
            </w:pPr>
            <w:r>
              <w:rPr>
                <w:rFonts w:ascii="Arial" w:cs="Arial" w:eastAsia="Arial" w:hAnsi="Arial"/>
                <w:sz w:val="17"/>
                <w:szCs w:val="17"/>
                <w:color w:val="auto"/>
              </w:rPr>
              <w:t>$</w:t>
            </w:r>
          </w:p>
        </w:tc>
        <w:tc>
          <w:tcPr>
            <w:tcW w:w="1260" w:type="dxa"/>
            <w:vAlign w:val="bottom"/>
          </w:tcPr>
          <w:p>
            <w:pPr>
              <w:jc w:val="right"/>
              <w:spacing w:after="0"/>
              <w:rPr>
                <w:sz w:val="20"/>
                <w:szCs w:val="20"/>
                <w:color w:val="auto"/>
              </w:rPr>
            </w:pPr>
            <w:r>
              <w:rPr>
                <w:rFonts w:ascii="Arial" w:cs="Arial" w:eastAsia="Arial" w:hAnsi="Arial"/>
                <w:sz w:val="17"/>
                <w:szCs w:val="17"/>
                <w:color w:val="auto"/>
              </w:rPr>
              <w:t>(3,061)</w:t>
            </w:r>
          </w:p>
        </w:tc>
        <w:tc>
          <w:tcPr>
            <w:tcW w:w="100" w:type="dxa"/>
            <w:vAlign w:val="bottom"/>
          </w:tcPr>
          <w:p>
            <w:pPr>
              <w:spacing w:after="0"/>
              <w:rPr>
                <w:sz w:val="19"/>
                <w:szCs w:val="19"/>
                <w:color w:val="auto"/>
              </w:rPr>
            </w:pPr>
          </w:p>
        </w:tc>
        <w:tc>
          <w:tcPr>
            <w:tcW w:w="400" w:type="dxa"/>
            <w:vAlign w:val="bottom"/>
          </w:tcPr>
          <w:p>
            <w:pPr>
              <w:jc w:val="right"/>
              <w:ind w:right="213"/>
              <w:spacing w:after="0"/>
              <w:rPr>
                <w:sz w:val="20"/>
                <w:szCs w:val="20"/>
                <w:color w:val="auto"/>
              </w:rPr>
            </w:pPr>
            <w:r>
              <w:rPr>
                <w:rFonts w:ascii="Arial" w:cs="Arial" w:eastAsia="Arial" w:hAnsi="Arial"/>
                <w:sz w:val="17"/>
                <w:szCs w:val="17"/>
                <w:color w:val="auto"/>
                <w:w w:val="84"/>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1,191</w:t>
            </w:r>
          </w:p>
        </w:tc>
      </w:tr>
      <w:tr>
        <w:trPr>
          <w:trHeight w:val="222"/>
        </w:trPr>
        <w:tc>
          <w:tcPr>
            <w:tcW w:w="7840" w:type="dxa"/>
            <w:vAlign w:val="bottom"/>
            <w:shd w:val="clear" w:color="auto" w:fill="CCEEFF"/>
          </w:tcPr>
          <w:p>
            <w:pPr>
              <w:ind w:left="460"/>
              <w:spacing w:after="0"/>
              <w:rPr>
                <w:sz w:val="20"/>
                <w:szCs w:val="20"/>
                <w:color w:val="auto"/>
              </w:rPr>
            </w:pPr>
            <w:r>
              <w:rPr>
                <w:rFonts w:ascii="Arial" w:cs="Arial" w:eastAsia="Arial" w:hAnsi="Arial"/>
                <w:sz w:val="17"/>
                <w:szCs w:val="17"/>
                <w:color w:val="auto"/>
              </w:rPr>
              <w:t>Income taxes paid (refunded), net</w:t>
            </w:r>
          </w:p>
        </w:tc>
        <w:tc>
          <w:tcPr>
            <w:tcW w:w="400" w:type="dxa"/>
            <w:vAlign w:val="bottom"/>
            <w:shd w:val="clear" w:color="auto" w:fill="CCEEFF"/>
          </w:tcPr>
          <w:p>
            <w:pPr>
              <w:jc w:val="right"/>
              <w:ind w:right="193"/>
              <w:spacing w:after="0"/>
              <w:rPr>
                <w:sz w:val="20"/>
                <w:szCs w:val="20"/>
                <w:color w:val="auto"/>
              </w:rPr>
            </w:pPr>
            <w:r>
              <w:rPr>
                <w:rFonts w:ascii="Arial" w:cs="Arial" w:eastAsia="Arial" w:hAnsi="Arial"/>
                <w:sz w:val="17"/>
                <w:szCs w:val="17"/>
                <w:color w:val="auto"/>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69,308</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3"/>
              <w:spacing w:after="0"/>
              <w:rPr>
                <w:sz w:val="20"/>
                <w:szCs w:val="20"/>
                <w:color w:val="auto"/>
              </w:rPr>
            </w:pPr>
            <w:r>
              <w:rPr>
                <w:rFonts w:ascii="Arial" w:cs="Arial" w:eastAsia="Arial" w:hAnsi="Arial"/>
                <w:sz w:val="17"/>
                <w:szCs w:val="17"/>
                <w:color w:val="auto"/>
                <w:w w:val="84"/>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w:t>
            </w:r>
          </w:p>
        </w:tc>
      </w:tr>
      <w:tr>
        <w:trPr>
          <w:trHeight w:val="222"/>
        </w:trPr>
        <w:tc>
          <w:tcPr>
            <w:tcW w:w="7840" w:type="dxa"/>
            <w:vAlign w:val="bottom"/>
          </w:tcPr>
          <w:p>
            <w:pPr>
              <w:ind w:left="20"/>
              <w:spacing w:after="0"/>
              <w:rPr>
                <w:sz w:val="20"/>
                <w:szCs w:val="20"/>
                <w:color w:val="auto"/>
              </w:rPr>
            </w:pPr>
            <w:r>
              <w:rPr>
                <w:rFonts w:ascii="Arial" w:cs="Arial" w:eastAsia="Arial" w:hAnsi="Arial"/>
                <w:sz w:val="17"/>
                <w:szCs w:val="17"/>
                <w:color w:val="auto"/>
              </w:rPr>
              <w:t>Supplemental disclosures of noncash activities:</w:t>
            </w:r>
          </w:p>
        </w:tc>
        <w:tc>
          <w:tcPr>
            <w:tcW w:w="4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40" w:type="dxa"/>
            <w:vAlign w:val="bottom"/>
          </w:tcPr>
          <w:p>
            <w:pPr>
              <w:spacing w:after="0"/>
              <w:rPr>
                <w:sz w:val="19"/>
                <w:szCs w:val="19"/>
                <w:color w:val="auto"/>
              </w:rPr>
            </w:pPr>
          </w:p>
        </w:tc>
      </w:tr>
      <w:tr>
        <w:trPr>
          <w:trHeight w:val="222"/>
        </w:trPr>
        <w:tc>
          <w:tcPr>
            <w:tcW w:w="7840" w:type="dxa"/>
            <w:vAlign w:val="bottom"/>
            <w:shd w:val="clear" w:color="auto" w:fill="CCEEFF"/>
          </w:tcPr>
          <w:p>
            <w:pPr>
              <w:ind w:left="460"/>
              <w:spacing w:after="0"/>
              <w:rPr>
                <w:sz w:val="20"/>
                <w:szCs w:val="20"/>
                <w:color w:val="auto"/>
              </w:rPr>
            </w:pPr>
            <w:r>
              <w:rPr>
                <w:rFonts w:ascii="Arial" w:cs="Arial" w:eastAsia="Arial" w:hAnsi="Arial"/>
                <w:sz w:val="17"/>
                <w:szCs w:val="17"/>
                <w:color w:val="auto"/>
              </w:rPr>
              <w:t>Amortization of senior note discount capitalized to real estate inventory</w:t>
            </w:r>
          </w:p>
        </w:tc>
        <w:tc>
          <w:tcPr>
            <w:tcW w:w="400" w:type="dxa"/>
            <w:vAlign w:val="bottom"/>
            <w:shd w:val="clear" w:color="auto" w:fill="CCEEFF"/>
          </w:tcPr>
          <w:p>
            <w:pPr>
              <w:jc w:val="right"/>
              <w:ind w:right="193"/>
              <w:spacing w:after="0"/>
              <w:rPr>
                <w:sz w:val="20"/>
                <w:szCs w:val="20"/>
                <w:color w:val="auto"/>
              </w:rPr>
            </w:pPr>
            <w:r>
              <w:rPr>
                <w:rFonts w:ascii="Arial" w:cs="Arial" w:eastAsia="Arial" w:hAnsi="Arial"/>
                <w:sz w:val="17"/>
                <w:szCs w:val="17"/>
                <w:color w:val="auto"/>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460</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3"/>
              <w:spacing w:after="0"/>
              <w:rPr>
                <w:sz w:val="20"/>
                <w:szCs w:val="20"/>
                <w:color w:val="auto"/>
              </w:rPr>
            </w:pPr>
            <w:r>
              <w:rPr>
                <w:rFonts w:ascii="Arial" w:cs="Arial" w:eastAsia="Arial" w:hAnsi="Arial"/>
                <w:sz w:val="17"/>
                <w:szCs w:val="17"/>
                <w:color w:val="auto"/>
                <w:w w:val="84"/>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579</w:t>
            </w:r>
          </w:p>
        </w:tc>
      </w:tr>
      <w:tr>
        <w:trPr>
          <w:trHeight w:val="222"/>
        </w:trPr>
        <w:tc>
          <w:tcPr>
            <w:tcW w:w="7840" w:type="dxa"/>
            <w:vAlign w:val="bottom"/>
          </w:tcPr>
          <w:p>
            <w:pPr>
              <w:ind w:left="460"/>
              <w:spacing w:after="0"/>
              <w:rPr>
                <w:sz w:val="20"/>
                <w:szCs w:val="20"/>
                <w:color w:val="auto"/>
              </w:rPr>
            </w:pPr>
            <w:r>
              <w:rPr>
                <w:rFonts w:ascii="Arial" w:cs="Arial" w:eastAsia="Arial" w:hAnsi="Arial"/>
                <w:sz w:val="17"/>
                <w:szCs w:val="17"/>
                <w:color w:val="auto"/>
              </w:rPr>
              <w:t>Amortization of deferred loan costs capitalized to real estate inventory</w:t>
            </w:r>
          </w:p>
        </w:tc>
        <w:tc>
          <w:tcPr>
            <w:tcW w:w="400" w:type="dxa"/>
            <w:vAlign w:val="bottom"/>
          </w:tcPr>
          <w:p>
            <w:pPr>
              <w:jc w:val="right"/>
              <w:ind w:right="193"/>
              <w:spacing w:after="0"/>
              <w:rPr>
                <w:sz w:val="20"/>
                <w:szCs w:val="20"/>
                <w:color w:val="auto"/>
              </w:rPr>
            </w:pPr>
            <w:r>
              <w:rPr>
                <w:rFonts w:ascii="Arial" w:cs="Arial" w:eastAsia="Arial" w:hAnsi="Arial"/>
                <w:sz w:val="17"/>
                <w:szCs w:val="17"/>
                <w:color w:val="auto"/>
              </w:rPr>
              <w:t>$</w:t>
            </w:r>
          </w:p>
        </w:tc>
        <w:tc>
          <w:tcPr>
            <w:tcW w:w="1260" w:type="dxa"/>
            <w:vAlign w:val="bottom"/>
          </w:tcPr>
          <w:p>
            <w:pPr>
              <w:jc w:val="right"/>
              <w:spacing w:after="0"/>
              <w:rPr>
                <w:sz w:val="20"/>
                <w:szCs w:val="20"/>
                <w:color w:val="auto"/>
              </w:rPr>
            </w:pPr>
            <w:r>
              <w:rPr>
                <w:rFonts w:ascii="Arial" w:cs="Arial" w:eastAsia="Arial" w:hAnsi="Arial"/>
                <w:sz w:val="17"/>
                <w:szCs w:val="17"/>
                <w:color w:val="auto"/>
              </w:rPr>
              <w:t>1,744</w:t>
            </w:r>
          </w:p>
        </w:tc>
        <w:tc>
          <w:tcPr>
            <w:tcW w:w="100" w:type="dxa"/>
            <w:vAlign w:val="bottom"/>
          </w:tcPr>
          <w:p>
            <w:pPr>
              <w:spacing w:after="0"/>
              <w:rPr>
                <w:sz w:val="19"/>
                <w:szCs w:val="19"/>
                <w:color w:val="auto"/>
              </w:rPr>
            </w:pPr>
          </w:p>
        </w:tc>
        <w:tc>
          <w:tcPr>
            <w:tcW w:w="400" w:type="dxa"/>
            <w:vAlign w:val="bottom"/>
          </w:tcPr>
          <w:p>
            <w:pPr>
              <w:jc w:val="right"/>
              <w:ind w:right="213"/>
              <w:spacing w:after="0"/>
              <w:rPr>
                <w:sz w:val="20"/>
                <w:szCs w:val="20"/>
                <w:color w:val="auto"/>
              </w:rPr>
            </w:pPr>
            <w:r>
              <w:rPr>
                <w:rFonts w:ascii="Arial" w:cs="Arial" w:eastAsia="Arial" w:hAnsi="Arial"/>
                <w:sz w:val="17"/>
                <w:szCs w:val="17"/>
                <w:color w:val="auto"/>
                <w:w w:val="84"/>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1,844</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- 25 -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81" w:right="339" w:bottom="1440" w:gutter="0" w:footer="0" w:header="0"/>
        </w:sectPr>
      </w:pPr>
    </w:p>
    <w:bookmarkStart w:id="26" w:name="page27"/>
    <w:bookmarkEnd w:id="26"/>
    <w:p>
      <w:pPr>
        <w:spacing w:after="0"/>
        <w:tabs>
          <w:tab w:leader="none" w:pos="680" w:val="left"/>
        </w:tabs>
        <w:rPr>
          <w:sz w:val="20"/>
          <w:szCs w:val="20"/>
          <w:color w:val="auto"/>
        </w:rPr>
      </w:pPr>
      <w:r>
        <w:rPr>
          <w:rFonts w:ascii="Arial" w:cs="Arial" w:eastAsia="Arial" w:hAnsi="Arial"/>
          <w:sz w:val="17"/>
          <w:szCs w:val="17"/>
          <w:b w:val="1"/>
          <w:bCs w:val="1"/>
          <w:color w:val="auto"/>
        </w:rPr>
        <w:t>Item 2.</w:t>
      </w:r>
      <w:r>
        <w:rPr>
          <w:sz w:val="20"/>
          <w:szCs w:val="20"/>
          <w:color w:val="auto"/>
        </w:rPr>
        <w:tab/>
      </w:r>
      <w:r>
        <w:rPr>
          <w:rFonts w:ascii="Arial" w:cs="Arial" w:eastAsia="Arial" w:hAnsi="Arial"/>
          <w:sz w:val="15"/>
          <w:szCs w:val="15"/>
          <w:b w:val="1"/>
          <w:bCs w:val="1"/>
          <w:color w:val="auto"/>
        </w:rPr>
        <w:t>Management’s Discussion and Analysis of Financial Condition and Results of Operations</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CAUTIONARY NOTE CONCERNING FORWARD-LOOKING STATEMENTS</w:t>
      </w:r>
    </w:p>
    <w:p>
      <w:pPr>
        <w:spacing w:after="0" w:line="229" w:lineRule="exact"/>
        <w:rPr>
          <w:sz w:val="20"/>
          <w:szCs w:val="20"/>
          <w:color w:val="auto"/>
        </w:rPr>
      </w:pPr>
    </w:p>
    <w:p>
      <w:pPr>
        <w:ind w:right="480" w:firstLine="470"/>
        <w:spacing w:after="0" w:line="264" w:lineRule="auto"/>
        <w:rPr>
          <w:sz w:val="20"/>
          <w:szCs w:val="20"/>
          <w:color w:val="auto"/>
        </w:rPr>
      </w:pPr>
      <w:r>
        <w:rPr>
          <w:rFonts w:ascii="Arial" w:cs="Arial" w:eastAsia="Arial" w:hAnsi="Arial"/>
          <w:sz w:val="17"/>
          <w:szCs w:val="17"/>
          <w:color w:val="auto"/>
        </w:rPr>
        <w:t>This Quarterly Report on Form 10-Q contains “forward-looking” statements within the meaning of Section 27A of the Securities Act of 1933, as amended, and Section 21E of the Securities Exchange Act of 1934, as amended (the “Exchange Act”). These forward-looking statements are based on our current intentions, beliefs, expectations and predictions for the future, and you should not place undue reliance on these statements. These statements use forward-looking terminology, are based on various assumptions made by us, and may not be accurate because of risks and uncertainties surrounding the assumptions that are made.</w:t>
      </w:r>
    </w:p>
    <w:p>
      <w:pPr>
        <w:spacing w:after="0" w:line="179" w:lineRule="exact"/>
        <w:rPr>
          <w:sz w:val="20"/>
          <w:szCs w:val="20"/>
          <w:color w:val="auto"/>
        </w:rPr>
      </w:pPr>
    </w:p>
    <w:p>
      <w:pPr>
        <w:ind w:right="160" w:firstLine="470"/>
        <w:spacing w:after="0" w:line="267" w:lineRule="auto"/>
        <w:rPr>
          <w:sz w:val="20"/>
          <w:szCs w:val="20"/>
          <w:color w:val="auto"/>
        </w:rPr>
      </w:pPr>
      <w:r>
        <w:rPr>
          <w:rFonts w:ascii="Arial" w:cs="Arial" w:eastAsia="Arial" w:hAnsi="Arial"/>
          <w:sz w:val="17"/>
          <w:szCs w:val="17"/>
          <w:color w:val="auto"/>
        </w:rPr>
        <w:t>Factors listed in this section—as well as other factors not included—may cause actual results to differ significantly from the forward-looking statements included in this Quarterly Report on Form 10-Q. There is no guarantee that any of the events anticipated by the forward-looking statements in this Quarterly Report on Form 10-Q will occur, or if any of the events occurs, there is no guarantee what effect it will have on our operations, financial condition, or share price.</w:t>
      </w:r>
    </w:p>
    <w:p>
      <w:pPr>
        <w:spacing w:after="0" w:line="176" w:lineRule="exact"/>
        <w:rPr>
          <w:sz w:val="20"/>
          <w:szCs w:val="20"/>
          <w:color w:val="auto"/>
        </w:rPr>
      </w:pPr>
    </w:p>
    <w:p>
      <w:pPr>
        <w:ind w:right="60" w:firstLine="470"/>
        <w:spacing w:after="0" w:line="267" w:lineRule="auto"/>
        <w:rPr>
          <w:sz w:val="20"/>
          <w:szCs w:val="20"/>
          <w:color w:val="auto"/>
        </w:rPr>
      </w:pPr>
      <w:r>
        <w:rPr>
          <w:rFonts w:ascii="Arial" w:cs="Arial" w:eastAsia="Arial" w:hAnsi="Arial"/>
          <w:sz w:val="17"/>
          <w:szCs w:val="17"/>
          <w:color w:val="auto"/>
        </w:rPr>
        <w:t>We undertake no, and hereby disclaim any, obligation to update or revise any forward-looking statements, unless required by law. However, we reserve the right to make such updates or revisions from time to time by press release, periodic report, or other method of public disclosure without the need for specific reference to this Quarterly Report on Form 10-Q. No such update or revision shall be deemed to indicate that other statements not addressed by such update or revision remain correct or create an obligation to provide any other updates or revisions.</w:t>
      </w:r>
    </w:p>
    <w:p>
      <w:pPr>
        <w:spacing w:after="0" w:line="2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Forward-Looking Statements</w:t>
      </w:r>
    </w:p>
    <w:p>
      <w:pPr>
        <w:spacing w:after="0" w:line="124" w:lineRule="exact"/>
        <w:rPr>
          <w:sz w:val="20"/>
          <w:szCs w:val="20"/>
          <w:color w:val="auto"/>
        </w:rPr>
      </w:pPr>
    </w:p>
    <w:p>
      <w:pPr>
        <w:ind w:firstLine="470"/>
        <w:spacing w:after="0" w:line="263" w:lineRule="auto"/>
        <w:rPr>
          <w:sz w:val="20"/>
          <w:szCs w:val="20"/>
          <w:color w:val="auto"/>
        </w:rPr>
      </w:pPr>
      <w:r>
        <w:rPr>
          <w:rFonts w:ascii="Arial" w:cs="Arial" w:eastAsia="Arial" w:hAnsi="Arial"/>
          <w:sz w:val="17"/>
          <w:szCs w:val="17"/>
          <w:color w:val="auto"/>
        </w:rPr>
        <w:t>Forward-looking statements that are included in this Quarterly Report on Form 10-Q are generally accompanied by words such as “anticipate,” “believe,” “could,” “estimate,” “expect,” “future,” “goal,” “intend,” “likely,” “may,” “might,” “plan,” “potential,” “predict,” “project,” “should,” “target,” “will,” “would,” or other words that convey the uncertainty of future events or outcomes. These forward-looking statements may include, but are not limited to, statements regarding our strategy, projections and estimates concerning the timing and success of specific projects and our future production, land and lot sales, the outcome of legal proceedings, the anticipated impact of natural disasters or contagious diseases on our operations, operational and financial results, including our estimates for growth, financial condition, sales prices, prospects and capital spending.</w:t>
      </w:r>
    </w:p>
    <w:p>
      <w:pPr>
        <w:spacing w:after="0" w:line="27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Uncertainties and Assumptions</w:t>
      </w:r>
    </w:p>
    <w:p>
      <w:pPr>
        <w:spacing w:after="0" w:line="124" w:lineRule="exact"/>
        <w:rPr>
          <w:sz w:val="20"/>
          <w:szCs w:val="20"/>
          <w:color w:val="auto"/>
        </w:rPr>
      </w:pPr>
    </w:p>
    <w:p>
      <w:pPr>
        <w:ind w:right="280" w:firstLine="470"/>
        <w:spacing w:after="0" w:line="288" w:lineRule="auto"/>
        <w:rPr>
          <w:sz w:val="20"/>
          <w:szCs w:val="20"/>
          <w:color w:val="auto"/>
        </w:rPr>
      </w:pPr>
      <w:r>
        <w:rPr>
          <w:rFonts w:ascii="Arial" w:cs="Arial" w:eastAsia="Arial" w:hAnsi="Arial"/>
          <w:sz w:val="17"/>
          <w:szCs w:val="17"/>
          <w:color w:val="auto"/>
        </w:rPr>
        <w:t>The major risks and uncertainties—and assumptions that are made—that affect our business and may cause actual results to differ from these forward-looking statements include, but are not limited to:</w:t>
      </w:r>
    </w:p>
    <w:p>
      <w:pPr>
        <w:spacing w:after="0" w:line="54" w:lineRule="exact"/>
        <w:rPr>
          <w:sz w:val="20"/>
          <w:szCs w:val="20"/>
          <w:color w:val="auto"/>
        </w:rPr>
      </w:pPr>
    </w:p>
    <w:p>
      <w:pPr>
        <w:ind w:left="940" w:right="60" w:hanging="308"/>
        <w:spacing w:after="0" w:line="259" w:lineRule="auto"/>
        <w:tabs>
          <w:tab w:leader="none" w:pos="936"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effects of the ongoing novel coronavirus (“COVID-19”) pandemic, which are highly uncertain and subject to rapid change, cannot be predicted and will depend upon future developments, including the emergence and spread of new strains or variants of COVID-19, the severity and duration of the outbreak, the duration of existing and future social distancing and shelter-in-place orders, further mitigation strategies taken by applicable government authorities, the availability and efficacy of vaccines, adequate testing and treatments and the prevalence of widespread immunity to COVID-19;</w:t>
      </w:r>
    </w:p>
    <w:p>
      <w:pPr>
        <w:spacing w:after="0" w:line="2" w:lineRule="exact"/>
        <w:rPr>
          <w:rFonts w:ascii="Arial" w:cs="Arial" w:eastAsia="Arial" w:hAnsi="Arial"/>
          <w:sz w:val="17"/>
          <w:szCs w:val="17"/>
          <w:color w:val="auto"/>
        </w:rPr>
      </w:pPr>
    </w:p>
    <w:p>
      <w:pPr>
        <w:ind w:left="940" w:right="480" w:hanging="308"/>
        <w:spacing w:after="0" w:line="256" w:lineRule="auto"/>
        <w:tabs>
          <w:tab w:leader="none" w:pos="936"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effects of general economic conditions, including employment rates, housing starts, interest rate levels, availability of financing for home mortgages and strength of the U.S. dollar;</w:t>
      </w:r>
    </w:p>
    <w:p>
      <w:pPr>
        <w:spacing w:after="0" w:line="1" w:lineRule="exact"/>
        <w:rPr>
          <w:rFonts w:ascii="Arial" w:cs="Arial" w:eastAsia="Arial" w:hAnsi="Arial"/>
          <w:sz w:val="17"/>
          <w:szCs w:val="17"/>
          <w:color w:val="auto"/>
        </w:rPr>
      </w:pPr>
    </w:p>
    <w:p>
      <w:pPr>
        <w:ind w:left="940" w:right="560" w:hanging="308"/>
        <w:spacing w:after="0" w:line="256" w:lineRule="auto"/>
        <w:tabs>
          <w:tab w:leader="none" w:pos="936" w:val="left"/>
        </w:tabs>
        <w:numPr>
          <w:ilvl w:val="0"/>
          <w:numId w:val="12"/>
        </w:numPr>
        <w:rPr>
          <w:rFonts w:ascii="Arial" w:cs="Arial" w:eastAsia="Arial" w:hAnsi="Arial"/>
          <w:sz w:val="17"/>
          <w:szCs w:val="17"/>
          <w:color w:val="auto"/>
        </w:rPr>
      </w:pPr>
      <w:r>
        <w:rPr>
          <w:rFonts w:ascii="Arial" w:cs="Arial" w:eastAsia="Arial" w:hAnsi="Arial"/>
          <w:sz w:val="17"/>
          <w:szCs w:val="17"/>
          <w:color w:val="auto"/>
        </w:rPr>
        <w:t>market demand for our products, which is related to the strength of the various U.S. business segments and U.S. and international economic conditions;</w:t>
      </w:r>
    </w:p>
    <w:p>
      <w:pPr>
        <w:spacing w:after="0" w:line="1" w:lineRule="exact"/>
        <w:rPr>
          <w:rFonts w:ascii="Arial" w:cs="Arial" w:eastAsia="Arial" w:hAnsi="Arial"/>
          <w:sz w:val="17"/>
          <w:szCs w:val="17"/>
          <w:color w:val="auto"/>
        </w:rPr>
      </w:pPr>
    </w:p>
    <w:p>
      <w:pPr>
        <w:ind w:left="940" w:hanging="308"/>
        <w:spacing w:after="0"/>
        <w:tabs>
          <w:tab w:leader="none" w:pos="9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availability of desirable and reasonably priced land and our ability to control, purchase, hold and develop such parcels;</w:t>
      </w:r>
    </w:p>
    <w:p>
      <w:pPr>
        <w:spacing w:after="0" w:line="13" w:lineRule="exact"/>
        <w:rPr>
          <w:rFonts w:ascii="Arial" w:cs="Arial" w:eastAsia="Arial" w:hAnsi="Arial"/>
          <w:sz w:val="17"/>
          <w:szCs w:val="17"/>
          <w:color w:val="auto"/>
        </w:rPr>
      </w:pPr>
    </w:p>
    <w:p>
      <w:pPr>
        <w:ind w:left="940" w:hanging="308"/>
        <w:spacing w:after="0"/>
        <w:tabs>
          <w:tab w:leader="none" w:pos="9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access to adequate capital on acceptable terms;</w:t>
      </w:r>
    </w:p>
    <w:p>
      <w:pPr>
        <w:spacing w:after="0" w:line="13" w:lineRule="exact"/>
        <w:rPr>
          <w:rFonts w:ascii="Arial" w:cs="Arial" w:eastAsia="Arial" w:hAnsi="Arial"/>
          <w:sz w:val="17"/>
          <w:szCs w:val="17"/>
          <w:color w:val="auto"/>
        </w:rPr>
      </w:pPr>
    </w:p>
    <w:p>
      <w:pPr>
        <w:ind w:left="940" w:hanging="308"/>
        <w:spacing w:after="0"/>
        <w:tabs>
          <w:tab w:leader="none" w:pos="9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geographic concentration of our operations, particularly within California;</w:t>
      </w:r>
    </w:p>
    <w:p>
      <w:pPr>
        <w:spacing w:after="0" w:line="13" w:lineRule="exact"/>
        <w:rPr>
          <w:rFonts w:ascii="Arial" w:cs="Arial" w:eastAsia="Arial" w:hAnsi="Arial"/>
          <w:sz w:val="17"/>
          <w:szCs w:val="17"/>
          <w:color w:val="auto"/>
        </w:rPr>
      </w:pPr>
    </w:p>
    <w:p>
      <w:pPr>
        <w:ind w:left="940" w:hanging="308"/>
        <w:spacing w:after="0"/>
        <w:tabs>
          <w:tab w:leader="none" w:pos="9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levels of competition;</w:t>
      </w:r>
    </w:p>
    <w:p>
      <w:pPr>
        <w:spacing w:after="0" w:line="13" w:lineRule="exact"/>
        <w:rPr>
          <w:rFonts w:ascii="Arial" w:cs="Arial" w:eastAsia="Arial" w:hAnsi="Arial"/>
          <w:sz w:val="17"/>
          <w:szCs w:val="17"/>
          <w:color w:val="auto"/>
        </w:rPr>
      </w:pPr>
    </w:p>
    <w:p>
      <w:pPr>
        <w:ind w:left="940" w:hanging="308"/>
        <w:spacing w:after="0"/>
        <w:tabs>
          <w:tab w:leader="none" w:pos="9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successful execution of our internal performance plans, including restructuring and cost reduction initiatives;</w:t>
      </w:r>
    </w:p>
    <w:p>
      <w:pPr>
        <w:spacing w:after="0" w:line="13" w:lineRule="exact"/>
        <w:rPr>
          <w:rFonts w:ascii="Arial" w:cs="Arial" w:eastAsia="Arial" w:hAnsi="Arial"/>
          <w:sz w:val="17"/>
          <w:szCs w:val="17"/>
          <w:color w:val="auto"/>
        </w:rPr>
      </w:pPr>
    </w:p>
    <w:p>
      <w:pPr>
        <w:ind w:left="940" w:hanging="308"/>
        <w:spacing w:after="0"/>
        <w:tabs>
          <w:tab w:leader="none" w:pos="9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raw material and labor prices and availability;</w:t>
      </w:r>
    </w:p>
    <w:p>
      <w:pPr>
        <w:spacing w:after="0" w:line="13" w:lineRule="exact"/>
        <w:rPr>
          <w:rFonts w:ascii="Arial" w:cs="Arial" w:eastAsia="Arial" w:hAnsi="Arial"/>
          <w:sz w:val="17"/>
          <w:szCs w:val="17"/>
          <w:color w:val="auto"/>
        </w:rPr>
      </w:pPr>
    </w:p>
    <w:p>
      <w:pPr>
        <w:ind w:left="940" w:hanging="308"/>
        <w:spacing w:after="0"/>
        <w:tabs>
          <w:tab w:leader="none" w:pos="9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oil and other energy prices;</w:t>
      </w:r>
    </w:p>
    <w:p>
      <w:pPr>
        <w:spacing w:after="0" w:line="13" w:lineRule="exact"/>
        <w:rPr>
          <w:rFonts w:ascii="Arial" w:cs="Arial" w:eastAsia="Arial" w:hAnsi="Arial"/>
          <w:sz w:val="17"/>
          <w:szCs w:val="17"/>
          <w:color w:val="auto"/>
        </w:rPr>
      </w:pPr>
    </w:p>
    <w:p>
      <w:pPr>
        <w:ind w:left="940" w:right="220" w:hanging="308"/>
        <w:spacing w:after="0" w:line="256" w:lineRule="auto"/>
        <w:tabs>
          <w:tab w:leader="none" w:pos="936"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effects of U.S. trade policies, including the imposition of tariffs and duties on homebuilding products and retaliatory measures taken by other countries;</w:t>
      </w:r>
    </w:p>
    <w:p>
      <w:pPr>
        <w:spacing w:after="0" w:line="1" w:lineRule="exact"/>
        <w:rPr>
          <w:rFonts w:ascii="Arial" w:cs="Arial" w:eastAsia="Arial" w:hAnsi="Arial"/>
          <w:sz w:val="17"/>
          <w:szCs w:val="17"/>
          <w:color w:val="auto"/>
        </w:rPr>
      </w:pPr>
    </w:p>
    <w:p>
      <w:pPr>
        <w:ind w:left="940" w:hanging="308"/>
        <w:spacing w:after="0"/>
        <w:tabs>
          <w:tab w:leader="none" w:pos="9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effects of weather, including the occurrence of drought conditions in California;</w:t>
      </w:r>
    </w:p>
    <w:p>
      <w:pPr>
        <w:spacing w:after="0" w:line="200" w:lineRule="exact"/>
        <w:rPr>
          <w:rFonts w:ascii="Arial" w:cs="Arial" w:eastAsia="Arial" w:hAnsi="Arial"/>
          <w:sz w:val="17"/>
          <w:szCs w:val="17"/>
          <w:color w:val="auto"/>
        </w:rPr>
      </w:pPr>
    </w:p>
    <w:p>
      <w:pPr>
        <w:spacing w:after="0" w:line="337" w:lineRule="exact"/>
        <w:rPr>
          <w:rFonts w:ascii="Arial" w:cs="Arial" w:eastAsia="Arial" w:hAnsi="Arial"/>
          <w:sz w:val="17"/>
          <w:szCs w:val="17"/>
          <w:color w:val="auto"/>
        </w:rPr>
      </w:pPr>
    </w:p>
    <w:p>
      <w:pPr>
        <w:ind w:left="5540" w:hanging="105"/>
        <w:spacing w:after="0"/>
        <w:tabs>
          <w:tab w:leader="none" w:pos="5540" w:val="left"/>
        </w:tabs>
        <w:numPr>
          <w:ilvl w:val="1"/>
          <w:numId w:val="12"/>
        </w:numPr>
        <w:rPr>
          <w:rFonts w:ascii="Arial" w:cs="Arial" w:eastAsia="Arial" w:hAnsi="Arial"/>
          <w:sz w:val="17"/>
          <w:szCs w:val="17"/>
          <w:color w:val="auto"/>
        </w:rPr>
      </w:pPr>
      <w:r>
        <w:rPr>
          <w:rFonts w:ascii="Arial" w:cs="Arial" w:eastAsia="Arial" w:hAnsi="Arial"/>
          <w:sz w:val="17"/>
          <w:szCs w:val="17"/>
          <w:color w:val="auto"/>
        </w:rPr>
        <w:t>26 -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27" w:name="page28"/>
    <w:bookmarkEnd w:id="27"/>
    <w:p>
      <w:pPr>
        <w:ind w:left="940" w:right="240" w:hanging="308"/>
        <w:spacing w:after="0" w:line="280" w:lineRule="auto"/>
        <w:tabs>
          <w:tab w:leader="none" w:pos="936"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risk of loss from earthquakes, volcanoes, fires, floods, droughts, windstorms, hurricanes, pest infestations and other natural disasters, and the risk of delays, reduced consumer demand, and shortages and price increases in labor or materials associated with such natural disasters;</w:t>
      </w:r>
    </w:p>
    <w:p>
      <w:pPr>
        <w:spacing w:after="0" w:line="1" w:lineRule="exact"/>
        <w:rPr>
          <w:rFonts w:ascii="Arial" w:cs="Arial" w:eastAsia="Arial" w:hAnsi="Arial"/>
          <w:sz w:val="16"/>
          <w:szCs w:val="16"/>
          <w:color w:val="auto"/>
        </w:rPr>
      </w:pPr>
    </w:p>
    <w:p>
      <w:pPr>
        <w:ind w:left="940" w:hanging="308"/>
        <w:spacing w:after="0"/>
        <w:tabs>
          <w:tab w:leader="none" w:pos="9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risk of loss from acts of war, terrorism, civil unrest or outbreaks of contagious diseases, such as COVID-19;</w:t>
      </w:r>
    </w:p>
    <w:p>
      <w:pPr>
        <w:spacing w:after="0" w:line="13" w:lineRule="exact"/>
        <w:rPr>
          <w:rFonts w:ascii="Arial" w:cs="Arial" w:eastAsia="Arial" w:hAnsi="Arial"/>
          <w:sz w:val="17"/>
          <w:szCs w:val="17"/>
          <w:color w:val="auto"/>
        </w:rPr>
      </w:pPr>
    </w:p>
    <w:p>
      <w:pPr>
        <w:ind w:left="940" w:hanging="308"/>
        <w:spacing w:after="0"/>
        <w:tabs>
          <w:tab w:leader="none" w:pos="9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transportation costs;</w:t>
      </w:r>
    </w:p>
    <w:p>
      <w:pPr>
        <w:spacing w:after="0" w:line="13" w:lineRule="exact"/>
        <w:rPr>
          <w:rFonts w:ascii="Arial" w:cs="Arial" w:eastAsia="Arial" w:hAnsi="Arial"/>
          <w:sz w:val="17"/>
          <w:szCs w:val="17"/>
          <w:color w:val="auto"/>
        </w:rPr>
      </w:pPr>
    </w:p>
    <w:p>
      <w:pPr>
        <w:ind w:left="940" w:hanging="308"/>
        <w:spacing w:after="0"/>
        <w:tabs>
          <w:tab w:leader="none" w:pos="9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federal and state tax policies;</w:t>
      </w:r>
    </w:p>
    <w:p>
      <w:pPr>
        <w:spacing w:after="0" w:line="13" w:lineRule="exact"/>
        <w:rPr>
          <w:rFonts w:ascii="Arial" w:cs="Arial" w:eastAsia="Arial" w:hAnsi="Arial"/>
          <w:sz w:val="17"/>
          <w:szCs w:val="17"/>
          <w:color w:val="auto"/>
        </w:rPr>
      </w:pPr>
    </w:p>
    <w:p>
      <w:pPr>
        <w:ind w:left="940" w:hanging="308"/>
        <w:spacing w:after="0"/>
        <w:tabs>
          <w:tab w:leader="none" w:pos="9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effects of land use, environment and other governmental laws and regulations;</w:t>
      </w:r>
    </w:p>
    <w:p>
      <w:pPr>
        <w:spacing w:after="0" w:line="13" w:lineRule="exact"/>
        <w:rPr>
          <w:rFonts w:ascii="Arial" w:cs="Arial" w:eastAsia="Arial" w:hAnsi="Arial"/>
          <w:sz w:val="17"/>
          <w:szCs w:val="17"/>
          <w:color w:val="auto"/>
        </w:rPr>
      </w:pPr>
    </w:p>
    <w:p>
      <w:pPr>
        <w:ind w:left="940" w:hanging="308"/>
        <w:spacing w:after="0"/>
        <w:tabs>
          <w:tab w:leader="none" w:pos="9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legal proceedings or disputes and the adequacy of reserves;</w:t>
      </w:r>
    </w:p>
    <w:p>
      <w:pPr>
        <w:spacing w:after="0" w:line="13" w:lineRule="exact"/>
        <w:rPr>
          <w:rFonts w:ascii="Arial" w:cs="Arial" w:eastAsia="Arial" w:hAnsi="Arial"/>
          <w:sz w:val="17"/>
          <w:szCs w:val="17"/>
          <w:color w:val="auto"/>
        </w:rPr>
      </w:pPr>
    </w:p>
    <w:p>
      <w:pPr>
        <w:ind w:left="940" w:right="900" w:hanging="308"/>
        <w:spacing w:after="0" w:line="256" w:lineRule="auto"/>
        <w:tabs>
          <w:tab w:leader="none" w:pos="936" w:val="left"/>
        </w:tabs>
        <w:numPr>
          <w:ilvl w:val="0"/>
          <w:numId w:val="13"/>
        </w:numPr>
        <w:rPr>
          <w:rFonts w:ascii="Arial" w:cs="Arial" w:eastAsia="Arial" w:hAnsi="Arial"/>
          <w:sz w:val="17"/>
          <w:szCs w:val="17"/>
          <w:color w:val="auto"/>
        </w:rPr>
      </w:pPr>
      <w:r>
        <w:rPr>
          <w:rFonts w:ascii="Arial" w:cs="Arial" w:eastAsia="Arial" w:hAnsi="Arial"/>
          <w:sz w:val="17"/>
          <w:szCs w:val="17"/>
          <w:color w:val="auto"/>
        </w:rPr>
        <w:t>risks relating to any unforeseen changes to or effects on liabilities, future capital expenditures, revenues, expenses, earnings, synergies, indebtedness, financial condition, losses and future prospects;</w:t>
      </w:r>
    </w:p>
    <w:p>
      <w:pPr>
        <w:spacing w:after="0" w:line="1" w:lineRule="exact"/>
        <w:rPr>
          <w:rFonts w:ascii="Arial" w:cs="Arial" w:eastAsia="Arial" w:hAnsi="Arial"/>
          <w:sz w:val="17"/>
          <w:szCs w:val="17"/>
          <w:color w:val="auto"/>
        </w:rPr>
      </w:pPr>
    </w:p>
    <w:p>
      <w:pPr>
        <w:ind w:left="940" w:hanging="308"/>
        <w:spacing w:after="0"/>
        <w:tabs>
          <w:tab w:leader="none" w:pos="9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changes in accounting principles;</w:t>
      </w:r>
    </w:p>
    <w:p>
      <w:pPr>
        <w:spacing w:after="0" w:line="13" w:lineRule="exact"/>
        <w:rPr>
          <w:rFonts w:ascii="Arial" w:cs="Arial" w:eastAsia="Arial" w:hAnsi="Arial"/>
          <w:sz w:val="17"/>
          <w:szCs w:val="17"/>
          <w:color w:val="auto"/>
        </w:rPr>
      </w:pPr>
    </w:p>
    <w:p>
      <w:pPr>
        <w:ind w:left="940" w:hanging="308"/>
        <w:spacing w:after="0"/>
        <w:tabs>
          <w:tab w:leader="none" w:pos="940" w:val="left"/>
        </w:tabs>
        <w:numPr>
          <w:ilvl w:val="0"/>
          <w:numId w:val="13"/>
        </w:numPr>
        <w:rPr>
          <w:rFonts w:ascii="Arial" w:cs="Arial" w:eastAsia="Arial" w:hAnsi="Arial"/>
          <w:sz w:val="15"/>
          <w:szCs w:val="15"/>
          <w:color w:val="auto"/>
        </w:rPr>
      </w:pPr>
      <w:r>
        <w:rPr>
          <w:rFonts w:ascii="Arial" w:cs="Arial" w:eastAsia="Arial" w:hAnsi="Arial"/>
          <w:sz w:val="15"/>
          <w:szCs w:val="15"/>
          <w:color w:val="auto"/>
        </w:rPr>
        <w:t>risks related to unauthorized access to our computer systems, theft of our homebuyers’ confidential information or other forms of cyber-attack; and</w:t>
      </w:r>
    </w:p>
    <w:p>
      <w:pPr>
        <w:spacing w:after="0" w:line="36" w:lineRule="exact"/>
        <w:rPr>
          <w:rFonts w:ascii="Arial" w:cs="Arial" w:eastAsia="Arial" w:hAnsi="Arial"/>
          <w:sz w:val="15"/>
          <w:szCs w:val="15"/>
          <w:color w:val="auto"/>
        </w:rPr>
      </w:pPr>
    </w:p>
    <w:p>
      <w:pPr>
        <w:ind w:left="940" w:right="160" w:hanging="308"/>
        <w:spacing w:after="0" w:line="273" w:lineRule="auto"/>
        <w:tabs>
          <w:tab w:leader="none" w:pos="936" w:val="left"/>
        </w:tabs>
        <w:numPr>
          <w:ilvl w:val="0"/>
          <w:numId w:val="13"/>
        </w:numPr>
        <w:rPr>
          <w:rFonts w:ascii="Arial" w:cs="Arial" w:eastAsia="Arial" w:hAnsi="Arial"/>
          <w:sz w:val="17"/>
          <w:szCs w:val="17"/>
          <w:color w:val="auto"/>
        </w:rPr>
      </w:pPr>
      <w:r>
        <w:rPr>
          <w:rFonts w:ascii="Arial" w:cs="Arial" w:eastAsia="Arial" w:hAnsi="Arial"/>
          <w:sz w:val="17"/>
          <w:szCs w:val="17"/>
          <w:color w:val="auto"/>
        </w:rPr>
        <w:t>other factors described in “Risk Factors” included in our Annual Report on Form 10-K for the year ended December 31, 2020 and in other filings we make with the Securities and Exchange Commission (“SEC”).</w:t>
      </w:r>
    </w:p>
    <w:p>
      <w:pPr>
        <w:spacing w:after="0" w:line="170" w:lineRule="exact"/>
        <w:rPr>
          <w:sz w:val="20"/>
          <w:szCs w:val="20"/>
          <w:color w:val="auto"/>
        </w:rPr>
      </w:pPr>
    </w:p>
    <w:p>
      <w:pPr>
        <w:ind w:firstLine="470"/>
        <w:spacing w:after="0" w:line="261" w:lineRule="auto"/>
        <w:rPr>
          <w:sz w:val="20"/>
          <w:szCs w:val="20"/>
          <w:color w:val="auto"/>
        </w:rPr>
      </w:pPr>
      <w:r>
        <w:rPr>
          <w:rFonts w:ascii="Arial" w:cs="Arial" w:eastAsia="Arial" w:hAnsi="Arial"/>
          <w:sz w:val="17"/>
          <w:szCs w:val="17"/>
          <w:color w:val="auto"/>
        </w:rPr>
        <w:t>The following discussion and analysis should be read in conjunction with our consolidated financial statements and related condensed notes thereto contained elsewhere in this Quarterly Report on Form 10-Q. The information contained in this Quarterly Report on Form 10-Q is not a complete description of our business or the risks associated with an investment in our securities. We urge investors to review and consider carefully the various disclosures made by us in this report and in our other reports filed with the SEC, including our Annual Report on Form 10-K for the year ended December 31, 2020 and subsequent reports on Form 8-K, which discuss our business in greater detail. The section entitled “Risk Factors” set forth in Item 1A of our Annual Report on Form 10-K, and similar disclosures in our other SEC filings, discuss some of the important risk factors that may affect our business, results of operations and financial condition. Investors should carefully consider those risks, in addition to the information in this report and in our other filings with the SEC, before deciding to invest in, or maintain an investment in, our common stock.</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Overview and Outlook</w:t>
      </w:r>
    </w:p>
    <w:p>
      <w:pPr>
        <w:spacing w:after="0" w:line="124" w:lineRule="exact"/>
        <w:rPr>
          <w:sz w:val="20"/>
          <w:szCs w:val="20"/>
          <w:color w:val="auto"/>
        </w:rPr>
      </w:pPr>
    </w:p>
    <w:p>
      <w:pPr>
        <w:ind w:right="20" w:firstLine="470"/>
        <w:spacing w:after="0" w:line="278" w:lineRule="auto"/>
        <w:rPr>
          <w:sz w:val="20"/>
          <w:szCs w:val="20"/>
          <w:color w:val="auto"/>
        </w:rPr>
      </w:pPr>
      <w:r>
        <w:rPr>
          <w:rFonts w:ascii="Arial" w:cs="Arial" w:eastAsia="Arial" w:hAnsi="Arial"/>
          <w:sz w:val="16"/>
          <w:szCs w:val="16"/>
          <w:color w:val="auto"/>
        </w:rPr>
        <w:t>We are encouraged by the current backdrop of the housing market in the U.S., which remains very strong notwithstanding continuing challenges posed by the COVID-19 pandemic. The combination of historically low mortgage interest rates and historically low new home supply levels appear to be substantial factors driving higher demand within our industry. We believe the new home supply shortage is a significant factor that should serve as a buttress for the homebuilding industry both in the short and longer term. Interest rates, however, remain subject to volatility that may result from action taken by the Federal Reserve. Further, recent data have suggested that inflationary pressures may be more durable than anticipated, which could result in interest rate increases and/or the tapering of quantitative easing policies enacted towards the outset of the COVID-19 pandemic sooner than expected several months ago. While we continue to monitor a variety of economic indicators, including employment levels and inflation levels, as well as their impact on mortgage interest rates, we believe the intensified demand for new homes resulting from the emergence of millennial buyers, along with a pandemic-induced shift in sentiment regarding the role of a home, will continue to drive demand for homes sales.</w:t>
      </w:r>
    </w:p>
    <w:p>
      <w:pPr>
        <w:spacing w:after="0" w:line="173" w:lineRule="exact"/>
        <w:rPr>
          <w:sz w:val="20"/>
          <w:szCs w:val="20"/>
          <w:color w:val="auto"/>
        </w:rPr>
      </w:pPr>
    </w:p>
    <w:p>
      <w:pPr>
        <w:ind w:right="40" w:firstLine="470"/>
        <w:spacing w:after="0" w:line="304" w:lineRule="auto"/>
        <w:rPr>
          <w:sz w:val="20"/>
          <w:szCs w:val="20"/>
          <w:color w:val="auto"/>
        </w:rPr>
      </w:pPr>
      <w:r>
        <w:rPr>
          <w:rFonts w:ascii="Arial" w:cs="Arial" w:eastAsia="Arial" w:hAnsi="Arial"/>
          <w:sz w:val="15"/>
          <w:szCs w:val="15"/>
          <w:color w:val="auto"/>
        </w:rPr>
        <w:t>Near-record-low housing supply levels have both contributed to the unprecedented demand environment that we have experienced over the last several quarters and allowed us to raise prices to largely offset inflationary cost pressures. Although we do not believe that affordability has reached a ceiling at this stage in the housing cycle, current levels of pricing power may exceed sustainable longer-term levels. Further, we continue to contend with cost volatility due to, among other things, supply chain disruptions and overall high demand for materials that include our primary input costs. Moreover, supply chain disruptions, along with labor availability issues and municipality delays, continue to adversely impact cycle times in all of our markets. Due to the broad-based nature of such supply chain disruptions across the global economy, we expect that inefficiencies and delays within our supply chain may persist during the near term.</w:t>
      </w:r>
    </w:p>
    <w:p>
      <w:pPr>
        <w:spacing w:after="0" w:line="153" w:lineRule="exact"/>
        <w:rPr>
          <w:sz w:val="20"/>
          <w:szCs w:val="20"/>
          <w:color w:val="auto"/>
        </w:rPr>
      </w:pPr>
    </w:p>
    <w:p>
      <w:pPr>
        <w:ind w:right="160" w:firstLine="470"/>
        <w:spacing w:after="0" w:line="280" w:lineRule="auto"/>
        <w:rPr>
          <w:sz w:val="20"/>
          <w:szCs w:val="20"/>
          <w:color w:val="auto"/>
        </w:rPr>
      </w:pPr>
      <w:r>
        <w:rPr>
          <w:rFonts w:ascii="Arial" w:cs="Arial" w:eastAsia="Arial" w:hAnsi="Arial"/>
          <w:sz w:val="16"/>
          <w:szCs w:val="16"/>
          <w:color w:val="auto"/>
        </w:rPr>
        <w:t>Highlights of the quarter include an increase in homebuilding gross margin percentage to 24.6% and a reduction in selling, general and administrative expense as a percentage of home sales revenue to 9.6%. Our monthly absorption rate for the quarter was 4.7. These factors, along with an increase in average sales price of homes delivered to $653,000, allowed us to achieve net income of $117.9 million. While housing demand remains strong and our homebuilding gross margin percentage increased in the second quarter compared to the prior-year period, increased material costs could negatively impact our future homebuilding gross margins. As of June 30, 2021, our backlog units and dollar value of backlog have increased to 3,902 and $2.5 billion, respectively, up 53% and 50%, respectively, compared to the prior-year period. In addition, we ended the second quarter with total liquidity of $1.2 billion, including cash and cash equivalents of $556.5 million and $593.1 million of availability under our Credit Facility.</w:t>
      </w: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- 27 -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28" w:name="page29"/>
    <w:bookmarkEnd w:id="28"/>
    <w:p>
      <w:pPr>
        <w:ind w:right="820" w:firstLine="470"/>
        <w:spacing w:after="0" w:line="288" w:lineRule="auto"/>
        <w:rPr>
          <w:sz w:val="20"/>
          <w:szCs w:val="20"/>
          <w:color w:val="auto"/>
        </w:rPr>
      </w:pPr>
      <w:r>
        <w:rPr>
          <w:rFonts w:ascii="Arial" w:cs="Arial" w:eastAsia="Arial" w:hAnsi="Arial"/>
          <w:sz w:val="17"/>
          <w:szCs w:val="17"/>
          <w:color w:val="auto"/>
        </w:rPr>
        <w:t>Our results for the three months ended June 30, 2021 may not be indicative of trends that will persist, as uncertainty caused by COVID-19 and government responses to the pandemic have impacted, and will continue to impact, our business and operations.</w:t>
      </w: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Consolidated Financial Data (in thousands, except per share amounts):</w:t>
      </w:r>
    </w:p>
    <w:p>
      <w:pPr>
        <w:spacing w:after="0" w:line="349"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58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560" w:type="dxa"/>
            <w:vAlign w:val="bottom"/>
            <w:gridSpan w:val="5"/>
          </w:tcPr>
          <w:p>
            <w:pPr>
              <w:ind w:left="200"/>
              <w:spacing w:after="0"/>
              <w:rPr>
                <w:sz w:val="20"/>
                <w:szCs w:val="20"/>
                <w:color w:val="auto"/>
              </w:rPr>
            </w:pPr>
            <w:r>
              <w:rPr>
                <w:rFonts w:ascii="Arial" w:cs="Arial" w:eastAsia="Arial" w:hAnsi="Arial"/>
                <w:sz w:val="14"/>
                <w:szCs w:val="14"/>
                <w:b w:val="1"/>
                <w:bCs w:val="1"/>
                <w:color w:val="auto"/>
              </w:rPr>
              <w:t>Three Months Ended June 30,</w:t>
            </w:r>
          </w:p>
        </w:tc>
        <w:tc>
          <w:tcPr>
            <w:tcW w:w="260" w:type="dxa"/>
            <w:vAlign w:val="bottom"/>
          </w:tcPr>
          <w:p>
            <w:pPr>
              <w:spacing w:after="0"/>
              <w:rPr>
                <w:sz w:val="16"/>
                <w:szCs w:val="16"/>
                <w:color w:val="auto"/>
              </w:rPr>
            </w:pPr>
          </w:p>
        </w:tc>
        <w:tc>
          <w:tcPr>
            <w:tcW w:w="2320" w:type="dxa"/>
            <w:vAlign w:val="bottom"/>
            <w:gridSpan w:val="4"/>
          </w:tcPr>
          <w:p>
            <w:pPr>
              <w:jc w:val="right"/>
              <w:ind w:right="402"/>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81"/>
        </w:trPr>
        <w:tc>
          <w:tcPr>
            <w:tcW w:w="5820" w:type="dxa"/>
            <w:vAlign w:val="bottom"/>
            <w:tcBorders>
              <w:bottom w:val="single" w:sz="8" w:color="CCEEFF"/>
            </w:tcBorders>
          </w:tcPr>
          <w:p>
            <w:pPr>
              <w:spacing w:after="0"/>
              <w:rPr>
                <w:sz w:val="15"/>
                <w:szCs w:val="15"/>
                <w:color w:val="auto"/>
              </w:rPr>
            </w:pPr>
          </w:p>
        </w:tc>
        <w:tc>
          <w:tcPr>
            <w:tcW w:w="280" w:type="dxa"/>
            <w:vAlign w:val="bottom"/>
            <w:tcBorders>
              <w:top w:val="single" w:sz="8" w:color="auto"/>
              <w:bottom w:val="single" w:sz="8" w:color="auto"/>
            </w:tcBorders>
          </w:tcPr>
          <w:p>
            <w:pPr>
              <w:spacing w:after="0"/>
              <w:rPr>
                <w:sz w:val="15"/>
                <w:szCs w:val="15"/>
                <w:color w:val="auto"/>
              </w:rPr>
            </w:pPr>
          </w:p>
        </w:tc>
        <w:tc>
          <w:tcPr>
            <w:tcW w:w="1040" w:type="dxa"/>
            <w:vAlign w:val="bottom"/>
            <w:tcBorders>
              <w:top w:val="single" w:sz="8" w:color="auto"/>
              <w:bottom w:val="single" w:sz="8" w:color="auto"/>
            </w:tcBorders>
          </w:tcPr>
          <w:p>
            <w:pPr>
              <w:jc w:val="right"/>
              <w:ind w:right="44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5"/>
                <w:szCs w:val="15"/>
                <w:color w:val="auto"/>
              </w:rPr>
            </w:pPr>
          </w:p>
        </w:tc>
        <w:tc>
          <w:tcPr>
            <w:tcW w:w="320" w:type="dxa"/>
            <w:vAlign w:val="bottom"/>
            <w:tcBorders>
              <w:top w:val="single" w:sz="8" w:color="auto"/>
              <w:bottom w:val="single" w:sz="8" w:color="auto"/>
            </w:tcBorders>
          </w:tcPr>
          <w:p>
            <w:pPr>
              <w:spacing w:after="0"/>
              <w:rPr>
                <w:sz w:val="15"/>
                <w:szCs w:val="15"/>
                <w:color w:val="auto"/>
              </w:rPr>
            </w:pPr>
          </w:p>
        </w:tc>
        <w:tc>
          <w:tcPr>
            <w:tcW w:w="1000" w:type="dxa"/>
            <w:vAlign w:val="bottom"/>
            <w:tcBorders>
              <w:top w:val="single" w:sz="8" w:color="auto"/>
              <w:bottom w:val="single" w:sz="8" w:color="auto"/>
            </w:tcBorders>
          </w:tcPr>
          <w:p>
            <w:pPr>
              <w:jc w:val="right"/>
              <w:ind w:right="442"/>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5"/>
                <w:szCs w:val="15"/>
                <w:color w:val="auto"/>
              </w:rPr>
            </w:pPr>
          </w:p>
        </w:tc>
        <w:tc>
          <w:tcPr>
            <w:tcW w:w="260" w:type="dxa"/>
            <w:vAlign w:val="bottom"/>
            <w:tcBorders>
              <w:top w:val="single" w:sz="8" w:color="auto"/>
              <w:bottom w:val="single" w:sz="8" w:color="auto"/>
            </w:tcBorders>
          </w:tcPr>
          <w:p>
            <w:pPr>
              <w:spacing w:after="0"/>
              <w:rPr>
                <w:sz w:val="15"/>
                <w:szCs w:val="15"/>
                <w:color w:val="auto"/>
              </w:rPr>
            </w:pPr>
          </w:p>
        </w:tc>
        <w:tc>
          <w:tcPr>
            <w:tcW w:w="900" w:type="dxa"/>
            <w:vAlign w:val="bottom"/>
            <w:tcBorders>
              <w:top w:val="single" w:sz="8" w:color="auto"/>
              <w:bottom w:val="single" w:sz="8" w:color="auto"/>
            </w:tcBorders>
          </w:tcPr>
          <w:p>
            <w:pPr>
              <w:jc w:val="right"/>
              <w:ind w:right="36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5"/>
                <w:szCs w:val="15"/>
                <w:color w:val="auto"/>
              </w:rPr>
            </w:pPr>
          </w:p>
        </w:tc>
        <w:tc>
          <w:tcPr>
            <w:tcW w:w="320" w:type="dxa"/>
            <w:vAlign w:val="bottom"/>
            <w:tcBorders>
              <w:top w:val="single" w:sz="8" w:color="auto"/>
              <w:bottom w:val="single" w:sz="8" w:color="auto"/>
            </w:tcBorders>
          </w:tcPr>
          <w:p>
            <w:pPr>
              <w:spacing w:after="0"/>
              <w:rPr>
                <w:sz w:val="15"/>
                <w:szCs w:val="15"/>
                <w:color w:val="auto"/>
              </w:rPr>
            </w:pPr>
          </w:p>
        </w:tc>
        <w:tc>
          <w:tcPr>
            <w:tcW w:w="1000" w:type="dxa"/>
            <w:vAlign w:val="bottom"/>
            <w:tcBorders>
              <w:top w:val="single" w:sz="8" w:color="auto"/>
              <w:bottom w:val="single" w:sz="8" w:color="auto"/>
            </w:tcBorders>
          </w:tcPr>
          <w:p>
            <w:pPr>
              <w:jc w:val="right"/>
              <w:ind w:right="442"/>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03"/>
        </w:trPr>
        <w:tc>
          <w:tcPr>
            <w:tcW w:w="58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Homebuilding:</w:t>
            </w:r>
          </w:p>
        </w:tc>
        <w:tc>
          <w:tcPr>
            <w:tcW w:w="28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5820" w:type="dxa"/>
            <w:vAlign w:val="bottom"/>
          </w:tcPr>
          <w:p>
            <w:pPr>
              <w:ind w:left="140"/>
              <w:spacing w:after="0"/>
              <w:rPr>
                <w:sz w:val="20"/>
                <w:szCs w:val="20"/>
                <w:color w:val="auto"/>
              </w:rPr>
            </w:pPr>
            <w:r>
              <w:rPr>
                <w:rFonts w:ascii="Arial" w:cs="Arial" w:eastAsia="Arial" w:hAnsi="Arial"/>
                <w:sz w:val="16"/>
                <w:szCs w:val="16"/>
                <w:color w:val="auto"/>
              </w:rPr>
              <w:t>Home sales revenue</w:t>
            </w:r>
          </w:p>
        </w:tc>
        <w:tc>
          <w:tcPr>
            <w:tcW w:w="280" w:type="dxa"/>
            <w:vAlign w:val="bottom"/>
          </w:tcPr>
          <w:p>
            <w:pPr>
              <w:jc w:val="right"/>
              <w:ind w:right="102"/>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1,009,307</w:t>
            </w:r>
          </w:p>
        </w:tc>
        <w:tc>
          <w:tcPr>
            <w:tcW w:w="100" w:type="dxa"/>
            <w:vAlign w:val="bottom"/>
          </w:tcPr>
          <w:p>
            <w:pPr>
              <w:spacing w:after="0"/>
              <w:rPr>
                <w:sz w:val="17"/>
                <w:szCs w:val="17"/>
                <w:color w:val="auto"/>
              </w:rPr>
            </w:pPr>
          </w:p>
        </w:tc>
        <w:tc>
          <w:tcPr>
            <w:tcW w:w="320" w:type="dxa"/>
            <w:vAlign w:val="bottom"/>
          </w:tcPr>
          <w:p>
            <w:pPr>
              <w:jc w:val="right"/>
              <w:ind w:right="142"/>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766,942</w:t>
            </w:r>
          </w:p>
        </w:tc>
        <w:tc>
          <w:tcPr>
            <w:tcW w:w="100" w:type="dxa"/>
            <w:vAlign w:val="bottom"/>
          </w:tcPr>
          <w:p>
            <w:pPr>
              <w:spacing w:after="0"/>
              <w:rPr>
                <w:sz w:val="17"/>
                <w:szCs w:val="17"/>
                <w:color w:val="auto"/>
              </w:rPr>
            </w:pPr>
          </w:p>
        </w:tc>
        <w:tc>
          <w:tcPr>
            <w:tcW w:w="260" w:type="dxa"/>
            <w:vAlign w:val="bottom"/>
          </w:tcPr>
          <w:p>
            <w:pPr>
              <w:jc w:val="right"/>
              <w:ind w:right="82"/>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1,725,982</w:t>
            </w:r>
          </w:p>
        </w:tc>
        <w:tc>
          <w:tcPr>
            <w:tcW w:w="100" w:type="dxa"/>
            <w:vAlign w:val="bottom"/>
          </w:tcPr>
          <w:p>
            <w:pPr>
              <w:spacing w:after="0"/>
              <w:rPr>
                <w:sz w:val="17"/>
                <w:szCs w:val="17"/>
                <w:color w:val="auto"/>
              </w:rPr>
            </w:pPr>
          </w:p>
        </w:tc>
        <w:tc>
          <w:tcPr>
            <w:tcW w:w="320" w:type="dxa"/>
            <w:vAlign w:val="bottom"/>
          </w:tcPr>
          <w:p>
            <w:pPr>
              <w:jc w:val="right"/>
              <w:ind w:right="142"/>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1,361,780</w:t>
            </w:r>
          </w:p>
        </w:tc>
        <w:tc>
          <w:tcPr>
            <w:tcW w:w="0" w:type="dxa"/>
            <w:vAlign w:val="bottom"/>
          </w:tcPr>
          <w:p>
            <w:pPr>
              <w:spacing w:after="0"/>
              <w:rPr>
                <w:sz w:val="1"/>
                <w:szCs w:val="1"/>
                <w:color w:val="auto"/>
              </w:rPr>
            </w:pPr>
          </w:p>
        </w:tc>
      </w:tr>
      <w:tr>
        <w:trPr>
          <w:trHeight w:val="212"/>
        </w:trPr>
        <w:tc>
          <w:tcPr>
            <w:tcW w:w="58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Land and lot sales revenue</w:t>
            </w:r>
          </w:p>
        </w:tc>
        <w:tc>
          <w:tcPr>
            <w:tcW w:w="2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5,416</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220</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6,939</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220</w:t>
            </w:r>
          </w:p>
        </w:tc>
        <w:tc>
          <w:tcPr>
            <w:tcW w:w="0" w:type="dxa"/>
            <w:vAlign w:val="bottom"/>
          </w:tcPr>
          <w:p>
            <w:pPr>
              <w:spacing w:after="0"/>
              <w:rPr>
                <w:sz w:val="1"/>
                <w:szCs w:val="1"/>
                <w:color w:val="auto"/>
              </w:rPr>
            </w:pPr>
          </w:p>
        </w:tc>
      </w:tr>
      <w:tr>
        <w:trPr>
          <w:trHeight w:val="206"/>
        </w:trPr>
        <w:tc>
          <w:tcPr>
            <w:tcW w:w="5820" w:type="dxa"/>
            <w:vAlign w:val="bottom"/>
            <w:tcBorders>
              <w:bottom w:val="single" w:sz="8" w:color="CCEEFF"/>
            </w:tcBorders>
          </w:tcPr>
          <w:p>
            <w:pPr>
              <w:ind w:left="140"/>
              <w:spacing w:after="0"/>
              <w:rPr>
                <w:sz w:val="20"/>
                <w:szCs w:val="20"/>
                <w:color w:val="auto"/>
              </w:rPr>
            </w:pPr>
            <w:r>
              <w:rPr>
                <w:rFonts w:ascii="Arial" w:cs="Arial" w:eastAsia="Arial" w:hAnsi="Arial"/>
                <w:sz w:val="16"/>
                <w:szCs w:val="16"/>
                <w:color w:val="auto"/>
              </w:rPr>
              <w:t>Other operations revenue</w:t>
            </w:r>
          </w:p>
        </w:tc>
        <w:tc>
          <w:tcPr>
            <w:tcW w:w="28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660</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648</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1,323</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1,266</w:t>
            </w:r>
          </w:p>
        </w:tc>
        <w:tc>
          <w:tcPr>
            <w:tcW w:w="0" w:type="dxa"/>
            <w:vAlign w:val="bottom"/>
          </w:tcPr>
          <w:p>
            <w:pPr>
              <w:spacing w:after="0"/>
              <w:rPr>
                <w:sz w:val="1"/>
                <w:szCs w:val="1"/>
                <w:color w:val="auto"/>
              </w:rPr>
            </w:pPr>
          </w:p>
        </w:tc>
      </w:tr>
      <w:tr>
        <w:trPr>
          <w:trHeight w:val="205"/>
        </w:trPr>
        <w:tc>
          <w:tcPr>
            <w:tcW w:w="5820" w:type="dxa"/>
            <w:vAlign w:val="bottom"/>
            <w:shd w:val="clear" w:color="auto" w:fill="CCEEFF"/>
          </w:tcPr>
          <w:p>
            <w:pPr>
              <w:ind w:left="460"/>
              <w:spacing w:after="0"/>
              <w:rPr>
                <w:sz w:val="20"/>
                <w:szCs w:val="20"/>
                <w:color w:val="auto"/>
              </w:rPr>
            </w:pPr>
            <w:r>
              <w:rPr>
                <w:rFonts w:ascii="Arial" w:cs="Arial" w:eastAsia="Arial" w:hAnsi="Arial"/>
                <w:sz w:val="16"/>
                <w:szCs w:val="16"/>
                <w:color w:val="auto"/>
              </w:rPr>
              <w:t>Total revenues</w:t>
            </w:r>
          </w:p>
        </w:tc>
        <w:tc>
          <w:tcPr>
            <w:tcW w:w="280" w:type="dxa"/>
            <w:vAlign w:val="bottom"/>
            <w:shd w:val="clear" w:color="auto" w:fill="CCEEFF"/>
          </w:tcPr>
          <w:p>
            <w:pPr>
              <w:spacing w:after="0"/>
              <w:rPr>
                <w:sz w:val="17"/>
                <w:szCs w:val="17"/>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1,015,383</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767,810</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1,734,244</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1,363,266</w:t>
            </w:r>
          </w:p>
        </w:tc>
        <w:tc>
          <w:tcPr>
            <w:tcW w:w="0" w:type="dxa"/>
            <w:vAlign w:val="bottom"/>
          </w:tcPr>
          <w:p>
            <w:pPr>
              <w:spacing w:after="0"/>
              <w:rPr>
                <w:sz w:val="1"/>
                <w:szCs w:val="1"/>
                <w:color w:val="auto"/>
              </w:rPr>
            </w:pPr>
          </w:p>
        </w:tc>
      </w:tr>
      <w:tr>
        <w:trPr>
          <w:trHeight w:val="206"/>
        </w:trPr>
        <w:tc>
          <w:tcPr>
            <w:tcW w:w="5820" w:type="dxa"/>
            <w:vAlign w:val="bottom"/>
          </w:tcPr>
          <w:p>
            <w:pPr>
              <w:ind w:left="140"/>
              <w:spacing w:after="0"/>
              <w:rPr>
                <w:sz w:val="20"/>
                <w:szCs w:val="20"/>
                <w:color w:val="auto"/>
              </w:rPr>
            </w:pPr>
            <w:r>
              <w:rPr>
                <w:rFonts w:ascii="Arial" w:cs="Arial" w:eastAsia="Arial" w:hAnsi="Arial"/>
                <w:sz w:val="16"/>
                <w:szCs w:val="16"/>
                <w:color w:val="auto"/>
              </w:rPr>
              <w:t>Cost of home sales</w:t>
            </w:r>
          </w:p>
        </w:tc>
        <w:tc>
          <w:tcPr>
            <w:tcW w:w="2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761,215</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601,434</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1,306,571</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1,074,316</w:t>
            </w:r>
          </w:p>
        </w:tc>
        <w:tc>
          <w:tcPr>
            <w:tcW w:w="0" w:type="dxa"/>
            <w:vAlign w:val="bottom"/>
          </w:tcPr>
          <w:p>
            <w:pPr>
              <w:spacing w:after="0"/>
              <w:rPr>
                <w:sz w:val="1"/>
                <w:szCs w:val="1"/>
                <w:color w:val="auto"/>
              </w:rPr>
            </w:pPr>
          </w:p>
        </w:tc>
      </w:tr>
      <w:tr>
        <w:trPr>
          <w:trHeight w:val="212"/>
        </w:trPr>
        <w:tc>
          <w:tcPr>
            <w:tcW w:w="58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Cost of land and lot sales</w:t>
            </w:r>
          </w:p>
        </w:tc>
        <w:tc>
          <w:tcPr>
            <w:tcW w:w="2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4,874</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374</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5,027</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576</w:t>
            </w:r>
          </w:p>
        </w:tc>
        <w:tc>
          <w:tcPr>
            <w:tcW w:w="0" w:type="dxa"/>
            <w:vAlign w:val="bottom"/>
          </w:tcPr>
          <w:p>
            <w:pPr>
              <w:spacing w:after="0"/>
              <w:rPr>
                <w:sz w:val="1"/>
                <w:szCs w:val="1"/>
                <w:color w:val="auto"/>
              </w:rPr>
            </w:pPr>
          </w:p>
        </w:tc>
      </w:tr>
      <w:tr>
        <w:trPr>
          <w:trHeight w:val="206"/>
        </w:trPr>
        <w:tc>
          <w:tcPr>
            <w:tcW w:w="5820" w:type="dxa"/>
            <w:vAlign w:val="bottom"/>
          </w:tcPr>
          <w:p>
            <w:pPr>
              <w:ind w:left="140"/>
              <w:spacing w:after="0"/>
              <w:rPr>
                <w:sz w:val="20"/>
                <w:szCs w:val="20"/>
                <w:color w:val="auto"/>
              </w:rPr>
            </w:pPr>
            <w:r>
              <w:rPr>
                <w:rFonts w:ascii="Arial" w:cs="Arial" w:eastAsia="Arial" w:hAnsi="Arial"/>
                <w:sz w:val="16"/>
                <w:szCs w:val="16"/>
                <w:color w:val="auto"/>
              </w:rPr>
              <w:t>Other operations expense</w:t>
            </w:r>
          </w:p>
        </w:tc>
        <w:tc>
          <w:tcPr>
            <w:tcW w:w="2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686</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624</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1,310</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1,248</w:t>
            </w:r>
          </w:p>
        </w:tc>
        <w:tc>
          <w:tcPr>
            <w:tcW w:w="0" w:type="dxa"/>
            <w:vAlign w:val="bottom"/>
          </w:tcPr>
          <w:p>
            <w:pPr>
              <w:spacing w:after="0"/>
              <w:rPr>
                <w:sz w:val="1"/>
                <w:szCs w:val="1"/>
                <w:color w:val="auto"/>
              </w:rPr>
            </w:pPr>
          </w:p>
        </w:tc>
      </w:tr>
      <w:tr>
        <w:trPr>
          <w:trHeight w:val="212"/>
        </w:trPr>
        <w:tc>
          <w:tcPr>
            <w:tcW w:w="58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Sales and marketing</w:t>
            </w:r>
          </w:p>
        </w:tc>
        <w:tc>
          <w:tcPr>
            <w:tcW w:w="2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45,489</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45,194</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85,949</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87,831</w:t>
            </w:r>
          </w:p>
        </w:tc>
        <w:tc>
          <w:tcPr>
            <w:tcW w:w="0" w:type="dxa"/>
            <w:vAlign w:val="bottom"/>
          </w:tcPr>
          <w:p>
            <w:pPr>
              <w:spacing w:after="0"/>
              <w:rPr>
                <w:sz w:val="1"/>
                <w:szCs w:val="1"/>
                <w:color w:val="auto"/>
              </w:rPr>
            </w:pPr>
          </w:p>
        </w:tc>
      </w:tr>
      <w:tr>
        <w:trPr>
          <w:trHeight w:val="206"/>
        </w:trPr>
        <w:tc>
          <w:tcPr>
            <w:tcW w:w="5820" w:type="dxa"/>
            <w:vAlign w:val="bottom"/>
          </w:tcPr>
          <w:p>
            <w:pPr>
              <w:ind w:left="140"/>
              <w:spacing w:after="0"/>
              <w:rPr>
                <w:sz w:val="20"/>
                <w:szCs w:val="20"/>
                <w:color w:val="auto"/>
              </w:rPr>
            </w:pPr>
            <w:r>
              <w:rPr>
                <w:rFonts w:ascii="Arial" w:cs="Arial" w:eastAsia="Arial" w:hAnsi="Arial"/>
                <w:sz w:val="16"/>
                <w:szCs w:val="16"/>
                <w:color w:val="auto"/>
              </w:rPr>
              <w:t>General and administrative</w:t>
            </w:r>
          </w:p>
        </w:tc>
        <w:tc>
          <w:tcPr>
            <w:tcW w:w="2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51,263</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37,554</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92,612</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77,391</w:t>
            </w:r>
          </w:p>
        </w:tc>
        <w:tc>
          <w:tcPr>
            <w:tcW w:w="0" w:type="dxa"/>
            <w:vAlign w:val="bottom"/>
          </w:tcPr>
          <w:p>
            <w:pPr>
              <w:spacing w:after="0"/>
              <w:rPr>
                <w:sz w:val="1"/>
                <w:szCs w:val="1"/>
                <w:color w:val="auto"/>
              </w:rPr>
            </w:pPr>
          </w:p>
        </w:tc>
      </w:tr>
      <w:tr>
        <w:trPr>
          <w:trHeight w:val="212"/>
        </w:trPr>
        <w:tc>
          <w:tcPr>
            <w:tcW w:w="58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Restructuring charges</w:t>
            </w:r>
          </w:p>
        </w:tc>
        <w:tc>
          <w:tcPr>
            <w:tcW w:w="2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5,549</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5,549</w:t>
            </w:r>
          </w:p>
        </w:tc>
        <w:tc>
          <w:tcPr>
            <w:tcW w:w="0" w:type="dxa"/>
            <w:vAlign w:val="bottom"/>
          </w:tcPr>
          <w:p>
            <w:pPr>
              <w:spacing w:after="0"/>
              <w:rPr>
                <w:sz w:val="1"/>
                <w:szCs w:val="1"/>
                <w:color w:val="auto"/>
              </w:rPr>
            </w:pPr>
          </w:p>
        </w:tc>
      </w:tr>
      <w:tr>
        <w:trPr>
          <w:trHeight w:val="199"/>
        </w:trPr>
        <w:tc>
          <w:tcPr>
            <w:tcW w:w="5820" w:type="dxa"/>
            <w:vAlign w:val="bottom"/>
          </w:tcPr>
          <w:p>
            <w:pPr>
              <w:ind w:left="220"/>
              <w:spacing w:after="0"/>
              <w:rPr>
                <w:sz w:val="20"/>
                <w:szCs w:val="20"/>
                <w:color w:val="auto"/>
              </w:rPr>
            </w:pPr>
            <w:r>
              <w:rPr>
                <w:rFonts w:ascii="Arial" w:cs="Arial" w:eastAsia="Arial" w:hAnsi="Arial"/>
                <w:sz w:val="16"/>
                <w:szCs w:val="16"/>
                <w:color w:val="auto"/>
              </w:rPr>
              <w:t>Homebuilding income from operations</w:t>
            </w:r>
          </w:p>
        </w:tc>
        <w:tc>
          <w:tcPr>
            <w:tcW w:w="28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151,856</w:t>
            </w:r>
          </w:p>
        </w:tc>
        <w:tc>
          <w:tcPr>
            <w:tcW w:w="10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77,081</w:t>
            </w:r>
          </w:p>
        </w:tc>
        <w:tc>
          <w:tcPr>
            <w:tcW w:w="100" w:type="dxa"/>
            <w:vAlign w:val="bottom"/>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242,775</w:t>
            </w:r>
          </w:p>
        </w:tc>
        <w:tc>
          <w:tcPr>
            <w:tcW w:w="10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116,355</w:t>
            </w:r>
          </w:p>
        </w:tc>
        <w:tc>
          <w:tcPr>
            <w:tcW w:w="0" w:type="dxa"/>
            <w:vAlign w:val="bottom"/>
          </w:tcPr>
          <w:p>
            <w:pPr>
              <w:spacing w:after="0"/>
              <w:rPr>
                <w:sz w:val="1"/>
                <w:szCs w:val="1"/>
                <w:color w:val="auto"/>
              </w:rPr>
            </w:pPr>
          </w:p>
        </w:tc>
      </w:tr>
      <w:tr>
        <w:trPr>
          <w:trHeight w:val="212"/>
        </w:trPr>
        <w:tc>
          <w:tcPr>
            <w:tcW w:w="58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Equity in loss of unconsolidated entities</w:t>
            </w:r>
          </w:p>
        </w:tc>
        <w:tc>
          <w:tcPr>
            <w:tcW w:w="2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w:t>
            </w:r>
          </w:p>
        </w:tc>
        <w:tc>
          <w:tcPr>
            <w:tcW w:w="0" w:type="dxa"/>
            <w:vAlign w:val="bottom"/>
          </w:tcPr>
          <w:p>
            <w:pPr>
              <w:spacing w:after="0"/>
              <w:rPr>
                <w:sz w:val="1"/>
                <w:szCs w:val="1"/>
                <w:color w:val="auto"/>
              </w:rPr>
            </w:pPr>
          </w:p>
        </w:tc>
      </w:tr>
      <w:tr>
        <w:trPr>
          <w:trHeight w:val="206"/>
        </w:trPr>
        <w:tc>
          <w:tcPr>
            <w:tcW w:w="582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Other income (loss), net</w:t>
            </w:r>
          </w:p>
        </w:tc>
        <w:tc>
          <w:tcPr>
            <w:tcW w:w="28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149</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(6,328)</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257</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(5,955)</w:t>
            </w:r>
          </w:p>
        </w:tc>
        <w:tc>
          <w:tcPr>
            <w:tcW w:w="0" w:type="dxa"/>
            <w:vAlign w:val="bottom"/>
          </w:tcPr>
          <w:p>
            <w:pPr>
              <w:spacing w:after="0"/>
              <w:rPr>
                <w:sz w:val="1"/>
                <w:szCs w:val="1"/>
                <w:color w:val="auto"/>
              </w:rPr>
            </w:pPr>
          </w:p>
        </w:tc>
      </w:tr>
      <w:tr>
        <w:trPr>
          <w:trHeight w:val="205"/>
        </w:trPr>
        <w:tc>
          <w:tcPr>
            <w:tcW w:w="5820" w:type="dxa"/>
            <w:vAlign w:val="bottom"/>
            <w:shd w:val="clear" w:color="auto" w:fill="CCEEFF"/>
          </w:tcPr>
          <w:p>
            <w:pPr>
              <w:ind w:left="460"/>
              <w:spacing w:after="0"/>
              <w:rPr>
                <w:sz w:val="20"/>
                <w:szCs w:val="20"/>
                <w:color w:val="auto"/>
              </w:rPr>
            </w:pPr>
            <w:r>
              <w:rPr>
                <w:rFonts w:ascii="Arial" w:cs="Arial" w:eastAsia="Arial" w:hAnsi="Arial"/>
                <w:sz w:val="16"/>
                <w:szCs w:val="16"/>
                <w:color w:val="auto"/>
              </w:rPr>
              <w:t>Homebuilding income before income taxes</w:t>
            </w:r>
          </w:p>
        </w:tc>
        <w:tc>
          <w:tcPr>
            <w:tcW w:w="28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151,989</w:t>
            </w:r>
          </w:p>
        </w:tc>
        <w:tc>
          <w:tcPr>
            <w:tcW w:w="10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70,728</w:t>
            </w:r>
          </w:p>
        </w:tc>
        <w:tc>
          <w:tcPr>
            <w:tcW w:w="10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243,003</w:t>
            </w:r>
          </w:p>
        </w:tc>
        <w:tc>
          <w:tcPr>
            <w:tcW w:w="10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110,361</w:t>
            </w:r>
          </w:p>
        </w:tc>
        <w:tc>
          <w:tcPr>
            <w:tcW w:w="0" w:type="dxa"/>
            <w:vAlign w:val="bottom"/>
          </w:tcPr>
          <w:p>
            <w:pPr>
              <w:spacing w:after="0"/>
              <w:rPr>
                <w:sz w:val="1"/>
                <w:szCs w:val="1"/>
                <w:color w:val="auto"/>
              </w:rPr>
            </w:pPr>
          </w:p>
        </w:tc>
      </w:tr>
      <w:tr>
        <w:trPr>
          <w:trHeight w:val="186"/>
        </w:trPr>
        <w:tc>
          <w:tcPr>
            <w:tcW w:w="5820" w:type="dxa"/>
            <w:vAlign w:val="bottom"/>
          </w:tcPr>
          <w:p>
            <w:pPr>
              <w:ind w:left="20"/>
              <w:spacing w:after="0"/>
              <w:rPr>
                <w:sz w:val="20"/>
                <w:szCs w:val="20"/>
                <w:color w:val="auto"/>
              </w:rPr>
            </w:pPr>
            <w:r>
              <w:rPr>
                <w:rFonts w:ascii="Arial" w:cs="Arial" w:eastAsia="Arial" w:hAnsi="Arial"/>
                <w:sz w:val="16"/>
                <w:szCs w:val="16"/>
                <w:b w:val="1"/>
                <w:bCs w:val="1"/>
                <w:color w:val="auto"/>
              </w:rPr>
              <w:t>Financial Services:</w:t>
            </w:r>
          </w:p>
        </w:tc>
        <w:tc>
          <w:tcPr>
            <w:tcW w:w="28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58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Revenues</w:t>
            </w:r>
          </w:p>
        </w:tc>
        <w:tc>
          <w:tcPr>
            <w:tcW w:w="2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2,681</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2,296</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4,786</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3,890</w:t>
            </w:r>
          </w:p>
        </w:tc>
        <w:tc>
          <w:tcPr>
            <w:tcW w:w="0" w:type="dxa"/>
            <w:vAlign w:val="bottom"/>
          </w:tcPr>
          <w:p>
            <w:pPr>
              <w:spacing w:after="0"/>
              <w:rPr>
                <w:sz w:val="1"/>
                <w:szCs w:val="1"/>
                <w:color w:val="auto"/>
              </w:rPr>
            </w:pPr>
          </w:p>
        </w:tc>
      </w:tr>
      <w:tr>
        <w:trPr>
          <w:trHeight w:val="206"/>
        </w:trPr>
        <w:tc>
          <w:tcPr>
            <w:tcW w:w="5820" w:type="dxa"/>
            <w:vAlign w:val="bottom"/>
          </w:tcPr>
          <w:p>
            <w:pPr>
              <w:ind w:left="140"/>
              <w:spacing w:after="0"/>
              <w:rPr>
                <w:sz w:val="20"/>
                <w:szCs w:val="20"/>
                <w:color w:val="auto"/>
              </w:rPr>
            </w:pPr>
            <w:r>
              <w:rPr>
                <w:rFonts w:ascii="Arial" w:cs="Arial" w:eastAsia="Arial" w:hAnsi="Arial"/>
                <w:sz w:val="16"/>
                <w:szCs w:val="16"/>
                <w:color w:val="auto"/>
              </w:rPr>
              <w:t>Expenses</w:t>
            </w:r>
          </w:p>
        </w:tc>
        <w:tc>
          <w:tcPr>
            <w:tcW w:w="2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1,485</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1,285</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2,892</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2,364</w:t>
            </w:r>
          </w:p>
        </w:tc>
        <w:tc>
          <w:tcPr>
            <w:tcW w:w="0" w:type="dxa"/>
            <w:vAlign w:val="bottom"/>
          </w:tcPr>
          <w:p>
            <w:pPr>
              <w:spacing w:after="0"/>
              <w:rPr>
                <w:sz w:val="1"/>
                <w:szCs w:val="1"/>
                <w:color w:val="auto"/>
              </w:rPr>
            </w:pPr>
          </w:p>
        </w:tc>
      </w:tr>
      <w:tr>
        <w:trPr>
          <w:trHeight w:val="212"/>
        </w:trPr>
        <w:tc>
          <w:tcPr>
            <w:tcW w:w="58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Equity in income of unconsolidated entities</w:t>
            </w:r>
          </w:p>
        </w:tc>
        <w:tc>
          <w:tcPr>
            <w:tcW w:w="28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3,949</w:t>
            </w:r>
          </w:p>
        </w:tc>
        <w:tc>
          <w:tcPr>
            <w:tcW w:w="10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2,932</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6,640</w:t>
            </w:r>
          </w:p>
        </w:tc>
        <w:tc>
          <w:tcPr>
            <w:tcW w:w="10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4,488</w:t>
            </w:r>
          </w:p>
        </w:tc>
        <w:tc>
          <w:tcPr>
            <w:tcW w:w="0" w:type="dxa"/>
            <w:vAlign w:val="bottom"/>
          </w:tcPr>
          <w:p>
            <w:pPr>
              <w:spacing w:after="0"/>
              <w:rPr>
                <w:sz w:val="1"/>
                <w:szCs w:val="1"/>
                <w:color w:val="auto"/>
              </w:rPr>
            </w:pPr>
          </w:p>
        </w:tc>
      </w:tr>
      <w:tr>
        <w:trPr>
          <w:trHeight w:val="199"/>
        </w:trPr>
        <w:tc>
          <w:tcPr>
            <w:tcW w:w="5820" w:type="dxa"/>
            <w:vAlign w:val="bottom"/>
            <w:tcBorders>
              <w:bottom w:val="single" w:sz="8" w:color="CCEEFF"/>
            </w:tcBorders>
          </w:tcPr>
          <w:p>
            <w:pPr>
              <w:ind w:left="460"/>
              <w:spacing w:after="0" w:line="183" w:lineRule="exact"/>
              <w:rPr>
                <w:sz w:val="20"/>
                <w:szCs w:val="20"/>
                <w:color w:val="auto"/>
              </w:rPr>
            </w:pPr>
            <w:r>
              <w:rPr>
                <w:rFonts w:ascii="Arial" w:cs="Arial" w:eastAsia="Arial" w:hAnsi="Arial"/>
                <w:sz w:val="16"/>
                <w:szCs w:val="16"/>
                <w:color w:val="auto"/>
              </w:rPr>
              <w:t>Financial services income before income taxes</w:t>
            </w:r>
          </w:p>
        </w:tc>
        <w:tc>
          <w:tcPr>
            <w:tcW w:w="28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5,145</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3,943</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8,534</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6,014</w:t>
            </w:r>
          </w:p>
        </w:tc>
        <w:tc>
          <w:tcPr>
            <w:tcW w:w="0" w:type="dxa"/>
            <w:vAlign w:val="bottom"/>
          </w:tcPr>
          <w:p>
            <w:pPr>
              <w:spacing w:after="0"/>
              <w:rPr>
                <w:sz w:val="1"/>
                <w:szCs w:val="1"/>
                <w:color w:val="auto"/>
              </w:rPr>
            </w:pPr>
          </w:p>
        </w:tc>
      </w:tr>
      <w:tr>
        <w:trPr>
          <w:trHeight w:val="205"/>
        </w:trPr>
        <w:tc>
          <w:tcPr>
            <w:tcW w:w="58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Income before income taxes</w:t>
            </w:r>
          </w:p>
        </w:tc>
        <w:tc>
          <w:tcPr>
            <w:tcW w:w="280" w:type="dxa"/>
            <w:vAlign w:val="bottom"/>
            <w:shd w:val="clear" w:color="auto" w:fill="CCEEFF"/>
          </w:tcPr>
          <w:p>
            <w:pPr>
              <w:spacing w:after="0"/>
              <w:rPr>
                <w:sz w:val="17"/>
                <w:szCs w:val="17"/>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157,134</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74,671</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251,537</w:t>
            </w: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116,375</w:t>
            </w:r>
          </w:p>
        </w:tc>
        <w:tc>
          <w:tcPr>
            <w:tcW w:w="0" w:type="dxa"/>
            <w:vAlign w:val="bottom"/>
          </w:tcPr>
          <w:p>
            <w:pPr>
              <w:spacing w:after="0"/>
              <w:rPr>
                <w:sz w:val="1"/>
                <w:szCs w:val="1"/>
                <w:color w:val="auto"/>
              </w:rPr>
            </w:pPr>
          </w:p>
        </w:tc>
      </w:tr>
      <w:tr>
        <w:trPr>
          <w:trHeight w:val="206"/>
        </w:trPr>
        <w:tc>
          <w:tcPr>
            <w:tcW w:w="582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Provision for income taxes</w:t>
            </w:r>
          </w:p>
        </w:tc>
        <w:tc>
          <w:tcPr>
            <w:tcW w:w="28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(39,265)</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(18,143)</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(62,866)</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(27,964)</w:t>
            </w:r>
          </w:p>
        </w:tc>
        <w:tc>
          <w:tcPr>
            <w:tcW w:w="0" w:type="dxa"/>
            <w:vAlign w:val="bottom"/>
          </w:tcPr>
          <w:p>
            <w:pPr>
              <w:spacing w:after="0"/>
              <w:rPr>
                <w:sz w:val="1"/>
                <w:szCs w:val="1"/>
                <w:color w:val="auto"/>
              </w:rPr>
            </w:pPr>
          </w:p>
        </w:tc>
      </w:tr>
      <w:tr>
        <w:trPr>
          <w:trHeight w:val="204"/>
        </w:trPr>
        <w:tc>
          <w:tcPr>
            <w:tcW w:w="5820" w:type="dxa"/>
            <w:vAlign w:val="bottom"/>
            <w:tcBorders>
              <w:bottom w:val="single" w:sz="8" w:color="CCEEFF"/>
            </w:tcBorders>
            <w:shd w:val="clear" w:color="auto" w:fill="CCEEFF"/>
          </w:tcPr>
          <w:p>
            <w:pPr>
              <w:ind w:left="20"/>
              <w:spacing w:after="0" w:line="179" w:lineRule="exact"/>
              <w:rPr>
                <w:sz w:val="20"/>
                <w:szCs w:val="20"/>
                <w:color w:val="auto"/>
              </w:rPr>
            </w:pPr>
            <w:r>
              <w:rPr>
                <w:rFonts w:ascii="Arial" w:cs="Arial" w:eastAsia="Arial" w:hAnsi="Arial"/>
                <w:sz w:val="16"/>
                <w:szCs w:val="16"/>
                <w:color w:val="auto"/>
              </w:rPr>
              <w:t>Net income</w:t>
            </w:r>
          </w:p>
        </w:tc>
        <w:tc>
          <w:tcPr>
            <w:tcW w:w="280" w:type="dxa"/>
            <w:vAlign w:val="bottom"/>
            <w:tcBorders>
              <w:bottom w:val="single" w:sz="8" w:color="auto"/>
            </w:tcBorders>
            <w:shd w:val="clear" w:color="auto" w:fill="CCEEFF"/>
          </w:tcPr>
          <w:p>
            <w:pPr>
              <w:jc w:val="right"/>
              <w:ind w:right="102"/>
              <w:spacing w:after="0" w:line="179" w:lineRule="exact"/>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shd w:val="clear" w:color="auto" w:fill="CCEEFF"/>
          </w:tcPr>
          <w:p>
            <w:pPr>
              <w:jc w:val="right"/>
              <w:spacing w:after="0" w:line="179" w:lineRule="exact"/>
              <w:rPr>
                <w:sz w:val="20"/>
                <w:szCs w:val="20"/>
                <w:color w:val="auto"/>
              </w:rPr>
            </w:pPr>
            <w:r>
              <w:rPr>
                <w:rFonts w:ascii="Arial" w:cs="Arial" w:eastAsia="Arial" w:hAnsi="Arial"/>
                <w:sz w:val="16"/>
                <w:szCs w:val="16"/>
                <w:color w:val="auto"/>
              </w:rPr>
              <w:t>117,869</w:t>
            </w:r>
          </w:p>
        </w:tc>
        <w:tc>
          <w:tcPr>
            <w:tcW w:w="10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jc w:val="right"/>
              <w:ind w:right="142"/>
              <w:spacing w:after="0" w:line="179" w:lineRule="exact"/>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shd w:val="clear" w:color="auto" w:fill="CCEEFF"/>
          </w:tcPr>
          <w:p>
            <w:pPr>
              <w:jc w:val="right"/>
              <w:spacing w:after="0" w:line="179" w:lineRule="exact"/>
              <w:rPr>
                <w:sz w:val="20"/>
                <w:szCs w:val="20"/>
                <w:color w:val="auto"/>
              </w:rPr>
            </w:pPr>
            <w:r>
              <w:rPr>
                <w:rFonts w:ascii="Arial" w:cs="Arial" w:eastAsia="Arial" w:hAnsi="Arial"/>
                <w:sz w:val="16"/>
                <w:szCs w:val="16"/>
                <w:color w:val="auto"/>
              </w:rPr>
              <w:t>56,528</w:t>
            </w:r>
          </w:p>
        </w:tc>
        <w:tc>
          <w:tcPr>
            <w:tcW w:w="10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82"/>
              <w:spacing w:after="0" w:line="179" w:lineRule="exact"/>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shd w:val="clear" w:color="auto" w:fill="CCEEFF"/>
          </w:tcPr>
          <w:p>
            <w:pPr>
              <w:jc w:val="right"/>
              <w:spacing w:after="0" w:line="179" w:lineRule="exact"/>
              <w:rPr>
                <w:sz w:val="20"/>
                <w:szCs w:val="20"/>
                <w:color w:val="auto"/>
              </w:rPr>
            </w:pPr>
            <w:r>
              <w:rPr>
                <w:rFonts w:ascii="Arial" w:cs="Arial" w:eastAsia="Arial" w:hAnsi="Arial"/>
                <w:sz w:val="16"/>
                <w:szCs w:val="16"/>
                <w:color w:val="auto"/>
              </w:rPr>
              <w:t>188,671</w:t>
            </w:r>
          </w:p>
        </w:tc>
        <w:tc>
          <w:tcPr>
            <w:tcW w:w="10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jc w:val="right"/>
              <w:ind w:right="142"/>
              <w:spacing w:after="0" w:line="179" w:lineRule="exact"/>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shd w:val="clear" w:color="auto" w:fill="CCEEFF"/>
          </w:tcPr>
          <w:p>
            <w:pPr>
              <w:jc w:val="right"/>
              <w:spacing w:after="0" w:line="179" w:lineRule="exact"/>
              <w:rPr>
                <w:sz w:val="20"/>
                <w:szCs w:val="20"/>
                <w:color w:val="auto"/>
              </w:rPr>
            </w:pPr>
            <w:r>
              <w:rPr>
                <w:rFonts w:ascii="Arial" w:cs="Arial" w:eastAsia="Arial" w:hAnsi="Arial"/>
                <w:sz w:val="16"/>
                <w:szCs w:val="16"/>
                <w:color w:val="auto"/>
              </w:rPr>
              <w:t>88,411</w:t>
            </w:r>
          </w:p>
        </w:tc>
        <w:tc>
          <w:tcPr>
            <w:tcW w:w="0" w:type="dxa"/>
            <w:vAlign w:val="bottom"/>
          </w:tcPr>
          <w:p>
            <w:pPr>
              <w:spacing w:after="0"/>
              <w:rPr>
                <w:sz w:val="1"/>
                <w:szCs w:val="1"/>
                <w:color w:val="auto"/>
              </w:rPr>
            </w:pPr>
          </w:p>
        </w:tc>
      </w:tr>
      <w:tr>
        <w:trPr>
          <w:trHeight w:val="20"/>
        </w:trPr>
        <w:tc>
          <w:tcPr>
            <w:tcW w:w="58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color w:val="auto"/>
              </w:rPr>
              <w:t>Earnings per share</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582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5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9"/>
        </w:trPr>
        <w:tc>
          <w:tcPr>
            <w:tcW w:w="58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Basic</w:t>
            </w:r>
          </w:p>
        </w:tc>
        <w:tc>
          <w:tcPr>
            <w:tcW w:w="280" w:type="dxa"/>
            <w:vAlign w:val="bottom"/>
            <w:shd w:val="clear" w:color="auto" w:fill="CCEEFF"/>
          </w:tcPr>
          <w:p>
            <w:pPr>
              <w:jc w:val="right"/>
              <w:ind w:right="102"/>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1.01</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42"/>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0.43</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82"/>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42"/>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0.67</w:t>
            </w:r>
          </w:p>
        </w:tc>
        <w:tc>
          <w:tcPr>
            <w:tcW w:w="0" w:type="dxa"/>
            <w:vAlign w:val="bottom"/>
          </w:tcPr>
          <w:p>
            <w:pPr>
              <w:spacing w:after="0"/>
              <w:rPr>
                <w:sz w:val="1"/>
                <w:szCs w:val="1"/>
                <w:color w:val="auto"/>
              </w:rPr>
            </w:pPr>
          </w:p>
        </w:tc>
      </w:tr>
      <w:tr>
        <w:trPr>
          <w:trHeight w:val="203"/>
        </w:trPr>
        <w:tc>
          <w:tcPr>
            <w:tcW w:w="5820" w:type="dxa"/>
            <w:vAlign w:val="bottom"/>
          </w:tcPr>
          <w:p>
            <w:pPr>
              <w:ind w:left="220"/>
              <w:spacing w:after="0"/>
              <w:rPr>
                <w:sz w:val="20"/>
                <w:szCs w:val="20"/>
                <w:color w:val="auto"/>
              </w:rPr>
            </w:pPr>
            <w:r>
              <w:rPr>
                <w:rFonts w:ascii="Arial" w:cs="Arial" w:eastAsia="Arial" w:hAnsi="Arial"/>
                <w:sz w:val="16"/>
                <w:szCs w:val="16"/>
                <w:color w:val="auto"/>
              </w:rPr>
              <w:t>Diluted</w:t>
            </w:r>
          </w:p>
        </w:tc>
        <w:tc>
          <w:tcPr>
            <w:tcW w:w="280" w:type="dxa"/>
            <w:vAlign w:val="bottom"/>
          </w:tcPr>
          <w:p>
            <w:pPr>
              <w:jc w:val="right"/>
              <w:ind w:right="102"/>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1.00</w:t>
            </w:r>
          </w:p>
        </w:tc>
        <w:tc>
          <w:tcPr>
            <w:tcW w:w="100" w:type="dxa"/>
            <w:vAlign w:val="bottom"/>
          </w:tcPr>
          <w:p>
            <w:pPr>
              <w:spacing w:after="0"/>
              <w:rPr>
                <w:sz w:val="17"/>
                <w:szCs w:val="17"/>
                <w:color w:val="auto"/>
              </w:rPr>
            </w:pPr>
          </w:p>
        </w:tc>
        <w:tc>
          <w:tcPr>
            <w:tcW w:w="320" w:type="dxa"/>
            <w:vAlign w:val="bottom"/>
          </w:tcPr>
          <w:p>
            <w:pPr>
              <w:jc w:val="right"/>
              <w:ind w:right="142"/>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0.43</w:t>
            </w:r>
          </w:p>
        </w:tc>
        <w:tc>
          <w:tcPr>
            <w:tcW w:w="100" w:type="dxa"/>
            <w:vAlign w:val="bottom"/>
          </w:tcPr>
          <w:p>
            <w:pPr>
              <w:spacing w:after="0"/>
              <w:rPr>
                <w:sz w:val="17"/>
                <w:szCs w:val="17"/>
                <w:color w:val="auto"/>
              </w:rPr>
            </w:pPr>
          </w:p>
        </w:tc>
        <w:tc>
          <w:tcPr>
            <w:tcW w:w="260" w:type="dxa"/>
            <w:vAlign w:val="bottom"/>
          </w:tcPr>
          <w:p>
            <w:pPr>
              <w:jc w:val="right"/>
              <w:ind w:right="82"/>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1.59</w:t>
            </w:r>
          </w:p>
        </w:tc>
        <w:tc>
          <w:tcPr>
            <w:tcW w:w="100" w:type="dxa"/>
            <w:vAlign w:val="bottom"/>
          </w:tcPr>
          <w:p>
            <w:pPr>
              <w:spacing w:after="0"/>
              <w:rPr>
                <w:sz w:val="17"/>
                <w:szCs w:val="17"/>
                <w:color w:val="auto"/>
              </w:rPr>
            </w:pPr>
          </w:p>
        </w:tc>
        <w:tc>
          <w:tcPr>
            <w:tcW w:w="320" w:type="dxa"/>
            <w:vAlign w:val="bottom"/>
          </w:tcPr>
          <w:p>
            <w:pPr>
              <w:jc w:val="right"/>
              <w:ind w:right="142"/>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0.67</w:t>
            </w:r>
          </w:p>
        </w:tc>
        <w:tc>
          <w:tcPr>
            <w:tcW w:w="0" w:type="dxa"/>
            <w:vAlign w:val="bottom"/>
          </w:tcPr>
          <w:p>
            <w:pPr>
              <w:spacing w:after="0"/>
              <w:rPr>
                <w:sz w:val="1"/>
                <w:szCs w:val="1"/>
                <w:color w:val="auto"/>
              </w:rPr>
            </w:pPr>
          </w:p>
        </w:tc>
      </w:tr>
    </w:tbl>
    <w:p>
      <w:pPr>
        <w:spacing w:after="0" w:line="30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Three Months Ended June 30, 2021 Compared to Three Months Ended June 30, 2020</w:t>
      </w:r>
    </w:p>
    <w:p>
      <w:pPr>
        <w:spacing w:after="0" w:line="12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Net New Home Orders, Average Selling Communities and Monthly Absorption Rates by Segment</w:t>
      </w:r>
    </w:p>
    <w:p>
      <w:pPr>
        <w:spacing w:after="0" w:line="330"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1620" w:type="dxa"/>
            <w:vAlign w:val="bottom"/>
          </w:tcPr>
          <w:p>
            <w:pPr>
              <w:spacing w:after="0"/>
              <w:rPr>
                <w:sz w:val="16"/>
                <w:szCs w:val="16"/>
                <w:color w:val="auto"/>
              </w:rPr>
            </w:pPr>
          </w:p>
        </w:tc>
        <w:tc>
          <w:tcPr>
            <w:tcW w:w="3100" w:type="dxa"/>
            <w:vAlign w:val="bottom"/>
            <w:gridSpan w:val="6"/>
          </w:tcPr>
          <w:p>
            <w:pPr>
              <w:jc w:val="center"/>
              <w:ind w:right="120"/>
              <w:spacing w:after="0"/>
              <w:rPr>
                <w:sz w:val="20"/>
                <w:szCs w:val="20"/>
                <w:color w:val="auto"/>
              </w:rPr>
            </w:pPr>
            <w:r>
              <w:rPr>
                <w:rFonts w:ascii="Arial" w:cs="Arial" w:eastAsia="Arial" w:hAnsi="Arial"/>
                <w:sz w:val="14"/>
                <w:szCs w:val="14"/>
                <w:b w:val="1"/>
                <w:bCs w:val="1"/>
                <w:color w:val="auto"/>
                <w:w w:val="89"/>
              </w:rPr>
              <w:t>Three Months Ended June 30, 2021</w:t>
            </w:r>
          </w:p>
        </w:tc>
        <w:tc>
          <w:tcPr>
            <w:tcW w:w="3120" w:type="dxa"/>
            <w:vAlign w:val="bottom"/>
            <w:gridSpan w:val="6"/>
          </w:tcPr>
          <w:p>
            <w:pPr>
              <w:jc w:val="center"/>
              <w:ind w:right="100"/>
              <w:spacing w:after="0"/>
              <w:rPr>
                <w:sz w:val="20"/>
                <w:szCs w:val="20"/>
                <w:color w:val="auto"/>
              </w:rPr>
            </w:pPr>
            <w:r>
              <w:rPr>
                <w:rFonts w:ascii="Arial" w:cs="Arial" w:eastAsia="Arial" w:hAnsi="Arial"/>
                <w:sz w:val="14"/>
                <w:szCs w:val="14"/>
                <w:b w:val="1"/>
                <w:bCs w:val="1"/>
                <w:color w:val="auto"/>
                <w:w w:val="89"/>
              </w:rPr>
              <w:t>Three Months Ended June 30, 2020</w:t>
            </w: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gridSpan w:val="2"/>
          </w:tcPr>
          <w:p>
            <w:pPr>
              <w:ind w:left="40"/>
              <w:spacing w:after="0"/>
              <w:rPr>
                <w:sz w:val="20"/>
                <w:szCs w:val="20"/>
                <w:color w:val="auto"/>
              </w:rPr>
            </w:pPr>
            <w:r>
              <w:rPr>
                <w:rFonts w:ascii="Arial" w:cs="Arial" w:eastAsia="Arial" w:hAnsi="Arial"/>
                <w:sz w:val="14"/>
                <w:szCs w:val="14"/>
                <w:b w:val="1"/>
                <w:bCs w:val="1"/>
                <w:color w:val="auto"/>
                <w:w w:val="87"/>
              </w:rPr>
              <w:t>Percentage Change</w:t>
            </w:r>
          </w:p>
        </w:tc>
        <w:tc>
          <w:tcPr>
            <w:tcW w:w="1080" w:type="dxa"/>
            <w:vAlign w:val="bottom"/>
          </w:tcPr>
          <w:p>
            <w:pPr>
              <w:spacing w:after="0"/>
              <w:rPr>
                <w:sz w:val="16"/>
                <w:szCs w:val="16"/>
                <w:color w:val="auto"/>
              </w:rPr>
            </w:pPr>
          </w:p>
        </w:tc>
      </w:tr>
      <w:tr>
        <w:trPr>
          <w:trHeight w:val="129"/>
        </w:trPr>
        <w:tc>
          <w:tcPr>
            <w:tcW w:w="1620" w:type="dxa"/>
            <w:vAlign w:val="bottom"/>
          </w:tcPr>
          <w:p>
            <w:pPr>
              <w:spacing w:after="0"/>
              <w:rPr>
                <w:sz w:val="11"/>
                <w:szCs w:val="11"/>
                <w:color w:val="auto"/>
              </w:rPr>
            </w:pPr>
          </w:p>
        </w:tc>
        <w:tc>
          <w:tcPr>
            <w:tcW w:w="1000" w:type="dxa"/>
            <w:vAlign w:val="bottom"/>
            <w:tcBorders>
              <w:top w:val="single" w:sz="8" w:color="auto"/>
            </w:tcBorders>
            <w:gridSpan w:val="2"/>
          </w:tcPr>
          <w:p>
            <w:pPr>
              <w:jc w:val="center"/>
              <w:ind w:right="120"/>
              <w:spacing w:after="0" w:line="129" w:lineRule="exact"/>
              <w:rPr>
                <w:sz w:val="20"/>
                <w:szCs w:val="20"/>
                <w:color w:val="auto"/>
              </w:rPr>
            </w:pPr>
            <w:r>
              <w:rPr>
                <w:rFonts w:ascii="Arial" w:cs="Arial" w:eastAsia="Arial" w:hAnsi="Arial"/>
                <w:sz w:val="14"/>
                <w:szCs w:val="14"/>
                <w:b w:val="1"/>
                <w:bCs w:val="1"/>
                <w:color w:val="auto"/>
                <w:w w:val="94"/>
              </w:rPr>
              <w:t>Net New</w:t>
            </w:r>
          </w:p>
        </w:tc>
        <w:tc>
          <w:tcPr>
            <w:tcW w:w="1060" w:type="dxa"/>
            <w:vAlign w:val="bottom"/>
            <w:tcBorders>
              <w:top w:val="single" w:sz="8" w:color="auto"/>
            </w:tcBorders>
            <w:gridSpan w:val="2"/>
          </w:tcPr>
          <w:p>
            <w:pPr>
              <w:jc w:val="center"/>
              <w:ind w:right="100"/>
              <w:spacing w:after="0" w:line="129" w:lineRule="exact"/>
              <w:rPr>
                <w:sz w:val="20"/>
                <w:szCs w:val="20"/>
                <w:color w:val="auto"/>
              </w:rPr>
            </w:pPr>
            <w:r>
              <w:rPr>
                <w:rFonts w:ascii="Arial" w:cs="Arial" w:eastAsia="Arial" w:hAnsi="Arial"/>
                <w:sz w:val="14"/>
                <w:szCs w:val="14"/>
                <w:b w:val="1"/>
                <w:bCs w:val="1"/>
                <w:color w:val="auto"/>
                <w:w w:val="86"/>
              </w:rPr>
              <w:t>Average</w:t>
            </w:r>
          </w:p>
        </w:tc>
        <w:tc>
          <w:tcPr>
            <w:tcW w:w="94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3"/>
              </w:rPr>
              <w:t>Monthly</w:t>
            </w:r>
          </w:p>
        </w:tc>
        <w:tc>
          <w:tcPr>
            <w:tcW w:w="100" w:type="dxa"/>
            <w:vAlign w:val="bottom"/>
          </w:tcPr>
          <w:p>
            <w:pPr>
              <w:spacing w:after="0"/>
              <w:rPr>
                <w:sz w:val="11"/>
                <w:szCs w:val="11"/>
                <w:color w:val="auto"/>
              </w:rPr>
            </w:pPr>
          </w:p>
        </w:tc>
        <w:tc>
          <w:tcPr>
            <w:tcW w:w="1020" w:type="dxa"/>
            <w:vAlign w:val="bottom"/>
            <w:tcBorders>
              <w:top w:val="single" w:sz="8" w:color="auto"/>
            </w:tcBorders>
            <w:gridSpan w:val="2"/>
          </w:tcPr>
          <w:p>
            <w:pPr>
              <w:jc w:val="center"/>
              <w:ind w:right="100"/>
              <w:spacing w:after="0" w:line="129" w:lineRule="exact"/>
              <w:rPr>
                <w:sz w:val="20"/>
                <w:szCs w:val="20"/>
                <w:color w:val="auto"/>
              </w:rPr>
            </w:pPr>
            <w:r>
              <w:rPr>
                <w:rFonts w:ascii="Arial" w:cs="Arial" w:eastAsia="Arial" w:hAnsi="Arial"/>
                <w:sz w:val="14"/>
                <w:szCs w:val="14"/>
                <w:b w:val="1"/>
                <w:bCs w:val="1"/>
                <w:color w:val="auto"/>
                <w:w w:val="94"/>
              </w:rPr>
              <w:t>Net New</w:t>
            </w:r>
          </w:p>
        </w:tc>
        <w:tc>
          <w:tcPr>
            <w:tcW w:w="1060" w:type="dxa"/>
            <w:vAlign w:val="bottom"/>
            <w:tcBorders>
              <w:top w:val="single" w:sz="8" w:color="auto"/>
            </w:tcBorders>
            <w:gridSpan w:val="2"/>
          </w:tcPr>
          <w:p>
            <w:pPr>
              <w:jc w:val="center"/>
              <w:ind w:right="100"/>
              <w:spacing w:after="0" w:line="129" w:lineRule="exact"/>
              <w:rPr>
                <w:sz w:val="20"/>
                <w:szCs w:val="20"/>
                <w:color w:val="auto"/>
              </w:rPr>
            </w:pPr>
            <w:r>
              <w:rPr>
                <w:rFonts w:ascii="Arial" w:cs="Arial" w:eastAsia="Arial" w:hAnsi="Arial"/>
                <w:sz w:val="14"/>
                <w:szCs w:val="14"/>
                <w:b w:val="1"/>
                <w:bCs w:val="1"/>
                <w:color w:val="auto"/>
                <w:w w:val="86"/>
              </w:rPr>
              <w:t>Average</w:t>
            </w:r>
          </w:p>
        </w:tc>
        <w:tc>
          <w:tcPr>
            <w:tcW w:w="94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3"/>
              </w:rPr>
              <w:t>Monthly</w:t>
            </w:r>
          </w:p>
        </w:tc>
        <w:tc>
          <w:tcPr>
            <w:tcW w:w="100" w:type="dxa"/>
            <w:vAlign w:val="bottom"/>
          </w:tcPr>
          <w:p>
            <w:pPr>
              <w:spacing w:after="0"/>
              <w:rPr>
                <w:sz w:val="11"/>
                <w:szCs w:val="11"/>
                <w:color w:val="auto"/>
              </w:rPr>
            </w:pPr>
          </w:p>
        </w:tc>
        <w:tc>
          <w:tcPr>
            <w:tcW w:w="1080" w:type="dxa"/>
            <w:vAlign w:val="bottom"/>
            <w:tcBorders>
              <w:top w:val="single" w:sz="8" w:color="auto"/>
            </w:tcBorders>
            <w:gridSpan w:val="2"/>
          </w:tcPr>
          <w:p>
            <w:pPr>
              <w:jc w:val="center"/>
              <w:ind w:right="100"/>
              <w:spacing w:after="0" w:line="129" w:lineRule="exact"/>
              <w:rPr>
                <w:sz w:val="20"/>
                <w:szCs w:val="20"/>
                <w:color w:val="auto"/>
              </w:rPr>
            </w:pPr>
            <w:r>
              <w:rPr>
                <w:rFonts w:ascii="Arial" w:cs="Arial" w:eastAsia="Arial" w:hAnsi="Arial"/>
                <w:sz w:val="14"/>
                <w:szCs w:val="14"/>
                <w:b w:val="1"/>
                <w:bCs w:val="1"/>
                <w:color w:val="auto"/>
                <w:w w:val="90"/>
              </w:rPr>
              <w:t>Net New</w:t>
            </w:r>
          </w:p>
        </w:tc>
        <w:tc>
          <w:tcPr>
            <w:tcW w:w="1200" w:type="dxa"/>
            <w:vAlign w:val="bottom"/>
            <w:tcBorders>
              <w:top w:val="single" w:sz="8" w:color="auto"/>
            </w:tcBorders>
            <w:gridSpan w:val="2"/>
          </w:tcPr>
          <w:p>
            <w:pPr>
              <w:jc w:val="center"/>
              <w:ind w:right="120"/>
              <w:spacing w:after="0" w:line="129" w:lineRule="exact"/>
              <w:rPr>
                <w:sz w:val="20"/>
                <w:szCs w:val="20"/>
                <w:color w:val="auto"/>
              </w:rPr>
            </w:pPr>
            <w:r>
              <w:rPr>
                <w:rFonts w:ascii="Arial" w:cs="Arial" w:eastAsia="Arial" w:hAnsi="Arial"/>
                <w:sz w:val="14"/>
                <w:szCs w:val="14"/>
                <w:b w:val="1"/>
                <w:bCs w:val="1"/>
                <w:color w:val="auto"/>
                <w:w w:val="86"/>
              </w:rPr>
              <w:t>Average</w:t>
            </w:r>
          </w:p>
        </w:tc>
        <w:tc>
          <w:tcPr>
            <w:tcW w:w="10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6"/>
              </w:rPr>
              <w:t>Monthly</w:t>
            </w:r>
          </w:p>
        </w:tc>
      </w:tr>
      <w:tr>
        <w:trPr>
          <w:trHeight w:val="131"/>
        </w:trPr>
        <w:tc>
          <w:tcPr>
            <w:tcW w:w="1620" w:type="dxa"/>
            <w:vAlign w:val="bottom"/>
          </w:tcPr>
          <w:p>
            <w:pPr>
              <w:spacing w:after="0"/>
              <w:rPr>
                <w:sz w:val="11"/>
                <w:szCs w:val="11"/>
                <w:color w:val="auto"/>
              </w:rPr>
            </w:pPr>
          </w:p>
        </w:tc>
        <w:tc>
          <w:tcPr>
            <w:tcW w:w="1000" w:type="dxa"/>
            <w:vAlign w:val="bottom"/>
            <w:gridSpan w:val="2"/>
          </w:tcPr>
          <w:p>
            <w:pPr>
              <w:jc w:val="center"/>
              <w:ind w:right="120"/>
              <w:spacing w:after="0" w:line="131" w:lineRule="exact"/>
              <w:rPr>
                <w:sz w:val="20"/>
                <w:szCs w:val="20"/>
                <w:color w:val="auto"/>
              </w:rPr>
            </w:pPr>
            <w:r>
              <w:rPr>
                <w:rFonts w:ascii="Arial" w:cs="Arial" w:eastAsia="Arial" w:hAnsi="Arial"/>
                <w:sz w:val="14"/>
                <w:szCs w:val="14"/>
                <w:b w:val="1"/>
                <w:bCs w:val="1"/>
                <w:color w:val="auto"/>
                <w:w w:val="92"/>
              </w:rPr>
              <w:t>Home</w:t>
            </w:r>
          </w:p>
        </w:tc>
        <w:tc>
          <w:tcPr>
            <w:tcW w:w="106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7"/>
              </w:rPr>
              <w:t>Selling</w:t>
            </w:r>
          </w:p>
        </w:tc>
        <w:tc>
          <w:tcPr>
            <w:tcW w:w="104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8"/>
              </w:rPr>
              <w:t>Absorption</w:t>
            </w:r>
          </w:p>
        </w:tc>
        <w:tc>
          <w:tcPr>
            <w:tcW w:w="102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92"/>
              </w:rPr>
              <w:t>Home</w:t>
            </w:r>
          </w:p>
        </w:tc>
        <w:tc>
          <w:tcPr>
            <w:tcW w:w="106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7"/>
              </w:rPr>
              <w:t>Selling</w:t>
            </w:r>
          </w:p>
        </w:tc>
        <w:tc>
          <w:tcPr>
            <w:tcW w:w="104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8"/>
              </w:rPr>
              <w:t>Absorption</w:t>
            </w:r>
          </w:p>
        </w:tc>
        <w:tc>
          <w:tcPr>
            <w:tcW w:w="108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7"/>
              </w:rPr>
              <w:t>Home</w:t>
            </w:r>
          </w:p>
        </w:tc>
        <w:tc>
          <w:tcPr>
            <w:tcW w:w="1200" w:type="dxa"/>
            <w:vAlign w:val="bottom"/>
            <w:gridSpan w:val="2"/>
          </w:tcPr>
          <w:p>
            <w:pPr>
              <w:jc w:val="center"/>
              <w:ind w:right="120"/>
              <w:spacing w:after="0" w:line="131" w:lineRule="exact"/>
              <w:rPr>
                <w:sz w:val="20"/>
                <w:szCs w:val="20"/>
                <w:color w:val="auto"/>
              </w:rPr>
            </w:pPr>
            <w:r>
              <w:rPr>
                <w:rFonts w:ascii="Arial" w:cs="Arial" w:eastAsia="Arial" w:hAnsi="Arial"/>
                <w:sz w:val="14"/>
                <w:szCs w:val="14"/>
                <w:b w:val="1"/>
                <w:bCs w:val="1"/>
                <w:color w:val="auto"/>
                <w:w w:val="87"/>
              </w:rPr>
              <w:t>Selling</w:t>
            </w:r>
          </w:p>
        </w:tc>
        <w:tc>
          <w:tcPr>
            <w:tcW w:w="108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91"/>
              </w:rPr>
              <w:t>Absorption</w:t>
            </w:r>
          </w:p>
        </w:tc>
      </w:tr>
      <w:tr>
        <w:trPr>
          <w:trHeight w:val="183"/>
        </w:trPr>
        <w:tc>
          <w:tcPr>
            <w:tcW w:w="1620" w:type="dxa"/>
            <w:vAlign w:val="bottom"/>
          </w:tcPr>
          <w:p>
            <w:pPr>
              <w:spacing w:after="0"/>
              <w:rPr>
                <w:sz w:val="15"/>
                <w:szCs w:val="15"/>
                <w:color w:val="auto"/>
              </w:rPr>
            </w:pPr>
          </w:p>
        </w:tc>
        <w:tc>
          <w:tcPr>
            <w:tcW w:w="10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Orders</w:t>
            </w:r>
          </w:p>
        </w:tc>
        <w:tc>
          <w:tcPr>
            <w:tcW w:w="10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Communities</w:t>
            </w:r>
          </w:p>
        </w:tc>
        <w:tc>
          <w:tcPr>
            <w:tcW w:w="10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9"/>
              </w:rPr>
              <w:t>Rates</w:t>
            </w:r>
          </w:p>
        </w:tc>
        <w:tc>
          <w:tcPr>
            <w:tcW w:w="10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5"/>
              </w:rPr>
              <w:t>Orders</w:t>
            </w:r>
          </w:p>
        </w:tc>
        <w:tc>
          <w:tcPr>
            <w:tcW w:w="10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Communities</w:t>
            </w:r>
          </w:p>
        </w:tc>
        <w:tc>
          <w:tcPr>
            <w:tcW w:w="10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9"/>
              </w:rPr>
              <w:t>Rates</w:t>
            </w:r>
          </w:p>
        </w:tc>
        <w:tc>
          <w:tcPr>
            <w:tcW w:w="10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Orders</w:t>
            </w:r>
          </w:p>
        </w:tc>
        <w:tc>
          <w:tcPr>
            <w:tcW w:w="12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0"/>
              </w:rPr>
              <w:t>Communities</w:t>
            </w: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83"/>
              </w:rPr>
              <w:t>Rates</w:t>
            </w:r>
          </w:p>
        </w:tc>
      </w:tr>
      <w:tr>
        <w:trPr>
          <w:trHeight w:val="203"/>
        </w:trPr>
        <w:tc>
          <w:tcPr>
            <w:tcW w:w="16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West</w:t>
            </w:r>
          </w:p>
        </w:tc>
        <w:tc>
          <w:tcPr>
            <w:tcW w:w="900" w:type="dxa"/>
            <w:vAlign w:val="bottom"/>
            <w:tcBorders>
              <w:top w:val="single" w:sz="8" w:color="auto"/>
            </w:tcBorders>
            <w:shd w:val="clear" w:color="auto" w:fill="CCEEFF"/>
          </w:tcPr>
          <w:p>
            <w:pPr>
              <w:jc w:val="right"/>
              <w:ind w:right="6"/>
              <w:spacing w:after="0"/>
              <w:rPr>
                <w:sz w:val="20"/>
                <w:szCs w:val="20"/>
                <w:color w:val="auto"/>
              </w:rPr>
            </w:pPr>
            <w:r>
              <w:rPr>
                <w:rFonts w:ascii="Arial" w:cs="Arial" w:eastAsia="Arial" w:hAnsi="Arial"/>
                <w:sz w:val="16"/>
                <w:szCs w:val="16"/>
                <w:color w:val="auto"/>
              </w:rPr>
              <w:t>1,133</w:t>
            </w:r>
          </w:p>
        </w:tc>
        <w:tc>
          <w:tcPr>
            <w:tcW w:w="10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6"/>
                <w:szCs w:val="16"/>
                <w:color w:val="auto"/>
              </w:rPr>
              <w:t>71.7</w:t>
            </w:r>
          </w:p>
        </w:tc>
        <w:tc>
          <w:tcPr>
            <w:tcW w:w="100" w:type="dxa"/>
            <w:vAlign w:val="bottom"/>
            <w:tcBorders>
              <w:top w:val="single" w:sz="8" w:color="CCEEFF"/>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w:t>
            </w:r>
          </w:p>
        </w:tc>
        <w:tc>
          <w:tcPr>
            <w:tcW w:w="100" w:type="dxa"/>
            <w:vAlign w:val="bottom"/>
            <w:tcBorders>
              <w:top w:val="single" w:sz="8" w:color="CCEEFF"/>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967</w:t>
            </w:r>
          </w:p>
        </w:tc>
        <w:tc>
          <w:tcPr>
            <w:tcW w:w="10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99.0</w:t>
            </w:r>
          </w:p>
        </w:tc>
        <w:tc>
          <w:tcPr>
            <w:tcW w:w="100" w:type="dxa"/>
            <w:vAlign w:val="bottom"/>
            <w:tcBorders>
              <w:top w:val="single" w:sz="8" w:color="CCEEFF"/>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w:t>
            </w:r>
          </w:p>
        </w:tc>
        <w:tc>
          <w:tcPr>
            <w:tcW w:w="100" w:type="dxa"/>
            <w:vAlign w:val="bottom"/>
            <w:tcBorders>
              <w:top w:val="single" w:sz="8" w:color="CCEEFF"/>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17 %</w:t>
            </w:r>
          </w:p>
        </w:tc>
        <w:tc>
          <w:tcPr>
            <w:tcW w:w="100" w:type="dxa"/>
            <w:vAlign w:val="bottom"/>
            <w:tcBorders>
              <w:top w:val="single" w:sz="8" w:color="CCEEFF"/>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w:t>
            </w:r>
          </w:p>
        </w:tc>
        <w:tc>
          <w:tcPr>
            <w:tcW w:w="100" w:type="dxa"/>
            <w:vAlign w:val="bottom"/>
            <w:tcBorders>
              <w:top w:val="single" w:sz="8" w:color="CCEEFF"/>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62 %</w:t>
            </w:r>
          </w:p>
        </w:tc>
      </w:tr>
      <w:tr>
        <w:trPr>
          <w:trHeight w:val="206"/>
        </w:trPr>
        <w:tc>
          <w:tcPr>
            <w:tcW w:w="1620" w:type="dxa"/>
            <w:vAlign w:val="bottom"/>
          </w:tcPr>
          <w:p>
            <w:pPr>
              <w:ind w:left="20"/>
              <w:spacing w:after="0"/>
              <w:rPr>
                <w:sz w:val="20"/>
                <w:szCs w:val="20"/>
                <w:color w:val="auto"/>
              </w:rPr>
            </w:pPr>
            <w:r>
              <w:rPr>
                <w:rFonts w:ascii="Arial" w:cs="Arial" w:eastAsia="Arial" w:hAnsi="Arial"/>
                <w:sz w:val="16"/>
                <w:szCs w:val="16"/>
                <w:color w:val="auto"/>
              </w:rPr>
              <w:t>Central</w:t>
            </w:r>
          </w:p>
        </w:tc>
        <w:tc>
          <w:tcPr>
            <w:tcW w:w="900" w:type="dxa"/>
            <w:vAlign w:val="bottom"/>
          </w:tcPr>
          <w:p>
            <w:pPr>
              <w:jc w:val="right"/>
              <w:ind w:right="6"/>
              <w:spacing w:after="0"/>
              <w:rPr>
                <w:sz w:val="20"/>
                <w:szCs w:val="20"/>
                <w:color w:val="auto"/>
              </w:rPr>
            </w:pPr>
            <w:r>
              <w:rPr>
                <w:rFonts w:ascii="Arial" w:cs="Arial" w:eastAsia="Arial" w:hAnsi="Arial"/>
                <w:sz w:val="16"/>
                <w:szCs w:val="16"/>
                <w:color w:val="auto"/>
              </w:rPr>
              <w:t>336</w:t>
            </w:r>
          </w:p>
        </w:tc>
        <w:tc>
          <w:tcPr>
            <w:tcW w:w="100" w:type="dxa"/>
            <w:vAlign w:val="bottom"/>
          </w:tcPr>
          <w:p>
            <w:pPr>
              <w:spacing w:after="0"/>
              <w:rPr>
                <w:sz w:val="17"/>
                <w:szCs w:val="17"/>
                <w:color w:val="auto"/>
              </w:rPr>
            </w:pPr>
          </w:p>
        </w:tc>
        <w:tc>
          <w:tcPr>
            <w:tcW w:w="960" w:type="dxa"/>
            <w:vAlign w:val="bottom"/>
          </w:tcPr>
          <w:p>
            <w:pPr>
              <w:jc w:val="right"/>
              <w:ind w:right="5"/>
              <w:spacing w:after="0"/>
              <w:rPr>
                <w:sz w:val="20"/>
                <w:szCs w:val="20"/>
                <w:color w:val="auto"/>
              </w:rPr>
            </w:pPr>
            <w:r>
              <w:rPr>
                <w:rFonts w:ascii="Arial" w:cs="Arial" w:eastAsia="Arial" w:hAnsi="Arial"/>
                <w:sz w:val="16"/>
                <w:szCs w:val="16"/>
                <w:color w:val="auto"/>
              </w:rPr>
              <w:t>27.8</w:t>
            </w:r>
          </w:p>
        </w:tc>
        <w:tc>
          <w:tcPr>
            <w:tcW w:w="1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4.0</w:t>
            </w:r>
          </w:p>
        </w:tc>
        <w:tc>
          <w:tcPr>
            <w:tcW w:w="10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255</w:t>
            </w:r>
          </w:p>
        </w:tc>
        <w:tc>
          <w:tcPr>
            <w:tcW w:w="10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33.5</w:t>
            </w:r>
          </w:p>
        </w:tc>
        <w:tc>
          <w:tcPr>
            <w:tcW w:w="1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2.5</w:t>
            </w:r>
          </w:p>
        </w:tc>
        <w:tc>
          <w:tcPr>
            <w:tcW w:w="10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32 %</w:t>
            </w:r>
          </w:p>
        </w:tc>
        <w:tc>
          <w:tcPr>
            <w:tcW w:w="10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(17)%</w:t>
            </w:r>
          </w:p>
        </w:tc>
        <w:tc>
          <w:tcPr>
            <w:tcW w:w="10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59 %</w:t>
            </w:r>
          </w:p>
        </w:tc>
      </w:tr>
      <w:tr>
        <w:trPr>
          <w:trHeight w:val="209"/>
        </w:trPr>
        <w:tc>
          <w:tcPr>
            <w:tcW w:w="1620" w:type="dxa"/>
            <w:vAlign w:val="bottom"/>
            <w:shd w:val="clear" w:color="auto" w:fill="CCEEFF"/>
          </w:tcPr>
          <w:p>
            <w:pPr>
              <w:ind w:left="20"/>
              <w:spacing w:after="0"/>
              <w:rPr>
                <w:sz w:val="20"/>
                <w:szCs w:val="20"/>
                <w:color w:val="auto"/>
              </w:rPr>
            </w:pPr>
            <w:r>
              <w:rPr>
                <w:rFonts w:ascii="Arial" w:cs="Arial" w:eastAsia="Arial" w:hAnsi="Arial"/>
                <w:sz w:val="16"/>
                <w:szCs w:val="16"/>
                <w:color w:val="auto"/>
              </w:rPr>
              <w:t>East</w:t>
            </w:r>
          </w:p>
        </w:tc>
        <w:tc>
          <w:tcPr>
            <w:tcW w:w="900" w:type="dxa"/>
            <w:vAlign w:val="bottom"/>
            <w:tcBorders>
              <w:bottom w:val="single" w:sz="8" w:color="auto"/>
            </w:tcBorders>
            <w:shd w:val="clear" w:color="auto" w:fill="CCEEFF"/>
          </w:tcPr>
          <w:p>
            <w:pPr>
              <w:jc w:val="right"/>
              <w:ind w:right="6"/>
              <w:spacing w:after="0"/>
              <w:rPr>
                <w:sz w:val="20"/>
                <w:szCs w:val="20"/>
                <w:color w:val="auto"/>
              </w:rPr>
            </w:pPr>
            <w:r>
              <w:rPr>
                <w:rFonts w:ascii="Arial" w:cs="Arial" w:eastAsia="Arial" w:hAnsi="Arial"/>
                <w:sz w:val="16"/>
                <w:szCs w:val="16"/>
                <w:color w:val="auto"/>
              </w:rPr>
              <w:t>153</w:t>
            </w:r>
          </w:p>
        </w:tc>
        <w:tc>
          <w:tcPr>
            <w:tcW w:w="100" w:type="dxa"/>
            <w:vAlign w:val="bottom"/>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6"/>
                <w:szCs w:val="16"/>
                <w:color w:val="auto"/>
              </w:rPr>
              <w:t>15.0</w:t>
            </w:r>
          </w:p>
        </w:tc>
        <w:tc>
          <w:tcPr>
            <w:tcW w:w="100" w:type="dxa"/>
            <w:vAlign w:val="bottom"/>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3.4</w:t>
            </w:r>
          </w:p>
        </w:tc>
        <w:tc>
          <w:tcPr>
            <w:tcW w:w="100" w:type="dxa"/>
            <w:vAlign w:val="bottom"/>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110</w:t>
            </w:r>
          </w:p>
        </w:tc>
        <w:tc>
          <w:tcPr>
            <w:tcW w:w="100" w:type="dxa"/>
            <w:vAlign w:val="bottom"/>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11.8</w:t>
            </w:r>
          </w:p>
        </w:tc>
        <w:tc>
          <w:tcPr>
            <w:tcW w:w="100" w:type="dxa"/>
            <w:vAlign w:val="bottom"/>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39 %</w:t>
            </w:r>
          </w:p>
        </w:tc>
        <w:tc>
          <w:tcPr>
            <w:tcW w:w="100" w:type="dxa"/>
            <w:vAlign w:val="bottom"/>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27 %</w:t>
            </w:r>
          </w:p>
        </w:tc>
        <w:tc>
          <w:tcPr>
            <w:tcW w:w="100" w:type="dxa"/>
            <w:vAlign w:val="bottom"/>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9 %</w:t>
            </w:r>
          </w:p>
        </w:tc>
      </w:tr>
      <w:tr>
        <w:trPr>
          <w:trHeight w:val="205"/>
        </w:trPr>
        <w:tc>
          <w:tcPr>
            <w:tcW w:w="1620" w:type="dxa"/>
            <w:vAlign w:val="bottom"/>
          </w:tcPr>
          <w:p>
            <w:pPr>
              <w:ind w:left="220"/>
              <w:spacing w:after="0"/>
              <w:rPr>
                <w:sz w:val="20"/>
                <w:szCs w:val="20"/>
                <w:color w:val="auto"/>
              </w:rPr>
            </w:pPr>
            <w:r>
              <w:rPr>
                <w:rFonts w:ascii="Arial" w:cs="Arial" w:eastAsia="Arial" w:hAnsi="Arial"/>
                <w:sz w:val="16"/>
                <w:szCs w:val="16"/>
                <w:color w:val="auto"/>
              </w:rPr>
              <w:t>Total</w:t>
            </w:r>
          </w:p>
        </w:tc>
        <w:tc>
          <w:tcPr>
            <w:tcW w:w="900" w:type="dxa"/>
            <w:vAlign w:val="bottom"/>
            <w:tcBorders>
              <w:bottom w:val="single" w:sz="8" w:color="auto"/>
            </w:tcBorders>
          </w:tcPr>
          <w:p>
            <w:pPr>
              <w:jc w:val="right"/>
              <w:ind w:right="6"/>
              <w:spacing w:after="0"/>
              <w:rPr>
                <w:sz w:val="20"/>
                <w:szCs w:val="20"/>
                <w:color w:val="auto"/>
              </w:rPr>
            </w:pPr>
            <w:r>
              <w:rPr>
                <w:rFonts w:ascii="Arial" w:cs="Arial" w:eastAsia="Arial" w:hAnsi="Arial"/>
                <w:sz w:val="16"/>
                <w:szCs w:val="16"/>
                <w:color w:val="auto"/>
              </w:rPr>
              <w:t>1,622</w:t>
            </w:r>
          </w:p>
        </w:tc>
        <w:tc>
          <w:tcPr>
            <w:tcW w:w="100" w:type="dxa"/>
            <w:vAlign w:val="bottom"/>
          </w:tcPr>
          <w:p>
            <w:pPr>
              <w:spacing w:after="0"/>
              <w:rPr>
                <w:sz w:val="17"/>
                <w:szCs w:val="17"/>
                <w:color w:val="auto"/>
              </w:rPr>
            </w:pPr>
          </w:p>
        </w:tc>
        <w:tc>
          <w:tcPr>
            <w:tcW w:w="960" w:type="dxa"/>
            <w:vAlign w:val="bottom"/>
            <w:tcBorders>
              <w:bottom w:val="single" w:sz="8" w:color="auto"/>
            </w:tcBorders>
          </w:tcPr>
          <w:p>
            <w:pPr>
              <w:jc w:val="right"/>
              <w:ind w:right="5"/>
              <w:spacing w:after="0"/>
              <w:rPr>
                <w:sz w:val="20"/>
                <w:szCs w:val="20"/>
                <w:color w:val="auto"/>
              </w:rPr>
            </w:pPr>
            <w:r>
              <w:rPr>
                <w:rFonts w:ascii="Arial" w:cs="Arial" w:eastAsia="Arial" w:hAnsi="Arial"/>
                <w:sz w:val="16"/>
                <w:szCs w:val="16"/>
                <w:color w:val="auto"/>
              </w:rPr>
              <w:t>114.5</w:t>
            </w:r>
          </w:p>
        </w:tc>
        <w:tc>
          <w:tcPr>
            <w:tcW w:w="100" w:type="dxa"/>
            <w:vAlign w:val="bottom"/>
          </w:tcPr>
          <w:p>
            <w:pPr>
              <w:spacing w:after="0"/>
              <w:rPr>
                <w:sz w:val="17"/>
                <w:szCs w:val="17"/>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4.7</w:t>
            </w:r>
          </w:p>
        </w:tc>
        <w:tc>
          <w:tcPr>
            <w:tcW w:w="100" w:type="dxa"/>
            <w:vAlign w:val="bottom"/>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1,332</w:t>
            </w:r>
          </w:p>
        </w:tc>
        <w:tc>
          <w:tcPr>
            <w:tcW w:w="100" w:type="dxa"/>
            <w:vAlign w:val="bottom"/>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144.3</w:t>
            </w:r>
          </w:p>
        </w:tc>
        <w:tc>
          <w:tcPr>
            <w:tcW w:w="100" w:type="dxa"/>
            <w:vAlign w:val="bottom"/>
          </w:tcPr>
          <w:p>
            <w:pPr>
              <w:spacing w:after="0"/>
              <w:rPr>
                <w:sz w:val="17"/>
                <w:szCs w:val="17"/>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w:t>
            </w:r>
          </w:p>
        </w:tc>
        <w:tc>
          <w:tcPr>
            <w:tcW w:w="100" w:type="dxa"/>
            <w:vAlign w:val="bottom"/>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22 %</w:t>
            </w:r>
          </w:p>
        </w:tc>
        <w:tc>
          <w:tcPr>
            <w:tcW w:w="100" w:type="dxa"/>
            <w:vAlign w:val="bottom"/>
          </w:tcPr>
          <w:p>
            <w:pPr>
              <w:spacing w:after="0"/>
              <w:rPr>
                <w:sz w:val="17"/>
                <w:szCs w:val="17"/>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w:t>
            </w:r>
          </w:p>
        </w:tc>
        <w:tc>
          <w:tcPr>
            <w:tcW w:w="100" w:type="dxa"/>
            <w:vAlign w:val="bottom"/>
          </w:tcPr>
          <w:p>
            <w:pPr>
              <w:spacing w:after="0"/>
              <w:rPr>
                <w:sz w:val="17"/>
                <w:szCs w:val="17"/>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53 %</w:t>
            </w:r>
          </w:p>
        </w:tc>
      </w:tr>
      <w:tr>
        <w:trPr>
          <w:trHeight w:val="20"/>
        </w:trPr>
        <w:tc>
          <w:tcPr>
            <w:tcW w:w="16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- 28 -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81" w:right="339" w:bottom="1440" w:gutter="0" w:footer="0" w:header="0"/>
        </w:sectPr>
      </w:pPr>
    </w:p>
    <w:bookmarkStart w:id="29" w:name="page30"/>
    <w:bookmarkEnd w:id="29"/>
    <w:p>
      <w:pPr>
        <w:ind w:right="140" w:firstLine="470"/>
        <w:spacing w:after="0" w:line="282" w:lineRule="auto"/>
        <w:rPr>
          <w:sz w:val="20"/>
          <w:szCs w:val="20"/>
          <w:color w:val="auto"/>
        </w:rPr>
      </w:pPr>
      <w:r>
        <w:rPr>
          <w:rFonts w:ascii="Arial" w:cs="Arial" w:eastAsia="Arial" w:hAnsi="Arial"/>
          <w:sz w:val="16"/>
          <w:szCs w:val="16"/>
          <w:color w:val="auto"/>
        </w:rPr>
        <w:t>Net new home orders for the three months ended June 30, 2021 increased by 290, or 22%, to 1,622, compared to 1,332 during the prior-year period. The increase in net new home orders was due to a 53% increase in monthly absorption rates, offset by a 20% decrease in average selling communities. New home order demand was exceptionally strong throughout the quarter as mortgage interest rates remained below historical levels and available housing inventory remained low. The strong demand environment, which has persisted since June 2020, has remained well above historical averages and has contributed to an overall decrease in our active selling communities due to the accelerated rate of sales activity and community close outs. We expect our community count to grow throughout the second half of 2021 as new communities in our pipeline begin to open in the forthcoming quarters.</w:t>
      </w:r>
    </w:p>
    <w:p>
      <w:pPr>
        <w:spacing w:after="0" w:line="167" w:lineRule="exact"/>
        <w:rPr>
          <w:sz w:val="20"/>
          <w:szCs w:val="20"/>
          <w:color w:val="auto"/>
        </w:rPr>
      </w:pPr>
    </w:p>
    <w:p>
      <w:pPr>
        <w:ind w:firstLine="470"/>
        <w:spacing w:after="0" w:line="259" w:lineRule="auto"/>
        <w:rPr>
          <w:sz w:val="20"/>
          <w:szCs w:val="20"/>
          <w:color w:val="auto"/>
        </w:rPr>
      </w:pPr>
      <w:r>
        <w:rPr>
          <w:rFonts w:ascii="Arial" w:cs="Arial" w:eastAsia="Arial" w:hAnsi="Arial"/>
          <w:sz w:val="16"/>
          <w:szCs w:val="16"/>
          <w:color w:val="auto"/>
        </w:rPr>
        <w:t>Our West segment reported a 17% increase in net new home orders driven by a 62% increase in monthly absorption rate offset by a 28% decrease in average selling communities. As mentioned above, the demand environment during the first quarter was exceptionally strong, which we experienced in all of our markets in our West segment, as reflected by the 5.3 monthly absorption rate. The sustained high absorption rates we experienced in the current-year period contributed to a decline in average selling communities, as our rate of community close outs accelerated beyond our current capacity to open new ones. As we enter the second half of 2021, however, we anticipate that the number of new community openings will begin to largely offset and potentially eclipse our rate of close outs. Our Central segment reported a 32% increase in net new home orders due to a 59% increase in monthly absorption rates, offset by a 17% decrease in average selling communities. Absorption rates achieved in our Central segment remained strong, as both Texas and Colorado remain increasingly desirable locations due, in part, to in-migration trends as to such states. Our East segment reported a 39% increase in net new home orders due to a 27% increase in average selling communities along with a 9% increase in monthly absorption rates. While the order growth and absorption rate increases in the markets in our East segment were less significant as compared to our consolidated results, demand levels in the markets in our East segment remain strong, as evidenced by our 3.4 monthly absorption rate during the quarter. Community growth in our East segment was due in large part to our operations in Charlotte and Raleigh, North Carolina, where we commenced selling homes during the second half of 2020, as all activity in the East region during the prior-year period occurred in our DC Metro market.</w:t>
      </w:r>
    </w:p>
    <w:p>
      <w:pPr>
        <w:spacing w:after="0" w:line="28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Backlog Units, Dollar Value and Average Sales Price by Segment (dollars in thousands)</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1740" w:type="dxa"/>
            <w:vAlign w:val="bottom"/>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89"/>
              </w:rPr>
              <w:t>As of June 30, 2021</w:t>
            </w: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jc w:val="center"/>
              <w:ind w:right="100"/>
              <w:spacing w:after="0"/>
              <w:rPr>
                <w:sz w:val="20"/>
                <w:szCs w:val="20"/>
                <w:color w:val="auto"/>
              </w:rPr>
            </w:pPr>
            <w:r>
              <w:rPr>
                <w:rFonts w:ascii="Arial" w:cs="Arial" w:eastAsia="Arial" w:hAnsi="Arial"/>
                <w:sz w:val="14"/>
                <w:szCs w:val="14"/>
                <w:b w:val="1"/>
                <w:bCs w:val="1"/>
                <w:color w:val="auto"/>
                <w:w w:val="87"/>
              </w:rPr>
              <w:t>As of June 30, 2020</w:t>
            </w:r>
          </w:p>
        </w:tc>
        <w:tc>
          <w:tcPr>
            <w:tcW w:w="1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7"/>
              </w:rPr>
              <w:t>Percentage Change</w:t>
            </w: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9"/>
        </w:trPr>
        <w:tc>
          <w:tcPr>
            <w:tcW w:w="1740" w:type="dxa"/>
            <w:vAlign w:val="bottom"/>
          </w:tcPr>
          <w:p>
            <w:pPr>
              <w:spacing w:after="0"/>
              <w:rPr>
                <w:sz w:val="11"/>
                <w:szCs w:val="11"/>
                <w:color w:val="auto"/>
              </w:rPr>
            </w:pPr>
          </w:p>
        </w:tc>
        <w:tc>
          <w:tcPr>
            <w:tcW w:w="780" w:type="dxa"/>
            <w:vAlign w:val="bottom"/>
            <w:vMerge w:val="restart"/>
          </w:tcPr>
          <w:p>
            <w:pPr>
              <w:jc w:val="right"/>
              <w:ind w:right="85"/>
              <w:spacing w:after="0"/>
              <w:rPr>
                <w:sz w:val="20"/>
                <w:szCs w:val="20"/>
                <w:color w:val="auto"/>
              </w:rPr>
            </w:pPr>
            <w:r>
              <w:rPr>
                <w:rFonts w:ascii="Arial" w:cs="Arial" w:eastAsia="Arial" w:hAnsi="Arial"/>
                <w:sz w:val="14"/>
                <w:szCs w:val="14"/>
                <w:b w:val="1"/>
                <w:bCs w:val="1"/>
                <w:color w:val="auto"/>
              </w:rPr>
              <w:t>Backlog</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80" w:type="dxa"/>
            <w:vAlign w:val="bottom"/>
            <w:gridSpan w:val="2"/>
          </w:tcPr>
          <w:p>
            <w:pPr>
              <w:jc w:val="center"/>
              <w:ind w:right="300"/>
              <w:spacing w:after="0" w:line="129" w:lineRule="exact"/>
              <w:rPr>
                <w:sz w:val="20"/>
                <w:szCs w:val="20"/>
                <w:color w:val="auto"/>
              </w:rPr>
            </w:pPr>
            <w:r>
              <w:rPr>
                <w:rFonts w:ascii="Arial" w:cs="Arial" w:eastAsia="Arial" w:hAnsi="Arial"/>
                <w:sz w:val="14"/>
                <w:szCs w:val="14"/>
                <w:b w:val="1"/>
                <w:bCs w:val="1"/>
                <w:color w:val="auto"/>
                <w:w w:val="88"/>
              </w:rPr>
              <w:t>Backlog</w:t>
            </w:r>
          </w:p>
        </w:tc>
        <w:tc>
          <w:tcPr>
            <w:tcW w:w="120" w:type="dxa"/>
            <w:vAlign w:val="bottom"/>
          </w:tcPr>
          <w:p>
            <w:pPr>
              <w:spacing w:after="0"/>
              <w:rPr>
                <w:sz w:val="11"/>
                <w:szCs w:val="11"/>
                <w:color w:val="auto"/>
              </w:rPr>
            </w:pPr>
          </w:p>
        </w:tc>
        <w:tc>
          <w:tcPr>
            <w:tcW w:w="660" w:type="dxa"/>
            <w:vAlign w:val="bottom"/>
          </w:tcPr>
          <w:p>
            <w:pPr>
              <w:jc w:val="center"/>
              <w:ind w:right="65"/>
              <w:spacing w:after="0" w:line="129" w:lineRule="exact"/>
              <w:rPr>
                <w:sz w:val="20"/>
                <w:szCs w:val="20"/>
                <w:color w:val="auto"/>
              </w:rPr>
            </w:pPr>
            <w:r>
              <w:rPr>
                <w:rFonts w:ascii="Arial" w:cs="Arial" w:eastAsia="Arial" w:hAnsi="Arial"/>
                <w:sz w:val="14"/>
                <w:szCs w:val="14"/>
                <w:b w:val="1"/>
                <w:bCs w:val="1"/>
                <w:color w:val="auto"/>
                <w:w w:val="86"/>
              </w:rPr>
              <w:t>Average</w:t>
            </w:r>
          </w:p>
        </w:tc>
        <w:tc>
          <w:tcPr>
            <w:tcW w:w="100" w:type="dxa"/>
            <w:vAlign w:val="bottom"/>
          </w:tcPr>
          <w:p>
            <w:pPr>
              <w:spacing w:after="0"/>
              <w:rPr>
                <w:sz w:val="11"/>
                <w:szCs w:val="11"/>
                <w:color w:val="auto"/>
              </w:rPr>
            </w:pPr>
          </w:p>
        </w:tc>
        <w:tc>
          <w:tcPr>
            <w:tcW w:w="9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Backlog</w:t>
            </w:r>
          </w:p>
        </w:tc>
        <w:tc>
          <w:tcPr>
            <w:tcW w:w="200" w:type="dxa"/>
            <w:vAlign w:val="bottom"/>
          </w:tcPr>
          <w:p>
            <w:pPr>
              <w:spacing w:after="0"/>
              <w:rPr>
                <w:sz w:val="11"/>
                <w:szCs w:val="11"/>
                <w:color w:val="auto"/>
              </w:rPr>
            </w:pPr>
          </w:p>
        </w:tc>
        <w:tc>
          <w:tcPr>
            <w:tcW w:w="1040" w:type="dxa"/>
            <w:vAlign w:val="bottom"/>
            <w:gridSpan w:val="2"/>
          </w:tcPr>
          <w:p>
            <w:pPr>
              <w:jc w:val="center"/>
              <w:ind w:right="320"/>
              <w:spacing w:after="0" w:line="129" w:lineRule="exact"/>
              <w:rPr>
                <w:sz w:val="20"/>
                <w:szCs w:val="20"/>
                <w:color w:val="auto"/>
              </w:rPr>
            </w:pPr>
            <w:r>
              <w:rPr>
                <w:rFonts w:ascii="Arial" w:cs="Arial" w:eastAsia="Arial" w:hAnsi="Arial"/>
                <w:sz w:val="14"/>
                <w:szCs w:val="14"/>
                <w:b w:val="1"/>
                <w:bCs w:val="1"/>
                <w:color w:val="auto"/>
                <w:w w:val="88"/>
              </w:rPr>
              <w:t>Backlog</w:t>
            </w:r>
          </w:p>
        </w:tc>
        <w:tc>
          <w:tcPr>
            <w:tcW w:w="120" w:type="dxa"/>
            <w:vAlign w:val="bottom"/>
          </w:tcPr>
          <w:p>
            <w:pPr>
              <w:spacing w:after="0"/>
              <w:rPr>
                <w:sz w:val="11"/>
                <w:szCs w:val="11"/>
                <w:color w:val="auto"/>
              </w:rPr>
            </w:pPr>
          </w:p>
        </w:tc>
        <w:tc>
          <w:tcPr>
            <w:tcW w:w="680" w:type="dxa"/>
            <w:vAlign w:val="bottom"/>
          </w:tcPr>
          <w:p>
            <w:pPr>
              <w:jc w:val="center"/>
              <w:ind w:right="45"/>
              <w:spacing w:after="0" w:line="129" w:lineRule="exact"/>
              <w:rPr>
                <w:sz w:val="20"/>
                <w:szCs w:val="20"/>
                <w:color w:val="auto"/>
              </w:rPr>
            </w:pPr>
            <w:r>
              <w:rPr>
                <w:rFonts w:ascii="Arial" w:cs="Arial" w:eastAsia="Arial" w:hAnsi="Arial"/>
                <w:sz w:val="14"/>
                <w:szCs w:val="14"/>
                <w:b w:val="1"/>
                <w:bCs w:val="1"/>
                <w:color w:val="auto"/>
                <w:w w:val="86"/>
              </w:rPr>
              <w:t>Average</w:t>
            </w:r>
          </w:p>
        </w:tc>
        <w:tc>
          <w:tcPr>
            <w:tcW w:w="100" w:type="dxa"/>
            <w:vAlign w:val="bottom"/>
          </w:tcPr>
          <w:p>
            <w:pPr>
              <w:spacing w:after="0"/>
              <w:rPr>
                <w:sz w:val="11"/>
                <w:szCs w:val="11"/>
                <w:color w:val="auto"/>
              </w:rPr>
            </w:pPr>
          </w:p>
        </w:tc>
        <w:tc>
          <w:tcPr>
            <w:tcW w:w="1060" w:type="dxa"/>
            <w:vAlign w:val="bottom"/>
            <w:vMerge w:val="restart"/>
          </w:tcPr>
          <w:p>
            <w:pPr>
              <w:jc w:val="right"/>
              <w:ind w:right="205"/>
              <w:spacing w:after="0"/>
              <w:rPr>
                <w:sz w:val="20"/>
                <w:szCs w:val="20"/>
                <w:color w:val="auto"/>
              </w:rPr>
            </w:pPr>
            <w:r>
              <w:rPr>
                <w:rFonts w:ascii="Arial" w:cs="Arial" w:eastAsia="Arial" w:hAnsi="Arial"/>
                <w:sz w:val="14"/>
                <w:szCs w:val="14"/>
                <w:b w:val="1"/>
                <w:bCs w:val="1"/>
                <w:color w:val="auto"/>
              </w:rPr>
              <w:t>Backlog</w:t>
            </w:r>
          </w:p>
        </w:tc>
        <w:tc>
          <w:tcPr>
            <w:tcW w:w="120" w:type="dxa"/>
            <w:vAlign w:val="bottom"/>
          </w:tcPr>
          <w:p>
            <w:pPr>
              <w:spacing w:after="0"/>
              <w:rPr>
                <w:sz w:val="11"/>
                <w:szCs w:val="11"/>
                <w:color w:val="auto"/>
              </w:rPr>
            </w:pPr>
          </w:p>
        </w:tc>
        <w:tc>
          <w:tcPr>
            <w:tcW w:w="1160" w:type="dxa"/>
            <w:vAlign w:val="bottom"/>
            <w:gridSpan w:val="2"/>
          </w:tcPr>
          <w:p>
            <w:pPr>
              <w:jc w:val="center"/>
              <w:ind w:right="120"/>
              <w:spacing w:after="0" w:line="129" w:lineRule="exact"/>
              <w:rPr>
                <w:sz w:val="20"/>
                <w:szCs w:val="20"/>
                <w:color w:val="auto"/>
              </w:rPr>
            </w:pPr>
            <w:r>
              <w:rPr>
                <w:rFonts w:ascii="Arial" w:cs="Arial" w:eastAsia="Arial" w:hAnsi="Arial"/>
                <w:sz w:val="14"/>
                <w:szCs w:val="14"/>
                <w:b w:val="1"/>
                <w:bCs w:val="1"/>
                <w:color w:val="auto"/>
                <w:w w:val="88"/>
              </w:rPr>
              <w:t>Backlog</w:t>
            </w:r>
          </w:p>
        </w:tc>
        <w:tc>
          <w:tcPr>
            <w:tcW w:w="1080" w:type="dxa"/>
            <w:vAlign w:val="bottom"/>
          </w:tcPr>
          <w:p>
            <w:pPr>
              <w:jc w:val="right"/>
              <w:ind w:right="225"/>
              <w:spacing w:after="0" w:line="129" w:lineRule="exact"/>
              <w:rPr>
                <w:sz w:val="20"/>
                <w:szCs w:val="20"/>
                <w:color w:val="auto"/>
              </w:rPr>
            </w:pPr>
            <w:r>
              <w:rPr>
                <w:rFonts w:ascii="Arial" w:cs="Arial" w:eastAsia="Arial" w:hAnsi="Arial"/>
                <w:sz w:val="14"/>
                <w:szCs w:val="14"/>
                <w:b w:val="1"/>
                <w:bCs w:val="1"/>
                <w:color w:val="auto"/>
              </w:rPr>
              <w:t>Average</w:t>
            </w:r>
          </w:p>
        </w:tc>
        <w:tc>
          <w:tcPr>
            <w:tcW w:w="0" w:type="dxa"/>
            <w:vAlign w:val="bottom"/>
          </w:tcPr>
          <w:p>
            <w:pPr>
              <w:spacing w:after="0"/>
              <w:rPr>
                <w:sz w:val="1"/>
                <w:szCs w:val="1"/>
                <w:color w:val="auto"/>
              </w:rPr>
            </w:pPr>
          </w:p>
        </w:tc>
      </w:tr>
      <w:tr>
        <w:trPr>
          <w:trHeight w:val="131"/>
        </w:trPr>
        <w:tc>
          <w:tcPr>
            <w:tcW w:w="1740" w:type="dxa"/>
            <w:vAlign w:val="bottom"/>
          </w:tcPr>
          <w:p>
            <w:pPr>
              <w:spacing w:after="0"/>
              <w:rPr>
                <w:sz w:val="11"/>
                <w:szCs w:val="11"/>
                <w:color w:val="auto"/>
              </w:rPr>
            </w:pPr>
          </w:p>
        </w:tc>
        <w:tc>
          <w:tcPr>
            <w:tcW w:w="78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80" w:type="dxa"/>
            <w:vAlign w:val="bottom"/>
            <w:gridSpan w:val="2"/>
          </w:tcPr>
          <w:p>
            <w:pPr>
              <w:jc w:val="center"/>
              <w:ind w:right="320"/>
              <w:spacing w:after="0" w:line="131" w:lineRule="exact"/>
              <w:rPr>
                <w:sz w:val="20"/>
                <w:szCs w:val="20"/>
                <w:color w:val="auto"/>
              </w:rPr>
            </w:pPr>
            <w:r>
              <w:rPr>
                <w:rFonts w:ascii="Arial" w:cs="Arial" w:eastAsia="Arial" w:hAnsi="Arial"/>
                <w:sz w:val="14"/>
                <w:szCs w:val="14"/>
                <w:b w:val="1"/>
                <w:bCs w:val="1"/>
                <w:color w:val="auto"/>
                <w:w w:val="95"/>
              </w:rPr>
              <w:t>Dollar</w:t>
            </w:r>
          </w:p>
        </w:tc>
        <w:tc>
          <w:tcPr>
            <w:tcW w:w="120" w:type="dxa"/>
            <w:vAlign w:val="bottom"/>
          </w:tcPr>
          <w:p>
            <w:pPr>
              <w:spacing w:after="0"/>
              <w:rPr>
                <w:sz w:val="11"/>
                <w:szCs w:val="11"/>
                <w:color w:val="auto"/>
              </w:rPr>
            </w:pPr>
          </w:p>
        </w:tc>
        <w:tc>
          <w:tcPr>
            <w:tcW w:w="760" w:type="dxa"/>
            <w:vAlign w:val="bottom"/>
            <w:gridSpan w:val="2"/>
          </w:tcPr>
          <w:p>
            <w:pPr>
              <w:jc w:val="center"/>
              <w:ind w:right="220"/>
              <w:spacing w:after="0" w:line="131" w:lineRule="exact"/>
              <w:rPr>
                <w:sz w:val="20"/>
                <w:szCs w:val="20"/>
                <w:color w:val="auto"/>
              </w:rPr>
            </w:pPr>
            <w:r>
              <w:rPr>
                <w:rFonts w:ascii="Arial" w:cs="Arial" w:eastAsia="Arial" w:hAnsi="Arial"/>
                <w:sz w:val="14"/>
                <w:szCs w:val="14"/>
                <w:b w:val="1"/>
                <w:bCs w:val="1"/>
                <w:color w:val="auto"/>
                <w:w w:val="81"/>
              </w:rPr>
              <w:t>Sales</w:t>
            </w:r>
          </w:p>
        </w:tc>
        <w:tc>
          <w:tcPr>
            <w:tcW w:w="900" w:type="dxa"/>
            <w:vAlign w:val="bottom"/>
            <w:gridSpan w:val="2"/>
            <w:vMerge w:val="continue"/>
          </w:tcPr>
          <w:p>
            <w:pPr>
              <w:spacing w:after="0"/>
              <w:rPr>
                <w:sz w:val="11"/>
                <w:szCs w:val="11"/>
                <w:color w:val="auto"/>
              </w:rPr>
            </w:pPr>
          </w:p>
        </w:tc>
        <w:tc>
          <w:tcPr>
            <w:tcW w:w="200" w:type="dxa"/>
            <w:vAlign w:val="bottom"/>
          </w:tcPr>
          <w:p>
            <w:pPr>
              <w:spacing w:after="0"/>
              <w:rPr>
                <w:sz w:val="11"/>
                <w:szCs w:val="11"/>
                <w:color w:val="auto"/>
              </w:rPr>
            </w:pPr>
          </w:p>
        </w:tc>
        <w:tc>
          <w:tcPr>
            <w:tcW w:w="1040" w:type="dxa"/>
            <w:vAlign w:val="bottom"/>
            <w:gridSpan w:val="2"/>
          </w:tcPr>
          <w:p>
            <w:pPr>
              <w:jc w:val="center"/>
              <w:ind w:right="300"/>
              <w:spacing w:after="0" w:line="131" w:lineRule="exact"/>
              <w:rPr>
                <w:sz w:val="20"/>
                <w:szCs w:val="20"/>
                <w:color w:val="auto"/>
              </w:rPr>
            </w:pPr>
            <w:r>
              <w:rPr>
                <w:rFonts w:ascii="Arial" w:cs="Arial" w:eastAsia="Arial" w:hAnsi="Arial"/>
                <w:sz w:val="14"/>
                <w:szCs w:val="14"/>
                <w:b w:val="1"/>
                <w:bCs w:val="1"/>
                <w:color w:val="auto"/>
                <w:w w:val="95"/>
              </w:rPr>
              <w:t>Dollar</w:t>
            </w:r>
          </w:p>
        </w:tc>
        <w:tc>
          <w:tcPr>
            <w:tcW w:w="120" w:type="dxa"/>
            <w:vAlign w:val="bottom"/>
          </w:tcPr>
          <w:p>
            <w:pPr>
              <w:spacing w:after="0"/>
              <w:rPr>
                <w:sz w:val="11"/>
                <w:szCs w:val="11"/>
                <w:color w:val="auto"/>
              </w:rPr>
            </w:pPr>
          </w:p>
        </w:tc>
        <w:tc>
          <w:tcPr>
            <w:tcW w:w="780" w:type="dxa"/>
            <w:vAlign w:val="bottom"/>
            <w:gridSpan w:val="2"/>
          </w:tcPr>
          <w:p>
            <w:pPr>
              <w:jc w:val="center"/>
              <w:ind w:right="240"/>
              <w:spacing w:after="0" w:line="131" w:lineRule="exact"/>
              <w:rPr>
                <w:sz w:val="20"/>
                <w:szCs w:val="20"/>
                <w:color w:val="auto"/>
              </w:rPr>
            </w:pPr>
            <w:r>
              <w:rPr>
                <w:rFonts w:ascii="Arial" w:cs="Arial" w:eastAsia="Arial" w:hAnsi="Arial"/>
                <w:sz w:val="14"/>
                <w:szCs w:val="14"/>
                <w:b w:val="1"/>
                <w:bCs w:val="1"/>
                <w:color w:val="auto"/>
                <w:w w:val="81"/>
              </w:rPr>
              <w:t>Sales</w:t>
            </w:r>
          </w:p>
        </w:tc>
        <w:tc>
          <w:tcPr>
            <w:tcW w:w="106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116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95"/>
              </w:rPr>
              <w:t>Dollar</w:t>
            </w:r>
          </w:p>
        </w:tc>
        <w:tc>
          <w:tcPr>
            <w:tcW w:w="1080" w:type="dxa"/>
            <w:vAlign w:val="bottom"/>
          </w:tcPr>
          <w:p>
            <w:pPr>
              <w:jc w:val="right"/>
              <w:ind w:right="305"/>
              <w:spacing w:after="0" w:line="131" w:lineRule="exact"/>
              <w:rPr>
                <w:sz w:val="20"/>
                <w:szCs w:val="20"/>
                <w:color w:val="auto"/>
              </w:rPr>
            </w:pPr>
            <w:r>
              <w:rPr>
                <w:rFonts w:ascii="Arial" w:cs="Arial" w:eastAsia="Arial" w:hAnsi="Arial"/>
                <w:sz w:val="14"/>
                <w:szCs w:val="14"/>
                <w:b w:val="1"/>
                <w:bCs w:val="1"/>
                <w:color w:val="auto"/>
              </w:rPr>
              <w:t>Sales</w:t>
            </w:r>
          </w:p>
        </w:tc>
        <w:tc>
          <w:tcPr>
            <w:tcW w:w="0" w:type="dxa"/>
            <w:vAlign w:val="bottom"/>
          </w:tcPr>
          <w:p>
            <w:pPr>
              <w:spacing w:after="0"/>
              <w:rPr>
                <w:sz w:val="1"/>
                <w:szCs w:val="1"/>
                <w:color w:val="auto"/>
              </w:rPr>
            </w:pPr>
          </w:p>
        </w:tc>
      </w:tr>
      <w:tr>
        <w:trPr>
          <w:trHeight w:val="183"/>
        </w:trPr>
        <w:tc>
          <w:tcPr>
            <w:tcW w:w="1740" w:type="dxa"/>
            <w:vAlign w:val="bottom"/>
            <w:tcBorders>
              <w:bottom w:val="single" w:sz="8" w:color="CCEEFF"/>
            </w:tcBorders>
          </w:tcPr>
          <w:p>
            <w:pPr>
              <w:spacing w:after="0"/>
              <w:rPr>
                <w:sz w:val="15"/>
                <w:szCs w:val="15"/>
                <w:color w:val="auto"/>
              </w:rPr>
            </w:pPr>
          </w:p>
        </w:tc>
        <w:tc>
          <w:tcPr>
            <w:tcW w:w="780" w:type="dxa"/>
            <w:vAlign w:val="bottom"/>
            <w:tcBorders>
              <w:bottom w:val="single" w:sz="8" w:color="auto"/>
            </w:tcBorders>
          </w:tcPr>
          <w:p>
            <w:pPr>
              <w:jc w:val="right"/>
              <w:ind w:right="165"/>
              <w:spacing w:after="0"/>
              <w:rPr>
                <w:sz w:val="20"/>
                <w:szCs w:val="20"/>
                <w:color w:val="auto"/>
              </w:rPr>
            </w:pPr>
            <w:r>
              <w:rPr>
                <w:rFonts w:ascii="Arial" w:cs="Arial" w:eastAsia="Arial" w:hAnsi="Arial"/>
                <w:sz w:val="14"/>
                <w:szCs w:val="14"/>
                <w:b w:val="1"/>
                <w:bCs w:val="1"/>
                <w:color w:val="auto"/>
              </w:rPr>
              <w:t>Units</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center"/>
              <w:ind w:right="125"/>
              <w:spacing w:after="0"/>
              <w:rPr>
                <w:sz w:val="20"/>
                <w:szCs w:val="20"/>
                <w:color w:val="auto"/>
              </w:rPr>
            </w:pPr>
            <w:r>
              <w:rPr>
                <w:rFonts w:ascii="Arial" w:cs="Arial" w:eastAsia="Arial" w:hAnsi="Arial"/>
                <w:sz w:val="14"/>
                <w:szCs w:val="14"/>
                <w:b w:val="1"/>
                <w:bCs w:val="1"/>
                <w:color w:val="auto"/>
                <w:w w:val="90"/>
              </w:rPr>
              <w:t>Value</w:t>
            </w:r>
          </w:p>
        </w:tc>
        <w:tc>
          <w:tcPr>
            <w:tcW w:w="12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center"/>
              <w:ind w:right="45"/>
              <w:spacing w:after="0"/>
              <w:rPr>
                <w:sz w:val="20"/>
                <w:szCs w:val="20"/>
                <w:color w:val="auto"/>
              </w:rPr>
            </w:pPr>
            <w:r>
              <w:rPr>
                <w:rFonts w:ascii="Arial" w:cs="Arial" w:eastAsia="Arial" w:hAnsi="Arial"/>
                <w:sz w:val="14"/>
                <w:szCs w:val="14"/>
                <w:b w:val="1"/>
                <w:bCs w:val="1"/>
                <w:color w:val="auto"/>
                <w:w w:val="87"/>
              </w:rPr>
              <w:t>Price</w:t>
            </w:r>
          </w:p>
        </w:tc>
        <w:tc>
          <w:tcPr>
            <w:tcW w:w="100" w:type="dxa"/>
            <w:vAlign w:val="bottom"/>
            <w:tcBorders>
              <w:bottom w:val="single" w:sz="8" w:color="CCEEFF"/>
            </w:tcBorders>
          </w:tcPr>
          <w:p>
            <w:pPr>
              <w:spacing w:after="0"/>
              <w:rPr>
                <w:sz w:val="15"/>
                <w:szCs w:val="15"/>
                <w:color w:val="auto"/>
              </w:rPr>
            </w:pPr>
          </w:p>
        </w:tc>
        <w:tc>
          <w:tcPr>
            <w:tcW w:w="780" w:type="dxa"/>
            <w:vAlign w:val="bottom"/>
            <w:tcBorders>
              <w:bottom w:val="single" w:sz="8" w:color="auto"/>
            </w:tcBorders>
          </w:tcPr>
          <w:p>
            <w:pPr>
              <w:jc w:val="right"/>
              <w:ind w:right="145"/>
              <w:spacing w:after="0"/>
              <w:rPr>
                <w:sz w:val="20"/>
                <w:szCs w:val="20"/>
                <w:color w:val="auto"/>
              </w:rPr>
            </w:pPr>
            <w:r>
              <w:rPr>
                <w:rFonts w:ascii="Arial" w:cs="Arial" w:eastAsia="Arial" w:hAnsi="Arial"/>
                <w:sz w:val="14"/>
                <w:szCs w:val="14"/>
                <w:b w:val="1"/>
                <w:bCs w:val="1"/>
                <w:color w:val="auto"/>
              </w:rPr>
              <w:t>Units</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center"/>
              <w:ind w:right="125"/>
              <w:spacing w:after="0"/>
              <w:rPr>
                <w:sz w:val="20"/>
                <w:szCs w:val="20"/>
                <w:color w:val="auto"/>
              </w:rPr>
            </w:pPr>
            <w:r>
              <w:rPr>
                <w:rFonts w:ascii="Arial" w:cs="Arial" w:eastAsia="Arial" w:hAnsi="Arial"/>
                <w:sz w:val="14"/>
                <w:szCs w:val="14"/>
                <w:b w:val="1"/>
                <w:bCs w:val="1"/>
                <w:color w:val="auto"/>
                <w:w w:val="90"/>
              </w:rPr>
              <w:t>Value</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center"/>
              <w:ind w:right="4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5"/>
                <w:szCs w:val="15"/>
                <w:color w:val="auto"/>
              </w:rPr>
            </w:pPr>
          </w:p>
        </w:tc>
        <w:tc>
          <w:tcPr>
            <w:tcW w:w="1060" w:type="dxa"/>
            <w:vAlign w:val="bottom"/>
            <w:tcBorders>
              <w:bottom w:val="single" w:sz="8" w:color="auto"/>
            </w:tcBorders>
          </w:tcPr>
          <w:p>
            <w:pPr>
              <w:jc w:val="right"/>
              <w:ind w:right="305"/>
              <w:spacing w:after="0"/>
              <w:rPr>
                <w:sz w:val="20"/>
                <w:szCs w:val="20"/>
                <w:color w:val="auto"/>
              </w:rPr>
            </w:pPr>
            <w:r>
              <w:rPr>
                <w:rFonts w:ascii="Arial" w:cs="Arial" w:eastAsia="Arial" w:hAnsi="Arial"/>
                <w:sz w:val="14"/>
                <w:szCs w:val="14"/>
                <w:b w:val="1"/>
                <w:bCs w:val="1"/>
                <w:color w:val="auto"/>
              </w:rPr>
              <w:t>Units</w:t>
            </w:r>
          </w:p>
        </w:tc>
        <w:tc>
          <w:tcPr>
            <w:tcW w:w="120" w:type="dxa"/>
            <w:vAlign w:val="bottom"/>
            <w:tcBorders>
              <w:bottom w:val="single" w:sz="8" w:color="CCEEFF"/>
            </w:tcBorders>
          </w:tcPr>
          <w:p>
            <w:pPr>
              <w:spacing w:after="0"/>
              <w:rPr>
                <w:sz w:val="15"/>
                <w:szCs w:val="15"/>
                <w:color w:val="auto"/>
              </w:rPr>
            </w:pPr>
          </w:p>
        </w:tc>
        <w:tc>
          <w:tcPr>
            <w:tcW w:w="1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Value</w:t>
            </w:r>
          </w:p>
        </w:tc>
        <w:tc>
          <w:tcPr>
            <w:tcW w:w="100" w:type="dxa"/>
            <w:vAlign w:val="bottom"/>
            <w:tcBorders>
              <w:bottom w:val="single" w:sz="8" w:color="CCEEFF"/>
            </w:tcBorders>
          </w:tcPr>
          <w:p>
            <w:pPr>
              <w:spacing w:after="0"/>
              <w:rPr>
                <w:sz w:val="15"/>
                <w:szCs w:val="15"/>
                <w:color w:val="auto"/>
              </w:rPr>
            </w:pPr>
          </w:p>
        </w:tc>
        <w:tc>
          <w:tcPr>
            <w:tcW w:w="1080" w:type="dxa"/>
            <w:vAlign w:val="bottom"/>
            <w:tcBorders>
              <w:bottom w:val="single" w:sz="8" w:color="auto"/>
            </w:tcBorders>
          </w:tcPr>
          <w:p>
            <w:pPr>
              <w:jc w:val="right"/>
              <w:ind w:right="305"/>
              <w:spacing w:after="0"/>
              <w:rPr>
                <w:sz w:val="20"/>
                <w:szCs w:val="20"/>
                <w:color w:val="auto"/>
              </w:rPr>
            </w:pPr>
            <w:r>
              <w:rPr>
                <w:rFonts w:ascii="Arial" w:cs="Arial" w:eastAsia="Arial" w:hAnsi="Arial"/>
                <w:sz w:val="14"/>
                <w:szCs w:val="14"/>
                <w:b w:val="1"/>
                <w:bCs w:val="1"/>
                <w:color w:val="auto"/>
              </w:rPr>
              <w:t>Price</w:t>
            </w:r>
          </w:p>
        </w:tc>
        <w:tc>
          <w:tcPr>
            <w:tcW w:w="0" w:type="dxa"/>
            <w:vAlign w:val="bottom"/>
          </w:tcPr>
          <w:p>
            <w:pPr>
              <w:spacing w:after="0"/>
              <w:rPr>
                <w:sz w:val="1"/>
                <w:szCs w:val="1"/>
                <w:color w:val="auto"/>
              </w:rPr>
            </w:pPr>
          </w:p>
        </w:tc>
      </w:tr>
      <w:tr>
        <w:trPr>
          <w:trHeight w:val="203"/>
        </w:trPr>
        <w:tc>
          <w:tcPr>
            <w:tcW w:w="1740" w:type="dxa"/>
            <w:vAlign w:val="bottom"/>
            <w:shd w:val="clear" w:color="auto" w:fill="CCEEFF"/>
          </w:tcPr>
          <w:p>
            <w:pPr>
              <w:ind w:left="20"/>
              <w:spacing w:after="0"/>
              <w:rPr>
                <w:sz w:val="20"/>
                <w:szCs w:val="20"/>
                <w:color w:val="auto"/>
              </w:rPr>
            </w:pPr>
            <w:r>
              <w:rPr>
                <w:rFonts w:ascii="Arial" w:cs="Arial" w:eastAsia="Arial" w:hAnsi="Arial"/>
                <w:sz w:val="16"/>
                <w:szCs w:val="16"/>
                <w:color w:val="auto"/>
              </w:rPr>
              <w:t>West</w:t>
            </w:r>
          </w:p>
        </w:tc>
        <w:tc>
          <w:tcPr>
            <w:tcW w:w="780" w:type="dxa"/>
            <w:vAlign w:val="bottom"/>
            <w:shd w:val="clear" w:color="auto" w:fill="CCEEFF"/>
          </w:tcPr>
          <w:p>
            <w:pPr>
              <w:jc w:val="right"/>
              <w:ind w:right="5"/>
              <w:spacing w:after="0"/>
              <w:rPr>
                <w:sz w:val="20"/>
                <w:szCs w:val="20"/>
                <w:color w:val="auto"/>
              </w:rPr>
            </w:pPr>
            <w:r>
              <w:rPr>
                <w:rFonts w:ascii="Arial" w:cs="Arial" w:eastAsia="Arial" w:hAnsi="Arial"/>
                <w:sz w:val="16"/>
                <w:szCs w:val="16"/>
                <w:color w:val="auto"/>
              </w:rPr>
              <w:t>2,536</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1,756,858</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693</w:t>
            </w: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1,856</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1,293,450</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shd w:val="clear" w:color="auto" w:fill="CCEEFF"/>
          </w:tcPr>
          <w:p>
            <w:pPr>
              <w:jc w:val="right"/>
              <w:ind w:right="5"/>
              <w:spacing w:after="0"/>
              <w:rPr>
                <w:sz w:val="20"/>
                <w:szCs w:val="20"/>
                <w:color w:val="auto"/>
              </w:rPr>
            </w:pPr>
            <w:r>
              <w:rPr>
                <w:rFonts w:ascii="Arial" w:cs="Arial" w:eastAsia="Arial" w:hAnsi="Arial"/>
                <w:sz w:val="16"/>
                <w:szCs w:val="16"/>
                <w:color w:val="auto"/>
              </w:rPr>
              <w:t>697</w:t>
            </w:r>
          </w:p>
        </w:tc>
        <w:tc>
          <w:tcPr>
            <w:tcW w:w="100" w:type="dxa"/>
            <w:vAlign w:val="bottom"/>
            <w:shd w:val="clear" w:color="auto" w:fill="CCEEFF"/>
          </w:tcPr>
          <w:p>
            <w:pPr>
              <w:spacing w:after="0"/>
              <w:rPr>
                <w:sz w:val="17"/>
                <w:szCs w:val="17"/>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37 %</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36 %</w:t>
            </w:r>
          </w:p>
        </w:tc>
        <w:tc>
          <w:tcPr>
            <w:tcW w:w="10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06"/>
        </w:trPr>
        <w:tc>
          <w:tcPr>
            <w:tcW w:w="1740" w:type="dxa"/>
            <w:vAlign w:val="bottom"/>
          </w:tcPr>
          <w:p>
            <w:pPr>
              <w:ind w:left="20"/>
              <w:spacing w:after="0"/>
              <w:rPr>
                <w:sz w:val="20"/>
                <w:szCs w:val="20"/>
                <w:color w:val="auto"/>
              </w:rPr>
            </w:pPr>
            <w:r>
              <w:rPr>
                <w:rFonts w:ascii="Arial" w:cs="Arial" w:eastAsia="Arial" w:hAnsi="Arial"/>
                <w:sz w:val="16"/>
                <w:szCs w:val="16"/>
                <w:color w:val="auto"/>
              </w:rPr>
              <w:t>Central</w:t>
            </w:r>
          </w:p>
        </w:tc>
        <w:tc>
          <w:tcPr>
            <w:tcW w:w="780" w:type="dxa"/>
            <w:vAlign w:val="bottom"/>
          </w:tcPr>
          <w:p>
            <w:pPr>
              <w:jc w:val="right"/>
              <w:ind w:right="5"/>
              <w:spacing w:after="0"/>
              <w:rPr>
                <w:sz w:val="20"/>
                <w:szCs w:val="20"/>
                <w:color w:val="auto"/>
              </w:rPr>
            </w:pPr>
            <w:r>
              <w:rPr>
                <w:rFonts w:ascii="Arial" w:cs="Arial" w:eastAsia="Arial" w:hAnsi="Arial"/>
                <w:sz w:val="16"/>
                <w:szCs w:val="16"/>
                <w:color w:val="auto"/>
              </w:rPr>
              <w:t>948</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499,295</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527</w:t>
            </w:r>
          </w:p>
        </w:tc>
        <w:tc>
          <w:tcPr>
            <w:tcW w:w="10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411</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200,820</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jc w:val="right"/>
              <w:ind w:right="5"/>
              <w:spacing w:after="0"/>
              <w:rPr>
                <w:sz w:val="20"/>
                <w:szCs w:val="20"/>
                <w:color w:val="auto"/>
              </w:rPr>
            </w:pPr>
            <w:r>
              <w:rPr>
                <w:rFonts w:ascii="Arial" w:cs="Arial" w:eastAsia="Arial" w:hAnsi="Arial"/>
                <w:sz w:val="16"/>
                <w:szCs w:val="16"/>
                <w:color w:val="auto"/>
              </w:rPr>
              <w:t>489</w:t>
            </w:r>
          </w:p>
        </w:tc>
        <w:tc>
          <w:tcPr>
            <w:tcW w:w="10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131 %</w:t>
            </w:r>
          </w:p>
        </w:tc>
        <w:tc>
          <w:tcPr>
            <w:tcW w:w="1180" w:type="dxa"/>
            <w:vAlign w:val="bottom"/>
            <w:gridSpan w:val="2"/>
          </w:tcPr>
          <w:p>
            <w:pPr>
              <w:jc w:val="right"/>
              <w:spacing w:after="0"/>
              <w:rPr>
                <w:sz w:val="20"/>
                <w:szCs w:val="20"/>
                <w:color w:val="auto"/>
              </w:rPr>
            </w:pPr>
            <w:r>
              <w:rPr>
                <w:rFonts w:ascii="Arial" w:cs="Arial" w:eastAsia="Arial" w:hAnsi="Arial"/>
                <w:sz w:val="16"/>
                <w:szCs w:val="16"/>
                <w:color w:val="auto"/>
              </w:rPr>
              <w:t>149 %</w:t>
            </w:r>
          </w:p>
        </w:tc>
        <w:tc>
          <w:tcPr>
            <w:tcW w:w="10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8 %</w:t>
            </w:r>
          </w:p>
        </w:tc>
        <w:tc>
          <w:tcPr>
            <w:tcW w:w="0" w:type="dxa"/>
            <w:vAlign w:val="bottom"/>
          </w:tcPr>
          <w:p>
            <w:pPr>
              <w:spacing w:after="0"/>
              <w:rPr>
                <w:sz w:val="1"/>
                <w:szCs w:val="1"/>
                <w:color w:val="auto"/>
              </w:rPr>
            </w:pPr>
          </w:p>
        </w:tc>
      </w:tr>
      <w:tr>
        <w:trPr>
          <w:trHeight w:val="209"/>
        </w:trPr>
        <w:tc>
          <w:tcPr>
            <w:tcW w:w="1740" w:type="dxa"/>
            <w:vAlign w:val="bottom"/>
            <w:shd w:val="clear" w:color="auto" w:fill="CCEEFF"/>
          </w:tcPr>
          <w:p>
            <w:pPr>
              <w:ind w:left="20"/>
              <w:spacing w:after="0"/>
              <w:rPr>
                <w:sz w:val="20"/>
                <w:szCs w:val="20"/>
                <w:color w:val="auto"/>
              </w:rPr>
            </w:pPr>
            <w:r>
              <w:rPr>
                <w:rFonts w:ascii="Arial" w:cs="Arial" w:eastAsia="Arial" w:hAnsi="Arial"/>
                <w:sz w:val="16"/>
                <w:szCs w:val="16"/>
                <w:color w:val="auto"/>
              </w:rPr>
              <w:t>East</w:t>
            </w:r>
          </w:p>
        </w:tc>
        <w:tc>
          <w:tcPr>
            <w:tcW w:w="78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6"/>
                <w:szCs w:val="16"/>
                <w:color w:val="auto"/>
              </w:rPr>
              <w:t>418</w:t>
            </w: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268,289</w:t>
            </w:r>
          </w:p>
        </w:tc>
        <w:tc>
          <w:tcPr>
            <w:tcW w:w="1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642</w:t>
            </w:r>
          </w:p>
        </w:tc>
        <w:tc>
          <w:tcPr>
            <w:tcW w:w="100" w:type="dxa"/>
            <w:vAlign w:val="bottom"/>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291</w:t>
            </w:r>
          </w:p>
        </w:tc>
        <w:tc>
          <w:tcPr>
            <w:tcW w:w="1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184,798</w:t>
            </w:r>
          </w:p>
        </w:tc>
        <w:tc>
          <w:tcPr>
            <w:tcW w:w="1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6"/>
                <w:szCs w:val="16"/>
                <w:color w:val="auto"/>
              </w:rPr>
              <w:t>635</w:t>
            </w:r>
          </w:p>
        </w:tc>
        <w:tc>
          <w:tcPr>
            <w:tcW w:w="100" w:type="dxa"/>
            <w:vAlign w:val="bottom"/>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44 %</w:t>
            </w:r>
          </w:p>
        </w:tc>
        <w:tc>
          <w:tcPr>
            <w:tcW w:w="120" w:type="dxa"/>
            <w:vAlign w:val="bottom"/>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45 %</w:t>
            </w:r>
          </w:p>
        </w:tc>
        <w:tc>
          <w:tcPr>
            <w:tcW w:w="100" w:type="dxa"/>
            <w:vAlign w:val="bottom"/>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1 %</w:t>
            </w:r>
          </w:p>
        </w:tc>
        <w:tc>
          <w:tcPr>
            <w:tcW w:w="0" w:type="dxa"/>
            <w:vAlign w:val="bottom"/>
          </w:tcPr>
          <w:p>
            <w:pPr>
              <w:spacing w:after="0"/>
              <w:rPr>
                <w:sz w:val="1"/>
                <w:szCs w:val="1"/>
                <w:color w:val="auto"/>
              </w:rPr>
            </w:pPr>
          </w:p>
        </w:tc>
      </w:tr>
      <w:tr>
        <w:trPr>
          <w:trHeight w:val="205"/>
        </w:trPr>
        <w:tc>
          <w:tcPr>
            <w:tcW w:w="1740" w:type="dxa"/>
            <w:vAlign w:val="bottom"/>
          </w:tcPr>
          <w:p>
            <w:pPr>
              <w:ind w:left="220"/>
              <w:spacing w:after="0"/>
              <w:rPr>
                <w:sz w:val="20"/>
                <w:szCs w:val="20"/>
                <w:color w:val="auto"/>
              </w:rPr>
            </w:pPr>
            <w:r>
              <w:rPr>
                <w:rFonts w:ascii="Arial" w:cs="Arial" w:eastAsia="Arial" w:hAnsi="Arial"/>
                <w:sz w:val="16"/>
                <w:szCs w:val="16"/>
                <w:color w:val="auto"/>
              </w:rPr>
              <w:t>Total</w:t>
            </w:r>
          </w:p>
        </w:tc>
        <w:tc>
          <w:tcPr>
            <w:tcW w:w="780" w:type="dxa"/>
            <w:vAlign w:val="bottom"/>
          </w:tcPr>
          <w:p>
            <w:pPr>
              <w:jc w:val="right"/>
              <w:ind w:right="5"/>
              <w:spacing w:after="0"/>
              <w:rPr>
                <w:sz w:val="20"/>
                <w:szCs w:val="20"/>
                <w:color w:val="auto"/>
              </w:rPr>
            </w:pPr>
            <w:r>
              <w:rPr>
                <w:rFonts w:ascii="Arial" w:cs="Arial" w:eastAsia="Arial" w:hAnsi="Arial"/>
                <w:sz w:val="16"/>
                <w:szCs w:val="16"/>
                <w:color w:val="auto"/>
              </w:rPr>
              <w:t>3,902</w:t>
            </w:r>
          </w:p>
        </w:tc>
        <w:tc>
          <w:tcPr>
            <w:tcW w:w="3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2,524,442</w:t>
            </w:r>
          </w:p>
        </w:tc>
        <w:tc>
          <w:tcPr>
            <w:tcW w:w="12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647</w:t>
            </w:r>
          </w:p>
        </w:tc>
        <w:tc>
          <w:tcPr>
            <w:tcW w:w="10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2,558</w:t>
            </w:r>
          </w:p>
        </w:tc>
        <w:tc>
          <w:tcPr>
            <w:tcW w:w="120" w:type="dxa"/>
            <w:vAlign w:val="bottom"/>
          </w:tcPr>
          <w:p>
            <w:pPr>
              <w:spacing w:after="0"/>
              <w:rPr>
                <w:sz w:val="17"/>
                <w:szCs w:val="17"/>
                <w:color w:val="auto"/>
              </w:rPr>
            </w:pPr>
          </w:p>
        </w:tc>
        <w:tc>
          <w:tcPr>
            <w:tcW w:w="200" w:type="dxa"/>
            <w:vAlign w:val="bottom"/>
          </w:tcPr>
          <w:p>
            <w:pPr>
              <w:jc w:val="right"/>
              <w:ind w:right="48"/>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1,679,068</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80" w:type="dxa"/>
            <w:vAlign w:val="bottom"/>
          </w:tcPr>
          <w:p>
            <w:pPr>
              <w:jc w:val="right"/>
              <w:ind w:right="5"/>
              <w:spacing w:after="0"/>
              <w:rPr>
                <w:sz w:val="20"/>
                <w:szCs w:val="20"/>
                <w:color w:val="auto"/>
              </w:rPr>
            </w:pPr>
            <w:r>
              <w:rPr>
                <w:rFonts w:ascii="Arial" w:cs="Arial" w:eastAsia="Arial" w:hAnsi="Arial"/>
                <w:sz w:val="16"/>
                <w:szCs w:val="16"/>
                <w:color w:val="auto"/>
              </w:rPr>
              <w:t>656</w:t>
            </w:r>
          </w:p>
        </w:tc>
        <w:tc>
          <w:tcPr>
            <w:tcW w:w="10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53 %</w:t>
            </w:r>
          </w:p>
        </w:tc>
        <w:tc>
          <w:tcPr>
            <w:tcW w:w="1180" w:type="dxa"/>
            <w:vAlign w:val="bottom"/>
            <w:gridSpan w:val="2"/>
          </w:tcPr>
          <w:p>
            <w:pPr>
              <w:jc w:val="right"/>
              <w:spacing w:after="0"/>
              <w:rPr>
                <w:sz w:val="20"/>
                <w:szCs w:val="20"/>
                <w:color w:val="auto"/>
              </w:rPr>
            </w:pPr>
            <w:r>
              <w:rPr>
                <w:rFonts w:ascii="Arial" w:cs="Arial" w:eastAsia="Arial" w:hAnsi="Arial"/>
                <w:sz w:val="16"/>
                <w:szCs w:val="16"/>
                <w:color w:val="auto"/>
              </w:rPr>
              <w:t>50 %</w:t>
            </w:r>
          </w:p>
        </w:tc>
        <w:tc>
          <w:tcPr>
            <w:tcW w:w="10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0"/>
        </w:trPr>
        <w:tc>
          <w:tcPr>
            <w:tcW w:w="174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7" w:lineRule="exact"/>
        <w:rPr>
          <w:sz w:val="20"/>
          <w:szCs w:val="20"/>
          <w:color w:val="auto"/>
        </w:rPr>
      </w:pPr>
    </w:p>
    <w:p>
      <w:pPr>
        <w:ind w:firstLine="470"/>
        <w:spacing w:after="0" w:line="278" w:lineRule="auto"/>
        <w:rPr>
          <w:sz w:val="20"/>
          <w:szCs w:val="20"/>
          <w:color w:val="auto"/>
        </w:rPr>
      </w:pPr>
      <w:r>
        <w:rPr>
          <w:rFonts w:ascii="Arial" w:cs="Arial" w:eastAsia="Arial" w:hAnsi="Arial"/>
          <w:sz w:val="16"/>
          <w:szCs w:val="16"/>
          <w:color w:val="auto"/>
        </w:rPr>
        <w:t>Backlog units reflect the number of homes, net of actual cancellations experienced during the period, for which we have entered into a sales contract with a homebuyer but for which we have not yet delivered the home. Homes in backlog are generally delivered within three to nine months, although we may experience cancellations of sales contracts prior to delivery. Our cancellation rate of homebuyers who contracted to buy a home but cancelled prior to delivery of the home (as a percentage of overall orders) was 7% and 21% during the three-month periods ended June 30, 2021 and 2020, respectively. The dollar value of backlog was $2.5 billion as of June 30, 2021, an increase of $845.4 million, or 50%, compared to $1.7 billion as of June 30, 2020. This increase was due to an increase in backlog units of 1,344, or 53%, to 3,902 as of June 30, 2021, compared to 2,558 as of June 30, 2020, which was due primarily to increased order activity since the beginning of the third quarter of 2020 and a reduction in backlog conversion due to construction delays resulting from supply chain and labor dynamics. The average sales price of backlog units was $647,000 as of June 30, 2021, a decrease of $9,000, or 1%, compared to $656,000 at June 30, 2020. This decrease was due primarily to a combination of product mix as well as the geographic composition of backlog units, which included a greater percentage of units from certain of our markets that generally have lower average sales prices.</w:t>
      </w:r>
    </w:p>
    <w:p>
      <w:pPr>
        <w:spacing w:after="0" w:line="169" w:lineRule="exact"/>
        <w:rPr>
          <w:sz w:val="20"/>
          <w:szCs w:val="20"/>
          <w:color w:val="auto"/>
        </w:rPr>
      </w:pPr>
    </w:p>
    <w:p>
      <w:pPr>
        <w:ind w:right="80" w:firstLine="470"/>
        <w:spacing w:after="0" w:line="261" w:lineRule="auto"/>
        <w:rPr>
          <w:sz w:val="20"/>
          <w:szCs w:val="20"/>
          <w:color w:val="auto"/>
        </w:rPr>
      </w:pPr>
      <w:r>
        <w:rPr>
          <w:rFonts w:ascii="Arial" w:cs="Arial" w:eastAsia="Arial" w:hAnsi="Arial"/>
          <w:sz w:val="17"/>
          <w:szCs w:val="17"/>
          <w:color w:val="auto"/>
        </w:rPr>
        <w:t>Backlog dollar value in our West segment increased 36% due to a 37% increase in backlog units. The higher backlog levels were due primarily to the increased order activity we experienced in the second half of 2020 and through the first six months of 2021. As we ended 2020 with an 82% increase in backlog units compared to 2019, we began 2021 with a substantial level of units in backlog. Our Central segment expanded its backlog dollar value by 149% on a 131% increase in backlog units. This strong growth was due primarily to the combination of a 40% increase in backlog as of the end of 2020 compared to the prior year, as well as a 59% increase in net new home orders in the first half of 2021 and a decrease of 6% in deliveries for the current year-to-date period. These results are due primarily to the strong demand environment experienced within our Central segment, though a slowdown in backlog conversion due to construction delays resulting from various supply chain and labor</w:t>
      </w: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- 29 -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30" w:name="page31"/>
    <w:bookmarkEnd w:id="30"/>
    <w:p>
      <w:pPr>
        <w:ind w:right="80"/>
        <w:spacing w:after="0" w:line="264" w:lineRule="auto"/>
        <w:rPr>
          <w:sz w:val="20"/>
          <w:szCs w:val="20"/>
          <w:color w:val="auto"/>
        </w:rPr>
      </w:pPr>
      <w:r>
        <w:rPr>
          <w:rFonts w:ascii="Arial" w:cs="Arial" w:eastAsia="Arial" w:hAnsi="Arial"/>
          <w:sz w:val="17"/>
          <w:szCs w:val="17"/>
          <w:color w:val="auto"/>
        </w:rPr>
        <w:t>dynamics caused by the pandemic, along with weather related delays experienced in Texas during the first quarter of the current year, contributed to the increased backlog, as well. Backlog dollar value in our East segment increased by 45% due to a 44% increase in backlog units. Order activity in the second half of 2020 contributed to elevated levels of backlog to begin the current year, which increased further due to year-over-year increases in net new home orders during the current year-to-date period. As we began selling homes in both Charlotte and Raleigh in the second half of 2020, our 64 units of backlog in these markets for the current period had no prior-year period comparable numbers.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New Homes Delivered, Homes Sales Revenue and Average Sales Price by Segment (dollars 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1700" w:type="dxa"/>
            <w:vAlign w:val="bottom"/>
          </w:tcPr>
          <w:p>
            <w:pPr>
              <w:spacing w:after="0"/>
              <w:rPr>
                <w:sz w:val="16"/>
                <w:szCs w:val="16"/>
                <w:color w:val="auto"/>
              </w:rPr>
            </w:pPr>
          </w:p>
        </w:tc>
        <w:tc>
          <w:tcPr>
            <w:tcW w:w="3100" w:type="dxa"/>
            <w:vAlign w:val="bottom"/>
            <w:gridSpan w:val="8"/>
          </w:tcPr>
          <w:p>
            <w:pPr>
              <w:jc w:val="center"/>
              <w:ind w:right="100"/>
              <w:spacing w:after="0"/>
              <w:rPr>
                <w:sz w:val="20"/>
                <w:szCs w:val="20"/>
                <w:color w:val="auto"/>
              </w:rPr>
            </w:pPr>
            <w:r>
              <w:rPr>
                <w:rFonts w:ascii="Arial" w:cs="Arial" w:eastAsia="Arial" w:hAnsi="Arial"/>
                <w:sz w:val="14"/>
                <w:szCs w:val="14"/>
                <w:b w:val="1"/>
                <w:bCs w:val="1"/>
                <w:color w:val="auto"/>
                <w:w w:val="90"/>
              </w:rPr>
              <w:t>Three Months Ended June 30, 2021</w:t>
            </w:r>
          </w:p>
        </w:tc>
        <w:tc>
          <w:tcPr>
            <w:tcW w:w="3100" w:type="dxa"/>
            <w:vAlign w:val="bottom"/>
            <w:gridSpan w:val="8"/>
          </w:tcPr>
          <w:p>
            <w:pPr>
              <w:jc w:val="center"/>
              <w:ind w:right="100"/>
              <w:spacing w:after="0"/>
              <w:rPr>
                <w:sz w:val="20"/>
                <w:szCs w:val="20"/>
                <w:color w:val="auto"/>
              </w:rPr>
            </w:pPr>
            <w:r>
              <w:rPr>
                <w:rFonts w:ascii="Arial" w:cs="Arial" w:eastAsia="Arial" w:hAnsi="Arial"/>
                <w:sz w:val="14"/>
                <w:szCs w:val="14"/>
                <w:b w:val="1"/>
                <w:bCs w:val="1"/>
                <w:color w:val="auto"/>
                <w:w w:val="90"/>
              </w:rPr>
              <w:t>Three Months Ended June 30, 2020</w:t>
            </w:r>
          </w:p>
        </w:tc>
        <w:tc>
          <w:tcPr>
            <w:tcW w:w="1020" w:type="dxa"/>
            <w:vAlign w:val="bottom"/>
          </w:tcPr>
          <w:p>
            <w:pPr>
              <w:spacing w:after="0"/>
              <w:rPr>
                <w:sz w:val="16"/>
                <w:szCs w:val="16"/>
                <w:color w:val="auto"/>
              </w:rPr>
            </w:pPr>
          </w:p>
        </w:tc>
        <w:tc>
          <w:tcPr>
            <w:tcW w:w="1220" w:type="dxa"/>
            <w:vAlign w:val="bottom"/>
            <w:gridSpan w:val="3"/>
          </w:tcPr>
          <w:p>
            <w:pPr>
              <w:jc w:val="center"/>
              <w:spacing w:after="0"/>
              <w:rPr>
                <w:sz w:val="20"/>
                <w:szCs w:val="20"/>
                <w:color w:val="auto"/>
              </w:rPr>
            </w:pPr>
            <w:r>
              <w:rPr>
                <w:rFonts w:ascii="Arial" w:cs="Arial" w:eastAsia="Arial" w:hAnsi="Arial"/>
                <w:sz w:val="14"/>
                <w:szCs w:val="14"/>
                <w:b w:val="1"/>
                <w:bCs w:val="1"/>
                <w:color w:val="auto"/>
                <w:w w:val="87"/>
              </w:rPr>
              <w:t>Percentage Change</w:t>
            </w:r>
          </w:p>
        </w:tc>
        <w:tc>
          <w:tcPr>
            <w:tcW w:w="1020" w:type="dxa"/>
            <w:vAlign w:val="bottom"/>
          </w:tcPr>
          <w:p>
            <w:pPr>
              <w:spacing w:after="0"/>
              <w:rPr>
                <w:sz w:val="16"/>
                <w:szCs w:val="16"/>
                <w:color w:val="auto"/>
              </w:rPr>
            </w:pPr>
          </w:p>
        </w:tc>
      </w:tr>
      <w:tr>
        <w:trPr>
          <w:trHeight w:val="129"/>
        </w:trPr>
        <w:tc>
          <w:tcPr>
            <w:tcW w:w="1700" w:type="dxa"/>
            <w:vAlign w:val="bottom"/>
          </w:tcPr>
          <w:p>
            <w:pPr>
              <w:spacing w:after="0"/>
              <w:rPr>
                <w:sz w:val="11"/>
                <w:szCs w:val="11"/>
                <w:color w:val="auto"/>
              </w:rPr>
            </w:pPr>
          </w:p>
        </w:tc>
        <w:tc>
          <w:tcPr>
            <w:tcW w:w="980" w:type="dxa"/>
            <w:vAlign w:val="bottom"/>
            <w:tcBorders>
              <w:top w:val="single" w:sz="8" w:color="auto"/>
            </w:tcBorders>
            <w:gridSpan w:val="2"/>
          </w:tcPr>
          <w:p>
            <w:pPr>
              <w:jc w:val="center"/>
              <w:ind w:right="100"/>
              <w:spacing w:after="0" w:line="129" w:lineRule="exact"/>
              <w:rPr>
                <w:sz w:val="20"/>
                <w:szCs w:val="20"/>
                <w:color w:val="auto"/>
              </w:rPr>
            </w:pPr>
            <w:r>
              <w:rPr>
                <w:rFonts w:ascii="Arial" w:cs="Arial" w:eastAsia="Arial" w:hAnsi="Arial"/>
                <w:sz w:val="14"/>
                <w:szCs w:val="14"/>
                <w:b w:val="1"/>
                <w:bCs w:val="1"/>
                <w:color w:val="auto"/>
                <w:w w:val="97"/>
              </w:rPr>
              <w:t>New</w:t>
            </w:r>
          </w:p>
        </w:tc>
        <w:tc>
          <w:tcPr>
            <w:tcW w:w="18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gridSpan w:val="2"/>
          </w:tcPr>
          <w:p>
            <w:pPr>
              <w:jc w:val="center"/>
              <w:ind w:right="280"/>
              <w:spacing w:after="0" w:line="129" w:lineRule="exact"/>
              <w:rPr>
                <w:sz w:val="20"/>
                <w:szCs w:val="20"/>
                <w:color w:val="auto"/>
              </w:rPr>
            </w:pPr>
            <w:r>
              <w:rPr>
                <w:rFonts w:ascii="Arial" w:cs="Arial" w:eastAsia="Arial" w:hAnsi="Arial"/>
                <w:sz w:val="14"/>
                <w:szCs w:val="14"/>
                <w:b w:val="1"/>
                <w:bCs w:val="1"/>
                <w:color w:val="auto"/>
                <w:w w:val="92"/>
              </w:rPr>
              <w:t>Home</w:t>
            </w:r>
          </w:p>
        </w:tc>
        <w:tc>
          <w:tcPr>
            <w:tcW w:w="14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jc w:val="center"/>
              <w:ind w:right="65"/>
              <w:spacing w:after="0" w:line="129" w:lineRule="exact"/>
              <w:rPr>
                <w:sz w:val="20"/>
                <w:szCs w:val="20"/>
                <w:color w:val="auto"/>
              </w:rPr>
            </w:pPr>
            <w:r>
              <w:rPr>
                <w:rFonts w:ascii="Arial" w:cs="Arial" w:eastAsia="Arial" w:hAnsi="Arial"/>
                <w:sz w:val="14"/>
                <w:szCs w:val="14"/>
                <w:b w:val="1"/>
                <w:bCs w:val="1"/>
                <w:color w:val="auto"/>
                <w:w w:val="86"/>
              </w:rPr>
              <w:t>Average</w:t>
            </w:r>
          </w:p>
        </w:tc>
        <w:tc>
          <w:tcPr>
            <w:tcW w:w="100" w:type="dxa"/>
            <w:vAlign w:val="bottom"/>
          </w:tcPr>
          <w:p>
            <w:pPr>
              <w:spacing w:after="0"/>
              <w:rPr>
                <w:sz w:val="11"/>
                <w:szCs w:val="11"/>
                <w:color w:val="auto"/>
              </w:rPr>
            </w:pPr>
          </w:p>
        </w:tc>
        <w:tc>
          <w:tcPr>
            <w:tcW w:w="1000" w:type="dxa"/>
            <w:vAlign w:val="bottom"/>
            <w:tcBorders>
              <w:top w:val="single" w:sz="8" w:color="auto"/>
            </w:tcBorders>
            <w:gridSpan w:val="2"/>
          </w:tcPr>
          <w:p>
            <w:pPr>
              <w:jc w:val="center"/>
              <w:ind w:right="100"/>
              <w:spacing w:after="0" w:line="129" w:lineRule="exact"/>
              <w:rPr>
                <w:sz w:val="20"/>
                <w:szCs w:val="20"/>
                <w:color w:val="auto"/>
              </w:rPr>
            </w:pPr>
            <w:r>
              <w:rPr>
                <w:rFonts w:ascii="Arial" w:cs="Arial" w:eastAsia="Arial" w:hAnsi="Arial"/>
                <w:sz w:val="14"/>
                <w:szCs w:val="14"/>
                <w:b w:val="1"/>
                <w:bCs w:val="1"/>
                <w:color w:val="auto"/>
                <w:w w:val="90"/>
              </w:rPr>
              <w:t>New</w:t>
            </w:r>
          </w:p>
        </w:tc>
        <w:tc>
          <w:tcPr>
            <w:tcW w:w="16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gridSpan w:val="2"/>
          </w:tcPr>
          <w:p>
            <w:pPr>
              <w:jc w:val="center"/>
              <w:ind w:right="280"/>
              <w:spacing w:after="0" w:line="129" w:lineRule="exact"/>
              <w:rPr>
                <w:sz w:val="20"/>
                <w:szCs w:val="20"/>
                <w:color w:val="auto"/>
              </w:rPr>
            </w:pPr>
            <w:r>
              <w:rPr>
                <w:rFonts w:ascii="Arial" w:cs="Arial" w:eastAsia="Arial" w:hAnsi="Arial"/>
                <w:sz w:val="14"/>
                <w:szCs w:val="14"/>
                <w:b w:val="1"/>
                <w:bCs w:val="1"/>
                <w:color w:val="auto"/>
                <w:w w:val="92"/>
              </w:rPr>
              <w:t>Home</w:t>
            </w:r>
          </w:p>
        </w:tc>
        <w:tc>
          <w:tcPr>
            <w:tcW w:w="14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jc w:val="center"/>
              <w:ind w:right="65"/>
              <w:spacing w:after="0" w:line="129" w:lineRule="exact"/>
              <w:rPr>
                <w:sz w:val="20"/>
                <w:szCs w:val="20"/>
                <w:color w:val="auto"/>
              </w:rPr>
            </w:pPr>
            <w:r>
              <w:rPr>
                <w:rFonts w:ascii="Arial" w:cs="Arial" w:eastAsia="Arial" w:hAnsi="Arial"/>
                <w:sz w:val="14"/>
                <w:szCs w:val="14"/>
                <w:b w:val="1"/>
                <w:bCs w:val="1"/>
                <w:color w:val="auto"/>
                <w:w w:val="86"/>
              </w:rPr>
              <w:t>Average</w:t>
            </w:r>
          </w:p>
        </w:tc>
        <w:tc>
          <w:tcPr>
            <w:tcW w:w="100" w:type="dxa"/>
            <w:vAlign w:val="bottom"/>
          </w:tcPr>
          <w:p>
            <w:pPr>
              <w:spacing w:after="0"/>
              <w:rPr>
                <w:sz w:val="11"/>
                <w:szCs w:val="11"/>
                <w:color w:val="auto"/>
              </w:rPr>
            </w:pPr>
          </w:p>
        </w:tc>
        <w:tc>
          <w:tcPr>
            <w:tcW w:w="102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0"/>
              </w:rPr>
              <w:t>New</w:t>
            </w:r>
          </w:p>
        </w:tc>
        <w:tc>
          <w:tcPr>
            <w:tcW w:w="10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gridSpan w:val="2"/>
          </w:tcPr>
          <w:p>
            <w:pPr>
              <w:jc w:val="center"/>
              <w:ind w:right="120"/>
              <w:spacing w:after="0" w:line="129" w:lineRule="exact"/>
              <w:rPr>
                <w:sz w:val="20"/>
                <w:szCs w:val="20"/>
                <w:color w:val="auto"/>
              </w:rPr>
            </w:pPr>
            <w:r>
              <w:rPr>
                <w:rFonts w:ascii="Arial" w:cs="Arial" w:eastAsia="Arial" w:hAnsi="Arial"/>
                <w:sz w:val="14"/>
                <w:szCs w:val="14"/>
                <w:b w:val="1"/>
                <w:bCs w:val="1"/>
                <w:color w:val="auto"/>
                <w:w w:val="92"/>
              </w:rPr>
              <w:t>Home</w:t>
            </w:r>
          </w:p>
        </w:tc>
        <w:tc>
          <w:tcPr>
            <w:tcW w:w="1020" w:type="dxa"/>
            <w:vAlign w:val="bottom"/>
            <w:tcBorders>
              <w:top w:val="single" w:sz="8" w:color="auto"/>
            </w:tcBorders>
          </w:tcPr>
          <w:p>
            <w:pPr>
              <w:jc w:val="right"/>
              <w:ind w:right="205"/>
              <w:spacing w:after="0" w:line="129" w:lineRule="exact"/>
              <w:rPr>
                <w:sz w:val="20"/>
                <w:szCs w:val="20"/>
                <w:color w:val="auto"/>
              </w:rPr>
            </w:pPr>
            <w:r>
              <w:rPr>
                <w:rFonts w:ascii="Arial" w:cs="Arial" w:eastAsia="Arial" w:hAnsi="Arial"/>
                <w:sz w:val="14"/>
                <w:szCs w:val="14"/>
                <w:b w:val="1"/>
                <w:bCs w:val="1"/>
                <w:color w:val="auto"/>
              </w:rPr>
              <w:t>Average</w:t>
            </w:r>
          </w:p>
        </w:tc>
      </w:tr>
      <w:tr>
        <w:trPr>
          <w:trHeight w:val="131"/>
        </w:trPr>
        <w:tc>
          <w:tcPr>
            <w:tcW w:w="1700" w:type="dxa"/>
            <w:vAlign w:val="bottom"/>
          </w:tcPr>
          <w:p>
            <w:pPr>
              <w:spacing w:after="0"/>
              <w:rPr>
                <w:sz w:val="11"/>
                <w:szCs w:val="11"/>
                <w:color w:val="auto"/>
              </w:rPr>
            </w:pPr>
          </w:p>
        </w:tc>
        <w:tc>
          <w:tcPr>
            <w:tcW w:w="98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5"/>
              </w:rPr>
              <w:t>Homes</w:t>
            </w:r>
          </w:p>
        </w:tc>
        <w:tc>
          <w:tcPr>
            <w:tcW w:w="180" w:type="dxa"/>
            <w:vAlign w:val="bottom"/>
          </w:tcPr>
          <w:p>
            <w:pPr>
              <w:spacing w:after="0"/>
              <w:rPr>
                <w:sz w:val="11"/>
                <w:szCs w:val="11"/>
                <w:color w:val="auto"/>
              </w:rPr>
            </w:pPr>
          </w:p>
        </w:tc>
        <w:tc>
          <w:tcPr>
            <w:tcW w:w="960" w:type="dxa"/>
            <w:vAlign w:val="bottom"/>
            <w:gridSpan w:val="2"/>
          </w:tcPr>
          <w:p>
            <w:pPr>
              <w:jc w:val="center"/>
              <w:ind w:right="280"/>
              <w:spacing w:after="0" w:line="131" w:lineRule="exact"/>
              <w:rPr>
                <w:sz w:val="20"/>
                <w:szCs w:val="20"/>
                <w:color w:val="auto"/>
              </w:rPr>
            </w:pPr>
            <w:r>
              <w:rPr>
                <w:rFonts w:ascii="Arial" w:cs="Arial" w:eastAsia="Arial" w:hAnsi="Arial"/>
                <w:sz w:val="14"/>
                <w:szCs w:val="14"/>
                <w:b w:val="1"/>
                <w:bCs w:val="1"/>
                <w:color w:val="auto"/>
                <w:w w:val="87"/>
              </w:rPr>
              <w:t>Sales</w:t>
            </w:r>
          </w:p>
        </w:tc>
        <w:tc>
          <w:tcPr>
            <w:tcW w:w="140" w:type="dxa"/>
            <w:vAlign w:val="bottom"/>
          </w:tcPr>
          <w:p>
            <w:pPr>
              <w:spacing w:after="0"/>
              <w:rPr>
                <w:sz w:val="11"/>
                <w:szCs w:val="11"/>
                <w:color w:val="auto"/>
              </w:rPr>
            </w:pPr>
          </w:p>
        </w:tc>
        <w:tc>
          <w:tcPr>
            <w:tcW w:w="840" w:type="dxa"/>
            <w:vAlign w:val="bottom"/>
            <w:gridSpan w:val="2"/>
          </w:tcPr>
          <w:p>
            <w:pPr>
              <w:jc w:val="center"/>
              <w:ind w:right="260"/>
              <w:spacing w:after="0" w:line="131" w:lineRule="exact"/>
              <w:rPr>
                <w:sz w:val="20"/>
                <w:szCs w:val="20"/>
                <w:color w:val="auto"/>
              </w:rPr>
            </w:pPr>
            <w:r>
              <w:rPr>
                <w:rFonts w:ascii="Arial" w:cs="Arial" w:eastAsia="Arial" w:hAnsi="Arial"/>
                <w:sz w:val="14"/>
                <w:szCs w:val="14"/>
                <w:b w:val="1"/>
                <w:bCs w:val="1"/>
                <w:color w:val="auto"/>
                <w:w w:val="81"/>
              </w:rPr>
              <w:t>Sales</w:t>
            </w:r>
          </w:p>
        </w:tc>
        <w:tc>
          <w:tcPr>
            <w:tcW w:w="100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9"/>
              </w:rPr>
              <w:t>Homes</w:t>
            </w:r>
          </w:p>
        </w:tc>
        <w:tc>
          <w:tcPr>
            <w:tcW w:w="160" w:type="dxa"/>
            <w:vAlign w:val="bottom"/>
          </w:tcPr>
          <w:p>
            <w:pPr>
              <w:spacing w:after="0"/>
              <w:rPr>
                <w:sz w:val="11"/>
                <w:szCs w:val="11"/>
                <w:color w:val="auto"/>
              </w:rPr>
            </w:pPr>
          </w:p>
        </w:tc>
        <w:tc>
          <w:tcPr>
            <w:tcW w:w="960" w:type="dxa"/>
            <w:vAlign w:val="bottom"/>
            <w:gridSpan w:val="2"/>
          </w:tcPr>
          <w:p>
            <w:pPr>
              <w:jc w:val="center"/>
              <w:ind w:right="260"/>
              <w:spacing w:after="0" w:line="131" w:lineRule="exact"/>
              <w:rPr>
                <w:sz w:val="20"/>
                <w:szCs w:val="20"/>
                <w:color w:val="auto"/>
              </w:rPr>
            </w:pPr>
            <w:r>
              <w:rPr>
                <w:rFonts w:ascii="Arial" w:cs="Arial" w:eastAsia="Arial" w:hAnsi="Arial"/>
                <w:sz w:val="14"/>
                <w:szCs w:val="14"/>
                <w:b w:val="1"/>
                <w:bCs w:val="1"/>
                <w:color w:val="auto"/>
                <w:w w:val="81"/>
              </w:rPr>
              <w:t>Sales</w:t>
            </w:r>
          </w:p>
        </w:tc>
        <w:tc>
          <w:tcPr>
            <w:tcW w:w="140" w:type="dxa"/>
            <w:vAlign w:val="bottom"/>
          </w:tcPr>
          <w:p>
            <w:pPr>
              <w:spacing w:after="0"/>
              <w:rPr>
                <w:sz w:val="11"/>
                <w:szCs w:val="11"/>
                <w:color w:val="auto"/>
              </w:rPr>
            </w:pPr>
          </w:p>
        </w:tc>
        <w:tc>
          <w:tcPr>
            <w:tcW w:w="840" w:type="dxa"/>
            <w:vAlign w:val="bottom"/>
            <w:gridSpan w:val="2"/>
          </w:tcPr>
          <w:p>
            <w:pPr>
              <w:jc w:val="center"/>
              <w:ind w:right="260"/>
              <w:spacing w:after="0" w:line="131" w:lineRule="exact"/>
              <w:rPr>
                <w:sz w:val="20"/>
                <w:szCs w:val="20"/>
                <w:color w:val="auto"/>
              </w:rPr>
            </w:pPr>
            <w:r>
              <w:rPr>
                <w:rFonts w:ascii="Arial" w:cs="Arial" w:eastAsia="Arial" w:hAnsi="Arial"/>
                <w:sz w:val="14"/>
                <w:szCs w:val="14"/>
                <w:b w:val="1"/>
                <w:bCs w:val="1"/>
                <w:color w:val="auto"/>
                <w:w w:val="81"/>
              </w:rPr>
              <w:t>Sales</w:t>
            </w:r>
          </w:p>
        </w:tc>
        <w:tc>
          <w:tcPr>
            <w:tcW w:w="102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1"/>
                <w:szCs w:val="11"/>
                <w:color w:val="auto"/>
              </w:rPr>
            </w:pPr>
          </w:p>
        </w:tc>
        <w:tc>
          <w:tcPr>
            <w:tcW w:w="112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1"/>
              </w:rPr>
              <w:t>Sales</w:t>
            </w:r>
          </w:p>
        </w:tc>
        <w:tc>
          <w:tcPr>
            <w:tcW w:w="1020" w:type="dxa"/>
            <w:vAlign w:val="bottom"/>
          </w:tcPr>
          <w:p>
            <w:pPr>
              <w:jc w:val="right"/>
              <w:ind w:right="285"/>
              <w:spacing w:after="0" w:line="131" w:lineRule="exact"/>
              <w:rPr>
                <w:sz w:val="20"/>
                <w:szCs w:val="20"/>
                <w:color w:val="auto"/>
              </w:rPr>
            </w:pPr>
            <w:r>
              <w:rPr>
                <w:rFonts w:ascii="Arial" w:cs="Arial" w:eastAsia="Arial" w:hAnsi="Arial"/>
                <w:sz w:val="14"/>
                <w:szCs w:val="14"/>
                <w:b w:val="1"/>
                <w:bCs w:val="1"/>
                <w:color w:val="auto"/>
              </w:rPr>
              <w:t>Sales</w:t>
            </w:r>
          </w:p>
        </w:tc>
      </w:tr>
      <w:tr>
        <w:trPr>
          <w:trHeight w:val="183"/>
        </w:trPr>
        <w:tc>
          <w:tcPr>
            <w:tcW w:w="1700" w:type="dxa"/>
            <w:vAlign w:val="bottom"/>
            <w:tcBorders>
              <w:bottom w:val="single" w:sz="8" w:color="CCEEFF"/>
            </w:tcBorders>
          </w:tcPr>
          <w:p>
            <w:pPr>
              <w:spacing w:after="0"/>
              <w:rPr>
                <w:sz w:val="15"/>
                <w:szCs w:val="15"/>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Delivered</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center"/>
              <w:ind w:right="105"/>
              <w:spacing w:after="0"/>
              <w:rPr>
                <w:sz w:val="20"/>
                <w:szCs w:val="20"/>
                <w:color w:val="auto"/>
              </w:rPr>
            </w:pPr>
            <w:r>
              <w:rPr>
                <w:rFonts w:ascii="Arial" w:cs="Arial" w:eastAsia="Arial" w:hAnsi="Arial"/>
                <w:sz w:val="14"/>
                <w:szCs w:val="14"/>
                <w:b w:val="1"/>
                <w:bCs w:val="1"/>
                <w:color w:val="auto"/>
                <w:w w:val="89"/>
              </w:rPr>
              <w:t>Revenue</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center"/>
              <w:ind w:right="6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5"/>
                <w:szCs w:val="15"/>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center"/>
              <w:ind w:right="105"/>
              <w:spacing w:after="0"/>
              <w:rPr>
                <w:sz w:val="20"/>
                <w:szCs w:val="20"/>
                <w:color w:val="auto"/>
              </w:rPr>
            </w:pPr>
            <w:r>
              <w:rPr>
                <w:rFonts w:ascii="Arial" w:cs="Arial" w:eastAsia="Arial" w:hAnsi="Arial"/>
                <w:sz w:val="14"/>
                <w:szCs w:val="14"/>
                <w:b w:val="1"/>
                <w:bCs w:val="1"/>
                <w:color w:val="auto"/>
                <w:w w:val="89"/>
              </w:rPr>
              <w:t>Revenue</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center"/>
              <w:ind w:right="6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5"/>
                <w:szCs w:val="15"/>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00" w:type="dxa"/>
            <w:vAlign w:val="bottom"/>
            <w:tcBorders>
              <w:bottom w:val="single" w:sz="8" w:color="CCEEFF"/>
            </w:tcBorders>
          </w:tcPr>
          <w:p>
            <w:pPr>
              <w:spacing w:after="0"/>
              <w:rPr>
                <w:sz w:val="15"/>
                <w:szCs w:val="15"/>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Revenue</w:t>
            </w:r>
          </w:p>
        </w:tc>
        <w:tc>
          <w:tcPr>
            <w:tcW w:w="120" w:type="dxa"/>
            <w:vAlign w:val="bottom"/>
            <w:tcBorders>
              <w:bottom w:val="single" w:sz="8" w:color="CCEEFF"/>
            </w:tcBorders>
          </w:tcPr>
          <w:p>
            <w:pPr>
              <w:spacing w:after="0"/>
              <w:rPr>
                <w:sz w:val="15"/>
                <w:szCs w:val="15"/>
                <w:color w:val="auto"/>
              </w:rPr>
            </w:pPr>
          </w:p>
        </w:tc>
        <w:tc>
          <w:tcPr>
            <w:tcW w:w="1020" w:type="dxa"/>
            <w:vAlign w:val="bottom"/>
            <w:tcBorders>
              <w:bottom w:val="single" w:sz="8" w:color="auto"/>
            </w:tcBorders>
          </w:tcPr>
          <w:p>
            <w:pPr>
              <w:jc w:val="right"/>
              <w:ind w:right="285"/>
              <w:spacing w:after="0"/>
              <w:rPr>
                <w:sz w:val="20"/>
                <w:szCs w:val="20"/>
                <w:color w:val="auto"/>
              </w:rPr>
            </w:pPr>
            <w:r>
              <w:rPr>
                <w:rFonts w:ascii="Arial" w:cs="Arial" w:eastAsia="Arial" w:hAnsi="Arial"/>
                <w:sz w:val="14"/>
                <w:szCs w:val="14"/>
                <w:b w:val="1"/>
                <w:bCs w:val="1"/>
                <w:color w:val="auto"/>
              </w:rPr>
              <w:t>Price</w:t>
            </w:r>
          </w:p>
        </w:tc>
      </w:tr>
      <w:tr>
        <w:trPr>
          <w:trHeight w:val="203"/>
        </w:trPr>
        <w:tc>
          <w:tcPr>
            <w:tcW w:w="1700" w:type="dxa"/>
            <w:vAlign w:val="bottom"/>
            <w:shd w:val="clear" w:color="auto" w:fill="CCEEFF"/>
          </w:tcPr>
          <w:p>
            <w:pPr>
              <w:ind w:left="20"/>
              <w:spacing w:after="0"/>
              <w:rPr>
                <w:sz w:val="20"/>
                <w:szCs w:val="20"/>
                <w:color w:val="auto"/>
              </w:rPr>
            </w:pPr>
            <w:r>
              <w:rPr>
                <w:rFonts w:ascii="Arial" w:cs="Arial" w:eastAsia="Arial" w:hAnsi="Arial"/>
                <w:sz w:val="16"/>
                <w:szCs w:val="16"/>
                <w:color w:val="auto"/>
              </w:rPr>
              <w:t>West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1,117</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w w:val="8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778,881</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697</w:t>
            </w:r>
          </w:p>
        </w:tc>
        <w:tc>
          <w:tcPr>
            <w:tcW w:w="10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804</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ind w:right="5"/>
              <w:spacing w:after="0"/>
              <w:rPr>
                <w:sz w:val="20"/>
                <w:szCs w:val="20"/>
                <w:color w:val="auto"/>
              </w:rPr>
            </w:pPr>
            <w:r>
              <w:rPr>
                <w:rFonts w:ascii="Arial" w:cs="Arial" w:eastAsia="Arial" w:hAnsi="Arial"/>
                <w:sz w:val="16"/>
                <w:szCs w:val="16"/>
                <w:color w:val="auto"/>
              </w:rPr>
              <w:t>539,379</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740" w:type="dxa"/>
            <w:vAlign w:val="bottom"/>
            <w:shd w:val="clear" w:color="auto" w:fill="CCEEFF"/>
          </w:tcPr>
          <w:p>
            <w:pPr>
              <w:jc w:val="right"/>
              <w:ind w:right="5"/>
              <w:spacing w:after="0"/>
              <w:rPr>
                <w:sz w:val="20"/>
                <w:szCs w:val="20"/>
                <w:color w:val="auto"/>
              </w:rPr>
            </w:pPr>
            <w:r>
              <w:rPr>
                <w:rFonts w:ascii="Arial" w:cs="Arial" w:eastAsia="Arial" w:hAnsi="Arial"/>
                <w:sz w:val="16"/>
                <w:szCs w:val="16"/>
                <w:color w:val="auto"/>
              </w:rPr>
              <w:t>671</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39 %</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44 %</w:t>
            </w: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4 %</w:t>
            </w:r>
          </w:p>
        </w:tc>
      </w:tr>
      <w:tr>
        <w:trPr>
          <w:trHeight w:val="206"/>
        </w:trPr>
        <w:tc>
          <w:tcPr>
            <w:tcW w:w="1700" w:type="dxa"/>
            <w:vAlign w:val="bottom"/>
          </w:tcPr>
          <w:p>
            <w:pPr>
              <w:ind w:left="20"/>
              <w:spacing w:after="0"/>
              <w:rPr>
                <w:sz w:val="20"/>
                <w:szCs w:val="20"/>
                <w:color w:val="auto"/>
              </w:rPr>
            </w:pPr>
            <w:r>
              <w:rPr>
                <w:rFonts w:ascii="Arial" w:cs="Arial" w:eastAsia="Arial" w:hAnsi="Arial"/>
                <w:sz w:val="16"/>
                <w:szCs w:val="16"/>
                <w:color w:val="auto"/>
              </w:rPr>
              <w:t>Central</w:t>
            </w:r>
          </w:p>
        </w:tc>
        <w:tc>
          <w:tcPr>
            <w:tcW w:w="880" w:type="dxa"/>
            <w:vAlign w:val="bottom"/>
          </w:tcPr>
          <w:p>
            <w:pPr>
              <w:jc w:val="right"/>
              <w:spacing w:after="0"/>
              <w:rPr>
                <w:sz w:val="20"/>
                <w:szCs w:val="20"/>
                <w:color w:val="auto"/>
              </w:rPr>
            </w:pPr>
            <w:r>
              <w:rPr>
                <w:rFonts w:ascii="Arial" w:cs="Arial" w:eastAsia="Arial" w:hAnsi="Arial"/>
                <w:sz w:val="16"/>
                <w:szCs w:val="16"/>
                <w:color w:val="auto"/>
              </w:rPr>
              <w:t>292</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149,620</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512</w:t>
            </w:r>
          </w:p>
        </w:tc>
        <w:tc>
          <w:tcPr>
            <w:tcW w:w="10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309</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tcPr>
          <w:p>
            <w:pPr>
              <w:jc w:val="right"/>
              <w:ind w:right="5"/>
              <w:spacing w:after="0"/>
              <w:rPr>
                <w:sz w:val="20"/>
                <w:szCs w:val="20"/>
                <w:color w:val="auto"/>
              </w:rPr>
            </w:pPr>
            <w:r>
              <w:rPr>
                <w:rFonts w:ascii="Arial" w:cs="Arial" w:eastAsia="Arial" w:hAnsi="Arial"/>
                <w:sz w:val="16"/>
                <w:szCs w:val="16"/>
                <w:color w:val="auto"/>
              </w:rPr>
              <w:t>153,957</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jc w:val="right"/>
              <w:ind w:right="5"/>
              <w:spacing w:after="0"/>
              <w:rPr>
                <w:sz w:val="20"/>
                <w:szCs w:val="20"/>
                <w:color w:val="auto"/>
              </w:rPr>
            </w:pPr>
            <w:r>
              <w:rPr>
                <w:rFonts w:ascii="Arial" w:cs="Arial" w:eastAsia="Arial" w:hAnsi="Arial"/>
                <w:sz w:val="16"/>
                <w:szCs w:val="16"/>
                <w:color w:val="auto"/>
              </w:rPr>
              <w:t>498</w:t>
            </w:r>
          </w:p>
        </w:tc>
        <w:tc>
          <w:tcPr>
            <w:tcW w:w="1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(6)%</w:t>
            </w:r>
          </w:p>
        </w:tc>
        <w:tc>
          <w:tcPr>
            <w:tcW w:w="1100" w:type="dxa"/>
            <w:vAlign w:val="bottom"/>
            <w:gridSpan w:val="2"/>
          </w:tcPr>
          <w:p>
            <w:pPr>
              <w:jc w:val="right"/>
              <w:spacing w:after="0"/>
              <w:rPr>
                <w:sz w:val="20"/>
                <w:szCs w:val="20"/>
                <w:color w:val="auto"/>
              </w:rPr>
            </w:pPr>
            <w:r>
              <w:rPr>
                <w:rFonts w:ascii="Arial" w:cs="Arial" w:eastAsia="Arial" w:hAnsi="Arial"/>
                <w:sz w:val="16"/>
                <w:szCs w:val="16"/>
                <w:color w:val="auto"/>
              </w:rPr>
              <w:t>(3)%</w:t>
            </w: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3 %</w:t>
            </w:r>
          </w:p>
        </w:tc>
      </w:tr>
      <w:tr>
        <w:trPr>
          <w:trHeight w:val="209"/>
        </w:trPr>
        <w:tc>
          <w:tcPr>
            <w:tcW w:w="1700" w:type="dxa"/>
            <w:vAlign w:val="bottom"/>
            <w:shd w:val="clear" w:color="auto" w:fill="CCEEFF"/>
          </w:tcPr>
          <w:p>
            <w:pPr>
              <w:ind w:left="20"/>
              <w:spacing w:after="0"/>
              <w:rPr>
                <w:sz w:val="20"/>
                <w:szCs w:val="20"/>
                <w:color w:val="auto"/>
              </w:rPr>
            </w:pPr>
            <w:r>
              <w:rPr>
                <w:rFonts w:ascii="Arial" w:cs="Arial" w:eastAsia="Arial" w:hAnsi="Arial"/>
                <w:sz w:val="16"/>
                <w:szCs w:val="16"/>
                <w:color w:val="auto"/>
              </w:rPr>
              <w:t>East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136</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80,806</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594</w:t>
            </w:r>
          </w:p>
        </w:tc>
        <w:tc>
          <w:tcPr>
            <w:tcW w:w="100" w:type="dxa"/>
            <w:vAlign w:val="bottom"/>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116</w:t>
            </w:r>
          </w:p>
        </w:tc>
        <w:tc>
          <w:tcPr>
            <w:tcW w:w="1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6"/>
                <w:szCs w:val="16"/>
                <w:color w:val="auto"/>
              </w:rPr>
              <w:t>73,606</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6"/>
                <w:szCs w:val="16"/>
                <w:color w:val="auto"/>
              </w:rPr>
              <w:t>635</w:t>
            </w:r>
          </w:p>
        </w:tc>
        <w:tc>
          <w:tcPr>
            <w:tcW w:w="100" w:type="dxa"/>
            <w:vAlign w:val="bottom"/>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17 %</w:t>
            </w:r>
          </w:p>
        </w:tc>
        <w:tc>
          <w:tcPr>
            <w:tcW w:w="100" w:type="dxa"/>
            <w:vAlign w:val="bottom"/>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10 %</w:t>
            </w:r>
          </w:p>
        </w:tc>
        <w:tc>
          <w:tcPr>
            <w:tcW w:w="120" w:type="dxa"/>
            <w:vAlign w:val="bottom"/>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w:t>
            </w:r>
          </w:p>
        </w:tc>
      </w:tr>
      <w:tr>
        <w:trPr>
          <w:trHeight w:val="205"/>
        </w:trPr>
        <w:tc>
          <w:tcPr>
            <w:tcW w:w="1700" w:type="dxa"/>
            <w:vAlign w:val="bottom"/>
          </w:tcPr>
          <w:p>
            <w:pPr>
              <w:ind w:left="220"/>
              <w:spacing w:after="0"/>
              <w:rPr>
                <w:sz w:val="20"/>
                <w:szCs w:val="20"/>
                <w:color w:val="auto"/>
              </w:rPr>
            </w:pPr>
            <w:r>
              <w:rPr>
                <w:rFonts w:ascii="Arial" w:cs="Arial" w:eastAsia="Arial" w:hAnsi="Arial"/>
                <w:sz w:val="16"/>
                <w:szCs w:val="16"/>
                <w:color w:val="auto"/>
              </w:rPr>
              <w:t>Total</w:t>
            </w:r>
          </w:p>
        </w:tc>
        <w:tc>
          <w:tcPr>
            <w:tcW w:w="880" w:type="dxa"/>
            <w:vAlign w:val="bottom"/>
          </w:tcPr>
          <w:p>
            <w:pPr>
              <w:jc w:val="right"/>
              <w:spacing w:after="0"/>
              <w:rPr>
                <w:sz w:val="20"/>
                <w:szCs w:val="20"/>
                <w:color w:val="auto"/>
              </w:rPr>
            </w:pPr>
            <w:r>
              <w:rPr>
                <w:rFonts w:ascii="Arial" w:cs="Arial" w:eastAsia="Arial" w:hAnsi="Arial"/>
                <w:sz w:val="16"/>
                <w:szCs w:val="16"/>
                <w:color w:val="auto"/>
              </w:rPr>
              <w:t>1,545</w:t>
            </w:r>
          </w:p>
        </w:tc>
        <w:tc>
          <w:tcPr>
            <w:tcW w:w="100" w:type="dxa"/>
            <w:vAlign w:val="bottom"/>
          </w:tcPr>
          <w:p>
            <w:pPr>
              <w:spacing w:after="0"/>
              <w:rPr>
                <w:sz w:val="17"/>
                <w:szCs w:val="17"/>
                <w:color w:val="auto"/>
              </w:rPr>
            </w:pPr>
          </w:p>
        </w:tc>
        <w:tc>
          <w:tcPr>
            <w:tcW w:w="180" w:type="dxa"/>
            <w:vAlign w:val="bottom"/>
          </w:tcPr>
          <w:p>
            <w:pPr>
              <w:jc w:val="right"/>
              <w:ind w:right="2"/>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1,009,307</w:t>
            </w:r>
          </w:p>
        </w:tc>
        <w:tc>
          <w:tcPr>
            <w:tcW w:w="10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653</w:t>
            </w:r>
          </w:p>
        </w:tc>
        <w:tc>
          <w:tcPr>
            <w:tcW w:w="10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1,229</w:t>
            </w:r>
          </w:p>
        </w:tc>
        <w:tc>
          <w:tcPr>
            <w:tcW w:w="120" w:type="dxa"/>
            <w:vAlign w:val="bottom"/>
          </w:tcPr>
          <w:p>
            <w:pPr>
              <w:spacing w:after="0"/>
              <w:rPr>
                <w:sz w:val="17"/>
                <w:szCs w:val="17"/>
                <w:color w:val="auto"/>
              </w:rPr>
            </w:pP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ind w:right="5"/>
              <w:spacing w:after="0"/>
              <w:rPr>
                <w:sz w:val="20"/>
                <w:szCs w:val="20"/>
                <w:color w:val="auto"/>
              </w:rPr>
            </w:pPr>
            <w:r>
              <w:rPr>
                <w:rFonts w:ascii="Arial" w:cs="Arial" w:eastAsia="Arial" w:hAnsi="Arial"/>
                <w:sz w:val="16"/>
                <w:szCs w:val="16"/>
                <w:color w:val="auto"/>
              </w:rPr>
              <w:t>766,942</w:t>
            </w:r>
          </w:p>
        </w:tc>
        <w:tc>
          <w:tcPr>
            <w:tcW w:w="10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ind w:right="5"/>
              <w:spacing w:after="0"/>
              <w:rPr>
                <w:sz w:val="20"/>
                <w:szCs w:val="20"/>
                <w:color w:val="auto"/>
              </w:rPr>
            </w:pPr>
            <w:r>
              <w:rPr>
                <w:rFonts w:ascii="Arial" w:cs="Arial" w:eastAsia="Arial" w:hAnsi="Arial"/>
                <w:sz w:val="16"/>
                <w:szCs w:val="16"/>
                <w:color w:val="auto"/>
              </w:rPr>
              <w:t>624</w:t>
            </w:r>
          </w:p>
        </w:tc>
        <w:tc>
          <w:tcPr>
            <w:tcW w:w="1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26 %</w:t>
            </w:r>
          </w:p>
        </w:tc>
        <w:tc>
          <w:tcPr>
            <w:tcW w:w="1100" w:type="dxa"/>
            <w:vAlign w:val="bottom"/>
            <w:gridSpan w:val="2"/>
          </w:tcPr>
          <w:p>
            <w:pPr>
              <w:jc w:val="right"/>
              <w:spacing w:after="0"/>
              <w:rPr>
                <w:sz w:val="20"/>
                <w:szCs w:val="20"/>
                <w:color w:val="auto"/>
              </w:rPr>
            </w:pPr>
            <w:r>
              <w:rPr>
                <w:rFonts w:ascii="Arial" w:cs="Arial" w:eastAsia="Arial" w:hAnsi="Arial"/>
                <w:sz w:val="16"/>
                <w:szCs w:val="16"/>
                <w:color w:val="auto"/>
              </w:rPr>
              <w:t>32 %</w:t>
            </w: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5 %</w:t>
            </w:r>
          </w:p>
        </w:tc>
      </w:tr>
      <w:tr>
        <w:trPr>
          <w:trHeight w:val="20"/>
        </w:trPr>
        <w:tc>
          <w:tcPr>
            <w:tcW w:w="170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ind w:firstLine="470"/>
        <w:spacing w:after="0" w:line="324" w:lineRule="auto"/>
        <w:rPr>
          <w:sz w:val="20"/>
          <w:szCs w:val="20"/>
          <w:color w:val="auto"/>
        </w:rPr>
      </w:pPr>
      <w:r>
        <w:rPr>
          <w:rFonts w:ascii="Arial" w:cs="Arial" w:eastAsia="Arial" w:hAnsi="Arial"/>
          <w:sz w:val="15"/>
          <w:szCs w:val="15"/>
          <w:color w:val="auto"/>
        </w:rPr>
        <w:t>Home sales revenue increased $242.4 million, or 32%, to $1.0 billion for the three months ended June 30, 2021. The increase was comprised of (i) $197.2 million related to an increase of 316 new homes delivered in the three months ended June 30, 2021 compared to the prior-year period and (ii) $45.2 million related to an increase of $29,000 in average sales price of homes delivered in the three months ended June 30, 2021 compared to the prior-year period.</w:t>
      </w:r>
    </w:p>
    <w:p>
      <w:pPr>
        <w:spacing w:after="0" w:line="138" w:lineRule="exact"/>
        <w:rPr>
          <w:sz w:val="20"/>
          <w:szCs w:val="20"/>
          <w:color w:val="auto"/>
        </w:rPr>
      </w:pPr>
    </w:p>
    <w:p>
      <w:pPr>
        <w:ind w:right="20" w:firstLine="470"/>
        <w:spacing w:after="0" w:line="261" w:lineRule="auto"/>
        <w:rPr>
          <w:sz w:val="20"/>
          <w:szCs w:val="20"/>
          <w:color w:val="auto"/>
        </w:rPr>
      </w:pPr>
      <w:r>
        <w:rPr>
          <w:rFonts w:ascii="Arial" w:cs="Arial" w:eastAsia="Arial" w:hAnsi="Arial"/>
          <w:sz w:val="17"/>
          <w:szCs w:val="17"/>
          <w:color w:val="auto"/>
        </w:rPr>
        <w:t>Home sales revenue in our West segment increased 44% due to a 39% increase in new homes delivered and a 4% increase in average sales price during the current-year period. The increase in new homes delivered is due to higher backlog units to start the current-year period compared to the prior-year period. Home sales revenue in our Central segment decreased 3% due to a 6% decrease in new homes delivered, offset by a 3% increase in average sales price. The decrease in new homes delivered was due to delays resulting from broader supply chain constraints. As backlog units have increased 131% on a year-over-year basis, however, we expect that deliveries in Central segment should regain favorable comparisons in the second half of 2021. Home sales revenue increased in our East segment by 10% due to a 17% increase in new homes delivered, offset by a 6% decrease in average sales price. The increase in new homes delivered was due to a higher number of backlog units to start the current-year period compared to the prior-year period, whereas the decrease in average sales price is due to product mix.</w:t>
      </w:r>
    </w:p>
    <w:p>
      <w:pPr>
        <w:spacing w:after="0" w:line="28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Homebuilding Gross Margins (dollars 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55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900" w:type="dxa"/>
            <w:vAlign w:val="bottom"/>
            <w:tcBorders>
              <w:bottom w:val="single" w:sz="8" w:color="auto"/>
            </w:tcBorders>
            <w:gridSpan w:val="5"/>
          </w:tcPr>
          <w:p>
            <w:pPr>
              <w:ind w:left="480"/>
              <w:spacing w:after="0"/>
              <w:rPr>
                <w:sz w:val="20"/>
                <w:szCs w:val="20"/>
                <w:color w:val="auto"/>
              </w:rPr>
            </w:pPr>
            <w:r>
              <w:rPr>
                <w:rFonts w:ascii="Arial" w:cs="Arial" w:eastAsia="Arial" w:hAnsi="Arial"/>
                <w:sz w:val="14"/>
                <w:szCs w:val="14"/>
                <w:b w:val="1"/>
                <w:bCs w:val="1"/>
                <w:color w:val="auto"/>
              </w:rPr>
              <w:t>Three Months Ended June 30,</w:t>
            </w:r>
          </w:p>
        </w:tc>
        <w:tc>
          <w:tcPr>
            <w:tcW w:w="1320" w:type="dxa"/>
            <w:vAlign w:val="bottom"/>
            <w:tcBorders>
              <w:bottom w:val="single" w:sz="8" w:color="auto"/>
            </w:tcBorders>
          </w:tcPr>
          <w:p>
            <w:pPr>
              <w:spacing w:after="0"/>
              <w:rPr>
                <w:sz w:val="16"/>
                <w:szCs w:val="16"/>
                <w:color w:val="auto"/>
              </w:rPr>
            </w:pPr>
          </w:p>
        </w:tc>
      </w:tr>
      <w:tr>
        <w:trPr>
          <w:trHeight w:val="181"/>
        </w:trPr>
        <w:tc>
          <w:tcPr>
            <w:tcW w:w="55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455"/>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5"/>
                <w:szCs w:val="15"/>
                <w:color w:val="auto"/>
              </w:rPr>
            </w:pPr>
          </w:p>
        </w:tc>
        <w:tc>
          <w:tcPr>
            <w:tcW w:w="1320" w:type="dxa"/>
            <w:vAlign w:val="bottom"/>
            <w:tcBorders>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455"/>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5"/>
                <w:szCs w:val="15"/>
                <w:color w:val="auto"/>
              </w:rPr>
            </w:pPr>
          </w:p>
        </w:tc>
        <w:tc>
          <w:tcPr>
            <w:tcW w:w="132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w:t>
            </w:r>
          </w:p>
        </w:tc>
      </w:tr>
      <w:tr>
        <w:trPr>
          <w:trHeight w:val="216"/>
        </w:trPr>
        <w:tc>
          <w:tcPr>
            <w:tcW w:w="5500" w:type="dxa"/>
            <w:vAlign w:val="bottom"/>
            <w:shd w:val="clear" w:color="auto" w:fill="CCEEFF"/>
          </w:tcPr>
          <w:p>
            <w:pPr>
              <w:ind w:left="20"/>
              <w:spacing w:after="0"/>
              <w:rPr>
                <w:sz w:val="20"/>
                <w:szCs w:val="20"/>
                <w:color w:val="auto"/>
              </w:rPr>
            </w:pPr>
            <w:r>
              <w:rPr>
                <w:rFonts w:ascii="Arial" w:cs="Arial" w:eastAsia="Arial" w:hAnsi="Arial"/>
                <w:sz w:val="17"/>
                <w:szCs w:val="17"/>
                <w:color w:val="auto"/>
              </w:rPr>
              <w:t>Home sales revenue</w:t>
            </w:r>
          </w:p>
        </w:tc>
        <w:tc>
          <w:tcPr>
            <w:tcW w:w="28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080" w:type="dxa"/>
            <w:vAlign w:val="bottom"/>
            <w:shd w:val="clear" w:color="auto" w:fill="CCEEFF"/>
          </w:tcPr>
          <w:p>
            <w:pPr>
              <w:jc w:val="right"/>
              <w:ind w:right="115"/>
              <w:spacing w:after="0"/>
              <w:rPr>
                <w:sz w:val="20"/>
                <w:szCs w:val="20"/>
                <w:color w:val="auto"/>
              </w:rPr>
            </w:pPr>
            <w:r>
              <w:rPr>
                <w:rFonts w:ascii="Arial" w:cs="Arial" w:eastAsia="Arial" w:hAnsi="Arial"/>
                <w:sz w:val="17"/>
                <w:szCs w:val="17"/>
                <w:color w:val="auto"/>
              </w:rPr>
              <w:t>1,009,307</w:t>
            </w: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100.0 %</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w:t>
            </w:r>
          </w:p>
        </w:tc>
        <w:tc>
          <w:tcPr>
            <w:tcW w:w="1040" w:type="dxa"/>
            <w:vAlign w:val="bottom"/>
            <w:shd w:val="clear" w:color="auto" w:fill="CCEEFF"/>
          </w:tcPr>
          <w:p>
            <w:pPr>
              <w:jc w:val="right"/>
              <w:ind w:right="115"/>
              <w:spacing w:after="0"/>
              <w:rPr>
                <w:sz w:val="20"/>
                <w:szCs w:val="20"/>
                <w:color w:val="auto"/>
              </w:rPr>
            </w:pPr>
            <w:r>
              <w:rPr>
                <w:rFonts w:ascii="Arial" w:cs="Arial" w:eastAsia="Arial" w:hAnsi="Arial"/>
                <w:sz w:val="17"/>
                <w:szCs w:val="17"/>
                <w:color w:val="auto"/>
              </w:rPr>
              <w:t>766,942</w:t>
            </w: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100.0 %</w:t>
            </w:r>
          </w:p>
        </w:tc>
      </w:tr>
      <w:tr>
        <w:trPr>
          <w:trHeight w:val="222"/>
        </w:trPr>
        <w:tc>
          <w:tcPr>
            <w:tcW w:w="55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Cost of home sales</w:t>
            </w:r>
          </w:p>
        </w:tc>
        <w:tc>
          <w:tcPr>
            <w:tcW w:w="2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115"/>
              <w:spacing w:after="0"/>
              <w:rPr>
                <w:sz w:val="20"/>
                <w:szCs w:val="20"/>
                <w:color w:val="auto"/>
              </w:rPr>
            </w:pPr>
            <w:r>
              <w:rPr>
                <w:rFonts w:ascii="Arial" w:cs="Arial" w:eastAsia="Arial" w:hAnsi="Arial"/>
                <w:sz w:val="17"/>
                <w:szCs w:val="17"/>
                <w:color w:val="auto"/>
              </w:rPr>
              <w:t>761,215</w:t>
            </w:r>
          </w:p>
        </w:tc>
        <w:tc>
          <w:tcPr>
            <w:tcW w:w="120" w:type="dxa"/>
            <w:vAlign w:val="bottom"/>
            <w:tcBorders>
              <w:bottom w:val="single" w:sz="8" w:color="CCEEFF"/>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75.4 %</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115"/>
              <w:spacing w:after="0"/>
              <w:rPr>
                <w:sz w:val="20"/>
                <w:szCs w:val="20"/>
                <w:color w:val="auto"/>
              </w:rPr>
            </w:pPr>
            <w:r>
              <w:rPr>
                <w:rFonts w:ascii="Arial" w:cs="Arial" w:eastAsia="Arial" w:hAnsi="Arial"/>
                <w:sz w:val="17"/>
                <w:szCs w:val="17"/>
                <w:color w:val="auto"/>
              </w:rPr>
              <w:t>601,434</w:t>
            </w:r>
          </w:p>
        </w:tc>
        <w:tc>
          <w:tcPr>
            <w:tcW w:w="120" w:type="dxa"/>
            <w:vAlign w:val="bottom"/>
            <w:tcBorders>
              <w:bottom w:val="single" w:sz="8" w:color="CCEEFF"/>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78.4 %</w:t>
            </w:r>
          </w:p>
        </w:tc>
      </w:tr>
      <w:tr>
        <w:trPr>
          <w:trHeight w:val="215"/>
        </w:trPr>
        <w:tc>
          <w:tcPr>
            <w:tcW w:w="5500" w:type="dxa"/>
            <w:vAlign w:val="bottom"/>
            <w:shd w:val="clear" w:color="auto" w:fill="CCEEFF"/>
          </w:tcPr>
          <w:p>
            <w:pPr>
              <w:ind w:left="20"/>
              <w:spacing w:after="0"/>
              <w:rPr>
                <w:sz w:val="20"/>
                <w:szCs w:val="20"/>
                <w:color w:val="auto"/>
              </w:rPr>
            </w:pPr>
            <w:r>
              <w:rPr>
                <w:rFonts w:ascii="Arial" w:cs="Arial" w:eastAsia="Arial" w:hAnsi="Arial"/>
                <w:sz w:val="17"/>
                <w:szCs w:val="17"/>
                <w:color w:val="auto"/>
              </w:rPr>
              <w:t>Homebuilding gross margin</w:t>
            </w: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115"/>
              <w:spacing w:after="0"/>
              <w:rPr>
                <w:sz w:val="20"/>
                <w:szCs w:val="20"/>
                <w:color w:val="auto"/>
              </w:rPr>
            </w:pPr>
            <w:r>
              <w:rPr>
                <w:rFonts w:ascii="Arial" w:cs="Arial" w:eastAsia="Arial" w:hAnsi="Arial"/>
                <w:sz w:val="17"/>
                <w:szCs w:val="17"/>
                <w:color w:val="auto"/>
              </w:rPr>
              <w:t>248,092</w:t>
            </w: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24.6 %</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115"/>
              <w:spacing w:after="0"/>
              <w:rPr>
                <w:sz w:val="20"/>
                <w:szCs w:val="20"/>
                <w:color w:val="auto"/>
              </w:rPr>
            </w:pPr>
            <w:r>
              <w:rPr>
                <w:rFonts w:ascii="Arial" w:cs="Arial" w:eastAsia="Arial" w:hAnsi="Arial"/>
                <w:sz w:val="17"/>
                <w:szCs w:val="17"/>
                <w:color w:val="auto"/>
              </w:rPr>
              <w:t>165,508</w:t>
            </w: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21.6 %</w:t>
            </w:r>
          </w:p>
        </w:tc>
      </w:tr>
      <w:tr>
        <w:trPr>
          <w:trHeight w:val="222"/>
        </w:trPr>
        <w:tc>
          <w:tcPr>
            <w:tcW w:w="5500" w:type="dxa"/>
            <w:vAlign w:val="bottom"/>
          </w:tcPr>
          <w:p>
            <w:pPr>
              <w:ind w:left="220"/>
              <w:spacing w:after="0"/>
              <w:rPr>
                <w:sz w:val="20"/>
                <w:szCs w:val="20"/>
                <w:color w:val="auto"/>
              </w:rPr>
            </w:pPr>
            <w:r>
              <w:rPr>
                <w:rFonts w:ascii="Arial" w:cs="Arial" w:eastAsia="Arial" w:hAnsi="Arial"/>
                <w:sz w:val="17"/>
                <w:szCs w:val="17"/>
                <w:color w:val="auto"/>
              </w:rPr>
              <w:t>Add: interest in cost of home sales</w:t>
            </w:r>
          </w:p>
        </w:tc>
        <w:tc>
          <w:tcPr>
            <w:tcW w:w="280" w:type="dxa"/>
            <w:vAlign w:val="bottom"/>
          </w:tcPr>
          <w:p>
            <w:pPr>
              <w:spacing w:after="0"/>
              <w:rPr>
                <w:sz w:val="19"/>
                <w:szCs w:val="19"/>
                <w:color w:val="auto"/>
              </w:rPr>
            </w:pPr>
          </w:p>
        </w:tc>
        <w:tc>
          <w:tcPr>
            <w:tcW w:w="1080" w:type="dxa"/>
            <w:vAlign w:val="bottom"/>
          </w:tcPr>
          <w:p>
            <w:pPr>
              <w:jc w:val="right"/>
              <w:ind w:right="115"/>
              <w:spacing w:after="0"/>
              <w:rPr>
                <w:sz w:val="20"/>
                <w:szCs w:val="20"/>
                <w:color w:val="auto"/>
              </w:rPr>
            </w:pPr>
            <w:r>
              <w:rPr>
                <w:rFonts w:ascii="Arial" w:cs="Arial" w:eastAsia="Arial" w:hAnsi="Arial"/>
                <w:sz w:val="17"/>
                <w:szCs w:val="17"/>
                <w:color w:val="auto"/>
              </w:rPr>
              <w:t>30,851</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3.1 %</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ind w:right="115"/>
              <w:spacing w:after="0"/>
              <w:rPr>
                <w:sz w:val="20"/>
                <w:szCs w:val="20"/>
                <w:color w:val="auto"/>
              </w:rPr>
            </w:pPr>
            <w:r>
              <w:rPr>
                <w:rFonts w:ascii="Arial" w:cs="Arial" w:eastAsia="Arial" w:hAnsi="Arial"/>
                <w:sz w:val="17"/>
                <w:szCs w:val="17"/>
                <w:color w:val="auto"/>
              </w:rPr>
              <w:t>21,801</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2.8 %</w:t>
            </w:r>
          </w:p>
        </w:tc>
      </w:tr>
      <w:tr>
        <w:trPr>
          <w:trHeight w:val="222"/>
        </w:trPr>
        <w:tc>
          <w:tcPr>
            <w:tcW w:w="55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Add: impairments and lot option abandonments</w:t>
            </w:r>
          </w:p>
        </w:tc>
        <w:tc>
          <w:tcPr>
            <w:tcW w:w="28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ind w:right="115"/>
              <w:spacing w:after="0"/>
              <w:rPr>
                <w:sz w:val="20"/>
                <w:szCs w:val="20"/>
                <w:color w:val="auto"/>
              </w:rPr>
            </w:pPr>
            <w:r>
              <w:rPr>
                <w:rFonts w:ascii="Arial" w:cs="Arial" w:eastAsia="Arial" w:hAnsi="Arial"/>
                <w:sz w:val="17"/>
                <w:szCs w:val="17"/>
                <w:color w:val="auto"/>
              </w:rPr>
              <w:t>232</w:t>
            </w:r>
          </w:p>
        </w:tc>
        <w:tc>
          <w:tcPr>
            <w:tcW w:w="120" w:type="dxa"/>
            <w:vAlign w:val="bottom"/>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0.0 %</w:t>
            </w:r>
          </w:p>
        </w:tc>
        <w:tc>
          <w:tcPr>
            <w:tcW w:w="10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ind w:right="115"/>
              <w:spacing w:after="0"/>
              <w:rPr>
                <w:sz w:val="20"/>
                <w:szCs w:val="20"/>
                <w:color w:val="auto"/>
              </w:rPr>
            </w:pPr>
            <w:r>
              <w:rPr>
                <w:rFonts w:ascii="Arial" w:cs="Arial" w:eastAsia="Arial" w:hAnsi="Arial"/>
                <w:sz w:val="17"/>
                <w:szCs w:val="17"/>
                <w:color w:val="auto"/>
              </w:rPr>
              <w:t>1,380</w:t>
            </w:r>
          </w:p>
        </w:tc>
        <w:tc>
          <w:tcPr>
            <w:tcW w:w="120" w:type="dxa"/>
            <w:vAlign w:val="bottom"/>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0.2 %</w:t>
            </w:r>
          </w:p>
        </w:tc>
      </w:tr>
      <w:tr>
        <w:trPr>
          <w:trHeight w:val="215"/>
        </w:trPr>
        <w:tc>
          <w:tcPr>
            <w:tcW w:w="5500" w:type="dxa"/>
            <w:vAlign w:val="bottom"/>
          </w:tcPr>
          <w:p>
            <w:pPr>
              <w:ind w:left="20"/>
              <w:spacing w:after="0" w:line="215" w:lineRule="exact"/>
              <w:rPr>
                <w:sz w:val="20"/>
                <w:szCs w:val="20"/>
                <w:color w:val="auto"/>
              </w:rPr>
            </w:pPr>
            <w:r>
              <w:rPr>
                <w:rFonts w:ascii="Arial" w:cs="Arial" w:eastAsia="Arial" w:hAnsi="Arial"/>
                <w:sz w:val="17"/>
                <w:szCs w:val="17"/>
                <w:color w:val="auto"/>
              </w:rPr>
              <w:t>Adjusted homebuilding gross margin</w:t>
            </w:r>
            <w:r>
              <w:rPr>
                <w:rFonts w:ascii="Arial" w:cs="Arial" w:eastAsia="Arial" w:hAnsi="Arial"/>
                <w:sz w:val="20"/>
                <w:szCs w:val="20"/>
                <w:color w:val="auto"/>
                <w:vertAlign w:val="superscript"/>
              </w:rPr>
              <w:t>(1)</w:t>
            </w:r>
          </w:p>
        </w:tc>
        <w:tc>
          <w:tcPr>
            <w:tcW w:w="280" w:type="dxa"/>
            <w:vAlign w:val="bottom"/>
            <w:tcBorders>
              <w:bottom w:val="single" w:sz="8" w:color="auto"/>
            </w:tcBorders>
          </w:tcPr>
          <w:p>
            <w:pPr>
              <w:jc w:val="right"/>
              <w:ind w:right="73"/>
              <w:spacing w:after="0"/>
              <w:rPr>
                <w:sz w:val="20"/>
                <w:szCs w:val="20"/>
                <w:color w:val="auto"/>
              </w:rPr>
            </w:pPr>
            <w:r>
              <w:rPr>
                <w:rFonts w:ascii="Arial" w:cs="Arial" w:eastAsia="Arial" w:hAnsi="Arial"/>
                <w:sz w:val="17"/>
                <w:szCs w:val="17"/>
                <w:color w:val="auto"/>
              </w:rPr>
              <w:t>$</w:t>
            </w:r>
          </w:p>
        </w:tc>
        <w:tc>
          <w:tcPr>
            <w:tcW w:w="1080" w:type="dxa"/>
            <w:vAlign w:val="bottom"/>
            <w:tcBorders>
              <w:bottom w:val="single" w:sz="8" w:color="auto"/>
            </w:tcBorders>
          </w:tcPr>
          <w:p>
            <w:pPr>
              <w:jc w:val="right"/>
              <w:ind w:right="115"/>
              <w:spacing w:after="0"/>
              <w:rPr>
                <w:sz w:val="20"/>
                <w:szCs w:val="20"/>
                <w:color w:val="auto"/>
              </w:rPr>
            </w:pPr>
            <w:r>
              <w:rPr>
                <w:rFonts w:ascii="Arial" w:cs="Arial" w:eastAsia="Arial" w:hAnsi="Arial"/>
                <w:sz w:val="17"/>
                <w:szCs w:val="17"/>
                <w:color w:val="auto"/>
              </w:rPr>
              <w:t>279,175</w:t>
            </w:r>
          </w:p>
        </w:tc>
        <w:tc>
          <w:tcPr>
            <w:tcW w:w="120" w:type="dxa"/>
            <w:vAlign w:val="bottom"/>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27.7 %</w:t>
            </w:r>
          </w:p>
        </w:tc>
        <w:tc>
          <w:tcPr>
            <w:tcW w:w="100" w:type="dxa"/>
            <w:vAlign w:val="bottom"/>
          </w:tcPr>
          <w:p>
            <w:pPr>
              <w:spacing w:after="0"/>
              <w:rPr>
                <w:sz w:val="18"/>
                <w:szCs w:val="18"/>
                <w:color w:val="auto"/>
              </w:rPr>
            </w:pPr>
          </w:p>
        </w:tc>
        <w:tc>
          <w:tcPr>
            <w:tcW w:w="320" w:type="dxa"/>
            <w:vAlign w:val="bottom"/>
            <w:tcBorders>
              <w:bottom w:val="single" w:sz="8" w:color="auto"/>
            </w:tcBorders>
          </w:tcPr>
          <w:p>
            <w:pPr>
              <w:jc w:val="right"/>
              <w:ind w:right="113"/>
              <w:spacing w:after="0"/>
              <w:rPr>
                <w:sz w:val="20"/>
                <w:szCs w:val="20"/>
                <w:color w:val="auto"/>
              </w:rPr>
            </w:pPr>
            <w:r>
              <w:rPr>
                <w:rFonts w:ascii="Arial" w:cs="Arial" w:eastAsia="Arial" w:hAnsi="Arial"/>
                <w:sz w:val="17"/>
                <w:szCs w:val="17"/>
                <w:color w:val="auto"/>
              </w:rPr>
              <w:t>$</w:t>
            </w:r>
          </w:p>
        </w:tc>
        <w:tc>
          <w:tcPr>
            <w:tcW w:w="1040" w:type="dxa"/>
            <w:vAlign w:val="bottom"/>
            <w:tcBorders>
              <w:bottom w:val="single" w:sz="8" w:color="auto"/>
            </w:tcBorders>
          </w:tcPr>
          <w:p>
            <w:pPr>
              <w:jc w:val="right"/>
              <w:ind w:right="115"/>
              <w:spacing w:after="0"/>
              <w:rPr>
                <w:sz w:val="20"/>
                <w:szCs w:val="20"/>
                <w:color w:val="auto"/>
              </w:rPr>
            </w:pPr>
            <w:r>
              <w:rPr>
                <w:rFonts w:ascii="Arial" w:cs="Arial" w:eastAsia="Arial" w:hAnsi="Arial"/>
                <w:sz w:val="17"/>
                <w:szCs w:val="17"/>
                <w:color w:val="auto"/>
              </w:rPr>
              <w:t>188,689</w:t>
            </w:r>
          </w:p>
        </w:tc>
        <w:tc>
          <w:tcPr>
            <w:tcW w:w="120" w:type="dxa"/>
            <w:vAlign w:val="bottom"/>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24.6 %</w:t>
            </w: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66"/>
        </w:trPr>
        <w:tc>
          <w:tcPr>
            <w:tcW w:w="55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Homebuilding gross margin percentage</w:t>
            </w: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24.6 %</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320" w:type="dxa"/>
            <w:vAlign w:val="bottom"/>
            <w:tcBorders>
              <w:top w:val="single" w:sz="8" w:color="auto"/>
              <w:bottom w:val="single" w:sz="8" w:color="CCEEFF"/>
            </w:tcBorders>
            <w:shd w:val="clear" w:color="auto" w:fill="CCEEFF"/>
          </w:tcPr>
          <w:p>
            <w:pPr>
              <w:spacing w:after="0"/>
              <w:rPr>
                <w:sz w:val="22"/>
                <w:szCs w:val="22"/>
                <w:color w:val="auto"/>
              </w:rPr>
            </w:pP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21.6 %</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320" w:type="dxa"/>
            <w:vAlign w:val="bottom"/>
            <w:tcBorders>
              <w:top w:val="single" w:sz="8" w:color="auto"/>
              <w:bottom w:val="single" w:sz="8" w:color="CCEEFF"/>
            </w:tcBorders>
            <w:shd w:val="clear" w:color="auto" w:fill="CCEEFF"/>
          </w:tcPr>
          <w:p>
            <w:pPr>
              <w:spacing w:after="0"/>
              <w:rPr>
                <w:sz w:val="22"/>
                <w:szCs w:val="22"/>
                <w:color w:val="auto"/>
              </w:rPr>
            </w:pPr>
          </w:p>
        </w:tc>
      </w:tr>
      <w:tr>
        <w:trPr>
          <w:trHeight w:val="20"/>
        </w:trPr>
        <w:tc>
          <w:tcPr>
            <w:tcW w:w="55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tcBorders>
          </w:tcPr>
          <w:p>
            <w:pPr>
              <w:spacing w:after="0" w:line="20" w:lineRule="exact"/>
              <w:rPr>
                <w:sz w:val="1"/>
                <w:szCs w:val="1"/>
                <w:color w:val="auto"/>
              </w:rPr>
            </w:pPr>
          </w:p>
        </w:tc>
      </w:tr>
      <w:tr>
        <w:trPr>
          <w:trHeight w:val="195"/>
        </w:trPr>
        <w:tc>
          <w:tcPr>
            <w:tcW w:w="5500" w:type="dxa"/>
            <w:vAlign w:val="bottom"/>
          </w:tcPr>
          <w:p>
            <w:pPr>
              <w:ind w:left="20"/>
              <w:spacing w:after="0" w:line="194" w:lineRule="exact"/>
              <w:rPr>
                <w:sz w:val="20"/>
                <w:szCs w:val="20"/>
                <w:color w:val="auto"/>
              </w:rPr>
            </w:pPr>
            <w:r>
              <w:rPr>
                <w:rFonts w:ascii="Arial" w:cs="Arial" w:eastAsia="Arial" w:hAnsi="Arial"/>
                <w:sz w:val="17"/>
                <w:szCs w:val="17"/>
                <w:color w:val="auto"/>
              </w:rPr>
              <w:t>Adjusted homebuilding gross margin percentage</w:t>
            </w:r>
            <w:r>
              <w:rPr>
                <w:rFonts w:ascii="Arial" w:cs="Arial" w:eastAsia="Arial" w:hAnsi="Arial"/>
                <w:sz w:val="20"/>
                <w:szCs w:val="20"/>
                <w:color w:val="auto"/>
                <w:vertAlign w:val="superscript"/>
              </w:rPr>
              <w:t>(1)</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27.7 %</w:t>
            </w:r>
          </w:p>
        </w:tc>
        <w:tc>
          <w:tcPr>
            <w:tcW w:w="12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24.6 %</w:t>
            </w:r>
          </w:p>
        </w:tc>
        <w:tc>
          <w:tcPr>
            <w:tcW w:w="120" w:type="dxa"/>
            <w:vAlign w:val="bottom"/>
          </w:tcPr>
          <w:p>
            <w:pPr>
              <w:spacing w:after="0"/>
              <w:rPr>
                <w:sz w:val="16"/>
                <w:szCs w:val="16"/>
                <w:color w:val="auto"/>
              </w:rPr>
            </w:pPr>
          </w:p>
        </w:tc>
        <w:tc>
          <w:tcPr>
            <w:tcW w:w="1320" w:type="dxa"/>
            <w:vAlign w:val="bottom"/>
          </w:tcPr>
          <w:p>
            <w:pPr>
              <w:spacing w:after="0"/>
              <w:rPr>
                <w:sz w:val="16"/>
                <w:szCs w:val="16"/>
                <w:color w:val="auto"/>
              </w:rPr>
            </w:pPr>
          </w:p>
        </w:tc>
      </w:tr>
      <w:tr>
        <w:trPr>
          <w:trHeight w:val="20"/>
        </w:trPr>
        <w:tc>
          <w:tcPr>
            <w:tcW w:w="55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bl>
    <w:p>
      <w:pPr>
        <w:spacing w:after="0" w:line="68" w:lineRule="exact"/>
        <w:rPr>
          <w:sz w:val="20"/>
          <w:szCs w:val="20"/>
          <w:color w:val="auto"/>
        </w:rPr>
      </w:pPr>
    </w:p>
    <w:p>
      <w:pPr>
        <w:spacing w:after="0"/>
        <w:rPr>
          <w:sz w:val="20"/>
          <w:szCs w:val="20"/>
          <w:color w:val="auto"/>
        </w:rPr>
      </w:pPr>
      <w:r>
        <w:rPr>
          <w:rFonts w:ascii="Arial" w:cs="Arial" w:eastAsia="Arial" w:hAnsi="Arial"/>
          <w:sz w:val="16"/>
          <w:szCs w:val="16"/>
          <w:color w:val="auto"/>
        </w:rPr>
        <w:t>__________</w:t>
      </w:r>
    </w:p>
    <w:p>
      <w:pPr>
        <w:spacing w:after="0" w:line="49" w:lineRule="exact"/>
        <w:rPr>
          <w:sz w:val="20"/>
          <w:szCs w:val="20"/>
          <w:color w:val="auto"/>
        </w:rPr>
      </w:pPr>
    </w:p>
    <w:p>
      <w:pPr>
        <w:ind w:left="280"/>
        <w:spacing w:after="0"/>
        <w:rPr>
          <w:sz w:val="20"/>
          <w:szCs w:val="20"/>
          <w:color w:val="auto"/>
        </w:rPr>
      </w:pPr>
      <w:r>
        <w:rPr>
          <w:rFonts w:ascii="Arial" w:cs="Arial" w:eastAsia="Arial" w:hAnsi="Arial"/>
          <w:sz w:val="17"/>
          <w:szCs w:val="17"/>
          <w:color w:val="auto"/>
        </w:rPr>
        <w:t>(1) Non-GAAP financial measure (as discussed below).</w:t>
      </w:r>
    </w:p>
    <w:p>
      <w:pPr>
        <w:spacing w:after="0" w:line="200" w:lineRule="exact"/>
        <w:rPr>
          <w:sz w:val="20"/>
          <w:szCs w:val="20"/>
          <w:color w:val="auto"/>
        </w:rPr>
      </w:pPr>
    </w:p>
    <w:p>
      <w:pPr>
        <w:spacing w:after="0" w:line="34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- 30 -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081" w:right="359" w:bottom="1440" w:gutter="0" w:footer="0" w:header="0"/>
        </w:sectPr>
      </w:pPr>
    </w:p>
    <w:bookmarkStart w:id="31" w:name="page32"/>
    <w:bookmarkEnd w:id="31"/>
    <w:p>
      <w:pPr>
        <w:ind w:left="480"/>
        <w:spacing w:after="0"/>
        <w:rPr>
          <w:sz w:val="20"/>
          <w:szCs w:val="20"/>
          <w:color w:val="auto"/>
        </w:rPr>
      </w:pPr>
      <w:r>
        <w:rPr>
          <w:rFonts w:ascii="Arial" w:cs="Arial" w:eastAsia="Arial" w:hAnsi="Arial"/>
          <w:sz w:val="16"/>
          <w:szCs w:val="16"/>
          <w:color w:val="auto"/>
        </w:rPr>
        <w:t>Our homebuilding gross margin percentage increased to 24.6% for the three months ended June 30, 2021 as compared to 21.6% for the prior-year</w:t>
      </w:r>
    </w:p>
    <w:p>
      <w:pPr>
        <w:spacing w:after="0" w:line="37" w:lineRule="exact"/>
        <w:rPr>
          <w:sz w:val="20"/>
          <w:szCs w:val="20"/>
          <w:color w:val="auto"/>
        </w:rPr>
      </w:pPr>
    </w:p>
    <w:p>
      <w:pPr>
        <w:spacing w:after="0"/>
        <w:rPr>
          <w:sz w:val="20"/>
          <w:szCs w:val="20"/>
          <w:color w:val="auto"/>
        </w:rPr>
      </w:pPr>
      <w:r>
        <w:rPr>
          <w:rFonts w:ascii="Arial" w:cs="Arial" w:eastAsia="Arial" w:hAnsi="Arial"/>
          <w:sz w:val="15"/>
          <w:szCs w:val="15"/>
          <w:color w:val="auto"/>
        </w:rPr>
        <w:t>period. The increase in gross margin percentage was due to a combination of product mix and the realization of price increases to units that we began selling into</w:t>
      </w:r>
    </w:p>
    <w:p>
      <w:pPr>
        <w:spacing w:after="0" w:line="37" w:lineRule="exact"/>
        <w:rPr>
          <w:sz w:val="20"/>
          <w:szCs w:val="20"/>
          <w:color w:val="auto"/>
        </w:rPr>
      </w:pPr>
    </w:p>
    <w:p>
      <w:pPr>
        <w:spacing w:after="0"/>
        <w:rPr>
          <w:sz w:val="20"/>
          <w:szCs w:val="20"/>
          <w:color w:val="auto"/>
        </w:rPr>
      </w:pPr>
      <w:r>
        <w:rPr>
          <w:rFonts w:ascii="Arial" w:cs="Arial" w:eastAsia="Arial" w:hAnsi="Arial"/>
          <w:sz w:val="16"/>
          <w:szCs w:val="16"/>
          <w:color w:val="auto"/>
        </w:rPr>
        <w:t>backlog beginning in mid-2020, at which time new home demand had begun to materially rebound from the COVID-19-induced slowdown. The strong demand</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environment has resulted in lower incentives and has allowed us to raise prices in all of our markets. Excluding interest and impairment and lot option</w:t>
      </w:r>
    </w:p>
    <w:p>
      <w:pPr>
        <w:spacing w:after="0" w:line="14" w:lineRule="exact"/>
        <w:rPr>
          <w:sz w:val="20"/>
          <w:szCs w:val="20"/>
          <w:color w:val="auto"/>
        </w:rPr>
      </w:pPr>
    </w:p>
    <w:p>
      <w:pPr>
        <w:spacing w:after="0"/>
        <w:rPr>
          <w:sz w:val="20"/>
          <w:szCs w:val="20"/>
          <w:color w:val="auto"/>
        </w:rPr>
      </w:pPr>
      <w:r>
        <w:rPr>
          <w:rFonts w:ascii="Arial" w:cs="Arial" w:eastAsia="Arial" w:hAnsi="Arial"/>
          <w:sz w:val="15"/>
          <w:szCs w:val="15"/>
          <w:color w:val="auto"/>
        </w:rPr>
        <w:t>abandonments in cost of home sales, adjusted homebuilding gross margin percentage was 27.7% for the three months ended June 30, 2021, compared to 24.6%</w:t>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for the prior-year period.</w:t>
      </w:r>
    </w:p>
    <w:p>
      <w:pPr>
        <w:spacing w:after="0" w:line="211" w:lineRule="exact"/>
        <w:rPr>
          <w:sz w:val="20"/>
          <w:szCs w:val="20"/>
          <w:color w:val="auto"/>
        </w:rPr>
      </w:pPr>
    </w:p>
    <w:p>
      <w:pPr>
        <w:ind w:right="80" w:firstLine="470"/>
        <w:spacing w:after="0" w:line="284" w:lineRule="auto"/>
        <w:rPr>
          <w:sz w:val="20"/>
          <w:szCs w:val="20"/>
          <w:color w:val="auto"/>
        </w:rPr>
      </w:pPr>
      <w:r>
        <w:rPr>
          <w:rFonts w:ascii="Arial" w:cs="Arial" w:eastAsia="Arial" w:hAnsi="Arial"/>
          <w:sz w:val="16"/>
          <w:szCs w:val="16"/>
          <w:color w:val="auto"/>
        </w:rPr>
        <w:t>Adjusted homebuilding gross margin is a non-GAAP financial measure. We believe this information is meaningful as it isolates the impact that leverage and noncash charges have on homebuilding gross margin and permits investors to make better comparisons with our competitors, who adjust gross margins in a similar fashion. Because adjusted homebuilding gross margin is not calculated in accordance with GAAP, it may not be comparable to other similarly titled measures of other companies and should not be considered in isolation or as a substitute for, or superior to, financial measures prepared in accordance with GAAP. See the table above reconciling this non-GAAP financial measure to homebuilding gross margin, the most directly comparable GAAP measure.</w:t>
      </w:r>
    </w:p>
    <w:p>
      <w:pPr>
        <w:spacing w:after="0" w:line="27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Sales and Marketing, General and Administrative Expense (dollars in thousands)</w:t>
      </w:r>
    </w:p>
    <w:p>
      <w:pPr>
        <w:spacing w:after="0" w:line="1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tcPr>
          <w:p>
            <w:pPr>
              <w:spacing w:after="0"/>
              <w:rPr>
                <w:sz w:val="14"/>
                <w:szCs w:val="14"/>
                <w:color w:val="auto"/>
              </w:rPr>
            </w:pPr>
          </w:p>
        </w:tc>
        <w:tc>
          <w:tcPr>
            <w:tcW w:w="2500" w:type="dxa"/>
            <w:vAlign w:val="bottom"/>
            <w:gridSpan w:val="4"/>
            <w:vMerge w:val="restart"/>
          </w:tcPr>
          <w:p>
            <w:pPr>
              <w:jc w:val="right"/>
              <w:spacing w:after="0"/>
              <w:rPr>
                <w:sz w:val="20"/>
                <w:szCs w:val="20"/>
                <w:color w:val="auto"/>
              </w:rPr>
            </w:pPr>
            <w:r>
              <w:rPr>
                <w:rFonts w:ascii="Arial" w:cs="Arial" w:eastAsia="Arial" w:hAnsi="Arial"/>
                <w:sz w:val="14"/>
                <w:szCs w:val="14"/>
                <w:b w:val="1"/>
                <w:bCs w:val="1"/>
                <w:color w:val="auto"/>
              </w:rPr>
              <w:t>Three Months Ended June 30,</w:t>
            </w: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320" w:type="dxa"/>
            <w:vAlign w:val="bottom"/>
            <w:gridSpan w:val="3"/>
          </w:tcPr>
          <w:p>
            <w:pPr>
              <w:jc w:val="center"/>
              <w:ind w:left="902"/>
              <w:spacing w:after="0"/>
              <w:rPr>
                <w:sz w:val="20"/>
                <w:szCs w:val="20"/>
                <w:color w:val="auto"/>
              </w:rPr>
            </w:pPr>
            <w:r>
              <w:rPr>
                <w:rFonts w:ascii="Arial" w:cs="Arial" w:eastAsia="Arial" w:hAnsi="Arial"/>
                <w:sz w:val="14"/>
                <w:szCs w:val="14"/>
                <w:b w:val="1"/>
                <w:bCs w:val="1"/>
                <w:color w:val="auto"/>
                <w:w w:val="87"/>
              </w:rPr>
              <w:t>As a Percentage of</w:t>
            </w: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4700" w:type="dxa"/>
            <w:vAlign w:val="bottom"/>
          </w:tcPr>
          <w:p>
            <w:pPr>
              <w:spacing w:after="0"/>
              <w:rPr>
                <w:sz w:val="15"/>
                <w:szCs w:val="15"/>
                <w:color w:val="auto"/>
              </w:rPr>
            </w:pPr>
          </w:p>
        </w:tc>
        <w:tc>
          <w:tcPr>
            <w:tcW w:w="2500" w:type="dxa"/>
            <w:vAlign w:val="bottom"/>
            <w:tcBorders>
              <w:bottom w:val="single" w:sz="8" w:color="auto"/>
            </w:tcBorders>
            <w:gridSpan w:val="4"/>
            <w:vMerge w:val="continue"/>
          </w:tcPr>
          <w:p>
            <w:pPr>
              <w:spacing w:after="0"/>
              <w:rPr>
                <w:sz w:val="15"/>
                <w:szCs w:val="15"/>
                <w:color w:val="auto"/>
              </w:rPr>
            </w:pPr>
          </w:p>
        </w:tc>
        <w:tc>
          <w:tcPr>
            <w:tcW w:w="56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2320" w:type="dxa"/>
            <w:vAlign w:val="bottom"/>
            <w:tcBorders>
              <w:bottom w:val="single" w:sz="8" w:color="auto"/>
            </w:tcBorders>
            <w:gridSpan w:val="3"/>
          </w:tcPr>
          <w:p>
            <w:pPr>
              <w:jc w:val="center"/>
              <w:ind w:left="922"/>
              <w:spacing w:after="0"/>
              <w:rPr>
                <w:sz w:val="20"/>
                <w:szCs w:val="20"/>
                <w:color w:val="auto"/>
              </w:rPr>
            </w:pPr>
            <w:r>
              <w:rPr>
                <w:rFonts w:ascii="Arial" w:cs="Arial" w:eastAsia="Arial" w:hAnsi="Arial"/>
                <w:sz w:val="14"/>
                <w:szCs w:val="14"/>
                <w:b w:val="1"/>
                <w:bCs w:val="1"/>
                <w:color w:val="auto"/>
                <w:w w:val="87"/>
              </w:rPr>
              <w:t>Home Sales Revenue</w:t>
            </w:r>
          </w:p>
        </w:tc>
        <w:tc>
          <w:tcPr>
            <w:tcW w:w="10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70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60" w:type="dxa"/>
            <w:vAlign w:val="bottom"/>
            <w:tcBorders>
              <w:bottom w:val="single" w:sz="8" w:color="auto"/>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560" w:type="dxa"/>
            <w:vAlign w:val="bottom"/>
            <w:tcBorders>
              <w:bottom w:val="single" w:sz="8" w:color="auto"/>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1600" w:type="dxa"/>
            <w:vAlign w:val="bottom"/>
            <w:tcBorders>
              <w:bottom w:val="single" w:sz="8" w:color="auto"/>
            </w:tcBorders>
          </w:tcPr>
          <w:p>
            <w:pPr>
              <w:jc w:val="right"/>
              <w:ind w:right="58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577"/>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6"/>
        </w:trPr>
        <w:tc>
          <w:tcPr>
            <w:tcW w:w="4700" w:type="dxa"/>
            <w:vAlign w:val="bottom"/>
            <w:shd w:val="clear" w:color="auto" w:fill="CCEEFF"/>
          </w:tcPr>
          <w:p>
            <w:pPr>
              <w:ind w:left="20"/>
              <w:spacing w:after="0"/>
              <w:rPr>
                <w:sz w:val="20"/>
                <w:szCs w:val="20"/>
                <w:color w:val="auto"/>
              </w:rPr>
            </w:pPr>
            <w:r>
              <w:rPr>
                <w:rFonts w:ascii="Arial" w:cs="Arial" w:eastAsia="Arial" w:hAnsi="Arial"/>
                <w:sz w:val="17"/>
                <w:szCs w:val="17"/>
                <w:color w:val="auto"/>
              </w:rPr>
              <w:t>Sales and marketing</w:t>
            </w:r>
          </w:p>
        </w:tc>
        <w:tc>
          <w:tcPr>
            <w:tcW w:w="920" w:type="dxa"/>
            <w:vAlign w:val="bottom"/>
            <w:shd w:val="clear" w:color="auto" w:fill="CCEEFF"/>
          </w:tcPr>
          <w:p>
            <w:pPr>
              <w:jc w:val="right"/>
              <w:ind w:right="722"/>
              <w:spacing w:after="0"/>
              <w:rPr>
                <w:sz w:val="20"/>
                <w:szCs w:val="20"/>
                <w:color w:val="auto"/>
              </w:rPr>
            </w:pPr>
            <w:r>
              <w:rPr>
                <w:rFonts w:ascii="Arial" w:cs="Arial" w:eastAsia="Arial" w:hAnsi="Arial"/>
                <w:sz w:val="17"/>
                <w:szCs w:val="17"/>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2"/>
              </w:rPr>
              <w:t>45,489</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719"/>
              <w:spacing w:after="0"/>
              <w:rPr>
                <w:sz w:val="20"/>
                <w:szCs w:val="20"/>
                <w:color w:val="auto"/>
              </w:rPr>
            </w:pPr>
            <w:r>
              <w:rPr>
                <w:rFonts w:ascii="Arial" w:cs="Arial" w:eastAsia="Arial" w:hAnsi="Arial"/>
                <w:sz w:val="17"/>
                <w:szCs w:val="17"/>
                <w:color w:val="auto"/>
                <w:w w:val="84"/>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2"/>
              </w:rPr>
              <w:t>45,194</w:t>
            </w:r>
          </w:p>
        </w:tc>
        <w:tc>
          <w:tcPr>
            <w:tcW w:w="120" w:type="dxa"/>
            <w:vAlign w:val="bottom"/>
            <w:shd w:val="clear" w:color="auto" w:fill="CCEEFF"/>
          </w:tcPr>
          <w:p>
            <w:pPr>
              <w:spacing w:after="0"/>
              <w:rPr>
                <w:sz w:val="18"/>
                <w:szCs w:val="18"/>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4.5 %</w:t>
            </w: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5.9 %</w:t>
            </w:r>
          </w:p>
        </w:tc>
        <w:tc>
          <w:tcPr>
            <w:tcW w:w="0" w:type="dxa"/>
            <w:vAlign w:val="bottom"/>
          </w:tcPr>
          <w:p>
            <w:pPr>
              <w:spacing w:after="0"/>
              <w:rPr>
                <w:sz w:val="1"/>
                <w:szCs w:val="1"/>
                <w:color w:val="auto"/>
              </w:rPr>
            </w:pPr>
          </w:p>
        </w:tc>
      </w:tr>
      <w:tr>
        <w:trPr>
          <w:trHeight w:val="222"/>
        </w:trPr>
        <w:tc>
          <w:tcPr>
            <w:tcW w:w="47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General and administrative (G&amp;A)</w:t>
            </w:r>
          </w:p>
        </w:tc>
        <w:tc>
          <w:tcPr>
            <w:tcW w:w="9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2"/>
              </w:rPr>
              <w:t>51,263</w:t>
            </w:r>
          </w:p>
        </w:tc>
        <w:tc>
          <w:tcPr>
            <w:tcW w:w="120" w:type="dxa"/>
            <w:vAlign w:val="bottom"/>
            <w:tcBorders>
              <w:bottom w:val="single" w:sz="8" w:color="CCEEFF"/>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2"/>
              </w:rPr>
              <w:t>37,554</w:t>
            </w:r>
          </w:p>
        </w:tc>
        <w:tc>
          <w:tcPr>
            <w:tcW w:w="120" w:type="dxa"/>
            <w:vAlign w:val="bottom"/>
            <w:tcBorders>
              <w:bottom w:val="single" w:sz="8" w:color="CCEEFF"/>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5.1 %</w:t>
            </w:r>
          </w:p>
        </w:tc>
        <w:tc>
          <w:tcPr>
            <w:tcW w:w="100" w:type="dxa"/>
            <w:vAlign w:val="bottom"/>
            <w:tcBorders>
              <w:bottom w:val="single" w:sz="8" w:color="CCEEFF"/>
            </w:tcBorders>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4.9 %</w:t>
            </w:r>
          </w:p>
        </w:tc>
        <w:tc>
          <w:tcPr>
            <w:tcW w:w="0" w:type="dxa"/>
            <w:vAlign w:val="bottom"/>
          </w:tcPr>
          <w:p>
            <w:pPr>
              <w:spacing w:after="0"/>
              <w:rPr>
                <w:sz w:val="1"/>
                <w:szCs w:val="1"/>
                <w:color w:val="auto"/>
              </w:rPr>
            </w:pPr>
          </w:p>
        </w:tc>
      </w:tr>
      <w:tr>
        <w:trPr>
          <w:trHeight w:val="240"/>
        </w:trPr>
        <w:tc>
          <w:tcPr>
            <w:tcW w:w="47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7"/>
                <w:szCs w:val="17"/>
                <w:color w:val="auto"/>
              </w:rPr>
              <w:t>Total sales and marketing and G&amp;A</w:t>
            </w:r>
          </w:p>
        </w:tc>
        <w:tc>
          <w:tcPr>
            <w:tcW w:w="920" w:type="dxa"/>
            <w:vAlign w:val="bottom"/>
            <w:tcBorders>
              <w:bottom w:val="single" w:sz="8" w:color="auto"/>
            </w:tcBorders>
            <w:shd w:val="clear" w:color="auto" w:fill="CCEEFF"/>
          </w:tcPr>
          <w:p>
            <w:pPr>
              <w:jc w:val="right"/>
              <w:ind w:right="722"/>
              <w:spacing w:after="0"/>
              <w:rPr>
                <w:sz w:val="20"/>
                <w:szCs w:val="20"/>
                <w:color w:val="auto"/>
              </w:rPr>
            </w:pPr>
            <w:r>
              <w:rPr>
                <w:rFonts w:ascii="Arial" w:cs="Arial" w:eastAsia="Arial" w:hAnsi="Arial"/>
                <w:sz w:val="17"/>
                <w:szCs w:val="17"/>
                <w:color w:val="auto"/>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2"/>
              </w:rPr>
              <w:t>96,752</w:t>
            </w:r>
          </w:p>
        </w:tc>
        <w:tc>
          <w:tcPr>
            <w:tcW w:w="1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ind w:right="719"/>
              <w:spacing w:after="0"/>
              <w:rPr>
                <w:sz w:val="20"/>
                <w:szCs w:val="20"/>
                <w:color w:val="auto"/>
              </w:rPr>
            </w:pPr>
            <w:r>
              <w:rPr>
                <w:rFonts w:ascii="Arial" w:cs="Arial" w:eastAsia="Arial" w:hAnsi="Arial"/>
                <w:sz w:val="17"/>
                <w:szCs w:val="17"/>
                <w:color w:val="auto"/>
                <w:w w:val="84"/>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2"/>
              </w:rPr>
              <w:t>82,748</w:t>
            </w:r>
          </w:p>
        </w:tc>
        <w:tc>
          <w:tcPr>
            <w:tcW w:w="12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9.6 %</w:t>
            </w:r>
          </w:p>
        </w:tc>
        <w:tc>
          <w:tcPr>
            <w:tcW w:w="100" w:type="dxa"/>
            <w:vAlign w:val="bottom"/>
            <w:tcBorders>
              <w:bottom w:val="single" w:sz="8" w:color="CCEEFF"/>
            </w:tcBorders>
            <w:shd w:val="clear" w:color="auto" w:fill="CCEEFF"/>
          </w:tcPr>
          <w:p>
            <w:pPr>
              <w:spacing w:after="0"/>
              <w:rPr>
                <w:sz w:val="20"/>
                <w:szCs w:val="20"/>
                <w:color w:val="auto"/>
              </w:rPr>
            </w:pPr>
          </w:p>
        </w:tc>
        <w:tc>
          <w:tcPr>
            <w:tcW w:w="620" w:type="dxa"/>
            <w:vAlign w:val="bottom"/>
            <w:tcBorders>
              <w:bottom w:val="single" w:sz="8" w:color="auto"/>
            </w:tcBorders>
            <w:shd w:val="clear" w:color="auto" w:fill="CCEEFF"/>
          </w:tcPr>
          <w:p>
            <w:pPr>
              <w:spacing w:after="0"/>
              <w:rPr>
                <w:sz w:val="20"/>
                <w:szCs w:val="20"/>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10.8 %</w:t>
            </w:r>
          </w:p>
        </w:tc>
        <w:tc>
          <w:tcPr>
            <w:tcW w:w="0" w:type="dxa"/>
            <w:vAlign w:val="bottom"/>
          </w:tcPr>
          <w:p>
            <w:pPr>
              <w:spacing w:after="0"/>
              <w:rPr>
                <w:sz w:val="1"/>
                <w:szCs w:val="1"/>
                <w:color w:val="auto"/>
              </w:rPr>
            </w:pPr>
          </w:p>
        </w:tc>
      </w:tr>
      <w:tr>
        <w:trPr>
          <w:trHeight w:val="20"/>
        </w:trPr>
        <w:tc>
          <w:tcPr>
            <w:tcW w:w="47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80" w:lineRule="exact"/>
        <w:rPr>
          <w:sz w:val="20"/>
          <w:szCs w:val="20"/>
          <w:color w:val="auto"/>
        </w:rPr>
      </w:pPr>
    </w:p>
    <w:p>
      <w:pPr>
        <w:ind w:right="40" w:firstLine="470"/>
        <w:spacing w:after="0" w:line="272" w:lineRule="auto"/>
        <w:rPr>
          <w:sz w:val="20"/>
          <w:szCs w:val="20"/>
          <w:color w:val="auto"/>
        </w:rPr>
      </w:pPr>
      <w:r>
        <w:rPr>
          <w:rFonts w:ascii="Arial" w:cs="Arial" w:eastAsia="Arial" w:hAnsi="Arial"/>
          <w:sz w:val="17"/>
          <w:szCs w:val="17"/>
          <w:color w:val="auto"/>
        </w:rPr>
        <w:t>Total sales and marketing and general and administrative (“SG&amp;A”) as a percentage of home sales revenue decreased to 9.6% for the three months ended June 30, 2021, compared to 10.8% in the prior-year period. Total SG&amp;A expense increased $14.0 million to $96.8 million for the three months ended June 30, 2021 from $82.7 million in the prior-year period.</w:t>
      </w:r>
    </w:p>
    <w:p>
      <w:pPr>
        <w:spacing w:after="0" w:line="172" w:lineRule="exact"/>
        <w:rPr>
          <w:sz w:val="20"/>
          <w:szCs w:val="20"/>
          <w:color w:val="auto"/>
        </w:rPr>
      </w:pPr>
    </w:p>
    <w:p>
      <w:pPr>
        <w:ind w:right="40" w:firstLine="470"/>
        <w:spacing w:after="0" w:line="272" w:lineRule="auto"/>
        <w:rPr>
          <w:sz w:val="20"/>
          <w:szCs w:val="20"/>
          <w:color w:val="auto"/>
        </w:rPr>
      </w:pPr>
      <w:r>
        <w:rPr>
          <w:rFonts w:ascii="Arial" w:cs="Arial" w:eastAsia="Arial" w:hAnsi="Arial"/>
          <w:sz w:val="17"/>
          <w:szCs w:val="17"/>
          <w:color w:val="auto"/>
        </w:rPr>
        <w:t>Sales and marketing expense as a percentage of home sales revenue decreased to 4.5% for the three months ended June 30, 2021, compared to 5.9% for the prior-year period. The decrease was due primarily to lower advertising expense and higher leverage on the fixed components of sales and marketing expense as a result of the 32% increase in homebuilding revenue compared to the prior-year period.</w:t>
      </w:r>
    </w:p>
    <w:p>
      <w:pPr>
        <w:spacing w:after="0" w:line="172" w:lineRule="exact"/>
        <w:rPr>
          <w:sz w:val="20"/>
          <w:szCs w:val="20"/>
          <w:color w:val="auto"/>
        </w:rPr>
      </w:pPr>
    </w:p>
    <w:p>
      <w:pPr>
        <w:ind w:right="20" w:firstLine="470"/>
        <w:spacing w:after="0" w:line="267" w:lineRule="auto"/>
        <w:rPr>
          <w:sz w:val="20"/>
          <w:szCs w:val="20"/>
          <w:color w:val="auto"/>
        </w:rPr>
      </w:pPr>
      <w:r>
        <w:rPr>
          <w:rFonts w:ascii="Arial" w:cs="Arial" w:eastAsia="Arial" w:hAnsi="Arial"/>
          <w:sz w:val="17"/>
          <w:szCs w:val="17"/>
          <w:color w:val="auto"/>
        </w:rPr>
        <w:t>General and administrative (“G&amp;A”) expense as a percentage of home sales revenue increased to 5.1% of home sales revenue for the three months ended June 30, 2021 compared to 4.9% for the prior-year period largely due to higher leverage on our G&amp;A expense as a result of the 32% increase in homebuilding revenue compared to the prior-year period. G&amp;A expense increased to $51.3 million for the three months ended June 30, 2021 compared to $37.6 million for the prior-year period, largely due to higher incentive compensation expense.</w:t>
      </w: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Restructuring Charges</w:t>
      </w:r>
    </w:p>
    <w:p>
      <w:pPr>
        <w:spacing w:after="0" w:line="118" w:lineRule="exact"/>
        <w:rPr>
          <w:sz w:val="20"/>
          <w:szCs w:val="20"/>
          <w:color w:val="auto"/>
        </w:rPr>
      </w:pPr>
    </w:p>
    <w:p>
      <w:pPr>
        <w:jc w:val="both"/>
        <w:ind w:right="60" w:firstLine="470"/>
        <w:spacing w:after="0" w:line="324" w:lineRule="auto"/>
        <w:rPr>
          <w:sz w:val="20"/>
          <w:szCs w:val="20"/>
          <w:color w:val="auto"/>
        </w:rPr>
      </w:pPr>
      <w:r>
        <w:rPr>
          <w:rFonts w:ascii="Arial" w:cs="Arial" w:eastAsia="Arial" w:hAnsi="Arial"/>
          <w:sz w:val="15"/>
          <w:szCs w:val="15"/>
          <w:color w:val="auto"/>
        </w:rPr>
        <w:t>In May 2020, due to the existing and anticipated future impact of the COVID-19 pandemic on our business, we implemented a workforce reduction plan. As a result of the workforce reduction plan, during the three months ended June 30, 2020 we incurred $5.5 million of pre-tax restructuring charges consisting of severance and related costs, all of which had been paid as of December 31, 2020. No restructuring charges have been incurred in the current year.</w:t>
      </w:r>
    </w:p>
    <w:p>
      <w:pPr>
        <w:spacing w:after="0" w:line="24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Interest</w:t>
      </w:r>
    </w:p>
    <w:p>
      <w:pPr>
        <w:spacing w:after="0" w:line="118" w:lineRule="exact"/>
        <w:rPr>
          <w:sz w:val="20"/>
          <w:szCs w:val="20"/>
          <w:color w:val="auto"/>
        </w:rPr>
      </w:pPr>
    </w:p>
    <w:p>
      <w:pPr>
        <w:jc w:val="both"/>
        <w:ind w:right="60" w:firstLine="470"/>
        <w:spacing w:after="0" w:line="288" w:lineRule="auto"/>
        <w:rPr>
          <w:sz w:val="20"/>
          <w:szCs w:val="20"/>
          <w:color w:val="auto"/>
        </w:rPr>
      </w:pPr>
      <w:r>
        <w:rPr>
          <w:rFonts w:ascii="Arial" w:cs="Arial" w:eastAsia="Arial" w:hAnsi="Arial"/>
          <w:sz w:val="17"/>
          <w:szCs w:val="17"/>
          <w:color w:val="auto"/>
        </w:rPr>
        <w:t>Interest, which we incurred principally to finance land acquisitions, land development and home construction, totaled $22.6 million and $21.8 million for the three months ended June 30, 2021 and 2020, respectively. All interest incurred in both periods was capitalized.</w:t>
      </w:r>
    </w:p>
    <w:p>
      <w:pPr>
        <w:spacing w:after="0" w:line="200" w:lineRule="exact"/>
        <w:rPr>
          <w:sz w:val="20"/>
          <w:szCs w:val="20"/>
          <w:color w:val="auto"/>
        </w:rPr>
      </w:pPr>
    </w:p>
    <w:p>
      <w:pPr>
        <w:spacing w:after="0" w:line="2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- 31 -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081" w:right="359" w:bottom="1440" w:gutter="0" w:footer="0" w:header="0"/>
        </w:sectPr>
      </w:pPr>
    </w:p>
    <w:bookmarkStart w:id="32" w:name="page33"/>
    <w:bookmarkEnd w:id="32"/>
    <w:p>
      <w:pPr>
        <w:spacing w:after="0"/>
        <w:rPr>
          <w:sz w:val="20"/>
          <w:szCs w:val="20"/>
          <w:color w:val="auto"/>
        </w:rPr>
      </w:pPr>
      <w:r>
        <w:rPr>
          <w:rFonts w:ascii="Arial" w:cs="Arial" w:eastAsia="Arial" w:hAnsi="Arial"/>
          <w:sz w:val="17"/>
          <w:szCs w:val="17"/>
          <w:b w:val="1"/>
          <w:bCs w:val="1"/>
          <w:i w:val="1"/>
          <w:iCs w:val="1"/>
          <w:color w:val="auto"/>
        </w:rPr>
        <w:t>Income Tax</w:t>
      </w:r>
    </w:p>
    <w:p>
      <w:pPr>
        <w:spacing w:after="0" w:line="118" w:lineRule="exact"/>
        <w:rPr>
          <w:sz w:val="20"/>
          <w:szCs w:val="20"/>
          <w:color w:val="auto"/>
        </w:rPr>
      </w:pPr>
    </w:p>
    <w:p>
      <w:pPr>
        <w:ind w:right="40" w:firstLine="470"/>
        <w:spacing w:after="0" w:line="267" w:lineRule="auto"/>
        <w:rPr>
          <w:sz w:val="20"/>
          <w:szCs w:val="20"/>
          <w:color w:val="auto"/>
        </w:rPr>
      </w:pPr>
      <w:r>
        <w:rPr>
          <w:rFonts w:ascii="Arial" w:cs="Arial" w:eastAsia="Arial" w:hAnsi="Arial"/>
          <w:sz w:val="17"/>
          <w:szCs w:val="17"/>
          <w:color w:val="auto"/>
        </w:rPr>
        <w:t>For the three months ended June 30, 2021, we recorded a tax provision of $39.3 million based on an effective tax rate of 25.0%. For the three months ended June 30, 2020, we recorded a tax provision of $18.1 million based on an effective tax rate of 24.3%. The increase in provision for income taxes is due to a $82.5 million increase in income before income taxes to $157.1 million for the three months ended June 30, 2021, compared to $74.7 million for the prior-year period.</w:t>
      </w: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Financial Services Segment</w:t>
      </w:r>
    </w:p>
    <w:p>
      <w:pPr>
        <w:spacing w:after="0" w:line="118" w:lineRule="exact"/>
        <w:rPr>
          <w:sz w:val="20"/>
          <w:szCs w:val="20"/>
          <w:color w:val="auto"/>
        </w:rPr>
      </w:pPr>
    </w:p>
    <w:p>
      <w:pPr>
        <w:ind w:right="20" w:firstLine="470"/>
        <w:spacing w:after="0" w:line="288" w:lineRule="auto"/>
        <w:rPr>
          <w:sz w:val="20"/>
          <w:szCs w:val="20"/>
          <w:color w:val="auto"/>
        </w:rPr>
      </w:pPr>
      <w:r>
        <w:rPr>
          <w:rFonts w:ascii="Arial" w:cs="Arial" w:eastAsia="Arial" w:hAnsi="Arial"/>
          <w:sz w:val="16"/>
          <w:szCs w:val="16"/>
          <w:color w:val="auto"/>
        </w:rPr>
        <w:t>Income before income taxes from our financial services operations increased to $5.1 million for the three months ended June 30, 2021 compared to $3.9 million for the prior-year period. This increase is due to higher home sales volume in the three months ended June 30, 2021 compared to the prior-year period, resulting in a corresponding increase in financial services captured in the current-year period. We experienced higher financial services profit in all three areas of our financial services segment, represented by mortgage financing, title and escrow services, and property and casualty insurance operations.</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Six Months Ended June 30, 2021 Compared to Six Months Ended June 30, 2020</w:t>
      </w:r>
    </w:p>
    <w:p>
      <w:pPr>
        <w:spacing w:after="0" w:line="12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Net New Home Orders, Average Selling Communities and Monthly Absorption Rates by Segment</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1620" w:type="dxa"/>
            <w:vAlign w:val="bottom"/>
          </w:tcPr>
          <w:p>
            <w:pPr>
              <w:spacing w:after="0"/>
              <w:rPr>
                <w:sz w:val="16"/>
                <w:szCs w:val="16"/>
                <w:color w:val="auto"/>
              </w:rPr>
            </w:pPr>
          </w:p>
        </w:tc>
        <w:tc>
          <w:tcPr>
            <w:tcW w:w="3100" w:type="dxa"/>
            <w:vAlign w:val="bottom"/>
            <w:gridSpan w:val="6"/>
          </w:tcPr>
          <w:p>
            <w:pPr>
              <w:jc w:val="center"/>
              <w:ind w:right="120"/>
              <w:spacing w:after="0"/>
              <w:rPr>
                <w:sz w:val="20"/>
                <w:szCs w:val="20"/>
                <w:color w:val="auto"/>
              </w:rPr>
            </w:pPr>
            <w:r>
              <w:rPr>
                <w:rFonts w:ascii="Arial" w:cs="Arial" w:eastAsia="Arial" w:hAnsi="Arial"/>
                <w:sz w:val="14"/>
                <w:szCs w:val="14"/>
                <w:b w:val="1"/>
                <w:bCs w:val="1"/>
                <w:color w:val="auto"/>
                <w:w w:val="89"/>
              </w:rPr>
              <w:t>Six Months Ended June 30, 2021</w:t>
            </w:r>
          </w:p>
        </w:tc>
        <w:tc>
          <w:tcPr>
            <w:tcW w:w="3120" w:type="dxa"/>
            <w:vAlign w:val="bottom"/>
            <w:gridSpan w:val="6"/>
          </w:tcPr>
          <w:p>
            <w:pPr>
              <w:jc w:val="center"/>
              <w:ind w:right="100"/>
              <w:spacing w:after="0"/>
              <w:rPr>
                <w:sz w:val="20"/>
                <w:szCs w:val="20"/>
                <w:color w:val="auto"/>
              </w:rPr>
            </w:pPr>
            <w:r>
              <w:rPr>
                <w:rFonts w:ascii="Arial" w:cs="Arial" w:eastAsia="Arial" w:hAnsi="Arial"/>
                <w:sz w:val="14"/>
                <w:szCs w:val="14"/>
                <w:b w:val="1"/>
                <w:bCs w:val="1"/>
                <w:color w:val="auto"/>
                <w:w w:val="89"/>
              </w:rPr>
              <w:t>Six Months Ended June 30, 2020</w:t>
            </w: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gridSpan w:val="2"/>
          </w:tcPr>
          <w:p>
            <w:pPr>
              <w:ind w:left="40"/>
              <w:spacing w:after="0"/>
              <w:rPr>
                <w:sz w:val="20"/>
                <w:szCs w:val="20"/>
                <w:color w:val="auto"/>
              </w:rPr>
            </w:pPr>
            <w:r>
              <w:rPr>
                <w:rFonts w:ascii="Arial" w:cs="Arial" w:eastAsia="Arial" w:hAnsi="Arial"/>
                <w:sz w:val="14"/>
                <w:szCs w:val="14"/>
                <w:b w:val="1"/>
                <w:bCs w:val="1"/>
                <w:color w:val="auto"/>
                <w:w w:val="87"/>
              </w:rPr>
              <w:t>Percentage Change</w:t>
            </w:r>
          </w:p>
        </w:tc>
        <w:tc>
          <w:tcPr>
            <w:tcW w:w="1080" w:type="dxa"/>
            <w:vAlign w:val="bottom"/>
          </w:tcPr>
          <w:p>
            <w:pPr>
              <w:spacing w:after="0"/>
              <w:rPr>
                <w:sz w:val="16"/>
                <w:szCs w:val="16"/>
                <w:color w:val="auto"/>
              </w:rPr>
            </w:pPr>
          </w:p>
        </w:tc>
      </w:tr>
      <w:tr>
        <w:trPr>
          <w:trHeight w:val="129"/>
        </w:trPr>
        <w:tc>
          <w:tcPr>
            <w:tcW w:w="1620" w:type="dxa"/>
            <w:vAlign w:val="bottom"/>
          </w:tcPr>
          <w:p>
            <w:pPr>
              <w:spacing w:after="0"/>
              <w:rPr>
                <w:sz w:val="11"/>
                <w:szCs w:val="11"/>
                <w:color w:val="auto"/>
              </w:rPr>
            </w:pPr>
          </w:p>
        </w:tc>
        <w:tc>
          <w:tcPr>
            <w:tcW w:w="1000" w:type="dxa"/>
            <w:vAlign w:val="bottom"/>
            <w:tcBorders>
              <w:top w:val="single" w:sz="8" w:color="auto"/>
            </w:tcBorders>
            <w:gridSpan w:val="2"/>
          </w:tcPr>
          <w:p>
            <w:pPr>
              <w:jc w:val="center"/>
              <w:ind w:right="120"/>
              <w:spacing w:after="0" w:line="129" w:lineRule="exact"/>
              <w:rPr>
                <w:sz w:val="20"/>
                <w:szCs w:val="20"/>
                <w:color w:val="auto"/>
              </w:rPr>
            </w:pPr>
            <w:r>
              <w:rPr>
                <w:rFonts w:ascii="Arial" w:cs="Arial" w:eastAsia="Arial" w:hAnsi="Arial"/>
                <w:sz w:val="14"/>
                <w:szCs w:val="14"/>
                <w:b w:val="1"/>
                <w:bCs w:val="1"/>
                <w:color w:val="auto"/>
                <w:w w:val="94"/>
              </w:rPr>
              <w:t>Net New</w:t>
            </w:r>
          </w:p>
        </w:tc>
        <w:tc>
          <w:tcPr>
            <w:tcW w:w="1060" w:type="dxa"/>
            <w:vAlign w:val="bottom"/>
            <w:tcBorders>
              <w:top w:val="single" w:sz="8" w:color="auto"/>
            </w:tcBorders>
            <w:gridSpan w:val="2"/>
          </w:tcPr>
          <w:p>
            <w:pPr>
              <w:jc w:val="center"/>
              <w:ind w:right="100"/>
              <w:spacing w:after="0" w:line="129" w:lineRule="exact"/>
              <w:rPr>
                <w:sz w:val="20"/>
                <w:szCs w:val="20"/>
                <w:color w:val="auto"/>
              </w:rPr>
            </w:pPr>
            <w:r>
              <w:rPr>
                <w:rFonts w:ascii="Arial" w:cs="Arial" w:eastAsia="Arial" w:hAnsi="Arial"/>
                <w:sz w:val="14"/>
                <w:szCs w:val="14"/>
                <w:b w:val="1"/>
                <w:bCs w:val="1"/>
                <w:color w:val="auto"/>
                <w:w w:val="86"/>
              </w:rPr>
              <w:t>Average</w:t>
            </w:r>
          </w:p>
        </w:tc>
        <w:tc>
          <w:tcPr>
            <w:tcW w:w="94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3"/>
              </w:rPr>
              <w:t>Monthly</w:t>
            </w:r>
          </w:p>
        </w:tc>
        <w:tc>
          <w:tcPr>
            <w:tcW w:w="100" w:type="dxa"/>
            <w:vAlign w:val="bottom"/>
          </w:tcPr>
          <w:p>
            <w:pPr>
              <w:spacing w:after="0"/>
              <w:rPr>
                <w:sz w:val="11"/>
                <w:szCs w:val="11"/>
                <w:color w:val="auto"/>
              </w:rPr>
            </w:pPr>
          </w:p>
        </w:tc>
        <w:tc>
          <w:tcPr>
            <w:tcW w:w="1020" w:type="dxa"/>
            <w:vAlign w:val="bottom"/>
            <w:tcBorders>
              <w:top w:val="single" w:sz="8" w:color="auto"/>
            </w:tcBorders>
            <w:gridSpan w:val="2"/>
          </w:tcPr>
          <w:p>
            <w:pPr>
              <w:jc w:val="center"/>
              <w:ind w:right="100"/>
              <w:spacing w:after="0" w:line="129" w:lineRule="exact"/>
              <w:rPr>
                <w:sz w:val="20"/>
                <w:szCs w:val="20"/>
                <w:color w:val="auto"/>
              </w:rPr>
            </w:pPr>
            <w:r>
              <w:rPr>
                <w:rFonts w:ascii="Arial" w:cs="Arial" w:eastAsia="Arial" w:hAnsi="Arial"/>
                <w:sz w:val="14"/>
                <w:szCs w:val="14"/>
                <w:b w:val="1"/>
                <w:bCs w:val="1"/>
                <w:color w:val="auto"/>
                <w:w w:val="94"/>
              </w:rPr>
              <w:t>Net New</w:t>
            </w:r>
          </w:p>
        </w:tc>
        <w:tc>
          <w:tcPr>
            <w:tcW w:w="1060" w:type="dxa"/>
            <w:vAlign w:val="bottom"/>
            <w:tcBorders>
              <w:top w:val="single" w:sz="8" w:color="auto"/>
            </w:tcBorders>
            <w:gridSpan w:val="2"/>
          </w:tcPr>
          <w:p>
            <w:pPr>
              <w:jc w:val="center"/>
              <w:ind w:right="100"/>
              <w:spacing w:after="0" w:line="129" w:lineRule="exact"/>
              <w:rPr>
                <w:sz w:val="20"/>
                <w:szCs w:val="20"/>
                <w:color w:val="auto"/>
              </w:rPr>
            </w:pPr>
            <w:r>
              <w:rPr>
                <w:rFonts w:ascii="Arial" w:cs="Arial" w:eastAsia="Arial" w:hAnsi="Arial"/>
                <w:sz w:val="14"/>
                <w:szCs w:val="14"/>
                <w:b w:val="1"/>
                <w:bCs w:val="1"/>
                <w:color w:val="auto"/>
                <w:w w:val="86"/>
              </w:rPr>
              <w:t>Average</w:t>
            </w:r>
          </w:p>
        </w:tc>
        <w:tc>
          <w:tcPr>
            <w:tcW w:w="94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3"/>
              </w:rPr>
              <w:t>Monthly</w:t>
            </w:r>
          </w:p>
        </w:tc>
        <w:tc>
          <w:tcPr>
            <w:tcW w:w="100" w:type="dxa"/>
            <w:vAlign w:val="bottom"/>
          </w:tcPr>
          <w:p>
            <w:pPr>
              <w:spacing w:after="0"/>
              <w:rPr>
                <w:sz w:val="11"/>
                <w:szCs w:val="11"/>
                <w:color w:val="auto"/>
              </w:rPr>
            </w:pPr>
          </w:p>
        </w:tc>
        <w:tc>
          <w:tcPr>
            <w:tcW w:w="1080" w:type="dxa"/>
            <w:vAlign w:val="bottom"/>
            <w:tcBorders>
              <w:top w:val="single" w:sz="8" w:color="auto"/>
            </w:tcBorders>
            <w:gridSpan w:val="2"/>
          </w:tcPr>
          <w:p>
            <w:pPr>
              <w:jc w:val="center"/>
              <w:ind w:right="100"/>
              <w:spacing w:after="0" w:line="129" w:lineRule="exact"/>
              <w:rPr>
                <w:sz w:val="20"/>
                <w:szCs w:val="20"/>
                <w:color w:val="auto"/>
              </w:rPr>
            </w:pPr>
            <w:r>
              <w:rPr>
                <w:rFonts w:ascii="Arial" w:cs="Arial" w:eastAsia="Arial" w:hAnsi="Arial"/>
                <w:sz w:val="14"/>
                <w:szCs w:val="14"/>
                <w:b w:val="1"/>
                <w:bCs w:val="1"/>
                <w:color w:val="auto"/>
                <w:w w:val="90"/>
              </w:rPr>
              <w:t>Net New</w:t>
            </w:r>
          </w:p>
        </w:tc>
        <w:tc>
          <w:tcPr>
            <w:tcW w:w="1200" w:type="dxa"/>
            <w:vAlign w:val="bottom"/>
            <w:tcBorders>
              <w:top w:val="single" w:sz="8" w:color="auto"/>
            </w:tcBorders>
            <w:gridSpan w:val="2"/>
          </w:tcPr>
          <w:p>
            <w:pPr>
              <w:jc w:val="center"/>
              <w:ind w:right="120"/>
              <w:spacing w:after="0" w:line="129" w:lineRule="exact"/>
              <w:rPr>
                <w:sz w:val="20"/>
                <w:szCs w:val="20"/>
                <w:color w:val="auto"/>
              </w:rPr>
            </w:pPr>
            <w:r>
              <w:rPr>
                <w:rFonts w:ascii="Arial" w:cs="Arial" w:eastAsia="Arial" w:hAnsi="Arial"/>
                <w:sz w:val="14"/>
                <w:szCs w:val="14"/>
                <w:b w:val="1"/>
                <w:bCs w:val="1"/>
                <w:color w:val="auto"/>
                <w:w w:val="86"/>
              </w:rPr>
              <w:t>Average</w:t>
            </w:r>
          </w:p>
        </w:tc>
        <w:tc>
          <w:tcPr>
            <w:tcW w:w="10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6"/>
              </w:rPr>
              <w:t>Monthly</w:t>
            </w:r>
          </w:p>
        </w:tc>
      </w:tr>
      <w:tr>
        <w:trPr>
          <w:trHeight w:val="131"/>
        </w:trPr>
        <w:tc>
          <w:tcPr>
            <w:tcW w:w="1620" w:type="dxa"/>
            <w:vAlign w:val="bottom"/>
          </w:tcPr>
          <w:p>
            <w:pPr>
              <w:spacing w:after="0"/>
              <w:rPr>
                <w:sz w:val="11"/>
                <w:szCs w:val="11"/>
                <w:color w:val="auto"/>
              </w:rPr>
            </w:pPr>
          </w:p>
        </w:tc>
        <w:tc>
          <w:tcPr>
            <w:tcW w:w="1000" w:type="dxa"/>
            <w:vAlign w:val="bottom"/>
            <w:gridSpan w:val="2"/>
          </w:tcPr>
          <w:p>
            <w:pPr>
              <w:jc w:val="center"/>
              <w:ind w:right="120"/>
              <w:spacing w:after="0" w:line="131" w:lineRule="exact"/>
              <w:rPr>
                <w:sz w:val="20"/>
                <w:szCs w:val="20"/>
                <w:color w:val="auto"/>
              </w:rPr>
            </w:pPr>
            <w:r>
              <w:rPr>
                <w:rFonts w:ascii="Arial" w:cs="Arial" w:eastAsia="Arial" w:hAnsi="Arial"/>
                <w:sz w:val="14"/>
                <w:szCs w:val="14"/>
                <w:b w:val="1"/>
                <w:bCs w:val="1"/>
                <w:color w:val="auto"/>
                <w:w w:val="92"/>
              </w:rPr>
              <w:t>Home</w:t>
            </w:r>
          </w:p>
        </w:tc>
        <w:tc>
          <w:tcPr>
            <w:tcW w:w="106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7"/>
              </w:rPr>
              <w:t>Selling</w:t>
            </w:r>
          </w:p>
        </w:tc>
        <w:tc>
          <w:tcPr>
            <w:tcW w:w="104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8"/>
              </w:rPr>
              <w:t>Absorption</w:t>
            </w:r>
          </w:p>
        </w:tc>
        <w:tc>
          <w:tcPr>
            <w:tcW w:w="102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92"/>
              </w:rPr>
              <w:t>Home</w:t>
            </w:r>
          </w:p>
        </w:tc>
        <w:tc>
          <w:tcPr>
            <w:tcW w:w="106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7"/>
              </w:rPr>
              <w:t>Selling</w:t>
            </w:r>
          </w:p>
        </w:tc>
        <w:tc>
          <w:tcPr>
            <w:tcW w:w="104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8"/>
              </w:rPr>
              <w:t>Absorption</w:t>
            </w:r>
          </w:p>
        </w:tc>
        <w:tc>
          <w:tcPr>
            <w:tcW w:w="108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7"/>
              </w:rPr>
              <w:t>Home</w:t>
            </w:r>
          </w:p>
        </w:tc>
        <w:tc>
          <w:tcPr>
            <w:tcW w:w="1200" w:type="dxa"/>
            <w:vAlign w:val="bottom"/>
            <w:gridSpan w:val="2"/>
          </w:tcPr>
          <w:p>
            <w:pPr>
              <w:jc w:val="center"/>
              <w:ind w:right="120"/>
              <w:spacing w:after="0" w:line="131" w:lineRule="exact"/>
              <w:rPr>
                <w:sz w:val="20"/>
                <w:szCs w:val="20"/>
                <w:color w:val="auto"/>
              </w:rPr>
            </w:pPr>
            <w:r>
              <w:rPr>
                <w:rFonts w:ascii="Arial" w:cs="Arial" w:eastAsia="Arial" w:hAnsi="Arial"/>
                <w:sz w:val="14"/>
                <w:szCs w:val="14"/>
                <w:b w:val="1"/>
                <w:bCs w:val="1"/>
                <w:color w:val="auto"/>
                <w:w w:val="87"/>
              </w:rPr>
              <w:t>Selling</w:t>
            </w:r>
          </w:p>
        </w:tc>
        <w:tc>
          <w:tcPr>
            <w:tcW w:w="108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91"/>
              </w:rPr>
              <w:t>Absorption</w:t>
            </w:r>
          </w:p>
        </w:tc>
      </w:tr>
      <w:tr>
        <w:trPr>
          <w:trHeight w:val="183"/>
        </w:trPr>
        <w:tc>
          <w:tcPr>
            <w:tcW w:w="1620" w:type="dxa"/>
            <w:vAlign w:val="bottom"/>
          </w:tcPr>
          <w:p>
            <w:pPr>
              <w:spacing w:after="0"/>
              <w:rPr>
                <w:sz w:val="15"/>
                <w:szCs w:val="15"/>
                <w:color w:val="auto"/>
              </w:rPr>
            </w:pPr>
          </w:p>
        </w:tc>
        <w:tc>
          <w:tcPr>
            <w:tcW w:w="10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Orders</w:t>
            </w:r>
          </w:p>
        </w:tc>
        <w:tc>
          <w:tcPr>
            <w:tcW w:w="10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Communities</w:t>
            </w:r>
          </w:p>
        </w:tc>
        <w:tc>
          <w:tcPr>
            <w:tcW w:w="10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9"/>
              </w:rPr>
              <w:t>Rates</w:t>
            </w:r>
          </w:p>
        </w:tc>
        <w:tc>
          <w:tcPr>
            <w:tcW w:w="10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5"/>
              </w:rPr>
              <w:t>Orders</w:t>
            </w:r>
          </w:p>
        </w:tc>
        <w:tc>
          <w:tcPr>
            <w:tcW w:w="10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Communities</w:t>
            </w:r>
          </w:p>
        </w:tc>
        <w:tc>
          <w:tcPr>
            <w:tcW w:w="10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9"/>
              </w:rPr>
              <w:t>Rates</w:t>
            </w:r>
          </w:p>
        </w:tc>
        <w:tc>
          <w:tcPr>
            <w:tcW w:w="10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Orders</w:t>
            </w:r>
          </w:p>
        </w:tc>
        <w:tc>
          <w:tcPr>
            <w:tcW w:w="12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0"/>
              </w:rPr>
              <w:t>Communities</w:t>
            </w: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w w:val="83"/>
              </w:rPr>
              <w:t>Rates</w:t>
            </w:r>
          </w:p>
        </w:tc>
      </w:tr>
      <w:tr>
        <w:trPr>
          <w:trHeight w:val="203"/>
        </w:trPr>
        <w:tc>
          <w:tcPr>
            <w:tcW w:w="16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West</w:t>
            </w:r>
          </w:p>
        </w:tc>
        <w:tc>
          <w:tcPr>
            <w:tcW w:w="900" w:type="dxa"/>
            <w:vAlign w:val="bottom"/>
            <w:tcBorders>
              <w:top w:val="single" w:sz="8" w:color="auto"/>
            </w:tcBorders>
            <w:shd w:val="clear" w:color="auto" w:fill="CCEEFF"/>
          </w:tcPr>
          <w:p>
            <w:pPr>
              <w:jc w:val="right"/>
              <w:ind w:right="6"/>
              <w:spacing w:after="0"/>
              <w:rPr>
                <w:sz w:val="20"/>
                <w:szCs w:val="20"/>
                <w:color w:val="auto"/>
              </w:rPr>
            </w:pPr>
            <w:r>
              <w:rPr>
                <w:rFonts w:ascii="Arial" w:cs="Arial" w:eastAsia="Arial" w:hAnsi="Arial"/>
                <w:sz w:val="16"/>
                <w:szCs w:val="16"/>
                <w:color w:val="auto"/>
              </w:rPr>
              <w:t>2,410</w:t>
            </w:r>
          </w:p>
        </w:tc>
        <w:tc>
          <w:tcPr>
            <w:tcW w:w="10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6"/>
                <w:szCs w:val="16"/>
                <w:color w:val="auto"/>
              </w:rPr>
              <w:t>70.9</w:t>
            </w:r>
          </w:p>
        </w:tc>
        <w:tc>
          <w:tcPr>
            <w:tcW w:w="100" w:type="dxa"/>
            <w:vAlign w:val="bottom"/>
            <w:tcBorders>
              <w:top w:val="single" w:sz="8" w:color="CCEEFF"/>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5.7</w:t>
            </w:r>
          </w:p>
        </w:tc>
        <w:tc>
          <w:tcPr>
            <w:tcW w:w="100" w:type="dxa"/>
            <w:vAlign w:val="bottom"/>
            <w:tcBorders>
              <w:top w:val="single" w:sz="8" w:color="CCEEFF"/>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2,163</w:t>
            </w:r>
          </w:p>
        </w:tc>
        <w:tc>
          <w:tcPr>
            <w:tcW w:w="10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95.5</w:t>
            </w:r>
          </w:p>
        </w:tc>
        <w:tc>
          <w:tcPr>
            <w:tcW w:w="100" w:type="dxa"/>
            <w:vAlign w:val="bottom"/>
            <w:tcBorders>
              <w:top w:val="single" w:sz="8" w:color="CCEEFF"/>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w:t>
            </w:r>
          </w:p>
        </w:tc>
        <w:tc>
          <w:tcPr>
            <w:tcW w:w="100" w:type="dxa"/>
            <w:vAlign w:val="bottom"/>
            <w:tcBorders>
              <w:top w:val="single" w:sz="8" w:color="CCEEFF"/>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11 %</w:t>
            </w:r>
          </w:p>
        </w:tc>
        <w:tc>
          <w:tcPr>
            <w:tcW w:w="100" w:type="dxa"/>
            <w:vAlign w:val="bottom"/>
            <w:tcBorders>
              <w:top w:val="single" w:sz="8" w:color="CCEEFF"/>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w:t>
            </w:r>
          </w:p>
        </w:tc>
        <w:tc>
          <w:tcPr>
            <w:tcW w:w="100" w:type="dxa"/>
            <w:vAlign w:val="bottom"/>
            <w:tcBorders>
              <w:top w:val="single" w:sz="8" w:color="CCEEFF"/>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50 %</w:t>
            </w:r>
          </w:p>
        </w:tc>
      </w:tr>
      <w:tr>
        <w:trPr>
          <w:trHeight w:val="206"/>
        </w:trPr>
        <w:tc>
          <w:tcPr>
            <w:tcW w:w="1620" w:type="dxa"/>
            <w:vAlign w:val="bottom"/>
          </w:tcPr>
          <w:p>
            <w:pPr>
              <w:ind w:left="20"/>
              <w:spacing w:after="0"/>
              <w:rPr>
                <w:sz w:val="20"/>
                <w:szCs w:val="20"/>
                <w:color w:val="auto"/>
              </w:rPr>
            </w:pPr>
            <w:r>
              <w:rPr>
                <w:rFonts w:ascii="Arial" w:cs="Arial" w:eastAsia="Arial" w:hAnsi="Arial"/>
                <w:sz w:val="16"/>
                <w:szCs w:val="16"/>
                <w:color w:val="auto"/>
              </w:rPr>
              <w:t>Central</w:t>
            </w:r>
          </w:p>
        </w:tc>
        <w:tc>
          <w:tcPr>
            <w:tcW w:w="900" w:type="dxa"/>
            <w:vAlign w:val="bottom"/>
          </w:tcPr>
          <w:p>
            <w:pPr>
              <w:jc w:val="right"/>
              <w:ind w:right="6"/>
              <w:spacing w:after="0"/>
              <w:rPr>
                <w:sz w:val="20"/>
                <w:szCs w:val="20"/>
                <w:color w:val="auto"/>
              </w:rPr>
            </w:pPr>
            <w:r>
              <w:rPr>
                <w:rFonts w:ascii="Arial" w:cs="Arial" w:eastAsia="Arial" w:hAnsi="Arial"/>
                <w:sz w:val="16"/>
                <w:szCs w:val="16"/>
                <w:color w:val="auto"/>
              </w:rPr>
              <w:t>870</w:t>
            </w:r>
          </w:p>
        </w:tc>
        <w:tc>
          <w:tcPr>
            <w:tcW w:w="100" w:type="dxa"/>
            <w:vAlign w:val="bottom"/>
          </w:tcPr>
          <w:p>
            <w:pPr>
              <w:spacing w:after="0"/>
              <w:rPr>
                <w:sz w:val="17"/>
                <w:szCs w:val="17"/>
                <w:color w:val="auto"/>
              </w:rPr>
            </w:pPr>
          </w:p>
        </w:tc>
        <w:tc>
          <w:tcPr>
            <w:tcW w:w="960" w:type="dxa"/>
            <w:vAlign w:val="bottom"/>
          </w:tcPr>
          <w:p>
            <w:pPr>
              <w:jc w:val="right"/>
              <w:ind w:right="5"/>
              <w:spacing w:after="0"/>
              <w:rPr>
                <w:sz w:val="20"/>
                <w:szCs w:val="20"/>
                <w:color w:val="auto"/>
              </w:rPr>
            </w:pPr>
            <w:r>
              <w:rPr>
                <w:rFonts w:ascii="Arial" w:cs="Arial" w:eastAsia="Arial" w:hAnsi="Arial"/>
                <w:sz w:val="16"/>
                <w:szCs w:val="16"/>
                <w:color w:val="auto"/>
              </w:rPr>
              <w:t>28.3</w:t>
            </w:r>
          </w:p>
        </w:tc>
        <w:tc>
          <w:tcPr>
            <w:tcW w:w="1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5.1</w:t>
            </w:r>
          </w:p>
        </w:tc>
        <w:tc>
          <w:tcPr>
            <w:tcW w:w="10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548</w:t>
            </w:r>
          </w:p>
        </w:tc>
        <w:tc>
          <w:tcPr>
            <w:tcW w:w="10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34.2</w:t>
            </w:r>
          </w:p>
        </w:tc>
        <w:tc>
          <w:tcPr>
            <w:tcW w:w="10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2.7</w:t>
            </w:r>
          </w:p>
        </w:tc>
        <w:tc>
          <w:tcPr>
            <w:tcW w:w="10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59 %</w:t>
            </w:r>
          </w:p>
        </w:tc>
        <w:tc>
          <w:tcPr>
            <w:tcW w:w="10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(17)%</w:t>
            </w:r>
          </w:p>
        </w:tc>
        <w:tc>
          <w:tcPr>
            <w:tcW w:w="10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89 %</w:t>
            </w:r>
          </w:p>
        </w:tc>
      </w:tr>
      <w:tr>
        <w:trPr>
          <w:trHeight w:val="209"/>
        </w:trPr>
        <w:tc>
          <w:tcPr>
            <w:tcW w:w="1620" w:type="dxa"/>
            <w:vAlign w:val="bottom"/>
            <w:shd w:val="clear" w:color="auto" w:fill="CCEEFF"/>
          </w:tcPr>
          <w:p>
            <w:pPr>
              <w:ind w:left="20"/>
              <w:spacing w:after="0"/>
              <w:rPr>
                <w:sz w:val="20"/>
                <w:szCs w:val="20"/>
                <w:color w:val="auto"/>
              </w:rPr>
            </w:pPr>
            <w:r>
              <w:rPr>
                <w:rFonts w:ascii="Arial" w:cs="Arial" w:eastAsia="Arial" w:hAnsi="Arial"/>
                <w:sz w:val="16"/>
                <w:szCs w:val="16"/>
                <w:color w:val="auto"/>
              </w:rPr>
              <w:t>East</w:t>
            </w:r>
          </w:p>
        </w:tc>
        <w:tc>
          <w:tcPr>
            <w:tcW w:w="900" w:type="dxa"/>
            <w:vAlign w:val="bottom"/>
            <w:tcBorders>
              <w:bottom w:val="single" w:sz="8" w:color="auto"/>
            </w:tcBorders>
            <w:shd w:val="clear" w:color="auto" w:fill="CCEEFF"/>
          </w:tcPr>
          <w:p>
            <w:pPr>
              <w:jc w:val="right"/>
              <w:ind w:right="6"/>
              <w:spacing w:after="0"/>
              <w:rPr>
                <w:sz w:val="20"/>
                <w:szCs w:val="20"/>
                <w:color w:val="auto"/>
              </w:rPr>
            </w:pPr>
            <w:r>
              <w:rPr>
                <w:rFonts w:ascii="Arial" w:cs="Arial" w:eastAsia="Arial" w:hAnsi="Arial"/>
                <w:sz w:val="16"/>
                <w:szCs w:val="16"/>
                <w:color w:val="auto"/>
              </w:rPr>
              <w:t>329</w:t>
            </w:r>
          </w:p>
        </w:tc>
        <w:tc>
          <w:tcPr>
            <w:tcW w:w="100" w:type="dxa"/>
            <w:vAlign w:val="bottom"/>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6"/>
                <w:szCs w:val="16"/>
                <w:color w:val="auto"/>
              </w:rPr>
              <w:t>14.2</w:t>
            </w:r>
          </w:p>
        </w:tc>
        <w:tc>
          <w:tcPr>
            <w:tcW w:w="100" w:type="dxa"/>
            <w:vAlign w:val="bottom"/>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3.9</w:t>
            </w:r>
          </w:p>
        </w:tc>
        <w:tc>
          <w:tcPr>
            <w:tcW w:w="100" w:type="dxa"/>
            <w:vAlign w:val="bottom"/>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282</w:t>
            </w:r>
          </w:p>
        </w:tc>
        <w:tc>
          <w:tcPr>
            <w:tcW w:w="100" w:type="dxa"/>
            <w:vAlign w:val="bottom"/>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12.7</w:t>
            </w:r>
          </w:p>
        </w:tc>
        <w:tc>
          <w:tcPr>
            <w:tcW w:w="100" w:type="dxa"/>
            <w:vAlign w:val="bottom"/>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17 %</w:t>
            </w:r>
          </w:p>
        </w:tc>
        <w:tc>
          <w:tcPr>
            <w:tcW w:w="100" w:type="dxa"/>
            <w:vAlign w:val="bottom"/>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12 %</w:t>
            </w:r>
          </w:p>
        </w:tc>
        <w:tc>
          <w:tcPr>
            <w:tcW w:w="100" w:type="dxa"/>
            <w:vAlign w:val="bottom"/>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5 %</w:t>
            </w:r>
          </w:p>
        </w:tc>
      </w:tr>
      <w:tr>
        <w:trPr>
          <w:trHeight w:val="205"/>
        </w:trPr>
        <w:tc>
          <w:tcPr>
            <w:tcW w:w="1620" w:type="dxa"/>
            <w:vAlign w:val="bottom"/>
          </w:tcPr>
          <w:p>
            <w:pPr>
              <w:ind w:left="220"/>
              <w:spacing w:after="0"/>
              <w:rPr>
                <w:sz w:val="20"/>
                <w:szCs w:val="20"/>
                <w:color w:val="auto"/>
              </w:rPr>
            </w:pPr>
            <w:r>
              <w:rPr>
                <w:rFonts w:ascii="Arial" w:cs="Arial" w:eastAsia="Arial" w:hAnsi="Arial"/>
                <w:sz w:val="16"/>
                <w:szCs w:val="16"/>
                <w:color w:val="auto"/>
              </w:rPr>
              <w:t>Total</w:t>
            </w:r>
          </w:p>
        </w:tc>
        <w:tc>
          <w:tcPr>
            <w:tcW w:w="900" w:type="dxa"/>
            <w:vAlign w:val="bottom"/>
            <w:tcBorders>
              <w:bottom w:val="single" w:sz="8" w:color="auto"/>
            </w:tcBorders>
          </w:tcPr>
          <w:p>
            <w:pPr>
              <w:jc w:val="right"/>
              <w:ind w:right="6"/>
              <w:spacing w:after="0"/>
              <w:rPr>
                <w:sz w:val="20"/>
                <w:szCs w:val="20"/>
                <w:color w:val="auto"/>
              </w:rPr>
            </w:pPr>
            <w:r>
              <w:rPr>
                <w:rFonts w:ascii="Arial" w:cs="Arial" w:eastAsia="Arial" w:hAnsi="Arial"/>
                <w:sz w:val="16"/>
                <w:szCs w:val="16"/>
                <w:color w:val="auto"/>
              </w:rPr>
              <w:t>3,609</w:t>
            </w:r>
          </w:p>
        </w:tc>
        <w:tc>
          <w:tcPr>
            <w:tcW w:w="100" w:type="dxa"/>
            <w:vAlign w:val="bottom"/>
          </w:tcPr>
          <w:p>
            <w:pPr>
              <w:spacing w:after="0"/>
              <w:rPr>
                <w:sz w:val="17"/>
                <w:szCs w:val="17"/>
                <w:color w:val="auto"/>
              </w:rPr>
            </w:pPr>
          </w:p>
        </w:tc>
        <w:tc>
          <w:tcPr>
            <w:tcW w:w="960" w:type="dxa"/>
            <w:vAlign w:val="bottom"/>
            <w:tcBorders>
              <w:bottom w:val="single" w:sz="8" w:color="auto"/>
            </w:tcBorders>
          </w:tcPr>
          <w:p>
            <w:pPr>
              <w:jc w:val="right"/>
              <w:ind w:right="5"/>
              <w:spacing w:after="0"/>
              <w:rPr>
                <w:sz w:val="20"/>
                <w:szCs w:val="20"/>
                <w:color w:val="auto"/>
              </w:rPr>
            </w:pPr>
            <w:r>
              <w:rPr>
                <w:rFonts w:ascii="Arial" w:cs="Arial" w:eastAsia="Arial" w:hAnsi="Arial"/>
                <w:sz w:val="16"/>
                <w:szCs w:val="16"/>
                <w:color w:val="auto"/>
              </w:rPr>
              <w:t>113.4</w:t>
            </w:r>
          </w:p>
        </w:tc>
        <w:tc>
          <w:tcPr>
            <w:tcW w:w="100" w:type="dxa"/>
            <w:vAlign w:val="bottom"/>
          </w:tcPr>
          <w:p>
            <w:pPr>
              <w:spacing w:after="0"/>
              <w:rPr>
                <w:sz w:val="17"/>
                <w:szCs w:val="17"/>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w:t>
            </w:r>
          </w:p>
        </w:tc>
        <w:tc>
          <w:tcPr>
            <w:tcW w:w="100" w:type="dxa"/>
            <w:vAlign w:val="bottom"/>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2,993</w:t>
            </w:r>
          </w:p>
        </w:tc>
        <w:tc>
          <w:tcPr>
            <w:tcW w:w="100" w:type="dxa"/>
            <w:vAlign w:val="bottom"/>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142.4</w:t>
            </w:r>
          </w:p>
        </w:tc>
        <w:tc>
          <w:tcPr>
            <w:tcW w:w="100" w:type="dxa"/>
            <w:vAlign w:val="bottom"/>
          </w:tcPr>
          <w:p>
            <w:pPr>
              <w:spacing w:after="0"/>
              <w:rPr>
                <w:sz w:val="17"/>
                <w:szCs w:val="17"/>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3.5</w:t>
            </w:r>
          </w:p>
        </w:tc>
        <w:tc>
          <w:tcPr>
            <w:tcW w:w="100" w:type="dxa"/>
            <w:vAlign w:val="bottom"/>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21 %</w:t>
            </w:r>
          </w:p>
        </w:tc>
        <w:tc>
          <w:tcPr>
            <w:tcW w:w="100" w:type="dxa"/>
            <w:vAlign w:val="bottom"/>
          </w:tcPr>
          <w:p>
            <w:pPr>
              <w:spacing w:after="0"/>
              <w:rPr>
                <w:sz w:val="17"/>
                <w:szCs w:val="17"/>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w:t>
            </w:r>
          </w:p>
        </w:tc>
        <w:tc>
          <w:tcPr>
            <w:tcW w:w="100" w:type="dxa"/>
            <w:vAlign w:val="bottom"/>
          </w:tcPr>
          <w:p>
            <w:pPr>
              <w:spacing w:after="0"/>
              <w:rPr>
                <w:sz w:val="17"/>
                <w:szCs w:val="17"/>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51 %</w:t>
            </w:r>
          </w:p>
        </w:tc>
      </w:tr>
      <w:tr>
        <w:trPr>
          <w:trHeight w:val="20"/>
        </w:trPr>
        <w:tc>
          <w:tcPr>
            <w:tcW w:w="16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ind w:right="140" w:firstLine="470"/>
        <w:spacing w:after="0" w:line="282" w:lineRule="auto"/>
        <w:rPr>
          <w:sz w:val="20"/>
          <w:szCs w:val="20"/>
          <w:color w:val="auto"/>
        </w:rPr>
      </w:pPr>
      <w:r>
        <w:rPr>
          <w:rFonts w:ascii="Arial" w:cs="Arial" w:eastAsia="Arial" w:hAnsi="Arial"/>
          <w:sz w:val="16"/>
          <w:szCs w:val="16"/>
          <w:color w:val="auto"/>
        </w:rPr>
        <w:t>Net new home orders for the six months ended June 30, 2021 increased by 616, or 21%, to 3,609, compared to 2,993 during the prior-year period. The increase in net new home orders was due to a 51% increase in monthly absorption rates, offset by a 20% decrease in average selling communities. New home order demand has been exceptionally strong throughout 2021 due in part to sustained low mortgage interest rates and reduced levels of available housing inventory. The strong demand environment, which has persisted since June 2020, has remained well above historical averages and has contributed to an overall decrease in our active selling communities due to the accelerated rate of sales activity and community close outs. We expect our community count to grow throughout 2021 as new communities in our pipeline begin to open in the forthcoming quarters.</w:t>
      </w:r>
    </w:p>
    <w:p>
      <w:pPr>
        <w:spacing w:after="0" w:line="167" w:lineRule="exact"/>
        <w:rPr>
          <w:sz w:val="20"/>
          <w:szCs w:val="20"/>
          <w:color w:val="auto"/>
        </w:rPr>
      </w:pPr>
    </w:p>
    <w:p>
      <w:pPr>
        <w:ind w:firstLine="470"/>
        <w:spacing w:after="0" w:line="260" w:lineRule="auto"/>
        <w:rPr>
          <w:sz w:val="20"/>
          <w:szCs w:val="20"/>
          <w:color w:val="auto"/>
        </w:rPr>
      </w:pPr>
      <w:r>
        <w:rPr>
          <w:rFonts w:ascii="Arial" w:cs="Arial" w:eastAsia="Arial" w:hAnsi="Arial"/>
          <w:sz w:val="16"/>
          <w:szCs w:val="16"/>
          <w:color w:val="auto"/>
        </w:rPr>
        <w:t>Our West segment reported an 11% increase in net new home orders driven by a 50% increase in monthly absorption rate offset by a 26% decrease in average selling communities. As mentioned above, the demand environment during the first quarter was exceptionally strong, which we experienced in all of our markets in our West segment. The sustained high absorption rates we experienced in the current-year period contributed to a decline in average selling communities, as our rate of community close outs accelerated beyond our current capacity to open new ones. Our Central segment reported a 59% increase in net new home orders due to an 89% increase in monthly absorption rates, offset by a 17% decrease in average selling communities. We experienced an increase in absorption rates in each of our markets in our Central segment, as both Texas and Colorado appear to be increasingly desirable locations due, in part, to in-migration trends as to such states. Our East segment reported a 17% increase in net new home orders due to a 12% increase in average selling communities and a 5% increase in monthly absorption rates. While the order growth and absorption rate increases in the markets in our East segment were less significant as compared to our consolidated results, demand levels in the markets in our East segment remain substantially above historical averages, as evidenced by our 3.9 monthly absorption rate during the period. All activity in the East region during the prior-year period occurred in our DC Metro market, as we had not yet begun to actively sell homes in either the Charlotte or Raleigh markets during such prior-year period.</w:t>
      </w: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- 32 -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86" w:right="339" w:bottom="1440" w:gutter="0" w:footer="0" w:header="0"/>
        </w:sectPr>
      </w:pPr>
    </w:p>
    <w:bookmarkStart w:id="33" w:name="page34"/>
    <w:bookmarkEnd w:id="33"/>
    <w:p>
      <w:pPr>
        <w:spacing w:after="0"/>
        <w:rPr>
          <w:sz w:val="20"/>
          <w:szCs w:val="20"/>
          <w:color w:val="auto"/>
        </w:rPr>
      </w:pPr>
      <w:r>
        <w:rPr>
          <w:rFonts w:ascii="Arial" w:cs="Arial" w:eastAsia="Arial" w:hAnsi="Arial"/>
          <w:sz w:val="17"/>
          <w:szCs w:val="17"/>
          <w:b w:val="1"/>
          <w:bCs w:val="1"/>
          <w:i w:val="1"/>
          <w:iCs w:val="1"/>
          <w:color w:val="auto"/>
        </w:rPr>
        <w:t>New Homes Delivered, Homes Sales Revenue and Average Sales Price by Segment (dollars 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1700" w:type="dxa"/>
            <w:vAlign w:val="bottom"/>
          </w:tcPr>
          <w:p>
            <w:pPr>
              <w:spacing w:after="0"/>
              <w:rPr>
                <w:sz w:val="16"/>
                <w:szCs w:val="16"/>
                <w:color w:val="auto"/>
              </w:rPr>
            </w:pPr>
          </w:p>
        </w:tc>
        <w:tc>
          <w:tcPr>
            <w:tcW w:w="3080" w:type="dxa"/>
            <w:vAlign w:val="bottom"/>
            <w:gridSpan w:val="8"/>
          </w:tcPr>
          <w:p>
            <w:pPr>
              <w:jc w:val="center"/>
              <w:ind w:right="120"/>
              <w:spacing w:after="0"/>
              <w:rPr>
                <w:sz w:val="20"/>
                <w:szCs w:val="20"/>
                <w:color w:val="auto"/>
              </w:rPr>
            </w:pPr>
            <w:r>
              <w:rPr>
                <w:rFonts w:ascii="Arial" w:cs="Arial" w:eastAsia="Arial" w:hAnsi="Arial"/>
                <w:sz w:val="14"/>
                <w:szCs w:val="14"/>
                <w:b w:val="1"/>
                <w:bCs w:val="1"/>
                <w:color w:val="auto"/>
                <w:w w:val="90"/>
              </w:rPr>
              <w:t>Six Months Ended June 30, 2021</w:t>
            </w:r>
          </w:p>
        </w:tc>
        <w:tc>
          <w:tcPr>
            <w:tcW w:w="3120" w:type="dxa"/>
            <w:vAlign w:val="bottom"/>
            <w:gridSpan w:val="8"/>
          </w:tcPr>
          <w:p>
            <w:pPr>
              <w:jc w:val="center"/>
              <w:ind w:right="100"/>
              <w:spacing w:after="0"/>
              <w:rPr>
                <w:sz w:val="20"/>
                <w:szCs w:val="20"/>
                <w:color w:val="auto"/>
              </w:rPr>
            </w:pPr>
            <w:r>
              <w:rPr>
                <w:rFonts w:ascii="Arial" w:cs="Arial" w:eastAsia="Arial" w:hAnsi="Arial"/>
                <w:sz w:val="14"/>
                <w:szCs w:val="14"/>
                <w:b w:val="1"/>
                <w:bCs w:val="1"/>
                <w:color w:val="auto"/>
                <w:w w:val="89"/>
              </w:rPr>
              <w:t>Six Months Ended June 30, 2020</w:t>
            </w:r>
          </w:p>
        </w:tc>
        <w:tc>
          <w:tcPr>
            <w:tcW w:w="1020" w:type="dxa"/>
            <w:vAlign w:val="bottom"/>
          </w:tcPr>
          <w:p>
            <w:pPr>
              <w:spacing w:after="0"/>
              <w:rPr>
                <w:sz w:val="16"/>
                <w:szCs w:val="16"/>
                <w:color w:val="auto"/>
              </w:rPr>
            </w:pPr>
          </w:p>
        </w:tc>
        <w:tc>
          <w:tcPr>
            <w:tcW w:w="1220" w:type="dxa"/>
            <w:vAlign w:val="bottom"/>
            <w:gridSpan w:val="3"/>
          </w:tcPr>
          <w:p>
            <w:pPr>
              <w:jc w:val="center"/>
              <w:spacing w:after="0"/>
              <w:rPr>
                <w:sz w:val="20"/>
                <w:szCs w:val="20"/>
                <w:color w:val="auto"/>
              </w:rPr>
            </w:pPr>
            <w:r>
              <w:rPr>
                <w:rFonts w:ascii="Arial" w:cs="Arial" w:eastAsia="Arial" w:hAnsi="Arial"/>
                <w:sz w:val="14"/>
                <w:szCs w:val="14"/>
                <w:b w:val="1"/>
                <w:bCs w:val="1"/>
                <w:color w:val="auto"/>
                <w:w w:val="87"/>
              </w:rPr>
              <w:t>Percentage Change</w:t>
            </w:r>
          </w:p>
        </w:tc>
        <w:tc>
          <w:tcPr>
            <w:tcW w:w="1020" w:type="dxa"/>
            <w:vAlign w:val="bottom"/>
          </w:tcPr>
          <w:p>
            <w:pPr>
              <w:spacing w:after="0"/>
              <w:rPr>
                <w:sz w:val="16"/>
                <w:szCs w:val="16"/>
                <w:color w:val="auto"/>
              </w:rPr>
            </w:pPr>
          </w:p>
        </w:tc>
      </w:tr>
      <w:tr>
        <w:trPr>
          <w:trHeight w:val="129"/>
        </w:trPr>
        <w:tc>
          <w:tcPr>
            <w:tcW w:w="1700" w:type="dxa"/>
            <w:vAlign w:val="bottom"/>
          </w:tcPr>
          <w:p>
            <w:pPr>
              <w:spacing w:after="0"/>
              <w:rPr>
                <w:sz w:val="11"/>
                <w:szCs w:val="11"/>
                <w:color w:val="auto"/>
              </w:rPr>
            </w:pPr>
          </w:p>
        </w:tc>
        <w:tc>
          <w:tcPr>
            <w:tcW w:w="980" w:type="dxa"/>
            <w:vAlign w:val="bottom"/>
            <w:tcBorders>
              <w:top w:val="single" w:sz="8" w:color="auto"/>
            </w:tcBorders>
            <w:gridSpan w:val="2"/>
          </w:tcPr>
          <w:p>
            <w:pPr>
              <w:jc w:val="center"/>
              <w:ind w:right="120"/>
              <w:spacing w:after="0" w:line="129" w:lineRule="exact"/>
              <w:rPr>
                <w:sz w:val="20"/>
                <w:szCs w:val="20"/>
                <w:color w:val="auto"/>
              </w:rPr>
            </w:pPr>
            <w:r>
              <w:rPr>
                <w:rFonts w:ascii="Arial" w:cs="Arial" w:eastAsia="Arial" w:hAnsi="Arial"/>
                <w:sz w:val="14"/>
                <w:szCs w:val="14"/>
                <w:b w:val="1"/>
                <w:bCs w:val="1"/>
                <w:color w:val="auto"/>
                <w:w w:val="90"/>
              </w:rPr>
              <w:t>New</w:t>
            </w:r>
          </w:p>
        </w:tc>
        <w:tc>
          <w:tcPr>
            <w:tcW w:w="16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gridSpan w:val="2"/>
          </w:tcPr>
          <w:p>
            <w:pPr>
              <w:jc w:val="center"/>
              <w:ind w:right="280"/>
              <w:spacing w:after="0" w:line="129" w:lineRule="exact"/>
              <w:rPr>
                <w:sz w:val="20"/>
                <w:szCs w:val="20"/>
                <w:color w:val="auto"/>
              </w:rPr>
            </w:pPr>
            <w:r>
              <w:rPr>
                <w:rFonts w:ascii="Arial" w:cs="Arial" w:eastAsia="Arial" w:hAnsi="Arial"/>
                <w:sz w:val="14"/>
                <w:szCs w:val="14"/>
                <w:b w:val="1"/>
                <w:bCs w:val="1"/>
                <w:color w:val="auto"/>
                <w:w w:val="92"/>
              </w:rPr>
              <w:t>Home</w:t>
            </w:r>
          </w:p>
        </w:tc>
        <w:tc>
          <w:tcPr>
            <w:tcW w:w="14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jc w:val="center"/>
              <w:ind w:right="45"/>
              <w:spacing w:after="0" w:line="129" w:lineRule="exact"/>
              <w:rPr>
                <w:sz w:val="20"/>
                <w:szCs w:val="20"/>
                <w:color w:val="auto"/>
              </w:rPr>
            </w:pPr>
            <w:r>
              <w:rPr>
                <w:rFonts w:ascii="Arial" w:cs="Arial" w:eastAsia="Arial" w:hAnsi="Arial"/>
                <w:sz w:val="14"/>
                <w:szCs w:val="14"/>
                <w:b w:val="1"/>
                <w:bCs w:val="1"/>
                <w:color w:val="auto"/>
                <w:w w:val="86"/>
              </w:rPr>
              <w:t>Average</w:t>
            </w:r>
          </w:p>
        </w:tc>
        <w:tc>
          <w:tcPr>
            <w:tcW w:w="120" w:type="dxa"/>
            <w:vAlign w:val="bottom"/>
          </w:tcPr>
          <w:p>
            <w:pPr>
              <w:spacing w:after="0"/>
              <w:rPr>
                <w:sz w:val="11"/>
                <w:szCs w:val="11"/>
                <w:color w:val="auto"/>
              </w:rPr>
            </w:pPr>
          </w:p>
        </w:tc>
        <w:tc>
          <w:tcPr>
            <w:tcW w:w="980" w:type="dxa"/>
            <w:vAlign w:val="bottom"/>
            <w:tcBorders>
              <w:top w:val="single" w:sz="8" w:color="auto"/>
            </w:tcBorders>
            <w:gridSpan w:val="2"/>
          </w:tcPr>
          <w:p>
            <w:pPr>
              <w:jc w:val="center"/>
              <w:ind w:right="100"/>
              <w:spacing w:after="0" w:line="129" w:lineRule="exact"/>
              <w:rPr>
                <w:sz w:val="20"/>
                <w:szCs w:val="20"/>
                <w:color w:val="auto"/>
              </w:rPr>
            </w:pPr>
            <w:r>
              <w:rPr>
                <w:rFonts w:ascii="Arial" w:cs="Arial" w:eastAsia="Arial" w:hAnsi="Arial"/>
                <w:sz w:val="14"/>
                <w:szCs w:val="14"/>
                <w:b w:val="1"/>
                <w:bCs w:val="1"/>
                <w:color w:val="auto"/>
                <w:w w:val="97"/>
              </w:rPr>
              <w:t>New</w:t>
            </w:r>
          </w:p>
        </w:tc>
        <w:tc>
          <w:tcPr>
            <w:tcW w:w="18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gridSpan w:val="2"/>
          </w:tcPr>
          <w:p>
            <w:pPr>
              <w:jc w:val="center"/>
              <w:ind w:right="280"/>
              <w:spacing w:after="0" w:line="129" w:lineRule="exact"/>
              <w:rPr>
                <w:sz w:val="20"/>
                <w:szCs w:val="20"/>
                <w:color w:val="auto"/>
              </w:rPr>
            </w:pPr>
            <w:r>
              <w:rPr>
                <w:rFonts w:ascii="Arial" w:cs="Arial" w:eastAsia="Arial" w:hAnsi="Arial"/>
                <w:sz w:val="14"/>
                <w:szCs w:val="14"/>
                <w:b w:val="1"/>
                <w:bCs w:val="1"/>
                <w:color w:val="auto"/>
                <w:w w:val="87"/>
              </w:rPr>
              <w:t>Home</w:t>
            </w:r>
          </w:p>
        </w:tc>
        <w:tc>
          <w:tcPr>
            <w:tcW w:w="14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jc w:val="center"/>
              <w:ind w:right="65"/>
              <w:spacing w:after="0" w:line="129" w:lineRule="exact"/>
              <w:rPr>
                <w:sz w:val="20"/>
                <w:szCs w:val="20"/>
                <w:color w:val="auto"/>
              </w:rPr>
            </w:pPr>
            <w:r>
              <w:rPr>
                <w:rFonts w:ascii="Arial" w:cs="Arial" w:eastAsia="Arial" w:hAnsi="Arial"/>
                <w:sz w:val="14"/>
                <w:szCs w:val="14"/>
                <w:b w:val="1"/>
                <w:bCs w:val="1"/>
                <w:color w:val="auto"/>
                <w:w w:val="86"/>
              </w:rPr>
              <w:t>Average</w:t>
            </w:r>
          </w:p>
        </w:tc>
        <w:tc>
          <w:tcPr>
            <w:tcW w:w="100" w:type="dxa"/>
            <w:vAlign w:val="bottom"/>
          </w:tcPr>
          <w:p>
            <w:pPr>
              <w:spacing w:after="0"/>
              <w:rPr>
                <w:sz w:val="11"/>
                <w:szCs w:val="11"/>
                <w:color w:val="auto"/>
              </w:rPr>
            </w:pPr>
          </w:p>
        </w:tc>
        <w:tc>
          <w:tcPr>
            <w:tcW w:w="102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0"/>
              </w:rPr>
              <w:t>New</w:t>
            </w:r>
          </w:p>
        </w:tc>
        <w:tc>
          <w:tcPr>
            <w:tcW w:w="10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gridSpan w:val="2"/>
          </w:tcPr>
          <w:p>
            <w:pPr>
              <w:jc w:val="center"/>
              <w:ind w:right="120"/>
              <w:spacing w:after="0" w:line="129" w:lineRule="exact"/>
              <w:rPr>
                <w:sz w:val="20"/>
                <w:szCs w:val="20"/>
                <w:color w:val="auto"/>
              </w:rPr>
            </w:pPr>
            <w:r>
              <w:rPr>
                <w:rFonts w:ascii="Arial" w:cs="Arial" w:eastAsia="Arial" w:hAnsi="Arial"/>
                <w:sz w:val="14"/>
                <w:szCs w:val="14"/>
                <w:b w:val="1"/>
                <w:bCs w:val="1"/>
                <w:color w:val="auto"/>
                <w:w w:val="92"/>
              </w:rPr>
              <w:t>Home</w:t>
            </w:r>
          </w:p>
        </w:tc>
        <w:tc>
          <w:tcPr>
            <w:tcW w:w="1020" w:type="dxa"/>
            <w:vAlign w:val="bottom"/>
            <w:tcBorders>
              <w:top w:val="single" w:sz="8" w:color="auto"/>
            </w:tcBorders>
          </w:tcPr>
          <w:p>
            <w:pPr>
              <w:jc w:val="right"/>
              <w:ind w:right="205"/>
              <w:spacing w:after="0" w:line="129" w:lineRule="exact"/>
              <w:rPr>
                <w:sz w:val="20"/>
                <w:szCs w:val="20"/>
                <w:color w:val="auto"/>
              </w:rPr>
            </w:pPr>
            <w:r>
              <w:rPr>
                <w:rFonts w:ascii="Arial" w:cs="Arial" w:eastAsia="Arial" w:hAnsi="Arial"/>
                <w:sz w:val="14"/>
                <w:szCs w:val="14"/>
                <w:b w:val="1"/>
                <w:bCs w:val="1"/>
                <w:color w:val="auto"/>
              </w:rPr>
              <w:t>Average</w:t>
            </w:r>
          </w:p>
        </w:tc>
      </w:tr>
      <w:tr>
        <w:trPr>
          <w:trHeight w:val="131"/>
        </w:trPr>
        <w:tc>
          <w:tcPr>
            <w:tcW w:w="1700" w:type="dxa"/>
            <w:vAlign w:val="bottom"/>
          </w:tcPr>
          <w:p>
            <w:pPr>
              <w:spacing w:after="0"/>
              <w:rPr>
                <w:sz w:val="11"/>
                <w:szCs w:val="11"/>
                <w:color w:val="auto"/>
              </w:rPr>
            </w:pPr>
          </w:p>
        </w:tc>
        <w:tc>
          <w:tcPr>
            <w:tcW w:w="980" w:type="dxa"/>
            <w:vAlign w:val="bottom"/>
            <w:gridSpan w:val="2"/>
          </w:tcPr>
          <w:p>
            <w:pPr>
              <w:jc w:val="center"/>
              <w:ind w:right="120"/>
              <w:spacing w:after="0" w:line="131" w:lineRule="exact"/>
              <w:rPr>
                <w:sz w:val="20"/>
                <w:szCs w:val="20"/>
                <w:color w:val="auto"/>
              </w:rPr>
            </w:pPr>
            <w:r>
              <w:rPr>
                <w:rFonts w:ascii="Arial" w:cs="Arial" w:eastAsia="Arial" w:hAnsi="Arial"/>
                <w:sz w:val="14"/>
                <w:szCs w:val="14"/>
                <w:b w:val="1"/>
                <w:bCs w:val="1"/>
                <w:color w:val="auto"/>
                <w:w w:val="89"/>
              </w:rPr>
              <w:t>Homes</w:t>
            </w:r>
          </w:p>
        </w:tc>
        <w:tc>
          <w:tcPr>
            <w:tcW w:w="160" w:type="dxa"/>
            <w:vAlign w:val="bottom"/>
          </w:tcPr>
          <w:p>
            <w:pPr>
              <w:spacing w:after="0"/>
              <w:rPr>
                <w:sz w:val="11"/>
                <w:szCs w:val="11"/>
                <w:color w:val="auto"/>
              </w:rPr>
            </w:pPr>
          </w:p>
        </w:tc>
        <w:tc>
          <w:tcPr>
            <w:tcW w:w="960" w:type="dxa"/>
            <w:vAlign w:val="bottom"/>
            <w:gridSpan w:val="2"/>
          </w:tcPr>
          <w:p>
            <w:pPr>
              <w:jc w:val="center"/>
              <w:ind w:right="260"/>
              <w:spacing w:after="0" w:line="131" w:lineRule="exact"/>
              <w:rPr>
                <w:sz w:val="20"/>
                <w:szCs w:val="20"/>
                <w:color w:val="auto"/>
              </w:rPr>
            </w:pPr>
            <w:r>
              <w:rPr>
                <w:rFonts w:ascii="Arial" w:cs="Arial" w:eastAsia="Arial" w:hAnsi="Arial"/>
                <w:sz w:val="14"/>
                <w:szCs w:val="14"/>
                <w:b w:val="1"/>
                <w:bCs w:val="1"/>
                <w:color w:val="auto"/>
                <w:w w:val="81"/>
              </w:rPr>
              <w:t>Sales</w:t>
            </w:r>
          </w:p>
        </w:tc>
        <w:tc>
          <w:tcPr>
            <w:tcW w:w="140" w:type="dxa"/>
            <w:vAlign w:val="bottom"/>
          </w:tcPr>
          <w:p>
            <w:pPr>
              <w:spacing w:after="0"/>
              <w:rPr>
                <w:sz w:val="11"/>
                <w:szCs w:val="11"/>
                <w:color w:val="auto"/>
              </w:rPr>
            </w:pPr>
          </w:p>
        </w:tc>
        <w:tc>
          <w:tcPr>
            <w:tcW w:w="840" w:type="dxa"/>
            <w:vAlign w:val="bottom"/>
            <w:gridSpan w:val="2"/>
          </w:tcPr>
          <w:p>
            <w:pPr>
              <w:jc w:val="center"/>
              <w:ind w:right="260"/>
              <w:spacing w:after="0" w:line="131" w:lineRule="exact"/>
              <w:rPr>
                <w:sz w:val="20"/>
                <w:szCs w:val="20"/>
                <w:color w:val="auto"/>
              </w:rPr>
            </w:pPr>
            <w:r>
              <w:rPr>
                <w:rFonts w:ascii="Arial" w:cs="Arial" w:eastAsia="Arial" w:hAnsi="Arial"/>
                <w:sz w:val="14"/>
                <w:szCs w:val="14"/>
                <w:b w:val="1"/>
                <w:bCs w:val="1"/>
                <w:color w:val="auto"/>
                <w:w w:val="81"/>
              </w:rPr>
              <w:t>Sales</w:t>
            </w:r>
          </w:p>
        </w:tc>
        <w:tc>
          <w:tcPr>
            <w:tcW w:w="98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5"/>
              </w:rPr>
              <w:t>Homes</w:t>
            </w:r>
          </w:p>
        </w:tc>
        <w:tc>
          <w:tcPr>
            <w:tcW w:w="180" w:type="dxa"/>
            <w:vAlign w:val="bottom"/>
          </w:tcPr>
          <w:p>
            <w:pPr>
              <w:spacing w:after="0"/>
              <w:rPr>
                <w:sz w:val="11"/>
                <w:szCs w:val="11"/>
                <w:color w:val="auto"/>
              </w:rPr>
            </w:pPr>
          </w:p>
        </w:tc>
        <w:tc>
          <w:tcPr>
            <w:tcW w:w="980" w:type="dxa"/>
            <w:vAlign w:val="bottom"/>
            <w:gridSpan w:val="2"/>
          </w:tcPr>
          <w:p>
            <w:pPr>
              <w:jc w:val="center"/>
              <w:ind w:right="280"/>
              <w:spacing w:after="0" w:line="131" w:lineRule="exact"/>
              <w:rPr>
                <w:sz w:val="20"/>
                <w:szCs w:val="20"/>
                <w:color w:val="auto"/>
              </w:rPr>
            </w:pPr>
            <w:r>
              <w:rPr>
                <w:rFonts w:ascii="Arial" w:cs="Arial" w:eastAsia="Arial" w:hAnsi="Arial"/>
                <w:sz w:val="14"/>
                <w:szCs w:val="14"/>
                <w:b w:val="1"/>
                <w:bCs w:val="1"/>
                <w:color w:val="auto"/>
                <w:w w:val="81"/>
              </w:rPr>
              <w:t>Sales</w:t>
            </w:r>
          </w:p>
        </w:tc>
        <w:tc>
          <w:tcPr>
            <w:tcW w:w="140" w:type="dxa"/>
            <w:vAlign w:val="bottom"/>
          </w:tcPr>
          <w:p>
            <w:pPr>
              <w:spacing w:after="0"/>
              <w:rPr>
                <w:sz w:val="11"/>
                <w:szCs w:val="11"/>
                <w:color w:val="auto"/>
              </w:rPr>
            </w:pPr>
          </w:p>
        </w:tc>
        <w:tc>
          <w:tcPr>
            <w:tcW w:w="840" w:type="dxa"/>
            <w:vAlign w:val="bottom"/>
            <w:gridSpan w:val="2"/>
          </w:tcPr>
          <w:p>
            <w:pPr>
              <w:jc w:val="center"/>
              <w:ind w:right="260"/>
              <w:spacing w:after="0" w:line="131" w:lineRule="exact"/>
              <w:rPr>
                <w:sz w:val="20"/>
                <w:szCs w:val="20"/>
                <w:color w:val="auto"/>
              </w:rPr>
            </w:pPr>
            <w:r>
              <w:rPr>
                <w:rFonts w:ascii="Arial" w:cs="Arial" w:eastAsia="Arial" w:hAnsi="Arial"/>
                <w:sz w:val="14"/>
                <w:szCs w:val="14"/>
                <w:b w:val="1"/>
                <w:bCs w:val="1"/>
                <w:color w:val="auto"/>
                <w:w w:val="81"/>
              </w:rPr>
              <w:t>Sales</w:t>
            </w:r>
          </w:p>
        </w:tc>
        <w:tc>
          <w:tcPr>
            <w:tcW w:w="102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89"/>
              </w:rPr>
              <w:t>Homes</w:t>
            </w:r>
          </w:p>
        </w:tc>
        <w:tc>
          <w:tcPr>
            <w:tcW w:w="100" w:type="dxa"/>
            <w:vAlign w:val="bottom"/>
          </w:tcPr>
          <w:p>
            <w:pPr>
              <w:spacing w:after="0"/>
              <w:rPr>
                <w:sz w:val="11"/>
                <w:szCs w:val="11"/>
                <w:color w:val="auto"/>
              </w:rPr>
            </w:pPr>
          </w:p>
        </w:tc>
        <w:tc>
          <w:tcPr>
            <w:tcW w:w="1120" w:type="dxa"/>
            <w:vAlign w:val="bottom"/>
            <w:gridSpan w:val="2"/>
          </w:tcPr>
          <w:p>
            <w:pPr>
              <w:jc w:val="center"/>
              <w:ind w:right="100"/>
              <w:spacing w:after="0" w:line="131" w:lineRule="exact"/>
              <w:rPr>
                <w:sz w:val="20"/>
                <w:szCs w:val="20"/>
                <w:color w:val="auto"/>
              </w:rPr>
            </w:pPr>
            <w:r>
              <w:rPr>
                <w:rFonts w:ascii="Arial" w:cs="Arial" w:eastAsia="Arial" w:hAnsi="Arial"/>
                <w:sz w:val="14"/>
                <w:szCs w:val="14"/>
                <w:b w:val="1"/>
                <w:bCs w:val="1"/>
                <w:color w:val="auto"/>
                <w:w w:val="81"/>
              </w:rPr>
              <w:t>Sales</w:t>
            </w:r>
          </w:p>
        </w:tc>
        <w:tc>
          <w:tcPr>
            <w:tcW w:w="1020" w:type="dxa"/>
            <w:vAlign w:val="bottom"/>
          </w:tcPr>
          <w:p>
            <w:pPr>
              <w:jc w:val="right"/>
              <w:ind w:right="285"/>
              <w:spacing w:after="0" w:line="131" w:lineRule="exact"/>
              <w:rPr>
                <w:sz w:val="20"/>
                <w:szCs w:val="20"/>
                <w:color w:val="auto"/>
              </w:rPr>
            </w:pPr>
            <w:r>
              <w:rPr>
                <w:rFonts w:ascii="Arial" w:cs="Arial" w:eastAsia="Arial" w:hAnsi="Arial"/>
                <w:sz w:val="14"/>
                <w:szCs w:val="14"/>
                <w:b w:val="1"/>
                <w:bCs w:val="1"/>
                <w:color w:val="auto"/>
              </w:rPr>
              <w:t>Sales</w:t>
            </w:r>
          </w:p>
        </w:tc>
      </w:tr>
      <w:tr>
        <w:trPr>
          <w:trHeight w:val="183"/>
        </w:trPr>
        <w:tc>
          <w:tcPr>
            <w:tcW w:w="1700" w:type="dxa"/>
            <w:vAlign w:val="bottom"/>
            <w:tcBorders>
              <w:bottom w:val="single" w:sz="8" w:color="CCEEFF"/>
            </w:tcBorders>
          </w:tcPr>
          <w:p>
            <w:pPr>
              <w:spacing w:after="0"/>
              <w:rPr>
                <w:sz w:val="15"/>
                <w:szCs w:val="15"/>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center"/>
              <w:ind w:right="85"/>
              <w:spacing w:after="0"/>
              <w:rPr>
                <w:sz w:val="20"/>
                <w:szCs w:val="20"/>
                <w:color w:val="auto"/>
              </w:rPr>
            </w:pPr>
            <w:r>
              <w:rPr>
                <w:rFonts w:ascii="Arial" w:cs="Arial" w:eastAsia="Arial" w:hAnsi="Arial"/>
                <w:sz w:val="14"/>
                <w:szCs w:val="14"/>
                <w:b w:val="1"/>
                <w:bCs w:val="1"/>
                <w:color w:val="auto"/>
                <w:w w:val="85"/>
              </w:rPr>
              <w:t>Revenue</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center"/>
              <w:ind w:right="45"/>
              <w:spacing w:after="0"/>
              <w:rPr>
                <w:sz w:val="20"/>
                <w:szCs w:val="20"/>
                <w:color w:val="auto"/>
              </w:rPr>
            </w:pPr>
            <w:r>
              <w:rPr>
                <w:rFonts w:ascii="Arial" w:cs="Arial" w:eastAsia="Arial" w:hAnsi="Arial"/>
                <w:sz w:val="14"/>
                <w:szCs w:val="14"/>
                <w:b w:val="1"/>
                <w:bCs w:val="1"/>
                <w:color w:val="auto"/>
                <w:w w:val="93"/>
              </w:rPr>
              <w:t>Price</w:t>
            </w:r>
          </w:p>
        </w:tc>
        <w:tc>
          <w:tcPr>
            <w:tcW w:w="120" w:type="dxa"/>
            <w:vAlign w:val="bottom"/>
            <w:tcBorders>
              <w:bottom w:val="single" w:sz="8" w:color="CCEEFF"/>
            </w:tcBorders>
          </w:tcPr>
          <w:p>
            <w:pPr>
              <w:spacing w:after="0"/>
              <w:rPr>
                <w:sz w:val="15"/>
                <w:szCs w:val="15"/>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Delivered</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center"/>
              <w:ind w:right="105"/>
              <w:spacing w:after="0"/>
              <w:rPr>
                <w:sz w:val="20"/>
                <w:szCs w:val="20"/>
                <w:color w:val="auto"/>
              </w:rPr>
            </w:pPr>
            <w:r>
              <w:rPr>
                <w:rFonts w:ascii="Arial" w:cs="Arial" w:eastAsia="Arial" w:hAnsi="Arial"/>
                <w:sz w:val="14"/>
                <w:szCs w:val="14"/>
                <w:b w:val="1"/>
                <w:bCs w:val="1"/>
                <w:color w:val="auto"/>
                <w:w w:val="85"/>
              </w:rPr>
              <w:t>Revenue</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center"/>
              <w:ind w:right="6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5"/>
                <w:szCs w:val="15"/>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00" w:type="dxa"/>
            <w:vAlign w:val="bottom"/>
            <w:tcBorders>
              <w:bottom w:val="single" w:sz="8" w:color="CCEEFF"/>
            </w:tcBorders>
          </w:tcPr>
          <w:p>
            <w:pPr>
              <w:spacing w:after="0"/>
              <w:rPr>
                <w:sz w:val="15"/>
                <w:szCs w:val="15"/>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Revenue</w:t>
            </w:r>
          </w:p>
        </w:tc>
        <w:tc>
          <w:tcPr>
            <w:tcW w:w="120" w:type="dxa"/>
            <w:vAlign w:val="bottom"/>
            <w:tcBorders>
              <w:bottom w:val="single" w:sz="8" w:color="CCEEFF"/>
            </w:tcBorders>
          </w:tcPr>
          <w:p>
            <w:pPr>
              <w:spacing w:after="0"/>
              <w:rPr>
                <w:sz w:val="15"/>
                <w:szCs w:val="15"/>
                <w:color w:val="auto"/>
              </w:rPr>
            </w:pPr>
          </w:p>
        </w:tc>
        <w:tc>
          <w:tcPr>
            <w:tcW w:w="1020" w:type="dxa"/>
            <w:vAlign w:val="bottom"/>
            <w:tcBorders>
              <w:bottom w:val="single" w:sz="8" w:color="auto"/>
            </w:tcBorders>
          </w:tcPr>
          <w:p>
            <w:pPr>
              <w:jc w:val="right"/>
              <w:ind w:right="285"/>
              <w:spacing w:after="0"/>
              <w:rPr>
                <w:sz w:val="20"/>
                <w:szCs w:val="20"/>
                <w:color w:val="auto"/>
              </w:rPr>
            </w:pPr>
            <w:r>
              <w:rPr>
                <w:rFonts w:ascii="Arial" w:cs="Arial" w:eastAsia="Arial" w:hAnsi="Arial"/>
                <w:sz w:val="14"/>
                <w:szCs w:val="14"/>
                <w:b w:val="1"/>
                <w:bCs w:val="1"/>
                <w:color w:val="auto"/>
              </w:rPr>
              <w:t>Price</w:t>
            </w:r>
          </w:p>
        </w:tc>
      </w:tr>
      <w:tr>
        <w:trPr>
          <w:trHeight w:val="203"/>
        </w:trPr>
        <w:tc>
          <w:tcPr>
            <w:tcW w:w="1700" w:type="dxa"/>
            <w:vAlign w:val="bottom"/>
            <w:shd w:val="clear" w:color="auto" w:fill="CCEEFF"/>
          </w:tcPr>
          <w:p>
            <w:pPr>
              <w:ind w:left="20"/>
              <w:spacing w:after="0"/>
              <w:rPr>
                <w:sz w:val="20"/>
                <w:szCs w:val="20"/>
                <w:color w:val="auto"/>
              </w:rPr>
            </w:pPr>
            <w:r>
              <w:rPr>
                <w:rFonts w:ascii="Arial" w:cs="Arial" w:eastAsia="Arial" w:hAnsi="Arial"/>
                <w:sz w:val="16"/>
                <w:szCs w:val="16"/>
                <w:color w:val="auto"/>
              </w:rPr>
              <w:t>West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1,886</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1,316,769</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698</w:t>
            </w:r>
          </w:p>
        </w:tc>
        <w:tc>
          <w:tcPr>
            <w:tcW w:w="12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1,415</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ind w:right="5"/>
              <w:spacing w:after="0"/>
              <w:rPr>
                <w:sz w:val="20"/>
                <w:szCs w:val="20"/>
                <w:color w:val="auto"/>
              </w:rPr>
            </w:pPr>
            <w:r>
              <w:rPr>
                <w:rFonts w:ascii="Arial" w:cs="Arial" w:eastAsia="Arial" w:hAnsi="Arial"/>
                <w:sz w:val="16"/>
                <w:szCs w:val="16"/>
                <w:color w:val="auto"/>
              </w:rPr>
              <w:t>955,304</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740" w:type="dxa"/>
            <w:vAlign w:val="bottom"/>
            <w:shd w:val="clear" w:color="auto" w:fill="CCEEFF"/>
          </w:tcPr>
          <w:p>
            <w:pPr>
              <w:jc w:val="right"/>
              <w:ind w:right="5"/>
              <w:spacing w:after="0"/>
              <w:rPr>
                <w:sz w:val="20"/>
                <w:szCs w:val="20"/>
                <w:color w:val="auto"/>
              </w:rPr>
            </w:pPr>
            <w:r>
              <w:rPr>
                <w:rFonts w:ascii="Arial" w:cs="Arial" w:eastAsia="Arial" w:hAnsi="Arial"/>
                <w:sz w:val="16"/>
                <w:szCs w:val="16"/>
                <w:color w:val="auto"/>
              </w:rPr>
              <w:t>675</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33 %</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38 %</w:t>
            </w: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3 %</w:t>
            </w:r>
          </w:p>
        </w:tc>
      </w:tr>
      <w:tr>
        <w:trPr>
          <w:trHeight w:val="206"/>
        </w:trPr>
        <w:tc>
          <w:tcPr>
            <w:tcW w:w="1700" w:type="dxa"/>
            <w:vAlign w:val="bottom"/>
          </w:tcPr>
          <w:p>
            <w:pPr>
              <w:ind w:left="20"/>
              <w:spacing w:after="0"/>
              <w:rPr>
                <w:sz w:val="20"/>
                <w:szCs w:val="20"/>
                <w:color w:val="auto"/>
              </w:rPr>
            </w:pPr>
            <w:r>
              <w:rPr>
                <w:rFonts w:ascii="Arial" w:cs="Arial" w:eastAsia="Arial" w:hAnsi="Arial"/>
                <w:sz w:val="16"/>
                <w:szCs w:val="16"/>
                <w:color w:val="auto"/>
              </w:rPr>
              <w:t>Central</w:t>
            </w:r>
          </w:p>
        </w:tc>
        <w:tc>
          <w:tcPr>
            <w:tcW w:w="860" w:type="dxa"/>
            <w:vAlign w:val="bottom"/>
          </w:tcPr>
          <w:p>
            <w:pPr>
              <w:jc w:val="right"/>
              <w:spacing w:after="0"/>
              <w:rPr>
                <w:sz w:val="20"/>
                <w:szCs w:val="20"/>
                <w:color w:val="auto"/>
              </w:rPr>
            </w:pPr>
            <w:r>
              <w:rPr>
                <w:rFonts w:ascii="Arial" w:cs="Arial" w:eastAsia="Arial" w:hAnsi="Arial"/>
                <w:sz w:val="16"/>
                <w:szCs w:val="16"/>
                <w:color w:val="auto"/>
              </w:rPr>
              <w:t>546</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270,738</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496</w:t>
            </w:r>
          </w:p>
        </w:tc>
        <w:tc>
          <w:tcPr>
            <w:tcW w:w="12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582</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Pr>
          <w:p>
            <w:pPr>
              <w:jc w:val="right"/>
              <w:ind w:right="5"/>
              <w:spacing w:after="0"/>
              <w:rPr>
                <w:sz w:val="20"/>
                <w:szCs w:val="20"/>
                <w:color w:val="auto"/>
              </w:rPr>
            </w:pPr>
            <w:r>
              <w:rPr>
                <w:rFonts w:ascii="Arial" w:cs="Arial" w:eastAsia="Arial" w:hAnsi="Arial"/>
                <w:sz w:val="16"/>
                <w:szCs w:val="16"/>
                <w:color w:val="auto"/>
              </w:rPr>
              <w:t>286,433</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jc w:val="right"/>
              <w:ind w:right="5"/>
              <w:spacing w:after="0"/>
              <w:rPr>
                <w:sz w:val="20"/>
                <w:szCs w:val="20"/>
                <w:color w:val="auto"/>
              </w:rPr>
            </w:pPr>
            <w:r>
              <w:rPr>
                <w:rFonts w:ascii="Arial" w:cs="Arial" w:eastAsia="Arial" w:hAnsi="Arial"/>
                <w:sz w:val="16"/>
                <w:szCs w:val="16"/>
                <w:color w:val="auto"/>
              </w:rPr>
              <w:t>492</w:t>
            </w:r>
          </w:p>
        </w:tc>
        <w:tc>
          <w:tcPr>
            <w:tcW w:w="1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(6)%</w:t>
            </w:r>
          </w:p>
        </w:tc>
        <w:tc>
          <w:tcPr>
            <w:tcW w:w="1100" w:type="dxa"/>
            <w:vAlign w:val="bottom"/>
            <w:gridSpan w:val="2"/>
          </w:tcPr>
          <w:p>
            <w:pPr>
              <w:jc w:val="right"/>
              <w:spacing w:after="0"/>
              <w:rPr>
                <w:sz w:val="20"/>
                <w:szCs w:val="20"/>
                <w:color w:val="auto"/>
              </w:rPr>
            </w:pPr>
            <w:r>
              <w:rPr>
                <w:rFonts w:ascii="Arial" w:cs="Arial" w:eastAsia="Arial" w:hAnsi="Arial"/>
                <w:sz w:val="16"/>
                <w:szCs w:val="16"/>
                <w:color w:val="auto"/>
              </w:rPr>
              <w:t>(5)%</w:t>
            </w: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1 %</w:t>
            </w:r>
          </w:p>
        </w:tc>
      </w:tr>
      <w:tr>
        <w:trPr>
          <w:trHeight w:val="209"/>
        </w:trPr>
        <w:tc>
          <w:tcPr>
            <w:tcW w:w="1700" w:type="dxa"/>
            <w:vAlign w:val="bottom"/>
            <w:shd w:val="clear" w:color="auto" w:fill="CCEEFF"/>
          </w:tcPr>
          <w:p>
            <w:pPr>
              <w:ind w:left="20"/>
              <w:spacing w:after="0"/>
              <w:rPr>
                <w:sz w:val="20"/>
                <w:szCs w:val="20"/>
                <w:color w:val="auto"/>
              </w:rPr>
            </w:pPr>
            <w:r>
              <w:rPr>
                <w:rFonts w:ascii="Arial" w:cs="Arial" w:eastAsia="Arial" w:hAnsi="Arial"/>
                <w:sz w:val="16"/>
                <w:szCs w:val="16"/>
                <w:color w:val="auto"/>
              </w:rPr>
              <w:t>East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239</w:t>
            </w:r>
          </w:p>
        </w:tc>
        <w:tc>
          <w:tcPr>
            <w:tcW w:w="1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138,475</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579</w:t>
            </w:r>
          </w:p>
        </w:tc>
        <w:tc>
          <w:tcPr>
            <w:tcW w:w="120" w:type="dxa"/>
            <w:vAlign w:val="bottom"/>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190</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6"/>
                <w:szCs w:val="16"/>
                <w:color w:val="auto"/>
              </w:rPr>
              <w:t>120,043</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6"/>
                <w:szCs w:val="16"/>
                <w:color w:val="auto"/>
              </w:rPr>
              <w:t>632</w:t>
            </w:r>
          </w:p>
        </w:tc>
        <w:tc>
          <w:tcPr>
            <w:tcW w:w="100" w:type="dxa"/>
            <w:vAlign w:val="bottom"/>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26 %</w:t>
            </w:r>
          </w:p>
        </w:tc>
        <w:tc>
          <w:tcPr>
            <w:tcW w:w="100" w:type="dxa"/>
            <w:vAlign w:val="bottom"/>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15 %</w:t>
            </w:r>
          </w:p>
        </w:tc>
        <w:tc>
          <w:tcPr>
            <w:tcW w:w="120" w:type="dxa"/>
            <w:vAlign w:val="bottom"/>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w:t>
            </w:r>
          </w:p>
        </w:tc>
      </w:tr>
      <w:tr>
        <w:trPr>
          <w:trHeight w:val="205"/>
        </w:trPr>
        <w:tc>
          <w:tcPr>
            <w:tcW w:w="1700" w:type="dxa"/>
            <w:vAlign w:val="bottom"/>
          </w:tcPr>
          <w:p>
            <w:pPr>
              <w:ind w:left="220"/>
              <w:spacing w:after="0"/>
              <w:rPr>
                <w:sz w:val="20"/>
                <w:szCs w:val="20"/>
                <w:color w:val="auto"/>
              </w:rPr>
            </w:pPr>
            <w:r>
              <w:rPr>
                <w:rFonts w:ascii="Arial" w:cs="Arial" w:eastAsia="Arial" w:hAnsi="Arial"/>
                <w:sz w:val="16"/>
                <w:szCs w:val="16"/>
                <w:color w:val="auto"/>
              </w:rPr>
              <w:t>Total</w:t>
            </w:r>
          </w:p>
        </w:tc>
        <w:tc>
          <w:tcPr>
            <w:tcW w:w="860" w:type="dxa"/>
            <w:vAlign w:val="bottom"/>
          </w:tcPr>
          <w:p>
            <w:pPr>
              <w:jc w:val="right"/>
              <w:spacing w:after="0"/>
              <w:rPr>
                <w:sz w:val="20"/>
                <w:szCs w:val="20"/>
                <w:color w:val="auto"/>
              </w:rPr>
            </w:pPr>
            <w:r>
              <w:rPr>
                <w:rFonts w:ascii="Arial" w:cs="Arial" w:eastAsia="Arial" w:hAnsi="Arial"/>
                <w:sz w:val="16"/>
                <w:szCs w:val="16"/>
                <w:color w:val="auto"/>
              </w:rPr>
              <w:t>2,671</w:t>
            </w:r>
          </w:p>
        </w:tc>
        <w:tc>
          <w:tcPr>
            <w:tcW w:w="120" w:type="dxa"/>
            <w:vAlign w:val="bottom"/>
          </w:tcPr>
          <w:p>
            <w:pPr>
              <w:spacing w:after="0"/>
              <w:rPr>
                <w:sz w:val="17"/>
                <w:szCs w:val="17"/>
                <w:color w:val="auto"/>
              </w:rPr>
            </w:pP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1,725,982</w:t>
            </w:r>
          </w:p>
        </w:tc>
        <w:tc>
          <w:tcPr>
            <w:tcW w:w="10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646</w:t>
            </w:r>
          </w:p>
        </w:tc>
        <w:tc>
          <w:tcPr>
            <w:tcW w:w="12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2,187</w:t>
            </w:r>
          </w:p>
        </w:tc>
        <w:tc>
          <w:tcPr>
            <w:tcW w:w="100" w:type="dxa"/>
            <w:vAlign w:val="bottom"/>
          </w:tcPr>
          <w:p>
            <w:pPr>
              <w:spacing w:after="0"/>
              <w:rPr>
                <w:sz w:val="17"/>
                <w:szCs w:val="17"/>
                <w:color w:val="auto"/>
              </w:rPr>
            </w:pPr>
          </w:p>
        </w:tc>
        <w:tc>
          <w:tcPr>
            <w:tcW w:w="180" w:type="dxa"/>
            <w:vAlign w:val="bottom"/>
          </w:tcPr>
          <w:p>
            <w:pPr>
              <w:jc w:val="right"/>
              <w:ind w:right="2"/>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5"/>
              <w:spacing w:after="0"/>
              <w:rPr>
                <w:sz w:val="20"/>
                <w:szCs w:val="20"/>
                <w:color w:val="auto"/>
              </w:rPr>
            </w:pPr>
            <w:r>
              <w:rPr>
                <w:rFonts w:ascii="Arial" w:cs="Arial" w:eastAsia="Arial" w:hAnsi="Arial"/>
                <w:sz w:val="16"/>
                <w:szCs w:val="16"/>
                <w:color w:val="auto"/>
              </w:rPr>
              <w:t>1,361,780</w:t>
            </w:r>
          </w:p>
        </w:tc>
        <w:tc>
          <w:tcPr>
            <w:tcW w:w="10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ind w:right="5"/>
              <w:spacing w:after="0"/>
              <w:rPr>
                <w:sz w:val="20"/>
                <w:szCs w:val="20"/>
                <w:color w:val="auto"/>
              </w:rPr>
            </w:pPr>
            <w:r>
              <w:rPr>
                <w:rFonts w:ascii="Arial" w:cs="Arial" w:eastAsia="Arial" w:hAnsi="Arial"/>
                <w:sz w:val="16"/>
                <w:szCs w:val="16"/>
                <w:color w:val="auto"/>
              </w:rPr>
              <w:t>623</w:t>
            </w:r>
          </w:p>
        </w:tc>
        <w:tc>
          <w:tcPr>
            <w:tcW w:w="1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22 %</w:t>
            </w:r>
          </w:p>
        </w:tc>
        <w:tc>
          <w:tcPr>
            <w:tcW w:w="1100" w:type="dxa"/>
            <w:vAlign w:val="bottom"/>
            <w:gridSpan w:val="2"/>
          </w:tcPr>
          <w:p>
            <w:pPr>
              <w:jc w:val="right"/>
              <w:spacing w:after="0"/>
              <w:rPr>
                <w:sz w:val="20"/>
                <w:szCs w:val="20"/>
                <w:color w:val="auto"/>
              </w:rPr>
            </w:pPr>
            <w:r>
              <w:rPr>
                <w:rFonts w:ascii="Arial" w:cs="Arial" w:eastAsia="Arial" w:hAnsi="Arial"/>
                <w:sz w:val="16"/>
                <w:szCs w:val="16"/>
                <w:color w:val="auto"/>
              </w:rPr>
              <w:t>27 %</w:t>
            </w: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4 %</w:t>
            </w:r>
          </w:p>
        </w:tc>
      </w:tr>
      <w:tr>
        <w:trPr>
          <w:trHeight w:val="20"/>
        </w:trPr>
        <w:tc>
          <w:tcPr>
            <w:tcW w:w="170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ind w:right="20" w:firstLine="470"/>
        <w:spacing w:after="0" w:line="297" w:lineRule="auto"/>
        <w:rPr>
          <w:sz w:val="20"/>
          <w:szCs w:val="20"/>
          <w:color w:val="auto"/>
        </w:rPr>
      </w:pPr>
      <w:r>
        <w:rPr>
          <w:rFonts w:ascii="Arial" w:cs="Arial" w:eastAsia="Arial" w:hAnsi="Arial"/>
          <w:sz w:val="16"/>
          <w:szCs w:val="16"/>
          <w:color w:val="auto"/>
        </w:rPr>
        <w:t>Home sales revenue increased $364.2 million, or 27%, to $1.7 billion for the six months ended June 30, 2021. The increase was comprised of (i) $301.4 million related to an increase of 484 new homes delivered in the six months ended June 30, 2021 compared to the prior-year period and (ii) $62.8 million related to an increase of $23,000 in average sales price of homes delivered in the six months ended June 30, 2021 compared to the prior-year period.</w:t>
      </w:r>
    </w:p>
    <w:p>
      <w:pPr>
        <w:spacing w:after="0" w:line="153" w:lineRule="exact"/>
        <w:rPr>
          <w:sz w:val="20"/>
          <w:szCs w:val="20"/>
          <w:color w:val="auto"/>
        </w:rPr>
      </w:pPr>
    </w:p>
    <w:p>
      <w:pPr>
        <w:ind w:firstLine="470"/>
        <w:spacing w:after="0" w:line="280" w:lineRule="auto"/>
        <w:rPr>
          <w:sz w:val="20"/>
          <w:szCs w:val="20"/>
          <w:color w:val="auto"/>
        </w:rPr>
      </w:pPr>
      <w:r>
        <w:rPr>
          <w:rFonts w:ascii="Arial" w:cs="Arial" w:eastAsia="Arial" w:hAnsi="Arial"/>
          <w:sz w:val="16"/>
          <w:szCs w:val="16"/>
          <w:color w:val="auto"/>
        </w:rPr>
        <w:t>Home sales revenue in our West segment increased 38% due to a 33% increase in new homes delivered and a 3% increase in average sales price during the current-year period. The increase in new homes delivered is due to higher backlog units to start the current-year period compared to the prior-year period. Home sales revenue in our Central segment decreased 5% due to a 6% decrease in new homes delivered. The decrease in new homes delivered was due in part to longer cycle times associated with the weather-induced electricity issues experienced in Texas during the first quarter, as well as delays resulting from broader supply chain and labor constraints. Home sales revenue increased in our East segment by 15% due to a 26% increase in new homes delivered, offset by an 8% decrease in average sales price. The increase in new homes delivered was due to a higher number of backlog units to start the current-year period compared to the prior-year period, whereas the decrease in average sales price is due to product mix.</w:t>
      </w:r>
    </w:p>
    <w:p>
      <w:pPr>
        <w:spacing w:after="0" w:line="27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Homebuilding Gross Margins (dollars 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55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920" w:type="dxa"/>
            <w:vAlign w:val="bottom"/>
            <w:tcBorders>
              <w:bottom w:val="single" w:sz="8" w:color="auto"/>
            </w:tcBorders>
            <w:gridSpan w:val="5"/>
          </w:tcPr>
          <w:p>
            <w:pPr>
              <w:ind w:left="580"/>
              <w:spacing w:after="0"/>
              <w:rPr>
                <w:sz w:val="20"/>
                <w:szCs w:val="20"/>
                <w:color w:val="auto"/>
              </w:rPr>
            </w:pPr>
            <w:r>
              <w:rPr>
                <w:rFonts w:ascii="Arial" w:cs="Arial" w:eastAsia="Arial" w:hAnsi="Arial"/>
                <w:sz w:val="14"/>
                <w:szCs w:val="14"/>
                <w:b w:val="1"/>
                <w:bCs w:val="1"/>
                <w:color w:val="auto"/>
              </w:rPr>
              <w:t>Six Months Ended June 30,</w:t>
            </w:r>
          </w:p>
        </w:tc>
        <w:tc>
          <w:tcPr>
            <w:tcW w:w="1320" w:type="dxa"/>
            <w:vAlign w:val="bottom"/>
            <w:tcBorders>
              <w:bottom w:val="single" w:sz="8" w:color="auto"/>
            </w:tcBorders>
          </w:tcPr>
          <w:p>
            <w:pPr>
              <w:spacing w:after="0"/>
              <w:rPr>
                <w:sz w:val="16"/>
                <w:szCs w:val="16"/>
                <w:color w:val="auto"/>
              </w:rPr>
            </w:pPr>
          </w:p>
        </w:tc>
      </w:tr>
      <w:tr>
        <w:trPr>
          <w:trHeight w:val="181"/>
        </w:trPr>
        <w:tc>
          <w:tcPr>
            <w:tcW w:w="55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455"/>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1320" w:type="dxa"/>
            <w:vAlign w:val="bottom"/>
            <w:tcBorders>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455"/>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5"/>
                <w:szCs w:val="15"/>
                <w:color w:val="auto"/>
              </w:rPr>
            </w:pPr>
          </w:p>
        </w:tc>
        <w:tc>
          <w:tcPr>
            <w:tcW w:w="132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w:t>
            </w:r>
          </w:p>
        </w:tc>
      </w:tr>
      <w:tr>
        <w:trPr>
          <w:trHeight w:val="216"/>
        </w:trPr>
        <w:tc>
          <w:tcPr>
            <w:tcW w:w="5500" w:type="dxa"/>
            <w:vAlign w:val="bottom"/>
            <w:shd w:val="clear" w:color="auto" w:fill="CCEEFF"/>
          </w:tcPr>
          <w:p>
            <w:pPr>
              <w:ind w:left="20"/>
              <w:spacing w:after="0"/>
              <w:rPr>
                <w:sz w:val="20"/>
                <w:szCs w:val="20"/>
                <w:color w:val="auto"/>
              </w:rPr>
            </w:pPr>
            <w:r>
              <w:rPr>
                <w:rFonts w:ascii="Arial" w:cs="Arial" w:eastAsia="Arial" w:hAnsi="Arial"/>
                <w:sz w:val="17"/>
                <w:szCs w:val="17"/>
                <w:color w:val="auto"/>
              </w:rPr>
              <w:t>Home sales revenue</w:t>
            </w: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080" w:type="dxa"/>
            <w:vAlign w:val="bottom"/>
            <w:shd w:val="clear" w:color="auto" w:fill="CCEEFF"/>
          </w:tcPr>
          <w:p>
            <w:pPr>
              <w:jc w:val="right"/>
              <w:ind w:right="135"/>
              <w:spacing w:after="0"/>
              <w:rPr>
                <w:sz w:val="20"/>
                <w:szCs w:val="20"/>
                <w:color w:val="auto"/>
              </w:rPr>
            </w:pPr>
            <w:r>
              <w:rPr>
                <w:rFonts w:ascii="Arial" w:cs="Arial" w:eastAsia="Arial" w:hAnsi="Arial"/>
                <w:sz w:val="17"/>
                <w:szCs w:val="17"/>
                <w:color w:val="auto"/>
              </w:rPr>
              <w:t>1,725,982</w:t>
            </w: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100.0 %</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080" w:type="dxa"/>
            <w:vAlign w:val="bottom"/>
            <w:shd w:val="clear" w:color="auto" w:fill="CCEEFF"/>
          </w:tcPr>
          <w:p>
            <w:pPr>
              <w:jc w:val="right"/>
              <w:ind w:right="115"/>
              <w:spacing w:after="0"/>
              <w:rPr>
                <w:sz w:val="20"/>
                <w:szCs w:val="20"/>
                <w:color w:val="auto"/>
              </w:rPr>
            </w:pPr>
            <w:r>
              <w:rPr>
                <w:rFonts w:ascii="Arial" w:cs="Arial" w:eastAsia="Arial" w:hAnsi="Arial"/>
                <w:sz w:val="17"/>
                <w:szCs w:val="17"/>
                <w:color w:val="auto"/>
              </w:rPr>
              <w:t>1,361,780</w:t>
            </w: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100.0 %</w:t>
            </w:r>
          </w:p>
        </w:tc>
      </w:tr>
      <w:tr>
        <w:trPr>
          <w:trHeight w:val="222"/>
        </w:trPr>
        <w:tc>
          <w:tcPr>
            <w:tcW w:w="55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Cost of home sales</w:t>
            </w:r>
          </w:p>
        </w:tc>
        <w:tc>
          <w:tcPr>
            <w:tcW w:w="2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135"/>
              <w:spacing w:after="0"/>
              <w:rPr>
                <w:sz w:val="20"/>
                <w:szCs w:val="20"/>
                <w:color w:val="auto"/>
              </w:rPr>
            </w:pPr>
            <w:r>
              <w:rPr>
                <w:rFonts w:ascii="Arial" w:cs="Arial" w:eastAsia="Arial" w:hAnsi="Arial"/>
                <w:sz w:val="17"/>
                <w:szCs w:val="17"/>
                <w:color w:val="auto"/>
              </w:rPr>
              <w:t>1,306,571</w:t>
            </w:r>
          </w:p>
        </w:tc>
        <w:tc>
          <w:tcPr>
            <w:tcW w:w="100" w:type="dxa"/>
            <w:vAlign w:val="bottom"/>
            <w:tcBorders>
              <w:bottom w:val="single" w:sz="8" w:color="CCEEFF"/>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75.7 %</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115"/>
              <w:spacing w:after="0"/>
              <w:rPr>
                <w:sz w:val="20"/>
                <w:szCs w:val="20"/>
                <w:color w:val="auto"/>
              </w:rPr>
            </w:pPr>
            <w:r>
              <w:rPr>
                <w:rFonts w:ascii="Arial" w:cs="Arial" w:eastAsia="Arial" w:hAnsi="Arial"/>
                <w:sz w:val="17"/>
                <w:szCs w:val="17"/>
                <w:color w:val="auto"/>
              </w:rPr>
              <w:t>1,074,316</w:t>
            </w:r>
          </w:p>
        </w:tc>
        <w:tc>
          <w:tcPr>
            <w:tcW w:w="120" w:type="dxa"/>
            <w:vAlign w:val="bottom"/>
            <w:tcBorders>
              <w:bottom w:val="single" w:sz="8" w:color="CCEEFF"/>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78.9 %</w:t>
            </w:r>
          </w:p>
        </w:tc>
      </w:tr>
      <w:tr>
        <w:trPr>
          <w:trHeight w:val="215"/>
        </w:trPr>
        <w:tc>
          <w:tcPr>
            <w:tcW w:w="5500" w:type="dxa"/>
            <w:vAlign w:val="bottom"/>
            <w:shd w:val="clear" w:color="auto" w:fill="CCEEFF"/>
          </w:tcPr>
          <w:p>
            <w:pPr>
              <w:ind w:left="20"/>
              <w:spacing w:after="0"/>
              <w:rPr>
                <w:sz w:val="20"/>
                <w:szCs w:val="20"/>
                <w:color w:val="auto"/>
              </w:rPr>
            </w:pPr>
            <w:r>
              <w:rPr>
                <w:rFonts w:ascii="Arial" w:cs="Arial" w:eastAsia="Arial" w:hAnsi="Arial"/>
                <w:sz w:val="17"/>
                <w:szCs w:val="17"/>
                <w:color w:val="auto"/>
              </w:rPr>
              <w:t>Homebuilding gross margin</w:t>
            </w: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135"/>
              <w:spacing w:after="0"/>
              <w:rPr>
                <w:sz w:val="20"/>
                <w:szCs w:val="20"/>
                <w:color w:val="auto"/>
              </w:rPr>
            </w:pPr>
            <w:r>
              <w:rPr>
                <w:rFonts w:ascii="Arial" w:cs="Arial" w:eastAsia="Arial" w:hAnsi="Arial"/>
                <w:sz w:val="17"/>
                <w:szCs w:val="17"/>
                <w:color w:val="auto"/>
              </w:rPr>
              <w:t>419,411</w:t>
            </w: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24.3 %</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115"/>
              <w:spacing w:after="0"/>
              <w:rPr>
                <w:sz w:val="20"/>
                <w:szCs w:val="20"/>
                <w:color w:val="auto"/>
              </w:rPr>
            </w:pPr>
            <w:r>
              <w:rPr>
                <w:rFonts w:ascii="Arial" w:cs="Arial" w:eastAsia="Arial" w:hAnsi="Arial"/>
                <w:sz w:val="17"/>
                <w:szCs w:val="17"/>
                <w:color w:val="auto"/>
              </w:rPr>
              <w:t>287,464</w:t>
            </w: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21.1 %</w:t>
            </w:r>
          </w:p>
        </w:tc>
      </w:tr>
      <w:tr>
        <w:trPr>
          <w:trHeight w:val="222"/>
        </w:trPr>
        <w:tc>
          <w:tcPr>
            <w:tcW w:w="5500" w:type="dxa"/>
            <w:vAlign w:val="bottom"/>
          </w:tcPr>
          <w:p>
            <w:pPr>
              <w:ind w:left="220"/>
              <w:spacing w:after="0"/>
              <w:rPr>
                <w:sz w:val="20"/>
                <w:szCs w:val="20"/>
                <w:color w:val="auto"/>
              </w:rPr>
            </w:pPr>
            <w:r>
              <w:rPr>
                <w:rFonts w:ascii="Arial" w:cs="Arial" w:eastAsia="Arial" w:hAnsi="Arial"/>
                <w:sz w:val="17"/>
                <w:szCs w:val="17"/>
                <w:color w:val="auto"/>
              </w:rPr>
              <w:t>Add: interest in cost of home sales</w:t>
            </w:r>
          </w:p>
        </w:tc>
        <w:tc>
          <w:tcPr>
            <w:tcW w:w="280" w:type="dxa"/>
            <w:vAlign w:val="bottom"/>
          </w:tcPr>
          <w:p>
            <w:pPr>
              <w:spacing w:after="0"/>
              <w:rPr>
                <w:sz w:val="19"/>
                <w:szCs w:val="19"/>
                <w:color w:val="auto"/>
              </w:rPr>
            </w:pPr>
          </w:p>
        </w:tc>
        <w:tc>
          <w:tcPr>
            <w:tcW w:w="1080" w:type="dxa"/>
            <w:vAlign w:val="bottom"/>
          </w:tcPr>
          <w:p>
            <w:pPr>
              <w:jc w:val="right"/>
              <w:ind w:right="135"/>
              <w:spacing w:after="0"/>
              <w:rPr>
                <w:sz w:val="20"/>
                <w:szCs w:val="20"/>
                <w:color w:val="auto"/>
              </w:rPr>
            </w:pPr>
            <w:r>
              <w:rPr>
                <w:rFonts w:ascii="Arial" w:cs="Arial" w:eastAsia="Arial" w:hAnsi="Arial"/>
                <w:sz w:val="17"/>
                <w:szCs w:val="17"/>
                <w:color w:val="auto"/>
              </w:rPr>
              <w:t>51,529</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3.0 %</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jc w:val="right"/>
              <w:ind w:right="115"/>
              <w:spacing w:after="0"/>
              <w:rPr>
                <w:sz w:val="20"/>
                <w:szCs w:val="20"/>
                <w:color w:val="auto"/>
              </w:rPr>
            </w:pPr>
            <w:r>
              <w:rPr>
                <w:rFonts w:ascii="Arial" w:cs="Arial" w:eastAsia="Arial" w:hAnsi="Arial"/>
                <w:sz w:val="17"/>
                <w:szCs w:val="17"/>
                <w:color w:val="auto"/>
              </w:rPr>
              <w:t>38,623</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2.8 %</w:t>
            </w:r>
          </w:p>
        </w:tc>
      </w:tr>
      <w:tr>
        <w:trPr>
          <w:trHeight w:val="222"/>
        </w:trPr>
        <w:tc>
          <w:tcPr>
            <w:tcW w:w="55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Add: impairments and lot option abandonments</w:t>
            </w:r>
          </w:p>
        </w:tc>
        <w:tc>
          <w:tcPr>
            <w:tcW w:w="28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ind w:right="135"/>
              <w:spacing w:after="0"/>
              <w:rPr>
                <w:sz w:val="20"/>
                <w:szCs w:val="20"/>
                <w:color w:val="auto"/>
              </w:rPr>
            </w:pPr>
            <w:r>
              <w:rPr>
                <w:rFonts w:ascii="Arial" w:cs="Arial" w:eastAsia="Arial" w:hAnsi="Arial"/>
                <w:sz w:val="17"/>
                <w:szCs w:val="17"/>
                <w:color w:val="auto"/>
              </w:rPr>
              <w:t>445</w:t>
            </w:r>
          </w:p>
        </w:tc>
        <w:tc>
          <w:tcPr>
            <w:tcW w:w="100" w:type="dxa"/>
            <w:vAlign w:val="bottom"/>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0.0 %</w:t>
            </w:r>
          </w:p>
        </w:tc>
        <w:tc>
          <w:tcPr>
            <w:tcW w:w="1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ind w:right="115"/>
              <w:spacing w:after="0"/>
              <w:rPr>
                <w:sz w:val="20"/>
                <w:szCs w:val="20"/>
                <w:color w:val="auto"/>
              </w:rPr>
            </w:pPr>
            <w:r>
              <w:rPr>
                <w:rFonts w:ascii="Arial" w:cs="Arial" w:eastAsia="Arial" w:hAnsi="Arial"/>
                <w:sz w:val="17"/>
                <w:szCs w:val="17"/>
                <w:color w:val="auto"/>
              </w:rPr>
              <w:t>1,729</w:t>
            </w:r>
          </w:p>
        </w:tc>
        <w:tc>
          <w:tcPr>
            <w:tcW w:w="120" w:type="dxa"/>
            <w:vAlign w:val="bottom"/>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0.1 %</w:t>
            </w:r>
          </w:p>
        </w:tc>
      </w:tr>
      <w:tr>
        <w:trPr>
          <w:trHeight w:val="215"/>
        </w:trPr>
        <w:tc>
          <w:tcPr>
            <w:tcW w:w="5500" w:type="dxa"/>
            <w:vAlign w:val="bottom"/>
          </w:tcPr>
          <w:p>
            <w:pPr>
              <w:ind w:left="20"/>
              <w:spacing w:after="0" w:line="215" w:lineRule="exact"/>
              <w:rPr>
                <w:sz w:val="20"/>
                <w:szCs w:val="20"/>
                <w:color w:val="auto"/>
              </w:rPr>
            </w:pPr>
            <w:r>
              <w:rPr>
                <w:rFonts w:ascii="Arial" w:cs="Arial" w:eastAsia="Arial" w:hAnsi="Arial"/>
                <w:sz w:val="17"/>
                <w:szCs w:val="17"/>
                <w:color w:val="auto"/>
              </w:rPr>
              <w:t>Adjusted homebuilding gross margin</w:t>
            </w:r>
            <w:r>
              <w:rPr>
                <w:rFonts w:ascii="Arial" w:cs="Arial" w:eastAsia="Arial" w:hAnsi="Arial"/>
                <w:sz w:val="20"/>
                <w:szCs w:val="20"/>
                <w:color w:val="auto"/>
                <w:vertAlign w:val="superscript"/>
              </w:rPr>
              <w:t>(1)</w:t>
            </w:r>
          </w:p>
        </w:tc>
        <w:tc>
          <w:tcPr>
            <w:tcW w:w="280" w:type="dxa"/>
            <w:vAlign w:val="bottom"/>
            <w:tcBorders>
              <w:bottom w:val="single" w:sz="8" w:color="auto"/>
            </w:tcBorders>
          </w:tcPr>
          <w:p>
            <w:pPr>
              <w:jc w:val="right"/>
              <w:ind w:right="93"/>
              <w:spacing w:after="0"/>
              <w:rPr>
                <w:sz w:val="20"/>
                <w:szCs w:val="20"/>
                <w:color w:val="auto"/>
              </w:rPr>
            </w:pPr>
            <w:r>
              <w:rPr>
                <w:rFonts w:ascii="Arial" w:cs="Arial" w:eastAsia="Arial" w:hAnsi="Arial"/>
                <w:sz w:val="17"/>
                <w:szCs w:val="17"/>
                <w:color w:val="auto"/>
                <w:w w:val="84"/>
              </w:rPr>
              <w:t>$</w:t>
            </w:r>
          </w:p>
        </w:tc>
        <w:tc>
          <w:tcPr>
            <w:tcW w:w="1080" w:type="dxa"/>
            <w:vAlign w:val="bottom"/>
            <w:tcBorders>
              <w:bottom w:val="single" w:sz="8" w:color="auto"/>
            </w:tcBorders>
          </w:tcPr>
          <w:p>
            <w:pPr>
              <w:jc w:val="right"/>
              <w:ind w:right="135"/>
              <w:spacing w:after="0"/>
              <w:rPr>
                <w:sz w:val="20"/>
                <w:szCs w:val="20"/>
                <w:color w:val="auto"/>
              </w:rPr>
            </w:pPr>
            <w:r>
              <w:rPr>
                <w:rFonts w:ascii="Arial" w:cs="Arial" w:eastAsia="Arial" w:hAnsi="Arial"/>
                <w:sz w:val="17"/>
                <w:szCs w:val="17"/>
                <w:color w:val="auto"/>
              </w:rPr>
              <w:t>471,385</w:t>
            </w:r>
          </w:p>
        </w:tc>
        <w:tc>
          <w:tcPr>
            <w:tcW w:w="100" w:type="dxa"/>
            <w:vAlign w:val="bottom"/>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27.3 %</w:t>
            </w:r>
          </w:p>
        </w:tc>
        <w:tc>
          <w:tcPr>
            <w:tcW w:w="120" w:type="dxa"/>
            <w:vAlign w:val="bottom"/>
          </w:tcPr>
          <w:p>
            <w:pPr>
              <w:spacing w:after="0"/>
              <w:rPr>
                <w:sz w:val="18"/>
                <w:szCs w:val="18"/>
                <w:color w:val="auto"/>
              </w:rPr>
            </w:pPr>
          </w:p>
        </w:tc>
        <w:tc>
          <w:tcPr>
            <w:tcW w:w="280" w:type="dxa"/>
            <w:vAlign w:val="bottom"/>
            <w:tcBorders>
              <w:bottom w:val="single" w:sz="8" w:color="auto"/>
            </w:tcBorders>
          </w:tcPr>
          <w:p>
            <w:pPr>
              <w:jc w:val="right"/>
              <w:ind w:right="93"/>
              <w:spacing w:after="0"/>
              <w:rPr>
                <w:sz w:val="20"/>
                <w:szCs w:val="20"/>
                <w:color w:val="auto"/>
              </w:rPr>
            </w:pPr>
            <w:r>
              <w:rPr>
                <w:rFonts w:ascii="Arial" w:cs="Arial" w:eastAsia="Arial" w:hAnsi="Arial"/>
                <w:sz w:val="17"/>
                <w:szCs w:val="17"/>
                <w:color w:val="auto"/>
                <w:w w:val="84"/>
              </w:rPr>
              <w:t>$</w:t>
            </w:r>
          </w:p>
        </w:tc>
        <w:tc>
          <w:tcPr>
            <w:tcW w:w="1080" w:type="dxa"/>
            <w:vAlign w:val="bottom"/>
            <w:tcBorders>
              <w:bottom w:val="single" w:sz="8" w:color="auto"/>
            </w:tcBorders>
          </w:tcPr>
          <w:p>
            <w:pPr>
              <w:jc w:val="right"/>
              <w:ind w:right="115"/>
              <w:spacing w:after="0"/>
              <w:rPr>
                <w:sz w:val="20"/>
                <w:szCs w:val="20"/>
                <w:color w:val="auto"/>
              </w:rPr>
            </w:pPr>
            <w:r>
              <w:rPr>
                <w:rFonts w:ascii="Arial" w:cs="Arial" w:eastAsia="Arial" w:hAnsi="Arial"/>
                <w:sz w:val="17"/>
                <w:szCs w:val="17"/>
                <w:color w:val="auto"/>
              </w:rPr>
              <w:t>327,816</w:t>
            </w:r>
          </w:p>
        </w:tc>
        <w:tc>
          <w:tcPr>
            <w:tcW w:w="120" w:type="dxa"/>
            <w:vAlign w:val="bottom"/>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24.1 %</w:t>
            </w: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66"/>
        </w:trPr>
        <w:tc>
          <w:tcPr>
            <w:tcW w:w="55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Homebuilding gross margin percentage</w:t>
            </w: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24.3 %</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320" w:type="dxa"/>
            <w:vAlign w:val="bottom"/>
            <w:tcBorders>
              <w:top w:val="single" w:sz="8" w:color="auto"/>
              <w:bottom w:val="single" w:sz="8" w:color="CCEEFF"/>
            </w:tcBorders>
            <w:shd w:val="clear" w:color="auto" w:fill="CCEEFF"/>
          </w:tcPr>
          <w:p>
            <w:pPr>
              <w:spacing w:after="0"/>
              <w:rPr>
                <w:sz w:val="22"/>
                <w:szCs w:val="22"/>
                <w:color w:val="auto"/>
              </w:rPr>
            </w:pP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21.1 %</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320" w:type="dxa"/>
            <w:vAlign w:val="bottom"/>
            <w:tcBorders>
              <w:top w:val="single" w:sz="8" w:color="auto"/>
              <w:bottom w:val="single" w:sz="8" w:color="CCEEFF"/>
            </w:tcBorders>
            <w:shd w:val="clear" w:color="auto" w:fill="CCEEFF"/>
          </w:tcPr>
          <w:p>
            <w:pPr>
              <w:spacing w:after="0"/>
              <w:rPr>
                <w:sz w:val="22"/>
                <w:szCs w:val="22"/>
                <w:color w:val="auto"/>
              </w:rPr>
            </w:pPr>
          </w:p>
        </w:tc>
      </w:tr>
      <w:tr>
        <w:trPr>
          <w:trHeight w:val="20"/>
        </w:trPr>
        <w:tc>
          <w:tcPr>
            <w:tcW w:w="55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tcBorders>
          </w:tcPr>
          <w:p>
            <w:pPr>
              <w:spacing w:after="0" w:line="20" w:lineRule="exact"/>
              <w:rPr>
                <w:sz w:val="1"/>
                <w:szCs w:val="1"/>
                <w:color w:val="auto"/>
              </w:rPr>
            </w:pPr>
          </w:p>
        </w:tc>
      </w:tr>
      <w:tr>
        <w:trPr>
          <w:trHeight w:val="195"/>
        </w:trPr>
        <w:tc>
          <w:tcPr>
            <w:tcW w:w="5500" w:type="dxa"/>
            <w:vAlign w:val="bottom"/>
          </w:tcPr>
          <w:p>
            <w:pPr>
              <w:ind w:left="20"/>
              <w:spacing w:after="0" w:line="194" w:lineRule="exact"/>
              <w:rPr>
                <w:sz w:val="20"/>
                <w:szCs w:val="20"/>
                <w:color w:val="auto"/>
              </w:rPr>
            </w:pPr>
            <w:r>
              <w:rPr>
                <w:rFonts w:ascii="Arial" w:cs="Arial" w:eastAsia="Arial" w:hAnsi="Arial"/>
                <w:sz w:val="17"/>
                <w:szCs w:val="17"/>
                <w:color w:val="auto"/>
              </w:rPr>
              <w:t>Adjusted homebuilding gross margin percentage</w:t>
            </w:r>
            <w:r>
              <w:rPr>
                <w:rFonts w:ascii="Arial" w:cs="Arial" w:eastAsia="Arial" w:hAnsi="Arial"/>
                <w:sz w:val="20"/>
                <w:szCs w:val="20"/>
                <w:color w:val="auto"/>
                <w:vertAlign w:val="superscript"/>
              </w:rPr>
              <w:t>(1)</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27.3 %</w:t>
            </w:r>
          </w:p>
        </w:tc>
        <w:tc>
          <w:tcPr>
            <w:tcW w:w="1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24.1 %</w:t>
            </w:r>
          </w:p>
        </w:tc>
        <w:tc>
          <w:tcPr>
            <w:tcW w:w="120" w:type="dxa"/>
            <w:vAlign w:val="bottom"/>
          </w:tcPr>
          <w:p>
            <w:pPr>
              <w:spacing w:after="0"/>
              <w:rPr>
                <w:sz w:val="16"/>
                <w:szCs w:val="16"/>
                <w:color w:val="auto"/>
              </w:rPr>
            </w:pPr>
          </w:p>
        </w:tc>
        <w:tc>
          <w:tcPr>
            <w:tcW w:w="1320" w:type="dxa"/>
            <w:vAlign w:val="bottom"/>
          </w:tcPr>
          <w:p>
            <w:pPr>
              <w:spacing w:after="0"/>
              <w:rPr>
                <w:sz w:val="16"/>
                <w:szCs w:val="16"/>
                <w:color w:val="auto"/>
              </w:rPr>
            </w:pPr>
          </w:p>
        </w:tc>
      </w:tr>
      <w:tr>
        <w:trPr>
          <w:trHeight w:val="20"/>
        </w:trPr>
        <w:tc>
          <w:tcPr>
            <w:tcW w:w="55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bl>
    <w:p>
      <w:pPr>
        <w:spacing w:after="0" w:line="68" w:lineRule="exact"/>
        <w:rPr>
          <w:sz w:val="20"/>
          <w:szCs w:val="20"/>
          <w:color w:val="auto"/>
        </w:rPr>
      </w:pPr>
    </w:p>
    <w:p>
      <w:pPr>
        <w:spacing w:after="0"/>
        <w:rPr>
          <w:sz w:val="20"/>
          <w:szCs w:val="20"/>
          <w:color w:val="auto"/>
        </w:rPr>
      </w:pPr>
      <w:r>
        <w:rPr>
          <w:rFonts w:ascii="Arial" w:cs="Arial" w:eastAsia="Arial" w:hAnsi="Arial"/>
          <w:sz w:val="16"/>
          <w:szCs w:val="16"/>
          <w:color w:val="auto"/>
        </w:rPr>
        <w:t>__________</w:t>
      </w:r>
    </w:p>
    <w:p>
      <w:pPr>
        <w:spacing w:after="0" w:line="49" w:lineRule="exact"/>
        <w:rPr>
          <w:sz w:val="20"/>
          <w:szCs w:val="20"/>
          <w:color w:val="auto"/>
        </w:rPr>
      </w:pPr>
    </w:p>
    <w:p>
      <w:pPr>
        <w:ind w:left="280"/>
        <w:spacing w:after="0"/>
        <w:rPr>
          <w:sz w:val="20"/>
          <w:szCs w:val="20"/>
          <w:color w:val="auto"/>
        </w:rPr>
      </w:pPr>
      <w:r>
        <w:rPr>
          <w:rFonts w:ascii="Arial" w:cs="Arial" w:eastAsia="Arial" w:hAnsi="Arial"/>
          <w:sz w:val="17"/>
          <w:szCs w:val="17"/>
          <w:color w:val="auto"/>
        </w:rPr>
        <w:t>(1) Non-GAAP financial measure (as discussed below).</w:t>
      </w:r>
    </w:p>
    <w:p>
      <w:pPr>
        <w:spacing w:after="0" w:line="223" w:lineRule="exact"/>
        <w:rPr>
          <w:sz w:val="20"/>
          <w:szCs w:val="20"/>
          <w:color w:val="auto"/>
        </w:rPr>
      </w:pPr>
    </w:p>
    <w:p>
      <w:pPr>
        <w:ind w:left="480"/>
        <w:spacing w:after="0"/>
        <w:rPr>
          <w:sz w:val="20"/>
          <w:szCs w:val="20"/>
          <w:color w:val="auto"/>
        </w:rPr>
      </w:pPr>
      <w:r>
        <w:rPr>
          <w:rFonts w:ascii="Arial" w:cs="Arial" w:eastAsia="Arial" w:hAnsi="Arial"/>
          <w:sz w:val="16"/>
          <w:szCs w:val="16"/>
          <w:color w:val="auto"/>
        </w:rPr>
        <w:t>Our homebuilding gross margin percentage increased to 24.3% for the six months ended June 30, 2021 as compared to 21.1% for the prior-year</w:t>
      </w:r>
    </w:p>
    <w:p>
      <w:pPr>
        <w:spacing w:after="0" w:line="37"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period. The increase in gross margin percentage was due to a combination of product mix and the realization of price increases to units that we began selling into backlog beginning in mid-2020, at which time new home demand had begun to materially rebound from the COVID-19-induced slowdown. The strong demand environment has resulted in lower incentives and has allowed us to raise prices in all of our markets. Excluding interest and impairment and lot option abandonments in cost of home sales, adjusted homebuilding gross margin percentage was 27.3% for the six months ended June 30, 2021, compared to 24.1% for the prior-year period.</w:t>
      </w:r>
    </w:p>
    <w:p>
      <w:pPr>
        <w:spacing w:after="0" w:line="184" w:lineRule="exact"/>
        <w:rPr>
          <w:sz w:val="20"/>
          <w:szCs w:val="20"/>
          <w:color w:val="auto"/>
        </w:rPr>
      </w:pPr>
    </w:p>
    <w:p>
      <w:pPr>
        <w:ind w:right="80" w:firstLine="470"/>
        <w:spacing w:after="0" w:line="284" w:lineRule="auto"/>
        <w:rPr>
          <w:sz w:val="20"/>
          <w:szCs w:val="20"/>
          <w:color w:val="auto"/>
        </w:rPr>
      </w:pPr>
      <w:r>
        <w:rPr>
          <w:rFonts w:ascii="Arial" w:cs="Arial" w:eastAsia="Arial" w:hAnsi="Arial"/>
          <w:sz w:val="16"/>
          <w:szCs w:val="16"/>
          <w:color w:val="auto"/>
        </w:rPr>
        <w:t>Adjusted homebuilding gross margin is a non-GAAP financial measure. We believe this information is meaningful as it isolates the impact that leverage and noncash charges have on homebuilding gross margin and permits investors to make better comparisons with our competitors, who adjust gross margins in a similar fashion. Because adjusted homebuilding gross margin is not calculated in accordance with GAAP, it may not be comparable to other similarly titled measures of other companies and should not be considered in isolation or as a substitute for, or superior to, financial measures prepared in accordance with GAAP. See the table above reconciling this non-GAAP financial measure to homebuilding gross margin, the most directly comparable GAAP measure.</w:t>
      </w:r>
    </w:p>
    <w:p>
      <w:pPr>
        <w:spacing w:after="0" w:line="200" w:lineRule="exact"/>
        <w:rPr>
          <w:sz w:val="20"/>
          <w:szCs w:val="20"/>
          <w:color w:val="auto"/>
        </w:rPr>
      </w:pPr>
    </w:p>
    <w:p>
      <w:pPr>
        <w:spacing w:after="0" w:line="29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- 33 -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186" w:right="359" w:bottom="1440" w:gutter="0" w:footer="0" w:header="0"/>
        </w:sectPr>
      </w:pPr>
    </w:p>
    <w:bookmarkStart w:id="34" w:name="page35"/>
    <w:bookmarkEnd w:id="34"/>
    <w:p>
      <w:pPr>
        <w:spacing w:after="0"/>
        <w:rPr>
          <w:sz w:val="20"/>
          <w:szCs w:val="20"/>
          <w:color w:val="auto"/>
        </w:rPr>
      </w:pPr>
      <w:r>
        <w:rPr>
          <w:rFonts w:ascii="Arial" w:cs="Arial" w:eastAsia="Arial" w:hAnsi="Arial"/>
          <w:sz w:val="17"/>
          <w:szCs w:val="17"/>
          <w:b w:val="1"/>
          <w:bCs w:val="1"/>
          <w:i w:val="1"/>
          <w:iCs w:val="1"/>
          <w:color w:val="auto"/>
        </w:rPr>
        <w:t>Sales and Marketing, General and Administrative Expense (dollars in thousands)</w:t>
      </w:r>
    </w:p>
    <w:p>
      <w:pPr>
        <w:spacing w:after="0" w:line="1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820" w:type="dxa"/>
            <w:vAlign w:val="bottom"/>
            <w:gridSpan w:val="5"/>
            <w:vMerge w:val="restart"/>
          </w:tcPr>
          <w:p>
            <w:pPr>
              <w:ind w:left="360"/>
              <w:spacing w:after="0"/>
              <w:rPr>
                <w:sz w:val="20"/>
                <w:szCs w:val="20"/>
                <w:color w:val="auto"/>
              </w:rPr>
            </w:pPr>
            <w:r>
              <w:rPr>
                <w:rFonts w:ascii="Arial" w:cs="Arial" w:eastAsia="Arial" w:hAnsi="Arial"/>
                <w:sz w:val="14"/>
                <w:szCs w:val="14"/>
                <w:b w:val="1"/>
                <w:bCs w:val="1"/>
                <w:color w:val="auto"/>
              </w:rPr>
              <w:t>Six Months Ended June 30,</w:t>
            </w:r>
          </w:p>
        </w:tc>
        <w:tc>
          <w:tcPr>
            <w:tcW w:w="2320" w:type="dxa"/>
            <w:vAlign w:val="bottom"/>
            <w:gridSpan w:val="3"/>
          </w:tcPr>
          <w:p>
            <w:pPr>
              <w:jc w:val="center"/>
              <w:ind w:left="902"/>
              <w:spacing w:after="0"/>
              <w:rPr>
                <w:sz w:val="20"/>
                <w:szCs w:val="20"/>
                <w:color w:val="auto"/>
              </w:rPr>
            </w:pPr>
            <w:r>
              <w:rPr>
                <w:rFonts w:ascii="Arial" w:cs="Arial" w:eastAsia="Arial" w:hAnsi="Arial"/>
                <w:sz w:val="14"/>
                <w:szCs w:val="14"/>
                <w:b w:val="1"/>
                <w:bCs w:val="1"/>
                <w:color w:val="auto"/>
                <w:w w:val="87"/>
              </w:rPr>
              <w:t>As a Percentage of</w:t>
            </w: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47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820" w:type="dxa"/>
            <w:vAlign w:val="bottom"/>
            <w:gridSpan w:val="5"/>
            <w:vMerge w:val="continue"/>
          </w:tcPr>
          <w:p>
            <w:pPr>
              <w:spacing w:after="0"/>
              <w:rPr>
                <w:sz w:val="15"/>
                <w:szCs w:val="15"/>
                <w:color w:val="auto"/>
              </w:rPr>
            </w:pPr>
          </w:p>
        </w:tc>
        <w:tc>
          <w:tcPr>
            <w:tcW w:w="2320" w:type="dxa"/>
            <w:vAlign w:val="bottom"/>
            <w:gridSpan w:val="3"/>
          </w:tcPr>
          <w:p>
            <w:pPr>
              <w:jc w:val="center"/>
              <w:ind w:left="922"/>
              <w:spacing w:after="0"/>
              <w:rPr>
                <w:sz w:val="20"/>
                <w:szCs w:val="20"/>
                <w:color w:val="auto"/>
              </w:rPr>
            </w:pPr>
            <w:r>
              <w:rPr>
                <w:rFonts w:ascii="Arial" w:cs="Arial" w:eastAsia="Arial" w:hAnsi="Arial"/>
                <w:sz w:val="14"/>
                <w:szCs w:val="14"/>
                <w:b w:val="1"/>
                <w:bCs w:val="1"/>
                <w:color w:val="auto"/>
                <w:w w:val="87"/>
              </w:rPr>
              <w:t>Home Sales Revenue</w:t>
            </w:r>
          </w:p>
        </w:tc>
        <w:tc>
          <w:tcPr>
            <w:tcW w:w="10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700" w:type="dxa"/>
            <w:vAlign w:val="bottom"/>
            <w:tcBorders>
              <w:bottom w:val="single" w:sz="8" w:color="CCEEFF"/>
            </w:tcBorders>
          </w:tcPr>
          <w:p>
            <w:pPr>
              <w:spacing w:after="0"/>
              <w:rPr>
                <w:sz w:val="15"/>
                <w:szCs w:val="15"/>
                <w:color w:val="auto"/>
              </w:rPr>
            </w:pPr>
          </w:p>
        </w:tc>
        <w:tc>
          <w:tcPr>
            <w:tcW w:w="360" w:type="dxa"/>
            <w:vAlign w:val="bottom"/>
            <w:tcBorders>
              <w:top w:val="single" w:sz="8" w:color="auto"/>
              <w:bottom w:val="single" w:sz="8" w:color="auto"/>
            </w:tcBorders>
          </w:tcPr>
          <w:p>
            <w:pPr>
              <w:spacing w:after="0"/>
              <w:rPr>
                <w:sz w:val="15"/>
                <w:szCs w:val="15"/>
                <w:color w:val="auto"/>
              </w:rPr>
            </w:pPr>
          </w:p>
        </w:tc>
        <w:tc>
          <w:tcPr>
            <w:tcW w:w="1120" w:type="dxa"/>
            <w:vAlign w:val="bottom"/>
            <w:tcBorders>
              <w:top w:val="single" w:sz="8" w:color="auto"/>
              <w:bottom w:val="single" w:sz="8" w:color="auto"/>
            </w:tcBorders>
          </w:tcPr>
          <w:p>
            <w:pPr>
              <w:jc w:val="right"/>
              <w:ind w:right="520"/>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top w:val="single" w:sz="8" w:color="auto"/>
              <w:bottom w:val="single" w:sz="8" w:color="CCEEFF"/>
            </w:tcBorders>
          </w:tcPr>
          <w:p>
            <w:pPr>
              <w:spacing w:after="0"/>
              <w:rPr>
                <w:sz w:val="15"/>
                <w:szCs w:val="15"/>
                <w:color w:val="auto"/>
              </w:rPr>
            </w:pPr>
          </w:p>
        </w:tc>
        <w:tc>
          <w:tcPr>
            <w:tcW w:w="340" w:type="dxa"/>
            <w:vAlign w:val="bottom"/>
            <w:tcBorders>
              <w:top w:val="single" w:sz="8" w:color="auto"/>
              <w:bottom w:val="single" w:sz="8" w:color="auto"/>
            </w:tcBorders>
          </w:tcPr>
          <w:p>
            <w:pPr>
              <w:spacing w:after="0"/>
              <w:rPr>
                <w:sz w:val="15"/>
                <w:szCs w:val="15"/>
                <w:color w:val="auto"/>
              </w:rPr>
            </w:pPr>
          </w:p>
        </w:tc>
        <w:tc>
          <w:tcPr>
            <w:tcW w:w="112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5"/>
                <w:szCs w:val="15"/>
                <w:color w:val="auto"/>
              </w:rPr>
            </w:pPr>
          </w:p>
        </w:tc>
        <w:tc>
          <w:tcPr>
            <w:tcW w:w="1600" w:type="dxa"/>
            <w:vAlign w:val="bottom"/>
            <w:tcBorders>
              <w:top w:val="single" w:sz="8" w:color="auto"/>
              <w:bottom w:val="single" w:sz="8" w:color="auto"/>
            </w:tcBorders>
          </w:tcPr>
          <w:p>
            <w:pPr>
              <w:jc w:val="right"/>
              <w:ind w:right="58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5"/>
                <w:szCs w:val="15"/>
                <w:color w:val="auto"/>
              </w:rPr>
            </w:pPr>
          </w:p>
        </w:tc>
        <w:tc>
          <w:tcPr>
            <w:tcW w:w="620" w:type="dxa"/>
            <w:vAlign w:val="bottom"/>
            <w:tcBorders>
              <w:top w:val="single" w:sz="8" w:color="auto"/>
              <w:bottom w:val="single" w:sz="8" w:color="auto"/>
            </w:tcBorders>
          </w:tcPr>
          <w:p>
            <w:pPr>
              <w:spacing w:after="0"/>
              <w:rPr>
                <w:sz w:val="15"/>
                <w:szCs w:val="15"/>
                <w:color w:val="auto"/>
              </w:rPr>
            </w:pPr>
          </w:p>
        </w:tc>
        <w:tc>
          <w:tcPr>
            <w:tcW w:w="1000" w:type="dxa"/>
            <w:vAlign w:val="bottom"/>
            <w:tcBorders>
              <w:top w:val="single" w:sz="8" w:color="auto"/>
              <w:bottom w:val="single" w:sz="8" w:color="auto"/>
            </w:tcBorders>
          </w:tcPr>
          <w:p>
            <w:pPr>
              <w:jc w:val="right"/>
              <w:ind w:right="577"/>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6"/>
        </w:trPr>
        <w:tc>
          <w:tcPr>
            <w:tcW w:w="4700" w:type="dxa"/>
            <w:vAlign w:val="bottom"/>
            <w:shd w:val="clear" w:color="auto" w:fill="CCEEFF"/>
          </w:tcPr>
          <w:p>
            <w:pPr>
              <w:ind w:left="20"/>
              <w:spacing w:after="0"/>
              <w:rPr>
                <w:sz w:val="20"/>
                <w:szCs w:val="20"/>
                <w:color w:val="auto"/>
              </w:rPr>
            </w:pPr>
            <w:r>
              <w:rPr>
                <w:rFonts w:ascii="Arial" w:cs="Arial" w:eastAsia="Arial" w:hAnsi="Arial"/>
                <w:sz w:val="17"/>
                <w:szCs w:val="17"/>
                <w:color w:val="auto"/>
              </w:rPr>
              <w:t>Sales and marketing</w:t>
            </w:r>
          </w:p>
        </w:tc>
        <w:tc>
          <w:tcPr>
            <w:tcW w:w="36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85,949</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87,831</w:t>
            </w:r>
          </w:p>
        </w:tc>
        <w:tc>
          <w:tcPr>
            <w:tcW w:w="120" w:type="dxa"/>
            <w:vAlign w:val="bottom"/>
            <w:shd w:val="clear" w:color="auto" w:fill="CCEEFF"/>
          </w:tcPr>
          <w:p>
            <w:pPr>
              <w:spacing w:after="0"/>
              <w:rPr>
                <w:sz w:val="18"/>
                <w:szCs w:val="18"/>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5.0 %</w:t>
            </w: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6.4 %</w:t>
            </w:r>
          </w:p>
        </w:tc>
        <w:tc>
          <w:tcPr>
            <w:tcW w:w="0" w:type="dxa"/>
            <w:vAlign w:val="bottom"/>
          </w:tcPr>
          <w:p>
            <w:pPr>
              <w:spacing w:after="0"/>
              <w:rPr>
                <w:sz w:val="1"/>
                <w:szCs w:val="1"/>
                <w:color w:val="auto"/>
              </w:rPr>
            </w:pPr>
          </w:p>
        </w:tc>
      </w:tr>
      <w:tr>
        <w:trPr>
          <w:trHeight w:val="222"/>
        </w:trPr>
        <w:tc>
          <w:tcPr>
            <w:tcW w:w="47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General and administrative (G&amp;A)</w:t>
            </w:r>
          </w:p>
        </w:tc>
        <w:tc>
          <w:tcPr>
            <w:tcW w:w="3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92,612</w:t>
            </w:r>
          </w:p>
        </w:tc>
        <w:tc>
          <w:tcPr>
            <w:tcW w:w="12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77,391</w:t>
            </w:r>
          </w:p>
        </w:tc>
        <w:tc>
          <w:tcPr>
            <w:tcW w:w="120" w:type="dxa"/>
            <w:vAlign w:val="bottom"/>
            <w:tcBorders>
              <w:bottom w:val="single" w:sz="8" w:color="CCEEFF"/>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5.4 %</w:t>
            </w:r>
          </w:p>
        </w:tc>
        <w:tc>
          <w:tcPr>
            <w:tcW w:w="100" w:type="dxa"/>
            <w:vAlign w:val="bottom"/>
            <w:tcBorders>
              <w:bottom w:val="single" w:sz="8" w:color="CCEEFF"/>
            </w:tcBorders>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5.7 %</w:t>
            </w:r>
          </w:p>
        </w:tc>
        <w:tc>
          <w:tcPr>
            <w:tcW w:w="0" w:type="dxa"/>
            <w:vAlign w:val="bottom"/>
          </w:tcPr>
          <w:p>
            <w:pPr>
              <w:spacing w:after="0"/>
              <w:rPr>
                <w:sz w:val="1"/>
                <w:szCs w:val="1"/>
                <w:color w:val="auto"/>
              </w:rPr>
            </w:pPr>
          </w:p>
        </w:tc>
      </w:tr>
      <w:tr>
        <w:trPr>
          <w:trHeight w:val="240"/>
        </w:trPr>
        <w:tc>
          <w:tcPr>
            <w:tcW w:w="47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7"/>
                <w:szCs w:val="17"/>
                <w:color w:val="auto"/>
              </w:rPr>
              <w:t>Total sales and marketing and G&amp;A</w:t>
            </w:r>
          </w:p>
        </w:tc>
        <w:tc>
          <w:tcPr>
            <w:tcW w:w="36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178,561</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165,222</w:t>
            </w:r>
          </w:p>
        </w:tc>
        <w:tc>
          <w:tcPr>
            <w:tcW w:w="12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10.3 %</w:t>
            </w:r>
          </w:p>
        </w:tc>
        <w:tc>
          <w:tcPr>
            <w:tcW w:w="100" w:type="dxa"/>
            <w:vAlign w:val="bottom"/>
            <w:tcBorders>
              <w:bottom w:val="single" w:sz="8" w:color="CCEEFF"/>
            </w:tcBorders>
            <w:shd w:val="clear" w:color="auto" w:fill="CCEEFF"/>
          </w:tcPr>
          <w:p>
            <w:pPr>
              <w:spacing w:after="0"/>
              <w:rPr>
                <w:sz w:val="20"/>
                <w:szCs w:val="20"/>
                <w:color w:val="auto"/>
              </w:rPr>
            </w:pPr>
          </w:p>
        </w:tc>
        <w:tc>
          <w:tcPr>
            <w:tcW w:w="620" w:type="dxa"/>
            <w:vAlign w:val="bottom"/>
            <w:tcBorders>
              <w:bottom w:val="single" w:sz="8" w:color="auto"/>
            </w:tcBorders>
            <w:shd w:val="clear" w:color="auto" w:fill="CCEEFF"/>
          </w:tcPr>
          <w:p>
            <w:pPr>
              <w:spacing w:after="0"/>
              <w:rPr>
                <w:sz w:val="20"/>
                <w:szCs w:val="20"/>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12.1 %</w:t>
            </w:r>
          </w:p>
        </w:tc>
        <w:tc>
          <w:tcPr>
            <w:tcW w:w="0" w:type="dxa"/>
            <w:vAlign w:val="bottom"/>
          </w:tcPr>
          <w:p>
            <w:pPr>
              <w:spacing w:after="0"/>
              <w:rPr>
                <w:sz w:val="1"/>
                <w:szCs w:val="1"/>
                <w:color w:val="auto"/>
              </w:rPr>
            </w:pPr>
          </w:p>
        </w:tc>
      </w:tr>
      <w:tr>
        <w:trPr>
          <w:trHeight w:val="20"/>
        </w:trPr>
        <w:tc>
          <w:tcPr>
            <w:tcW w:w="47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80" w:lineRule="exact"/>
        <w:rPr>
          <w:sz w:val="20"/>
          <w:szCs w:val="20"/>
          <w:color w:val="auto"/>
        </w:rPr>
      </w:pPr>
    </w:p>
    <w:p>
      <w:pPr>
        <w:jc w:val="both"/>
        <w:ind w:right="340" w:firstLine="470"/>
        <w:spacing w:after="0" w:line="358" w:lineRule="auto"/>
        <w:rPr>
          <w:sz w:val="20"/>
          <w:szCs w:val="20"/>
          <w:color w:val="auto"/>
        </w:rPr>
      </w:pPr>
      <w:r>
        <w:rPr>
          <w:rFonts w:ascii="Arial" w:cs="Arial" w:eastAsia="Arial" w:hAnsi="Arial"/>
          <w:sz w:val="15"/>
          <w:szCs w:val="15"/>
          <w:color w:val="auto"/>
        </w:rPr>
        <w:t>Total SG&amp;A as a percentage of home sales revenue decreased to 10.3% for the six months ended June 30, 2021, compared to 12.1% in the prior-year period. Total SG&amp;A expense increased $13.3 million to $178.6 million for the six months ended June 30, 2021 from $165.2 million in the prior-year period.</w:t>
      </w:r>
    </w:p>
    <w:p>
      <w:pPr>
        <w:spacing w:after="0" w:line="113" w:lineRule="exact"/>
        <w:rPr>
          <w:sz w:val="20"/>
          <w:szCs w:val="20"/>
          <w:color w:val="auto"/>
        </w:rPr>
      </w:pPr>
    </w:p>
    <w:p>
      <w:pPr>
        <w:ind w:firstLine="470"/>
        <w:spacing w:after="0" w:line="267" w:lineRule="auto"/>
        <w:rPr>
          <w:sz w:val="20"/>
          <w:szCs w:val="20"/>
          <w:color w:val="auto"/>
        </w:rPr>
      </w:pPr>
      <w:r>
        <w:rPr>
          <w:rFonts w:ascii="Arial" w:cs="Arial" w:eastAsia="Arial" w:hAnsi="Arial"/>
          <w:sz w:val="17"/>
          <w:szCs w:val="17"/>
          <w:color w:val="auto"/>
        </w:rPr>
        <w:t>Sales and marketing expense as a percentage of home sales revenue decreased to 5.0% for the six months ended June 30, 2021, compared to 6.4% for the prior-year period. The decrease was due primarily to lower advertising expense and higher leverage on the fixed components of sales and marketing expense as a result of the 27% increase in homebuilding revenue compared to the prior-year period. Sales and marketing expense decreased to $85.9 million for the six months ended June 30, 2021 compared to $87.8 million for the prior-year period.</w:t>
      </w:r>
    </w:p>
    <w:p>
      <w:pPr>
        <w:spacing w:after="0" w:line="176" w:lineRule="exact"/>
        <w:rPr>
          <w:sz w:val="20"/>
          <w:szCs w:val="20"/>
          <w:color w:val="auto"/>
        </w:rPr>
      </w:pPr>
    </w:p>
    <w:p>
      <w:pPr>
        <w:jc w:val="both"/>
        <w:ind w:right="60" w:firstLine="470"/>
        <w:spacing w:after="0" w:line="297" w:lineRule="auto"/>
        <w:rPr>
          <w:sz w:val="20"/>
          <w:szCs w:val="20"/>
          <w:color w:val="auto"/>
        </w:rPr>
      </w:pPr>
      <w:r>
        <w:rPr>
          <w:rFonts w:ascii="Arial" w:cs="Arial" w:eastAsia="Arial" w:hAnsi="Arial"/>
          <w:sz w:val="16"/>
          <w:szCs w:val="16"/>
          <w:color w:val="auto"/>
        </w:rPr>
        <w:t>G&amp;A expense as a percentage of home sales revenue decreased to 5.4% of home sales revenue for the six months ended June 30, 2021 compared to 5.7% for the prior-year period largely due to higher leverage on our G&amp;A expense as a result of the 27% increase in homebuilding revenue compared to the prior-year period. G&amp;A expense increased to $92.6 million for the six months ended June 30, 2021 compared to $77.4 million for the prior-year period.</w:t>
      </w:r>
    </w:p>
    <w:p>
      <w:pPr>
        <w:spacing w:after="0" w:line="25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Interest</w:t>
      </w:r>
    </w:p>
    <w:p>
      <w:pPr>
        <w:spacing w:after="0" w:line="118" w:lineRule="exact"/>
        <w:rPr>
          <w:sz w:val="20"/>
          <w:szCs w:val="20"/>
          <w:color w:val="auto"/>
        </w:rPr>
      </w:pPr>
    </w:p>
    <w:p>
      <w:pPr>
        <w:ind w:right="80" w:firstLine="470"/>
        <w:spacing w:after="0" w:line="288" w:lineRule="auto"/>
        <w:rPr>
          <w:sz w:val="20"/>
          <w:szCs w:val="20"/>
          <w:color w:val="auto"/>
        </w:rPr>
      </w:pPr>
      <w:r>
        <w:rPr>
          <w:rFonts w:ascii="Arial" w:cs="Arial" w:eastAsia="Arial" w:hAnsi="Arial"/>
          <w:sz w:val="17"/>
          <w:szCs w:val="17"/>
          <w:color w:val="auto"/>
        </w:rPr>
        <w:t>Interest, which we incurred principally to finance land acquisitions, land development and home construction, totaled $43.7 million and $42.6 million for the six months ended June 30, 2021 and 2020, respectively. All interest incurred in both periods was capitalized.</w:t>
      </w:r>
    </w:p>
    <w:p>
      <w:pPr>
        <w:spacing w:after="0" w:line="26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Income Tax</w:t>
      </w:r>
    </w:p>
    <w:p>
      <w:pPr>
        <w:spacing w:after="0" w:line="118" w:lineRule="exact"/>
        <w:rPr>
          <w:sz w:val="20"/>
          <w:szCs w:val="20"/>
          <w:color w:val="auto"/>
        </w:rPr>
      </w:pPr>
    </w:p>
    <w:p>
      <w:pPr>
        <w:ind w:left="480"/>
        <w:spacing w:after="0"/>
        <w:rPr>
          <w:sz w:val="20"/>
          <w:szCs w:val="20"/>
          <w:color w:val="auto"/>
        </w:rPr>
      </w:pPr>
      <w:r>
        <w:rPr>
          <w:rFonts w:ascii="Arial" w:cs="Arial" w:eastAsia="Arial" w:hAnsi="Arial"/>
          <w:sz w:val="16"/>
          <w:szCs w:val="16"/>
          <w:color w:val="auto"/>
        </w:rPr>
        <w:t>For the six months ended June 30, 2021, we recorded a tax provision of $62.9 million based on an effective tax rate of 25.0%. For the six months ended</w:t>
      </w:r>
    </w:p>
    <w:p>
      <w:pPr>
        <w:spacing w:after="0" w:line="37" w:lineRule="exact"/>
        <w:rPr>
          <w:sz w:val="20"/>
          <w:szCs w:val="20"/>
          <w:color w:val="auto"/>
        </w:rPr>
      </w:pPr>
    </w:p>
    <w:p>
      <w:pPr>
        <w:spacing w:after="0"/>
        <w:rPr>
          <w:sz w:val="20"/>
          <w:szCs w:val="20"/>
          <w:color w:val="auto"/>
        </w:rPr>
      </w:pPr>
      <w:r>
        <w:rPr>
          <w:rFonts w:ascii="Arial" w:cs="Arial" w:eastAsia="Arial" w:hAnsi="Arial"/>
          <w:sz w:val="16"/>
          <w:szCs w:val="16"/>
          <w:color w:val="auto"/>
        </w:rPr>
        <w:t>June 30, 2020, we recorded a tax provision of $28.0 million based on an effective tax rate of 24.0%. The increase in provision for income taxes is due to a</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$135.2 million increase in income before income taxes to $251.5 million for the six months ended June 30, 2021, compared to $116.4 million for the prior-year</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period.</w:t>
      </w:r>
    </w:p>
    <w:p>
      <w:pPr>
        <w:spacing w:after="0" w:line="31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Financial Services Segment</w:t>
      </w:r>
    </w:p>
    <w:p>
      <w:pPr>
        <w:spacing w:after="0" w:line="118" w:lineRule="exact"/>
        <w:rPr>
          <w:sz w:val="20"/>
          <w:szCs w:val="20"/>
          <w:color w:val="auto"/>
        </w:rPr>
      </w:pPr>
    </w:p>
    <w:p>
      <w:pPr>
        <w:ind w:right="20" w:firstLine="470"/>
        <w:spacing w:after="0" w:line="288" w:lineRule="auto"/>
        <w:rPr>
          <w:sz w:val="20"/>
          <w:szCs w:val="20"/>
          <w:color w:val="auto"/>
        </w:rPr>
      </w:pPr>
      <w:r>
        <w:rPr>
          <w:rFonts w:ascii="Arial" w:cs="Arial" w:eastAsia="Arial" w:hAnsi="Arial"/>
          <w:sz w:val="16"/>
          <w:szCs w:val="16"/>
          <w:color w:val="auto"/>
        </w:rPr>
        <w:t>Income before income taxes from our financial services operations increased to $8.5 million for the six months ended June 30, 2021 compared to $6.0 million for the prior-year period. This increase is due to higher home sales volume in the six months ended June 30, 2021 compared to the prior-year period, resulting in a corresponding increase in financial services captured in the current-year period. We experienced higher financial services profit in all three areas of our financial services segment, represented by mortgage financing, title and escrow services, and property and casualty insurance operations.</w:t>
      </w:r>
    </w:p>
    <w:p>
      <w:pPr>
        <w:spacing w:after="0" w:line="200" w:lineRule="exact"/>
        <w:rPr>
          <w:sz w:val="20"/>
          <w:szCs w:val="20"/>
          <w:color w:val="auto"/>
        </w:rPr>
      </w:pPr>
    </w:p>
    <w:p>
      <w:pPr>
        <w:spacing w:after="0" w:line="28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- 34 -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86" w:right="339" w:bottom="1440" w:gutter="0" w:footer="0" w:header="0"/>
        </w:sectPr>
      </w:pPr>
    </w:p>
    <w:bookmarkStart w:id="35" w:name="page36"/>
    <w:bookmarkEnd w:id="35"/>
    <w:p>
      <w:pPr>
        <w:spacing w:after="0"/>
        <w:rPr>
          <w:sz w:val="20"/>
          <w:szCs w:val="20"/>
          <w:color w:val="auto"/>
        </w:rPr>
      </w:pPr>
      <w:r>
        <w:rPr>
          <w:rFonts w:ascii="Arial" w:cs="Arial" w:eastAsia="Arial" w:hAnsi="Arial"/>
          <w:sz w:val="17"/>
          <w:szCs w:val="17"/>
          <w:b w:val="1"/>
          <w:bCs w:val="1"/>
          <w:i w:val="1"/>
          <w:iCs w:val="1"/>
          <w:color w:val="auto"/>
        </w:rPr>
        <w:t>Lots Owned or Controlled by Segment</w:t>
      </w:r>
    </w:p>
    <w:p>
      <w:pPr>
        <w:spacing w:after="0" w:line="118" w:lineRule="exact"/>
        <w:rPr>
          <w:sz w:val="20"/>
          <w:szCs w:val="20"/>
          <w:color w:val="auto"/>
        </w:rPr>
      </w:pPr>
    </w:p>
    <w:p>
      <w:pPr>
        <w:ind w:right="40" w:firstLine="470"/>
        <w:spacing w:after="0" w:line="272" w:lineRule="auto"/>
        <w:rPr>
          <w:sz w:val="20"/>
          <w:szCs w:val="20"/>
          <w:color w:val="auto"/>
        </w:rPr>
      </w:pPr>
      <w:r>
        <w:rPr>
          <w:rFonts w:ascii="Arial" w:cs="Arial" w:eastAsia="Arial" w:hAnsi="Arial"/>
          <w:sz w:val="17"/>
          <w:szCs w:val="17"/>
          <w:color w:val="auto"/>
        </w:rPr>
        <w:t xml:space="preserve">Lots owned or controlled include our share of lots controlled by our unconsolidated land development joint ventures. Investments in joint ventures are described in Note 6, </w:t>
      </w:r>
      <w:r>
        <w:rPr>
          <w:rFonts w:ascii="Arial" w:cs="Arial" w:eastAsia="Arial" w:hAnsi="Arial"/>
          <w:sz w:val="17"/>
          <w:szCs w:val="17"/>
          <w:i w:val="1"/>
          <w:iCs w:val="1"/>
          <w:color w:val="auto"/>
        </w:rPr>
        <w:t>Investments in Unconsolidated Entities</w:t>
      </w:r>
      <w:r>
        <w:rPr>
          <w:rFonts w:ascii="Arial" w:cs="Arial" w:eastAsia="Arial" w:hAnsi="Arial"/>
          <w:sz w:val="17"/>
          <w:szCs w:val="17"/>
          <w:color w:val="auto"/>
        </w:rPr>
        <w:t>, of the notes to our unaudited consolidated financial statements included in this Quarterly Report on Form 10-Q. The table below summarizes our lots owned or controlled by segment as of the dates presented:</w:t>
      </w:r>
    </w:p>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780" w:type="dxa"/>
            <w:vAlign w:val="bottom"/>
          </w:tcPr>
          <w:p>
            <w:pPr>
              <w:spacing w:after="0"/>
              <w:rPr>
                <w:sz w:val="14"/>
                <w:szCs w:val="14"/>
                <w:color w:val="auto"/>
              </w:rPr>
            </w:pPr>
          </w:p>
        </w:tc>
        <w:tc>
          <w:tcPr>
            <w:tcW w:w="1680" w:type="dxa"/>
            <w:vAlign w:val="bottom"/>
            <w:gridSpan w:val="3"/>
            <w:vMerge w:val="restart"/>
          </w:tcPr>
          <w:p>
            <w:pPr>
              <w:ind w:left="1040"/>
              <w:spacing w:after="0"/>
              <w:rPr>
                <w:sz w:val="20"/>
                <w:szCs w:val="20"/>
                <w:color w:val="auto"/>
              </w:rPr>
            </w:pPr>
            <w:r>
              <w:rPr>
                <w:rFonts w:ascii="Arial" w:cs="Arial" w:eastAsia="Arial" w:hAnsi="Arial"/>
                <w:sz w:val="14"/>
                <w:szCs w:val="14"/>
                <w:b w:val="1"/>
                <w:bCs w:val="1"/>
                <w:color w:val="auto"/>
              </w:rPr>
              <w:t>June 30,</w:t>
            </w: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20" w:type="dxa"/>
            <w:vAlign w:val="bottom"/>
            <w:gridSpan w:val="3"/>
          </w:tcPr>
          <w:p>
            <w:pPr>
              <w:jc w:val="center"/>
              <w:ind w:left="797"/>
              <w:spacing w:after="0"/>
              <w:rPr>
                <w:sz w:val="20"/>
                <w:szCs w:val="20"/>
                <w:color w:val="auto"/>
              </w:rPr>
            </w:pPr>
            <w:r>
              <w:rPr>
                <w:rFonts w:ascii="Arial" w:cs="Arial" w:eastAsia="Arial" w:hAnsi="Arial"/>
                <w:sz w:val="14"/>
                <w:szCs w:val="14"/>
                <w:b w:val="1"/>
                <w:bCs w:val="1"/>
                <w:color w:val="auto"/>
                <w:w w:val="87"/>
              </w:rPr>
              <w:t>Increase</w:t>
            </w: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5780" w:type="dxa"/>
            <w:vAlign w:val="bottom"/>
          </w:tcPr>
          <w:p>
            <w:pPr>
              <w:spacing w:after="0"/>
              <w:rPr>
                <w:sz w:val="15"/>
                <w:szCs w:val="15"/>
                <w:color w:val="auto"/>
              </w:rPr>
            </w:pPr>
          </w:p>
        </w:tc>
        <w:tc>
          <w:tcPr>
            <w:tcW w:w="1680" w:type="dxa"/>
            <w:vAlign w:val="bottom"/>
            <w:tcBorders>
              <w:bottom w:val="single" w:sz="8" w:color="auto"/>
            </w:tcBorders>
            <w:gridSpan w:val="3"/>
            <w:vMerge w:val="continue"/>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820" w:type="dxa"/>
            <w:vAlign w:val="bottom"/>
            <w:tcBorders>
              <w:bottom w:val="single" w:sz="8" w:color="auto"/>
            </w:tcBorders>
            <w:gridSpan w:val="3"/>
          </w:tcPr>
          <w:p>
            <w:pPr>
              <w:jc w:val="center"/>
              <w:ind w:left="817"/>
              <w:spacing w:after="0"/>
              <w:rPr>
                <w:sz w:val="20"/>
                <w:szCs w:val="20"/>
                <w:color w:val="auto"/>
              </w:rPr>
            </w:pPr>
            <w:r>
              <w:rPr>
                <w:rFonts w:ascii="Arial" w:cs="Arial" w:eastAsia="Arial" w:hAnsi="Arial"/>
                <w:sz w:val="14"/>
                <w:szCs w:val="14"/>
                <w:b w:val="1"/>
                <w:bCs w:val="1"/>
                <w:color w:val="auto"/>
                <w:w w:val="89"/>
              </w:rPr>
              <w:t>(Decrease)</w:t>
            </w:r>
          </w:p>
        </w:tc>
        <w:tc>
          <w:tcPr>
            <w:tcW w:w="9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5780" w:type="dxa"/>
            <w:vAlign w:val="bottom"/>
          </w:tcPr>
          <w:p>
            <w:pPr>
              <w:spacing w:after="0"/>
              <w:rPr>
                <w:sz w:val="15"/>
                <w:szCs w:val="15"/>
                <w:color w:val="auto"/>
              </w:rPr>
            </w:pPr>
          </w:p>
        </w:tc>
        <w:tc>
          <w:tcPr>
            <w:tcW w:w="1240" w:type="dxa"/>
            <w:vAlign w:val="bottom"/>
          </w:tcPr>
          <w:p>
            <w:pPr>
              <w:jc w:val="right"/>
              <w:ind w:right="396"/>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jc w:val="right"/>
              <w:ind w:right="395"/>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5"/>
                <w:szCs w:val="15"/>
                <w:color w:val="auto"/>
              </w:rPr>
            </w:pPr>
          </w:p>
        </w:tc>
        <w:tc>
          <w:tcPr>
            <w:tcW w:w="1820" w:type="dxa"/>
            <w:vAlign w:val="bottom"/>
            <w:gridSpan w:val="3"/>
          </w:tcPr>
          <w:p>
            <w:pPr>
              <w:ind w:left="360"/>
              <w:spacing w:after="0"/>
              <w:rPr>
                <w:sz w:val="20"/>
                <w:szCs w:val="20"/>
                <w:color w:val="auto"/>
              </w:rPr>
            </w:pPr>
            <w:r>
              <w:rPr>
                <w:rFonts w:ascii="Arial" w:cs="Arial" w:eastAsia="Arial" w:hAnsi="Arial"/>
                <w:sz w:val="14"/>
                <w:szCs w:val="14"/>
                <w:b w:val="1"/>
                <w:bCs w:val="1"/>
                <w:color w:val="auto"/>
              </w:rPr>
              <w:t>Amount</w:t>
            </w:r>
          </w:p>
        </w:tc>
        <w:tc>
          <w:tcPr>
            <w:tcW w:w="900" w:type="dxa"/>
            <w:vAlign w:val="bottom"/>
          </w:tcPr>
          <w:p>
            <w:pPr>
              <w:jc w:val="right"/>
              <w:ind w:right="535"/>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16"/>
        </w:trPr>
        <w:tc>
          <w:tcPr>
            <w:tcW w:w="57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b w:val="1"/>
                <w:bCs w:val="1"/>
                <w:color w:val="auto"/>
              </w:rPr>
              <w:t>Lots Owned</w:t>
            </w:r>
          </w:p>
        </w:tc>
        <w:tc>
          <w:tcPr>
            <w:tcW w:w="12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5780" w:type="dxa"/>
            <w:vAlign w:val="bottom"/>
          </w:tcPr>
          <w:p>
            <w:pPr>
              <w:ind w:left="220"/>
              <w:spacing w:after="0"/>
              <w:rPr>
                <w:sz w:val="20"/>
                <w:szCs w:val="20"/>
                <w:color w:val="auto"/>
              </w:rPr>
            </w:pPr>
            <w:r>
              <w:rPr>
                <w:rFonts w:ascii="Arial" w:cs="Arial" w:eastAsia="Arial" w:hAnsi="Arial"/>
                <w:sz w:val="17"/>
                <w:szCs w:val="17"/>
                <w:color w:val="auto"/>
              </w:rPr>
              <w:t>West</w:t>
            </w:r>
          </w:p>
        </w:tc>
        <w:tc>
          <w:tcPr>
            <w:tcW w:w="1240" w:type="dxa"/>
            <w:vAlign w:val="bottom"/>
          </w:tcPr>
          <w:p>
            <w:pPr>
              <w:jc w:val="right"/>
              <w:spacing w:after="0"/>
              <w:rPr>
                <w:sz w:val="20"/>
                <w:szCs w:val="20"/>
                <w:color w:val="auto"/>
              </w:rPr>
            </w:pPr>
            <w:r>
              <w:rPr>
                <w:rFonts w:ascii="Arial" w:cs="Arial" w:eastAsia="Arial" w:hAnsi="Arial"/>
                <w:sz w:val="17"/>
                <w:szCs w:val="17"/>
                <w:color w:val="auto"/>
              </w:rPr>
              <w:t>16,065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17,309</w:t>
            </w:r>
          </w:p>
        </w:tc>
        <w:tc>
          <w:tcPr>
            <w:tcW w:w="1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7"/>
                <w:szCs w:val="17"/>
                <w:color w:val="auto"/>
              </w:rPr>
              <w:t>(1,244)</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(7)%</w:t>
            </w:r>
          </w:p>
        </w:tc>
        <w:tc>
          <w:tcPr>
            <w:tcW w:w="0" w:type="dxa"/>
            <w:vAlign w:val="bottom"/>
          </w:tcPr>
          <w:p>
            <w:pPr>
              <w:spacing w:after="0"/>
              <w:rPr>
                <w:sz w:val="1"/>
                <w:szCs w:val="1"/>
                <w:color w:val="auto"/>
              </w:rPr>
            </w:pPr>
          </w:p>
        </w:tc>
      </w:tr>
      <w:tr>
        <w:trPr>
          <w:trHeight w:val="222"/>
        </w:trPr>
        <w:tc>
          <w:tcPr>
            <w:tcW w:w="57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Central</w:t>
            </w: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5,065</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3,368</w:t>
            </w:r>
          </w:p>
        </w:tc>
        <w:tc>
          <w:tcPr>
            <w:tcW w:w="12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1,697</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50 %</w:t>
            </w:r>
          </w:p>
        </w:tc>
        <w:tc>
          <w:tcPr>
            <w:tcW w:w="0" w:type="dxa"/>
            <w:vAlign w:val="bottom"/>
          </w:tcPr>
          <w:p>
            <w:pPr>
              <w:spacing w:after="0"/>
              <w:rPr>
                <w:sz w:val="1"/>
                <w:szCs w:val="1"/>
                <w:color w:val="auto"/>
              </w:rPr>
            </w:pPr>
          </w:p>
        </w:tc>
      </w:tr>
      <w:tr>
        <w:trPr>
          <w:trHeight w:val="222"/>
        </w:trPr>
        <w:tc>
          <w:tcPr>
            <w:tcW w:w="578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East</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1,576</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1,072</w:t>
            </w:r>
          </w:p>
        </w:tc>
        <w:tc>
          <w:tcPr>
            <w:tcW w:w="120" w:type="dxa"/>
            <w:vAlign w:val="bottom"/>
            <w:tcBorders>
              <w:bottom w:val="single" w:sz="8" w:color="CCEEFF"/>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504</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47 %</w:t>
            </w:r>
          </w:p>
        </w:tc>
        <w:tc>
          <w:tcPr>
            <w:tcW w:w="0" w:type="dxa"/>
            <w:vAlign w:val="bottom"/>
          </w:tcPr>
          <w:p>
            <w:pPr>
              <w:spacing w:after="0"/>
              <w:rPr>
                <w:sz w:val="1"/>
                <w:szCs w:val="1"/>
                <w:color w:val="auto"/>
              </w:rPr>
            </w:pPr>
          </w:p>
        </w:tc>
      </w:tr>
      <w:tr>
        <w:trPr>
          <w:trHeight w:val="215"/>
        </w:trPr>
        <w:tc>
          <w:tcPr>
            <w:tcW w:w="5780" w:type="dxa"/>
            <w:vAlign w:val="bottom"/>
            <w:shd w:val="clear" w:color="auto" w:fill="CCEEFF"/>
          </w:tcPr>
          <w:p>
            <w:pPr>
              <w:ind w:left="460"/>
              <w:spacing w:after="0"/>
              <w:rPr>
                <w:sz w:val="20"/>
                <w:szCs w:val="20"/>
                <w:color w:val="auto"/>
              </w:rPr>
            </w:pPr>
            <w:r>
              <w:rPr>
                <w:rFonts w:ascii="Arial" w:cs="Arial" w:eastAsia="Arial" w:hAnsi="Arial"/>
                <w:sz w:val="17"/>
                <w:szCs w:val="17"/>
                <w:color w:val="auto"/>
              </w:rPr>
              <w:t>Total</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22,706</w:t>
            </w:r>
          </w:p>
        </w:tc>
        <w:tc>
          <w:tcPr>
            <w:tcW w:w="10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21,749</w:t>
            </w:r>
          </w:p>
        </w:tc>
        <w:tc>
          <w:tcPr>
            <w:tcW w:w="120" w:type="dxa"/>
            <w:vAlign w:val="bottom"/>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957</w:t>
            </w:r>
          </w:p>
        </w:tc>
        <w:tc>
          <w:tcPr>
            <w:tcW w:w="100" w:type="dxa"/>
            <w:vAlign w:val="bottom"/>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4 %</w:t>
            </w:r>
          </w:p>
        </w:tc>
        <w:tc>
          <w:tcPr>
            <w:tcW w:w="0" w:type="dxa"/>
            <w:vAlign w:val="bottom"/>
          </w:tcPr>
          <w:p>
            <w:pPr>
              <w:spacing w:after="0"/>
              <w:rPr>
                <w:sz w:val="1"/>
                <w:szCs w:val="1"/>
                <w:color w:val="auto"/>
              </w:rPr>
            </w:pPr>
          </w:p>
        </w:tc>
      </w:tr>
      <w:tr>
        <w:trPr>
          <w:trHeight w:val="215"/>
        </w:trPr>
        <w:tc>
          <w:tcPr>
            <w:tcW w:w="5780" w:type="dxa"/>
            <w:vAlign w:val="bottom"/>
          </w:tcPr>
          <w:p>
            <w:pPr>
              <w:ind w:left="20"/>
              <w:spacing w:after="0" w:line="215" w:lineRule="exact"/>
              <w:rPr>
                <w:sz w:val="20"/>
                <w:szCs w:val="20"/>
                <w:color w:val="auto"/>
              </w:rPr>
            </w:pPr>
            <w:r>
              <w:rPr>
                <w:rFonts w:ascii="Arial" w:cs="Arial" w:eastAsia="Arial" w:hAnsi="Arial"/>
                <w:sz w:val="17"/>
                <w:szCs w:val="17"/>
                <w:b w:val="1"/>
                <w:bCs w:val="1"/>
                <w:color w:val="auto"/>
              </w:rPr>
              <w:t>Lots Controlled</w:t>
            </w:r>
            <w:r>
              <w:rPr>
                <w:rFonts w:ascii="Arial" w:cs="Arial" w:eastAsia="Arial" w:hAnsi="Arial"/>
                <w:sz w:val="20"/>
                <w:szCs w:val="20"/>
                <w:b w:val="1"/>
                <w:bCs w:val="1"/>
                <w:color w:val="auto"/>
                <w:vertAlign w:val="superscript"/>
              </w:rPr>
              <w:t>(1)</w:t>
            </w: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57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West</w:t>
            </w: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5,673</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3,363</w:t>
            </w:r>
          </w:p>
        </w:tc>
        <w:tc>
          <w:tcPr>
            <w:tcW w:w="12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2,310</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69 %</w:t>
            </w:r>
          </w:p>
        </w:tc>
        <w:tc>
          <w:tcPr>
            <w:tcW w:w="0" w:type="dxa"/>
            <w:vAlign w:val="bottom"/>
          </w:tcPr>
          <w:p>
            <w:pPr>
              <w:spacing w:after="0"/>
              <w:rPr>
                <w:sz w:val="1"/>
                <w:szCs w:val="1"/>
                <w:color w:val="auto"/>
              </w:rPr>
            </w:pPr>
          </w:p>
        </w:tc>
      </w:tr>
      <w:tr>
        <w:trPr>
          <w:trHeight w:val="222"/>
        </w:trPr>
        <w:tc>
          <w:tcPr>
            <w:tcW w:w="5780" w:type="dxa"/>
            <w:vAlign w:val="bottom"/>
          </w:tcPr>
          <w:p>
            <w:pPr>
              <w:ind w:left="220"/>
              <w:spacing w:after="0"/>
              <w:rPr>
                <w:sz w:val="20"/>
                <w:szCs w:val="20"/>
                <w:color w:val="auto"/>
              </w:rPr>
            </w:pPr>
            <w:r>
              <w:rPr>
                <w:rFonts w:ascii="Arial" w:cs="Arial" w:eastAsia="Arial" w:hAnsi="Arial"/>
                <w:sz w:val="17"/>
                <w:szCs w:val="17"/>
                <w:color w:val="auto"/>
              </w:rPr>
              <w:t>Central</w:t>
            </w:r>
          </w:p>
        </w:tc>
        <w:tc>
          <w:tcPr>
            <w:tcW w:w="1240" w:type="dxa"/>
            <w:vAlign w:val="bottom"/>
          </w:tcPr>
          <w:p>
            <w:pPr>
              <w:jc w:val="right"/>
              <w:spacing w:after="0"/>
              <w:rPr>
                <w:sz w:val="20"/>
                <w:szCs w:val="20"/>
                <w:color w:val="auto"/>
              </w:rPr>
            </w:pPr>
            <w:r>
              <w:rPr>
                <w:rFonts w:ascii="Arial" w:cs="Arial" w:eastAsia="Arial" w:hAnsi="Arial"/>
                <w:sz w:val="17"/>
                <w:szCs w:val="17"/>
                <w:color w:val="auto"/>
              </w:rPr>
              <w:t>5,341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1,971</w:t>
            </w:r>
          </w:p>
        </w:tc>
        <w:tc>
          <w:tcPr>
            <w:tcW w:w="1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7"/>
                <w:szCs w:val="17"/>
                <w:color w:val="auto"/>
              </w:rPr>
              <w:t>3,370</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171 %</w:t>
            </w:r>
          </w:p>
        </w:tc>
        <w:tc>
          <w:tcPr>
            <w:tcW w:w="0" w:type="dxa"/>
            <w:vAlign w:val="bottom"/>
          </w:tcPr>
          <w:p>
            <w:pPr>
              <w:spacing w:after="0"/>
              <w:rPr>
                <w:sz w:val="1"/>
                <w:szCs w:val="1"/>
                <w:color w:val="auto"/>
              </w:rPr>
            </w:pPr>
          </w:p>
        </w:tc>
      </w:tr>
      <w:tr>
        <w:trPr>
          <w:trHeight w:val="222"/>
        </w:trPr>
        <w:tc>
          <w:tcPr>
            <w:tcW w:w="57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East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3,392</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2,717</w:t>
            </w:r>
          </w:p>
        </w:tc>
        <w:tc>
          <w:tcPr>
            <w:tcW w:w="120" w:type="dxa"/>
            <w:vAlign w:val="bottom"/>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675</w:t>
            </w:r>
          </w:p>
        </w:tc>
        <w:tc>
          <w:tcPr>
            <w:tcW w:w="100" w:type="dxa"/>
            <w:vAlign w:val="bottom"/>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25 %</w:t>
            </w:r>
          </w:p>
        </w:tc>
        <w:tc>
          <w:tcPr>
            <w:tcW w:w="0" w:type="dxa"/>
            <w:vAlign w:val="bottom"/>
          </w:tcPr>
          <w:p>
            <w:pPr>
              <w:spacing w:after="0"/>
              <w:rPr>
                <w:sz w:val="1"/>
                <w:szCs w:val="1"/>
                <w:color w:val="auto"/>
              </w:rPr>
            </w:pPr>
          </w:p>
        </w:tc>
      </w:tr>
      <w:tr>
        <w:trPr>
          <w:trHeight w:val="215"/>
        </w:trPr>
        <w:tc>
          <w:tcPr>
            <w:tcW w:w="5780" w:type="dxa"/>
            <w:vAlign w:val="bottom"/>
            <w:tcBorders>
              <w:bottom w:val="single" w:sz="8" w:color="CCEEFF"/>
            </w:tcBorders>
          </w:tcPr>
          <w:p>
            <w:pPr>
              <w:ind w:left="460"/>
              <w:spacing w:after="0"/>
              <w:rPr>
                <w:sz w:val="20"/>
                <w:szCs w:val="20"/>
                <w:color w:val="auto"/>
              </w:rPr>
            </w:pPr>
            <w:r>
              <w:rPr>
                <w:rFonts w:ascii="Arial" w:cs="Arial" w:eastAsia="Arial" w:hAnsi="Arial"/>
                <w:sz w:val="17"/>
                <w:szCs w:val="17"/>
                <w:color w:val="auto"/>
              </w:rPr>
              <w:t>Total</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14,406</w:t>
            </w:r>
          </w:p>
        </w:tc>
        <w:tc>
          <w:tcPr>
            <w:tcW w:w="100" w:type="dxa"/>
            <w:vAlign w:val="bottom"/>
            <w:tcBorders>
              <w:bottom w:val="single" w:sz="8" w:color="CCEEFF"/>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8,051</w:t>
            </w:r>
          </w:p>
        </w:tc>
        <w:tc>
          <w:tcPr>
            <w:tcW w:w="120" w:type="dxa"/>
            <w:vAlign w:val="bottom"/>
            <w:tcBorders>
              <w:bottom w:val="single" w:sz="8" w:color="CCEEFF"/>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6,355</w:t>
            </w:r>
          </w:p>
        </w:tc>
        <w:tc>
          <w:tcPr>
            <w:tcW w:w="100" w:type="dxa"/>
            <w:vAlign w:val="bottom"/>
            <w:tcBorders>
              <w:bottom w:val="single" w:sz="8" w:color="CCEEFF"/>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79 %</w:t>
            </w:r>
          </w:p>
        </w:tc>
        <w:tc>
          <w:tcPr>
            <w:tcW w:w="0" w:type="dxa"/>
            <w:vAlign w:val="bottom"/>
          </w:tcPr>
          <w:p>
            <w:pPr>
              <w:spacing w:after="0"/>
              <w:rPr>
                <w:sz w:val="1"/>
                <w:szCs w:val="1"/>
                <w:color w:val="auto"/>
              </w:rPr>
            </w:pPr>
          </w:p>
        </w:tc>
      </w:tr>
      <w:tr>
        <w:trPr>
          <w:trHeight w:val="240"/>
        </w:trPr>
        <w:tc>
          <w:tcPr>
            <w:tcW w:w="5780" w:type="dxa"/>
            <w:vAlign w:val="bottom"/>
            <w:tcBorders>
              <w:bottom w:val="single" w:sz="8" w:color="CCEEFF"/>
            </w:tcBorders>
            <w:shd w:val="clear" w:color="auto" w:fill="CCEEFF"/>
          </w:tcPr>
          <w:p>
            <w:pPr>
              <w:ind w:left="20"/>
              <w:spacing w:after="0" w:line="215" w:lineRule="exact"/>
              <w:rPr>
                <w:sz w:val="20"/>
                <w:szCs w:val="20"/>
                <w:color w:val="auto"/>
              </w:rPr>
            </w:pPr>
            <w:r>
              <w:rPr>
                <w:rFonts w:ascii="Arial" w:cs="Arial" w:eastAsia="Arial" w:hAnsi="Arial"/>
                <w:sz w:val="17"/>
                <w:szCs w:val="17"/>
                <w:b w:val="1"/>
                <w:bCs w:val="1"/>
                <w:color w:val="auto"/>
              </w:rPr>
              <w:t>Total Lots Owned or Controlled</w:t>
            </w:r>
            <w:r>
              <w:rPr>
                <w:rFonts w:ascii="Arial" w:cs="Arial" w:eastAsia="Arial" w:hAnsi="Arial"/>
                <w:sz w:val="20"/>
                <w:szCs w:val="20"/>
                <w:b w:val="1"/>
                <w:bCs w:val="1"/>
                <w:color w:val="auto"/>
                <w:vertAlign w:val="superscript"/>
              </w:rPr>
              <w:t>(1)</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37,112</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29,800</w:t>
            </w:r>
          </w:p>
        </w:tc>
        <w:tc>
          <w:tcPr>
            <w:tcW w:w="1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7,312</w:t>
            </w:r>
          </w:p>
        </w:tc>
        <w:tc>
          <w:tcPr>
            <w:tcW w:w="10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25 %</w:t>
            </w:r>
          </w:p>
        </w:tc>
        <w:tc>
          <w:tcPr>
            <w:tcW w:w="0" w:type="dxa"/>
            <w:vAlign w:val="bottom"/>
          </w:tcPr>
          <w:p>
            <w:pPr>
              <w:spacing w:after="0"/>
              <w:rPr>
                <w:sz w:val="1"/>
                <w:szCs w:val="1"/>
                <w:color w:val="auto"/>
              </w:rPr>
            </w:pPr>
          </w:p>
        </w:tc>
      </w:tr>
      <w:tr>
        <w:trPr>
          <w:trHeight w:val="20"/>
        </w:trPr>
        <w:tc>
          <w:tcPr>
            <w:tcW w:w="578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8" w:lineRule="exact"/>
        <w:rPr>
          <w:sz w:val="20"/>
          <w:szCs w:val="20"/>
          <w:color w:val="auto"/>
        </w:rPr>
      </w:pPr>
    </w:p>
    <w:p>
      <w:pPr>
        <w:spacing w:after="0"/>
        <w:rPr>
          <w:sz w:val="20"/>
          <w:szCs w:val="20"/>
          <w:color w:val="auto"/>
        </w:rPr>
      </w:pPr>
      <w:r>
        <w:rPr>
          <w:rFonts w:ascii="Arial" w:cs="Arial" w:eastAsia="Arial" w:hAnsi="Arial"/>
          <w:sz w:val="16"/>
          <w:szCs w:val="16"/>
          <w:color w:val="auto"/>
        </w:rPr>
        <w:t>__________</w:t>
      </w:r>
    </w:p>
    <w:p>
      <w:pPr>
        <w:spacing w:after="0" w:line="11" w:lineRule="exact"/>
        <w:rPr>
          <w:sz w:val="20"/>
          <w:szCs w:val="20"/>
          <w:color w:val="auto"/>
        </w:rPr>
      </w:pPr>
    </w:p>
    <w:p>
      <w:pPr>
        <w:ind w:left="600" w:right="220" w:hanging="321"/>
        <w:spacing w:after="0" w:line="263" w:lineRule="auto"/>
        <w:tabs>
          <w:tab w:leader="none" w:pos="594" w:val="left"/>
        </w:tabs>
        <w:numPr>
          <w:ilvl w:val="0"/>
          <w:numId w:val="14"/>
        </w:numPr>
        <w:rPr>
          <w:rFonts w:ascii="Arial" w:cs="Arial" w:eastAsia="Arial" w:hAnsi="Arial"/>
          <w:sz w:val="17"/>
          <w:szCs w:val="17"/>
          <w:color w:val="auto"/>
        </w:rPr>
      </w:pPr>
      <w:r>
        <w:rPr>
          <w:rFonts w:ascii="Arial" w:cs="Arial" w:eastAsia="Arial" w:hAnsi="Arial"/>
          <w:sz w:val="17"/>
          <w:szCs w:val="17"/>
          <w:color w:val="auto"/>
        </w:rPr>
        <w:t>As of June 30, 2021 and 2020, lots controlled represented lots that were under land or lot option contracts or purchase contracts. As of June 30, 2021, lots controlled for Central and East include 2,060 lots and 184 lots, respectively, which represent our expected share of lots owned by our unconsolidated land development joint ventures.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Liquidity and Capital Resources</w:t>
      </w:r>
    </w:p>
    <w:p>
      <w:pPr>
        <w:spacing w:after="0" w:line="12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Overview</w:t>
      </w:r>
    </w:p>
    <w:p>
      <w:pPr>
        <w:spacing w:after="0" w:line="118" w:lineRule="exact"/>
        <w:rPr>
          <w:sz w:val="20"/>
          <w:szCs w:val="20"/>
          <w:color w:val="auto"/>
        </w:rPr>
      </w:pPr>
    </w:p>
    <w:p>
      <w:pPr>
        <w:ind w:right="120" w:firstLine="470"/>
        <w:spacing w:after="0" w:line="280" w:lineRule="auto"/>
        <w:rPr>
          <w:sz w:val="20"/>
          <w:szCs w:val="20"/>
          <w:color w:val="auto"/>
        </w:rPr>
      </w:pPr>
      <w:r>
        <w:rPr>
          <w:rFonts w:ascii="Arial" w:cs="Arial" w:eastAsia="Arial" w:hAnsi="Arial"/>
          <w:sz w:val="16"/>
          <w:szCs w:val="16"/>
          <w:color w:val="auto"/>
        </w:rPr>
        <w:t>Our principal uses of capital for the six months ended June 30, 2021 were operating expenses, land purchases, land development, home construction and repurchases of our common stock. We used funds generated by our operations to meet our short-term working capital requirements. We monitor financing requirements to evaluate potential financing sources, including bank credit facilities and note offerings. While the ultimate effects of the COVID-19 pandemic on the U.S. economic environment remain unknown, we continue to monitor the credit markets as we remain focused on generating positive margins in our homebuilding operations and acquiring desirable land positions in order to maintain a strong balance sheet and keep us poised for growth. As of June 30, 2021, we had total liquidity of $1.2 billion, including cash and cash equivalents of $556.5 million and $593.1 million of availability under our Credit Facility, as described below, after considering the borrowing base provisions and outstanding letters of credit.</w:t>
      </w:r>
    </w:p>
    <w:p>
      <w:pPr>
        <w:spacing w:after="0" w:line="170" w:lineRule="exact"/>
        <w:rPr>
          <w:sz w:val="20"/>
          <w:szCs w:val="20"/>
          <w:color w:val="auto"/>
        </w:rPr>
      </w:pPr>
    </w:p>
    <w:p>
      <w:pPr>
        <w:jc w:val="both"/>
        <w:ind w:right="140" w:firstLine="470"/>
        <w:spacing w:after="0" w:line="272" w:lineRule="auto"/>
        <w:rPr>
          <w:sz w:val="20"/>
          <w:szCs w:val="20"/>
          <w:color w:val="auto"/>
        </w:rPr>
      </w:pPr>
      <w:r>
        <w:rPr>
          <w:rFonts w:ascii="Arial" w:cs="Arial" w:eastAsia="Arial" w:hAnsi="Arial"/>
          <w:sz w:val="17"/>
          <w:szCs w:val="17"/>
          <w:color w:val="auto"/>
        </w:rPr>
        <w:t>Our board of directors will consider a number of factors when evaluating our level of indebtedness and when making decisions regarding the incurrence of new indebtedness, including the purchase price of assets to be acquired with debt financing, the estimated market value of our assets and the availability of particular assets, and our Company as a whole, to generate cash flow to cover the expected debt service.</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Senior Notes</w:t>
      </w:r>
    </w:p>
    <w:p>
      <w:pPr>
        <w:spacing w:after="0" w:line="118" w:lineRule="exact"/>
        <w:rPr>
          <w:sz w:val="20"/>
          <w:szCs w:val="20"/>
          <w:color w:val="auto"/>
        </w:rPr>
      </w:pPr>
    </w:p>
    <w:p>
      <w:pPr>
        <w:ind w:firstLine="470"/>
        <w:spacing w:after="0" w:line="272" w:lineRule="auto"/>
        <w:rPr>
          <w:sz w:val="20"/>
          <w:szCs w:val="20"/>
          <w:color w:val="auto"/>
        </w:rPr>
      </w:pPr>
      <w:r>
        <w:rPr>
          <w:rFonts w:ascii="Arial" w:cs="Arial" w:eastAsia="Arial" w:hAnsi="Arial"/>
          <w:sz w:val="17"/>
          <w:szCs w:val="17"/>
          <w:color w:val="auto"/>
        </w:rPr>
        <w:t>In June 2020, Tri Pointe issued $350 million aggregate principal amount of 5.700% Senior Notes due 2028 (the “2028 Notes”) at 100.00% of their aggregate principal amount. Net proceeds of this issuance were $345.2 million, after debt issuance costs and discounts. The 2028 Notes mature on June 15, 2028 and interest is paid semiannually in arrears on June 15 and December 15.</w:t>
      </w:r>
    </w:p>
    <w:p>
      <w:pPr>
        <w:spacing w:after="0" w:line="172" w:lineRule="exact"/>
        <w:rPr>
          <w:sz w:val="20"/>
          <w:szCs w:val="20"/>
          <w:color w:val="auto"/>
        </w:rPr>
      </w:pPr>
    </w:p>
    <w:p>
      <w:pPr>
        <w:ind w:right="100" w:firstLine="470"/>
        <w:spacing w:after="0" w:line="272" w:lineRule="auto"/>
        <w:rPr>
          <w:sz w:val="20"/>
          <w:szCs w:val="20"/>
          <w:color w:val="auto"/>
        </w:rPr>
      </w:pPr>
      <w:r>
        <w:rPr>
          <w:rFonts w:ascii="Arial" w:cs="Arial" w:eastAsia="Arial" w:hAnsi="Arial"/>
          <w:sz w:val="17"/>
          <w:szCs w:val="17"/>
          <w:color w:val="auto"/>
        </w:rPr>
        <w:t>In June 2017, Tri Pointe issued $300 million aggregate principal amount of 5.250% Senior Notes due 2027 (the “2027 Notes”) at 100.00% of their aggregate principal amount. Net proceeds of this issuance were $296.3 million, after debt issuance costs and discounts. The 2027 Notes mature on June 1, 2027 and interest is paid semiannually in arrears on June 1 and December 1.</w:t>
      </w:r>
    </w:p>
    <w:p>
      <w:pPr>
        <w:spacing w:after="0" w:line="200" w:lineRule="exact"/>
        <w:rPr>
          <w:sz w:val="20"/>
          <w:szCs w:val="20"/>
          <w:color w:val="auto"/>
        </w:rPr>
      </w:pPr>
    </w:p>
    <w:p>
      <w:pPr>
        <w:spacing w:after="0" w:line="298"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- 35 -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186" w:right="359" w:bottom="1440" w:gutter="0" w:footer="0" w:header="0"/>
        </w:sectPr>
      </w:pPr>
    </w:p>
    <w:bookmarkStart w:id="36" w:name="page37"/>
    <w:bookmarkEnd w:id="36"/>
    <w:p>
      <w:pPr>
        <w:ind w:right="60" w:firstLine="470"/>
        <w:spacing w:after="0" w:line="267" w:lineRule="auto"/>
        <w:rPr>
          <w:sz w:val="20"/>
          <w:szCs w:val="20"/>
          <w:color w:val="auto"/>
        </w:rPr>
      </w:pPr>
      <w:r>
        <w:rPr>
          <w:rFonts w:ascii="Arial" w:cs="Arial" w:eastAsia="Arial" w:hAnsi="Arial"/>
          <w:sz w:val="17"/>
          <w:szCs w:val="17"/>
          <w:color w:val="auto"/>
        </w:rPr>
        <w:t>Tri Pointe and its wholly owned subsidiary Tri Pointe Homes Holdings, Inc. are co-issuers of the $450 million aggregate principal amount 5.875% Senior Notes due 2024 (the “2024 Notes”). The 2024 Notes were issued at 98.15% of their aggregate principal amount. The net proceeds from the offering of the 2024 Notes was $429.0 million, after debt issuance costs and discounts. The 2024 Notes mature on June 15, 2024, with interest payable semiannually in arrears on June 15 and December 15 of each year until maturity.</w:t>
      </w:r>
    </w:p>
    <w:p>
      <w:pPr>
        <w:spacing w:after="0" w:line="176" w:lineRule="exact"/>
        <w:rPr>
          <w:sz w:val="20"/>
          <w:szCs w:val="20"/>
          <w:color w:val="auto"/>
        </w:rPr>
      </w:pPr>
    </w:p>
    <w:p>
      <w:pPr>
        <w:jc w:val="both"/>
        <w:ind w:right="240" w:firstLine="470"/>
        <w:spacing w:after="0" w:line="272" w:lineRule="auto"/>
        <w:rPr>
          <w:sz w:val="20"/>
          <w:szCs w:val="20"/>
          <w:color w:val="auto"/>
        </w:rPr>
      </w:pPr>
      <w:r>
        <w:rPr>
          <w:rFonts w:ascii="Arial" w:cs="Arial" w:eastAsia="Arial" w:hAnsi="Arial"/>
          <w:sz w:val="17"/>
          <w:szCs w:val="17"/>
          <w:color w:val="auto"/>
        </w:rPr>
        <w:t>Our outstanding senior notes (the “Senior Notes”) contain covenants that restrict our ability to, among other things, create liens or other encumbrances, enter into sale and leaseback transactions, or merge or sell all or substantially all of our assets. These limitations are subject to a number of qualifications and exceptions. As of June 30, 2021, we were in compliance with the covenants required by our Senior Notes.</w:t>
      </w:r>
    </w:p>
    <w:p>
      <w:pPr>
        <w:spacing w:after="0" w:line="2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Loans Payable</w:t>
      </w:r>
    </w:p>
    <w:p>
      <w:pPr>
        <w:spacing w:after="0" w:line="170" w:lineRule="exact"/>
        <w:rPr>
          <w:sz w:val="20"/>
          <w:szCs w:val="20"/>
          <w:color w:val="auto"/>
        </w:rPr>
      </w:pPr>
    </w:p>
    <w:p>
      <w:pPr>
        <w:ind w:left="480"/>
        <w:spacing w:after="0"/>
        <w:rPr>
          <w:sz w:val="20"/>
          <w:szCs w:val="20"/>
          <w:color w:val="auto"/>
        </w:rPr>
      </w:pPr>
      <w:r>
        <w:rPr>
          <w:rFonts w:ascii="Arial" w:cs="Arial" w:eastAsia="Arial" w:hAnsi="Arial"/>
          <w:sz w:val="15"/>
          <w:szCs w:val="15"/>
          <w:color w:val="auto"/>
        </w:rPr>
        <w:t>On June 10, 2021, we entered into a Second Modification Agreement (the “Modification”) to our Second Amended and Restated Credit Agreement dated</w:t>
      </w:r>
    </w:p>
    <w:p>
      <w:pPr>
        <w:spacing w:after="0" w:line="49" w:lineRule="exact"/>
        <w:rPr>
          <w:sz w:val="20"/>
          <w:szCs w:val="20"/>
          <w:color w:val="auto"/>
        </w:rPr>
      </w:pPr>
    </w:p>
    <w:p>
      <w:pPr>
        <w:spacing w:after="0"/>
        <w:rPr>
          <w:sz w:val="20"/>
          <w:szCs w:val="20"/>
          <w:color w:val="auto"/>
        </w:rPr>
      </w:pPr>
      <w:r>
        <w:rPr>
          <w:rFonts w:ascii="Arial" w:cs="Arial" w:eastAsia="Arial" w:hAnsi="Arial"/>
          <w:sz w:val="16"/>
          <w:szCs w:val="16"/>
          <w:color w:val="auto"/>
        </w:rPr>
        <w:t>as of March 29, 2019. The Modification, among other things, (i) increases the maximum amount of the revolving credit facility (the “Revolving Facility”) under</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the Credit Agreement from $600.0 million to $650.0 million and (ii) extends the maturity date of both the Revolving Facility and term loan facility (the “Term</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Facility”) under the Credit Agreement to June 10, 2026; provided that the maturity date for $45.0 million of commitments under the Revolving Facility and</w:t>
      </w:r>
    </w:p>
    <w:p>
      <w:pPr>
        <w:spacing w:after="0" w:line="25" w:lineRule="exact"/>
        <w:rPr>
          <w:sz w:val="20"/>
          <w:szCs w:val="20"/>
          <w:color w:val="auto"/>
        </w:rPr>
      </w:pPr>
    </w:p>
    <w:p>
      <w:pPr>
        <w:spacing w:after="0"/>
        <w:rPr>
          <w:sz w:val="20"/>
          <w:szCs w:val="20"/>
          <w:color w:val="auto"/>
        </w:rPr>
      </w:pPr>
      <w:r>
        <w:rPr>
          <w:rFonts w:ascii="Arial" w:cs="Arial" w:eastAsia="Arial" w:hAnsi="Arial"/>
          <w:sz w:val="15"/>
          <w:szCs w:val="15"/>
          <w:color w:val="auto"/>
        </w:rPr>
        <w:t>$30.0 million of loans under the Term Facility, respectively, were not extended and remain scheduled to mature on March 29, 2023. We may increase the Credit</w:t>
      </w:r>
    </w:p>
    <w:p>
      <w:pPr>
        <w:spacing w:after="0" w:line="37" w:lineRule="exact"/>
        <w:rPr>
          <w:sz w:val="20"/>
          <w:szCs w:val="20"/>
          <w:color w:val="auto"/>
        </w:rPr>
      </w:pPr>
    </w:p>
    <w:p>
      <w:pPr>
        <w:spacing w:after="0"/>
        <w:rPr>
          <w:sz w:val="20"/>
          <w:szCs w:val="20"/>
          <w:color w:val="auto"/>
        </w:rPr>
      </w:pPr>
      <w:r>
        <w:rPr>
          <w:rFonts w:ascii="Arial" w:cs="Arial" w:eastAsia="Arial" w:hAnsi="Arial"/>
          <w:sz w:val="16"/>
          <w:szCs w:val="16"/>
          <w:color w:val="auto"/>
        </w:rPr>
        <w:t>Facility to not more than $1 billion in the aggregate, at our request, upon satisfaction of specified conditions. The Revolving Facility contains a sublimit of $100</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million for letters of credit. We may borrow under the Revolving Facility in the ordinary course of business to repay senior notes and fund our operations,</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including our land acquisition, land development and homebuilding activities. Borrowings under the Revolving Facility will be governed by, among other</w:t>
      </w:r>
    </w:p>
    <w:p>
      <w:pPr>
        <w:spacing w:after="0" w:line="25" w:lineRule="exact"/>
        <w:rPr>
          <w:sz w:val="20"/>
          <w:szCs w:val="20"/>
          <w:color w:val="auto"/>
        </w:rPr>
      </w:pPr>
    </w:p>
    <w:p>
      <w:pPr>
        <w:spacing w:after="0"/>
        <w:rPr>
          <w:sz w:val="20"/>
          <w:szCs w:val="20"/>
          <w:color w:val="auto"/>
        </w:rPr>
      </w:pPr>
      <w:r>
        <w:rPr>
          <w:rFonts w:ascii="Arial" w:cs="Arial" w:eastAsia="Arial" w:hAnsi="Arial"/>
          <w:sz w:val="15"/>
          <w:szCs w:val="15"/>
          <w:color w:val="auto"/>
        </w:rPr>
        <w:t>things, a borrowing base. Interest rates on borrowings under the Revolving Facility will be based on either a daily Eurocurrency base rate or a Eurocurrency rate,</w:t>
      </w:r>
    </w:p>
    <w:p>
      <w:pPr>
        <w:spacing w:after="0" w:line="37" w:lineRule="exact"/>
        <w:rPr>
          <w:sz w:val="20"/>
          <w:szCs w:val="20"/>
          <w:color w:val="auto"/>
        </w:rPr>
      </w:pPr>
    </w:p>
    <w:p>
      <w:pPr>
        <w:spacing w:after="0"/>
        <w:rPr>
          <w:sz w:val="20"/>
          <w:szCs w:val="20"/>
          <w:color w:val="auto"/>
        </w:rPr>
      </w:pPr>
      <w:r>
        <w:rPr>
          <w:rFonts w:ascii="Arial" w:cs="Arial" w:eastAsia="Arial" w:hAnsi="Arial"/>
          <w:sz w:val="15"/>
          <w:szCs w:val="15"/>
          <w:color w:val="auto"/>
        </w:rPr>
        <w:t>in either case, plus a spread ranging from 1.25% to 1.90%, depending on the Company’s leverage ratio. Interest rates on borrowings under the Term Facility will</w:t>
      </w:r>
    </w:p>
    <w:p>
      <w:pPr>
        <w:spacing w:after="0" w:line="37" w:lineRule="exact"/>
        <w:rPr>
          <w:sz w:val="20"/>
          <w:szCs w:val="20"/>
          <w:color w:val="auto"/>
        </w:rPr>
      </w:pPr>
    </w:p>
    <w:p>
      <w:pPr>
        <w:spacing w:after="0"/>
        <w:rPr>
          <w:sz w:val="20"/>
          <w:szCs w:val="20"/>
          <w:color w:val="auto"/>
        </w:rPr>
      </w:pPr>
      <w:r>
        <w:rPr>
          <w:rFonts w:ascii="Arial" w:cs="Arial" w:eastAsia="Arial" w:hAnsi="Arial"/>
          <w:sz w:val="16"/>
          <w:szCs w:val="16"/>
          <w:color w:val="auto"/>
        </w:rPr>
        <w:t>be based on either a daily Eurocurrency base rate or a Eurocurrency rate, in either case, plus a spread ranging from 1.10% to 1.85%, depending on the</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Company’s leverage ratio.</w:t>
      </w:r>
    </w:p>
    <w:p>
      <w:pPr>
        <w:spacing w:after="0" w:line="211" w:lineRule="exact"/>
        <w:rPr>
          <w:sz w:val="20"/>
          <w:szCs w:val="20"/>
          <w:color w:val="auto"/>
        </w:rPr>
      </w:pPr>
    </w:p>
    <w:p>
      <w:pPr>
        <w:ind w:firstLine="470"/>
        <w:spacing w:after="0" w:line="284" w:lineRule="auto"/>
        <w:rPr>
          <w:sz w:val="20"/>
          <w:szCs w:val="20"/>
          <w:color w:val="auto"/>
        </w:rPr>
      </w:pPr>
      <w:r>
        <w:rPr>
          <w:rFonts w:ascii="Arial" w:cs="Arial" w:eastAsia="Arial" w:hAnsi="Arial"/>
          <w:sz w:val="16"/>
          <w:szCs w:val="16"/>
          <w:color w:val="auto"/>
        </w:rPr>
        <w:t>As of June 30, 2021, we had no outstanding debt under the Revolving Facility and there was $593.1 million of availability after considering the borrowing base provisions and outstanding letters of credit. As of June 30, 2021, we had $250 million outstanding debt under the Term Facility with an interest rate of 1.19%. As of June 30, 2021, there were $6.0 million of capitalized debt financing costs, included in other assets on our consolidated balance sheet, related to the Credit Agreement that will amortize over the remaining term of the Credit Agreement. Accrued interest, including loan commitment fees, related to the Credit Agreement was $528,000 and $617,000 as of June 30, 2021 and December 31, 2020, respectively.</w:t>
      </w:r>
    </w:p>
    <w:p>
      <w:pPr>
        <w:spacing w:after="0" w:line="166" w:lineRule="exact"/>
        <w:rPr>
          <w:sz w:val="20"/>
          <w:szCs w:val="20"/>
          <w:color w:val="auto"/>
        </w:rPr>
      </w:pPr>
    </w:p>
    <w:p>
      <w:pPr>
        <w:ind w:right="360" w:firstLine="470"/>
        <w:spacing w:after="0" w:line="321" w:lineRule="auto"/>
        <w:rPr>
          <w:sz w:val="20"/>
          <w:szCs w:val="20"/>
          <w:color w:val="auto"/>
        </w:rPr>
      </w:pPr>
      <w:r>
        <w:rPr>
          <w:rFonts w:ascii="Arial" w:cs="Arial" w:eastAsia="Arial" w:hAnsi="Arial"/>
          <w:sz w:val="16"/>
          <w:szCs w:val="16"/>
          <w:color w:val="auto"/>
        </w:rPr>
        <w:t>At June 30, 2021 and December 31, 2020, we had outstanding letters of credit of $47.9 million and $64.1 million, respectively. These letters of credit were issued to secure various financial obligations. We believe it is not probable that any outstanding letters of credit will be drawn upon.</w:t>
      </w:r>
    </w:p>
    <w:p>
      <w:pPr>
        <w:spacing w:after="0" w:line="135" w:lineRule="exact"/>
        <w:rPr>
          <w:sz w:val="20"/>
          <w:szCs w:val="20"/>
          <w:color w:val="auto"/>
        </w:rPr>
      </w:pPr>
    </w:p>
    <w:p>
      <w:pPr>
        <w:ind w:right="460" w:firstLine="470"/>
        <w:spacing w:after="0" w:line="274" w:lineRule="auto"/>
        <w:rPr>
          <w:sz w:val="20"/>
          <w:szCs w:val="20"/>
          <w:color w:val="auto"/>
        </w:rPr>
      </w:pPr>
      <w:r>
        <w:rPr>
          <w:rFonts w:ascii="Arial" w:cs="Arial" w:eastAsia="Arial" w:hAnsi="Arial"/>
          <w:sz w:val="17"/>
          <w:szCs w:val="17"/>
          <w:color w:val="auto"/>
        </w:rPr>
        <w:t>Under the Credit Facility, we are required to comply with certain financial covenants, including, but not limited to, those set forth in the table below (dollars in thousands):</w:t>
      </w:r>
    </w:p>
    <w:tbl>
      <w:tblPr>
        <w:tblLayout w:type="fixed"/>
        <w:tblInd w:w="0" w:type="dxa"/>
        <w:tblCellMar>
          <w:top w:w="0" w:type="dxa"/>
          <w:left w:w="0" w:type="dxa"/>
          <w:bottom w:w="0" w:type="dxa"/>
          <w:right w:w="0" w:type="dxa"/>
        </w:tblCellMar>
      </w:tblPr>
      <w:tr>
        <w:trPr>
          <w:trHeight w:val="141"/>
        </w:trPr>
        <w:tc>
          <w:tcPr>
            <w:tcW w:w="76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52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1"/>
              </w:rPr>
              <w:t>Actual at</w:t>
            </w:r>
          </w:p>
        </w:tc>
        <w:tc>
          <w:tcPr>
            <w:tcW w:w="220" w:type="dxa"/>
            <w:vAlign w:val="bottom"/>
          </w:tcPr>
          <w:p>
            <w:pPr>
              <w:spacing w:after="0"/>
              <w:rPr>
                <w:sz w:val="12"/>
                <w:szCs w:val="12"/>
                <w:color w:val="auto"/>
              </w:rPr>
            </w:pPr>
          </w:p>
        </w:tc>
        <w:tc>
          <w:tcPr>
            <w:tcW w:w="1420" w:type="dxa"/>
            <w:vAlign w:val="bottom"/>
          </w:tcPr>
          <w:p>
            <w:pPr>
              <w:jc w:val="center"/>
              <w:ind w:right="143"/>
              <w:spacing w:after="0" w:line="141" w:lineRule="exact"/>
              <w:rPr>
                <w:sz w:val="20"/>
                <w:szCs w:val="20"/>
                <w:color w:val="auto"/>
              </w:rPr>
            </w:pPr>
            <w:r>
              <w:rPr>
                <w:rFonts w:ascii="Arial" w:cs="Arial" w:eastAsia="Arial" w:hAnsi="Arial"/>
                <w:sz w:val="14"/>
                <w:szCs w:val="14"/>
                <w:b w:val="1"/>
                <w:bCs w:val="1"/>
                <w:color w:val="auto"/>
                <w:w w:val="87"/>
              </w:rPr>
              <w:t>Covenant</w:t>
            </w:r>
          </w:p>
        </w:tc>
        <w:tc>
          <w:tcPr>
            <w:tcW w:w="0" w:type="dxa"/>
            <w:vAlign w:val="bottom"/>
          </w:tcPr>
          <w:p>
            <w:pPr>
              <w:spacing w:after="0"/>
              <w:rPr>
                <w:sz w:val="1"/>
                <w:szCs w:val="1"/>
                <w:color w:val="auto"/>
              </w:rPr>
            </w:pPr>
          </w:p>
        </w:tc>
      </w:tr>
      <w:tr>
        <w:trPr>
          <w:trHeight w:val="131"/>
        </w:trPr>
        <w:tc>
          <w:tcPr>
            <w:tcW w:w="76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520" w:type="dxa"/>
            <w:vAlign w:val="bottom"/>
            <w:gridSpan w:val="2"/>
            <w:vMerge w:val="continue"/>
          </w:tcPr>
          <w:p>
            <w:pPr>
              <w:spacing w:after="0"/>
              <w:rPr>
                <w:sz w:val="11"/>
                <w:szCs w:val="11"/>
                <w:color w:val="auto"/>
              </w:rPr>
            </w:pPr>
          </w:p>
        </w:tc>
        <w:tc>
          <w:tcPr>
            <w:tcW w:w="220" w:type="dxa"/>
            <w:vAlign w:val="bottom"/>
          </w:tcPr>
          <w:p>
            <w:pPr>
              <w:spacing w:after="0"/>
              <w:rPr>
                <w:sz w:val="11"/>
                <w:szCs w:val="11"/>
                <w:color w:val="auto"/>
              </w:rPr>
            </w:pPr>
          </w:p>
        </w:tc>
        <w:tc>
          <w:tcPr>
            <w:tcW w:w="1420" w:type="dxa"/>
            <w:vAlign w:val="bottom"/>
          </w:tcPr>
          <w:p>
            <w:pPr>
              <w:jc w:val="center"/>
              <w:ind w:right="143"/>
              <w:spacing w:after="0" w:line="131" w:lineRule="exact"/>
              <w:rPr>
                <w:sz w:val="20"/>
                <w:szCs w:val="20"/>
                <w:color w:val="auto"/>
              </w:rPr>
            </w:pPr>
            <w:r>
              <w:rPr>
                <w:rFonts w:ascii="Arial" w:cs="Arial" w:eastAsia="Arial" w:hAnsi="Arial"/>
                <w:sz w:val="14"/>
                <w:szCs w:val="14"/>
                <w:b w:val="1"/>
                <w:bCs w:val="1"/>
                <w:color w:val="auto"/>
                <w:w w:val="90"/>
              </w:rPr>
              <w:t>Requirement at</w:t>
            </w:r>
          </w:p>
        </w:tc>
        <w:tc>
          <w:tcPr>
            <w:tcW w:w="0" w:type="dxa"/>
            <w:vAlign w:val="bottom"/>
          </w:tcPr>
          <w:p>
            <w:pPr>
              <w:spacing w:after="0"/>
              <w:rPr>
                <w:sz w:val="1"/>
                <w:szCs w:val="1"/>
                <w:color w:val="auto"/>
              </w:rPr>
            </w:pPr>
          </w:p>
        </w:tc>
      </w:tr>
      <w:tr>
        <w:trPr>
          <w:trHeight w:val="174"/>
        </w:trPr>
        <w:tc>
          <w:tcPr>
            <w:tcW w:w="76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52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89"/>
              </w:rPr>
              <w:t>June 30,</w:t>
            </w:r>
          </w:p>
        </w:tc>
        <w:tc>
          <w:tcPr>
            <w:tcW w:w="220" w:type="dxa"/>
            <w:vAlign w:val="bottom"/>
          </w:tcPr>
          <w:p>
            <w:pPr>
              <w:spacing w:after="0"/>
              <w:rPr>
                <w:sz w:val="15"/>
                <w:szCs w:val="15"/>
                <w:color w:val="auto"/>
              </w:rPr>
            </w:pPr>
          </w:p>
        </w:tc>
        <w:tc>
          <w:tcPr>
            <w:tcW w:w="1420" w:type="dxa"/>
            <w:vAlign w:val="bottom"/>
          </w:tcPr>
          <w:p>
            <w:pPr>
              <w:jc w:val="center"/>
              <w:ind w:right="143"/>
              <w:spacing w:after="0"/>
              <w:rPr>
                <w:sz w:val="20"/>
                <w:szCs w:val="20"/>
                <w:color w:val="auto"/>
              </w:rPr>
            </w:pPr>
            <w:r>
              <w:rPr>
                <w:rFonts w:ascii="Arial" w:cs="Arial" w:eastAsia="Arial" w:hAnsi="Arial"/>
                <w:sz w:val="14"/>
                <w:szCs w:val="14"/>
                <w:b w:val="1"/>
                <w:bCs w:val="1"/>
                <w:color w:val="auto"/>
                <w:w w:val="85"/>
              </w:rPr>
              <w:t>June 30,</w:t>
            </w:r>
          </w:p>
        </w:tc>
        <w:tc>
          <w:tcPr>
            <w:tcW w:w="0" w:type="dxa"/>
            <w:vAlign w:val="bottom"/>
          </w:tcPr>
          <w:p>
            <w:pPr>
              <w:spacing w:after="0"/>
              <w:rPr>
                <w:sz w:val="1"/>
                <w:szCs w:val="1"/>
                <w:color w:val="auto"/>
              </w:rPr>
            </w:pPr>
          </w:p>
        </w:tc>
      </w:tr>
      <w:tr>
        <w:trPr>
          <w:trHeight w:val="187"/>
        </w:trPr>
        <w:tc>
          <w:tcPr>
            <w:tcW w:w="768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color w:val="auto"/>
              </w:rPr>
              <w:t>Financial Covenants</w:t>
            </w:r>
          </w:p>
        </w:tc>
        <w:tc>
          <w:tcPr>
            <w:tcW w:w="36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jc w:val="center"/>
              <w:ind w:right="302"/>
              <w:spacing w:after="0"/>
              <w:rPr>
                <w:sz w:val="20"/>
                <w:szCs w:val="20"/>
                <w:color w:val="auto"/>
              </w:rPr>
            </w:pPr>
            <w:r>
              <w:rPr>
                <w:rFonts w:ascii="Arial" w:cs="Arial" w:eastAsia="Arial" w:hAnsi="Arial"/>
                <w:sz w:val="14"/>
                <w:szCs w:val="14"/>
                <w:b w:val="1"/>
                <w:bCs w:val="1"/>
                <w:color w:val="auto"/>
                <w:w w:val="89"/>
              </w:rPr>
              <w:t>2021</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jc w:val="center"/>
              <w:ind w:right="143"/>
              <w:spacing w:after="0"/>
              <w:rPr>
                <w:sz w:val="20"/>
                <w:szCs w:val="20"/>
                <w:color w:val="auto"/>
              </w:rPr>
            </w:pPr>
            <w:r>
              <w:rPr>
                <w:rFonts w:ascii="Arial" w:cs="Arial" w:eastAsia="Arial" w:hAnsi="Arial"/>
                <w:sz w:val="14"/>
                <w:szCs w:val="14"/>
                <w:b w:val="1"/>
                <w:bCs w:val="1"/>
                <w:color w:val="auto"/>
                <w:w w:val="89"/>
              </w:rPr>
              <w:t>2021</w:t>
            </w:r>
          </w:p>
        </w:tc>
        <w:tc>
          <w:tcPr>
            <w:tcW w:w="0" w:type="dxa"/>
            <w:vAlign w:val="bottom"/>
          </w:tcPr>
          <w:p>
            <w:pPr>
              <w:spacing w:after="0"/>
              <w:rPr>
                <w:sz w:val="1"/>
                <w:szCs w:val="1"/>
                <w:color w:val="auto"/>
              </w:rPr>
            </w:pPr>
          </w:p>
        </w:tc>
      </w:tr>
      <w:tr>
        <w:trPr>
          <w:trHeight w:val="220"/>
        </w:trPr>
        <w:tc>
          <w:tcPr>
            <w:tcW w:w="768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Consolidated Tangible Net Worth</w:t>
            </w:r>
          </w:p>
        </w:tc>
        <w:tc>
          <w:tcPr>
            <w:tcW w:w="360" w:type="dxa"/>
            <w:vAlign w:val="bottom"/>
            <w:shd w:val="clear" w:color="auto" w:fill="CCEEFF"/>
          </w:tcPr>
          <w:p>
            <w:pPr>
              <w:jc w:val="right"/>
              <w:ind w:right="173"/>
              <w:spacing w:after="0"/>
              <w:rPr>
                <w:sz w:val="20"/>
                <w:szCs w:val="20"/>
                <w:color w:val="auto"/>
              </w:rPr>
            </w:pPr>
            <w:r>
              <w:rPr>
                <w:rFonts w:ascii="Arial" w:cs="Arial" w:eastAsia="Arial" w:hAnsi="Arial"/>
                <w:sz w:val="17"/>
                <w:szCs w:val="17"/>
                <w:color w:val="auto"/>
                <w:w w:val="84"/>
              </w:rPr>
              <w:t>$</w:t>
            </w:r>
          </w:p>
        </w:tc>
        <w:tc>
          <w:tcPr>
            <w:tcW w:w="1420" w:type="dxa"/>
            <w:vAlign w:val="bottom"/>
            <w:shd w:val="clear" w:color="auto" w:fill="CCEEFF"/>
          </w:tcPr>
          <w:p>
            <w:pPr>
              <w:jc w:val="right"/>
              <w:ind w:right="142"/>
              <w:spacing w:after="0"/>
              <w:rPr>
                <w:sz w:val="20"/>
                <w:szCs w:val="20"/>
                <w:color w:val="auto"/>
              </w:rPr>
            </w:pPr>
            <w:r>
              <w:rPr>
                <w:rFonts w:ascii="Arial" w:cs="Arial" w:eastAsia="Arial" w:hAnsi="Arial"/>
                <w:sz w:val="17"/>
                <w:szCs w:val="17"/>
                <w:color w:val="auto"/>
              </w:rPr>
              <w:t>2,122,688</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1,689,033</w:t>
            </w:r>
          </w:p>
        </w:tc>
        <w:tc>
          <w:tcPr>
            <w:tcW w:w="0" w:type="dxa"/>
            <w:vAlign w:val="bottom"/>
          </w:tcPr>
          <w:p>
            <w:pPr>
              <w:spacing w:after="0"/>
              <w:rPr>
                <w:sz w:val="1"/>
                <w:szCs w:val="1"/>
                <w:color w:val="auto"/>
              </w:rPr>
            </w:pPr>
          </w:p>
        </w:tc>
      </w:tr>
      <w:tr>
        <w:trPr>
          <w:trHeight w:val="171"/>
        </w:trPr>
        <w:tc>
          <w:tcPr>
            <w:tcW w:w="7680" w:type="dxa"/>
            <w:vAlign w:val="bottom"/>
          </w:tcPr>
          <w:p>
            <w:pPr>
              <w:ind w:left="260"/>
              <w:spacing w:after="0" w:line="171" w:lineRule="exact"/>
              <w:rPr>
                <w:sz w:val="20"/>
                <w:szCs w:val="20"/>
                <w:color w:val="auto"/>
              </w:rPr>
            </w:pPr>
            <w:r>
              <w:rPr>
                <w:rFonts w:ascii="Arial" w:cs="Arial" w:eastAsia="Arial" w:hAnsi="Arial"/>
                <w:sz w:val="17"/>
                <w:szCs w:val="17"/>
                <w:color w:val="auto"/>
              </w:rPr>
              <w:t>(Not less than $1.35 billion plus 50% of net income and</w:t>
            </w:r>
          </w:p>
        </w:tc>
        <w:tc>
          <w:tcPr>
            <w:tcW w:w="3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7680" w:type="dxa"/>
            <w:vAlign w:val="bottom"/>
          </w:tcPr>
          <w:p>
            <w:pPr>
              <w:ind w:left="380"/>
              <w:spacing w:after="0" w:line="170" w:lineRule="exact"/>
              <w:rPr>
                <w:sz w:val="20"/>
                <w:szCs w:val="20"/>
                <w:color w:val="auto"/>
              </w:rPr>
            </w:pPr>
            <w:r>
              <w:rPr>
                <w:rFonts w:ascii="Arial" w:cs="Arial" w:eastAsia="Arial" w:hAnsi="Arial"/>
                <w:sz w:val="17"/>
                <w:szCs w:val="17"/>
                <w:color w:val="auto"/>
              </w:rPr>
              <w:t>50% of the net proceeds from equity offerings after</w:t>
            </w:r>
          </w:p>
        </w:tc>
        <w:tc>
          <w:tcPr>
            <w:tcW w:w="3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7680" w:type="dxa"/>
            <w:vAlign w:val="bottom"/>
          </w:tcPr>
          <w:p>
            <w:pPr>
              <w:ind w:left="380"/>
              <w:spacing w:after="0"/>
              <w:rPr>
                <w:sz w:val="20"/>
                <w:szCs w:val="20"/>
                <w:color w:val="auto"/>
              </w:rPr>
            </w:pPr>
            <w:r>
              <w:rPr>
                <w:rFonts w:ascii="Arial" w:cs="Arial" w:eastAsia="Arial" w:hAnsi="Arial"/>
                <w:sz w:val="17"/>
                <w:szCs w:val="17"/>
                <w:color w:val="auto"/>
              </w:rPr>
              <w:t>December 31, 2018)</w:t>
            </w:r>
          </w:p>
        </w:tc>
        <w:tc>
          <w:tcPr>
            <w:tcW w:w="36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680" w:type="dxa"/>
            <w:vAlign w:val="bottom"/>
            <w:shd w:val="clear" w:color="auto" w:fill="CCEEFF"/>
          </w:tcPr>
          <w:p>
            <w:pPr>
              <w:ind w:left="20"/>
              <w:spacing w:after="0"/>
              <w:rPr>
                <w:sz w:val="20"/>
                <w:szCs w:val="20"/>
                <w:color w:val="auto"/>
              </w:rPr>
            </w:pPr>
            <w:r>
              <w:rPr>
                <w:rFonts w:ascii="Arial" w:cs="Arial" w:eastAsia="Arial" w:hAnsi="Arial"/>
                <w:sz w:val="17"/>
                <w:szCs w:val="17"/>
                <w:color w:val="auto"/>
              </w:rPr>
              <w:t>Leverage Test</w:t>
            </w:r>
          </w:p>
        </w:tc>
        <w:tc>
          <w:tcPr>
            <w:tcW w:w="36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27.7 %</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w:t>
            </w:r>
          </w:p>
        </w:tc>
        <w:tc>
          <w:tcPr>
            <w:tcW w:w="0" w:type="dxa"/>
            <w:vAlign w:val="bottom"/>
          </w:tcPr>
          <w:p>
            <w:pPr>
              <w:spacing w:after="0"/>
              <w:rPr>
                <w:sz w:val="1"/>
                <w:szCs w:val="1"/>
                <w:color w:val="auto"/>
              </w:rPr>
            </w:pPr>
          </w:p>
        </w:tc>
      </w:tr>
      <w:tr>
        <w:trPr>
          <w:trHeight w:val="222"/>
        </w:trPr>
        <w:tc>
          <w:tcPr>
            <w:tcW w:w="7680" w:type="dxa"/>
            <w:vAlign w:val="bottom"/>
          </w:tcPr>
          <w:p>
            <w:pPr>
              <w:ind w:left="220"/>
              <w:spacing w:after="0"/>
              <w:rPr>
                <w:sz w:val="20"/>
                <w:szCs w:val="20"/>
                <w:color w:val="auto"/>
              </w:rPr>
            </w:pPr>
            <w:r>
              <w:rPr>
                <w:rFonts w:ascii="Arial" w:cs="Arial" w:eastAsia="Arial" w:hAnsi="Arial"/>
                <w:sz w:val="17"/>
                <w:szCs w:val="17"/>
                <w:color w:val="auto"/>
              </w:rPr>
              <w:t>(Not to exceed 55%)</w:t>
            </w:r>
          </w:p>
        </w:tc>
        <w:tc>
          <w:tcPr>
            <w:tcW w:w="36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68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Interest Coverage Test</w:t>
            </w:r>
          </w:p>
        </w:tc>
        <w:tc>
          <w:tcPr>
            <w:tcW w:w="36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142"/>
              <w:spacing w:after="0"/>
              <w:rPr>
                <w:sz w:val="20"/>
                <w:szCs w:val="20"/>
                <w:color w:val="auto"/>
              </w:rPr>
            </w:pPr>
            <w:r>
              <w:rPr>
                <w:rFonts w:ascii="Arial" w:cs="Arial" w:eastAsia="Arial" w:hAnsi="Arial"/>
                <w:sz w:val="17"/>
                <w:szCs w:val="17"/>
                <w:color w:val="auto"/>
              </w:rPr>
              <w:t>8.0</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w:t>
            </w:r>
          </w:p>
        </w:tc>
        <w:tc>
          <w:tcPr>
            <w:tcW w:w="0" w:type="dxa"/>
            <w:vAlign w:val="bottom"/>
          </w:tcPr>
          <w:p>
            <w:pPr>
              <w:spacing w:after="0"/>
              <w:rPr>
                <w:sz w:val="1"/>
                <w:szCs w:val="1"/>
                <w:color w:val="auto"/>
              </w:rPr>
            </w:pPr>
          </w:p>
        </w:tc>
      </w:tr>
      <w:tr>
        <w:trPr>
          <w:trHeight w:val="222"/>
        </w:trPr>
        <w:tc>
          <w:tcPr>
            <w:tcW w:w="7680" w:type="dxa"/>
            <w:vAlign w:val="bottom"/>
          </w:tcPr>
          <w:p>
            <w:pPr>
              <w:ind w:left="220"/>
              <w:spacing w:after="0"/>
              <w:rPr>
                <w:sz w:val="20"/>
                <w:szCs w:val="20"/>
                <w:color w:val="auto"/>
              </w:rPr>
            </w:pPr>
            <w:r>
              <w:rPr>
                <w:rFonts w:ascii="Arial" w:cs="Arial" w:eastAsia="Arial" w:hAnsi="Arial"/>
                <w:sz w:val="17"/>
                <w:szCs w:val="17"/>
                <w:color w:val="auto"/>
              </w:rPr>
              <w:t>(Not less than 1.5:1.0)</w:t>
            </w:r>
          </w:p>
        </w:tc>
        <w:tc>
          <w:tcPr>
            <w:tcW w:w="36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88" w:lineRule="exact"/>
        <w:rPr>
          <w:sz w:val="20"/>
          <w:szCs w:val="20"/>
          <w:color w:val="auto"/>
        </w:rPr>
      </w:pPr>
    </w:p>
    <w:p>
      <w:pPr>
        <w:ind w:right="60" w:firstLine="470"/>
        <w:spacing w:after="0" w:line="272" w:lineRule="auto"/>
        <w:rPr>
          <w:sz w:val="20"/>
          <w:szCs w:val="20"/>
          <w:color w:val="auto"/>
        </w:rPr>
      </w:pPr>
      <w:r>
        <w:rPr>
          <w:rFonts w:ascii="Arial" w:cs="Arial" w:eastAsia="Arial" w:hAnsi="Arial"/>
          <w:sz w:val="17"/>
          <w:szCs w:val="17"/>
          <w:color w:val="auto"/>
        </w:rPr>
        <w:t>In addition, the Credit Facility limits the aggregate number of single family dwellings (where construction has commenced) owned by the Company or any guarantor that are not presold or model units to no more than the greater of (i) 50% of the number of housing unit closings (as defined) during the preceding 12 months; or (ii) 100% of the number of housing unit</w:t>
      </w: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- 36 -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76" w:right="339" w:bottom="1440" w:gutter="0" w:footer="0" w:header="0"/>
        </w:sectPr>
      </w:pPr>
    </w:p>
    <w:bookmarkStart w:id="37" w:name="page38"/>
    <w:bookmarkEnd w:id="37"/>
    <w:p>
      <w:pPr>
        <w:jc w:val="both"/>
        <w:ind w:right="20"/>
        <w:spacing w:after="0" w:line="272" w:lineRule="auto"/>
        <w:rPr>
          <w:sz w:val="20"/>
          <w:szCs w:val="20"/>
          <w:color w:val="auto"/>
        </w:rPr>
      </w:pPr>
      <w:r>
        <w:rPr>
          <w:rFonts w:ascii="Arial" w:cs="Arial" w:eastAsia="Arial" w:hAnsi="Arial"/>
          <w:sz w:val="17"/>
          <w:szCs w:val="17"/>
          <w:color w:val="auto"/>
        </w:rPr>
        <w:t>closings during the preceding 6 months. However, a failure to comply with this “Spec Unit Inventory Test” will not be an event of default or default, but will be excluded from the borrowing base as of the last day of the quarter in which the non-compliance occurs. The Credit Facility further requires that at least 97.0% of consolidated tangible net worth must be attributable to the Company and its guarantor subsidiaries, subject to certain grace periods.</w:t>
      </w:r>
    </w:p>
    <w:p>
      <w:pPr>
        <w:spacing w:after="0" w:line="172" w:lineRule="exact"/>
        <w:rPr>
          <w:sz w:val="20"/>
          <w:szCs w:val="20"/>
          <w:color w:val="auto"/>
        </w:rPr>
      </w:pPr>
    </w:p>
    <w:p>
      <w:pPr>
        <w:ind w:left="480"/>
        <w:spacing w:after="0"/>
        <w:rPr>
          <w:sz w:val="20"/>
          <w:szCs w:val="20"/>
          <w:color w:val="auto"/>
        </w:rPr>
      </w:pPr>
      <w:r>
        <w:rPr>
          <w:rFonts w:ascii="Arial" w:cs="Arial" w:eastAsia="Arial" w:hAnsi="Arial"/>
          <w:sz w:val="17"/>
          <w:szCs w:val="17"/>
          <w:color w:val="auto"/>
        </w:rPr>
        <w:t>As of June 30, 2021, we were in compliance with all of these financial covenants.</w:t>
      </w:r>
    </w:p>
    <w:p>
      <w:pPr>
        <w:spacing w:after="0" w:line="32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Stock Repurchase Program</w:t>
      </w:r>
    </w:p>
    <w:p>
      <w:pPr>
        <w:spacing w:after="0" w:line="118" w:lineRule="exact"/>
        <w:rPr>
          <w:sz w:val="20"/>
          <w:szCs w:val="20"/>
          <w:color w:val="auto"/>
        </w:rPr>
      </w:pPr>
    </w:p>
    <w:p>
      <w:pPr>
        <w:ind w:right="40" w:firstLine="470"/>
        <w:spacing w:after="0" w:line="277" w:lineRule="auto"/>
        <w:rPr>
          <w:sz w:val="20"/>
          <w:szCs w:val="20"/>
          <w:color w:val="auto"/>
        </w:rPr>
      </w:pPr>
      <w:r>
        <w:rPr>
          <w:rFonts w:ascii="Arial" w:cs="Arial" w:eastAsia="Arial" w:hAnsi="Arial"/>
          <w:sz w:val="16"/>
          <w:szCs w:val="16"/>
          <w:color w:val="auto"/>
        </w:rPr>
        <w:t>On November 11, 2020, we announced the approval of a new stock repurchase program authorizing the repurchase of up to $250 million of common stock through December 31, 2021 (the “Repurchase Program”). On July 21, 2021, our board of directors authorized the repurchase of up to an additional $250 million of common stock and extended the term of the Repurchase Program through December 31, 2022, increasing the aggregate value of shares of common stock authorized to be repurchased under the Repurchase Program from $250 million to $500 million. Purchases of common stock pursuant to the Repurchase Program may be made in open market transactions effected through a broker-dealer at prevailing market prices, in block trades, or by other means in accordance with federal securities laws, including pursuant to any trading plan that may be adopted in accordance with Rule 10b5-1 under the Securities Exchange Act of 1934, as amended. We are not obligated under the Repurchase Program to repurchase any specific number or amount of shares of common stock, and we may modify, suspend or discontinue the program at any time. Company management will determine the timing and amount of any repurchases in its discretion based on a variety of factors, such as the market price of our common stock, corporate requirements, general market economic conditions and legal requirements. During the three months ended June 30, 2021, we repurchased and retired an aggregate of 3,666,676 shares of our common stock under the Repurchase Program for $82.9 million. For the six months ended June 30, 2021, we repurchased and retired an aggregate of 7,326,237 million shares of common stock for a total of $148.3 million.</w:t>
      </w:r>
    </w:p>
    <w:p>
      <w:pPr>
        <w:spacing w:after="0" w:line="27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Leverage Ratios</w:t>
      </w:r>
    </w:p>
    <w:p>
      <w:pPr>
        <w:spacing w:after="0" w:line="118" w:lineRule="exact"/>
        <w:rPr>
          <w:sz w:val="20"/>
          <w:szCs w:val="20"/>
          <w:color w:val="auto"/>
        </w:rPr>
      </w:pPr>
    </w:p>
    <w:p>
      <w:pPr>
        <w:ind w:right="180" w:firstLine="470"/>
        <w:spacing w:after="0" w:line="288" w:lineRule="auto"/>
        <w:rPr>
          <w:sz w:val="20"/>
          <w:szCs w:val="20"/>
          <w:color w:val="auto"/>
        </w:rPr>
      </w:pPr>
      <w:r>
        <w:rPr>
          <w:rFonts w:ascii="Arial" w:cs="Arial" w:eastAsia="Arial" w:hAnsi="Arial"/>
          <w:sz w:val="17"/>
          <w:szCs w:val="17"/>
          <w:color w:val="auto"/>
        </w:rPr>
        <w:t>We believe that our leverage ratios provide useful information to the users of our financial statements regarding our financial position and cash and debt management. The ratio of debt-to-capital and the ratio of net debt-to-net capital are calculated as follows (dollars in thousands):</w:t>
      </w:r>
    </w:p>
    <w:p>
      <w:pPr>
        <w:spacing w:after="0" w:line="70"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75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580" w:type="dxa"/>
            <w:vAlign w:val="bottom"/>
            <w:gridSpan w:val="2"/>
          </w:tcPr>
          <w:p>
            <w:pPr>
              <w:ind w:left="180"/>
              <w:spacing w:after="0"/>
              <w:rPr>
                <w:sz w:val="20"/>
                <w:szCs w:val="20"/>
                <w:color w:val="auto"/>
              </w:rPr>
            </w:pPr>
            <w:r>
              <w:rPr>
                <w:rFonts w:ascii="Arial" w:cs="Arial" w:eastAsia="Arial" w:hAnsi="Arial"/>
                <w:sz w:val="14"/>
                <w:szCs w:val="14"/>
                <w:b w:val="1"/>
                <w:bCs w:val="1"/>
                <w:color w:val="auto"/>
              </w:rPr>
              <w:t>June 30, 2021</w:t>
            </w:r>
          </w:p>
        </w:tc>
        <w:tc>
          <w:tcPr>
            <w:tcW w:w="220" w:type="dxa"/>
            <w:vAlign w:val="bottom"/>
          </w:tcPr>
          <w:p>
            <w:pPr>
              <w:spacing w:after="0"/>
              <w:rPr>
                <w:sz w:val="16"/>
                <w:szCs w:val="16"/>
                <w:color w:val="auto"/>
              </w:rPr>
            </w:pPr>
          </w:p>
        </w:tc>
        <w:tc>
          <w:tcPr>
            <w:tcW w:w="1540" w:type="dxa"/>
            <w:vAlign w:val="bottom"/>
          </w:tcPr>
          <w:p>
            <w:pPr>
              <w:jc w:val="right"/>
              <w:ind w:right="234"/>
              <w:spacing w:after="0"/>
              <w:rPr>
                <w:sz w:val="20"/>
                <w:szCs w:val="20"/>
                <w:color w:val="auto"/>
              </w:rPr>
            </w:pPr>
            <w:r>
              <w:rPr>
                <w:rFonts w:ascii="Arial" w:cs="Arial" w:eastAsia="Arial" w:hAnsi="Arial"/>
                <w:sz w:val="14"/>
                <w:szCs w:val="14"/>
                <w:b w:val="1"/>
                <w:bCs w:val="1"/>
                <w:color w:val="auto"/>
                <w:w w:val="95"/>
              </w:rPr>
              <w:t>December 31, 2020</w:t>
            </w:r>
          </w:p>
        </w:tc>
      </w:tr>
      <w:tr>
        <w:trPr>
          <w:trHeight w:val="220"/>
        </w:trPr>
        <w:tc>
          <w:tcPr>
            <w:tcW w:w="75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Loans Payable</w:t>
            </w:r>
          </w:p>
        </w:tc>
        <w:tc>
          <w:tcPr>
            <w:tcW w:w="280" w:type="dxa"/>
            <w:vAlign w:val="bottom"/>
            <w:tcBorders>
              <w:top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480" w:type="dxa"/>
            <w:vAlign w:val="bottom"/>
            <w:tcBorders>
              <w:top w:val="single" w:sz="8" w:color="auto"/>
            </w:tcBorders>
            <w:shd w:val="clear" w:color="auto" w:fill="CCEEFF"/>
          </w:tcPr>
          <w:p>
            <w:pPr>
              <w:jc w:val="right"/>
              <w:ind w:right="134"/>
              <w:spacing w:after="0"/>
              <w:rPr>
                <w:sz w:val="20"/>
                <w:szCs w:val="20"/>
                <w:color w:val="auto"/>
              </w:rPr>
            </w:pPr>
            <w:r>
              <w:rPr>
                <w:rFonts w:ascii="Arial" w:cs="Arial" w:eastAsia="Arial" w:hAnsi="Arial"/>
                <w:sz w:val="17"/>
                <w:szCs w:val="17"/>
                <w:color w:val="auto"/>
              </w:rPr>
              <w:t>258,979</w:t>
            </w:r>
          </w:p>
        </w:tc>
        <w:tc>
          <w:tcPr>
            <w:tcW w:w="10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540" w:type="dxa"/>
            <w:vAlign w:val="bottom"/>
            <w:tcBorders>
              <w:top w:val="single" w:sz="8" w:color="auto"/>
            </w:tcBorders>
            <w:shd w:val="clear" w:color="auto" w:fill="CCEEFF"/>
          </w:tcPr>
          <w:p>
            <w:pPr>
              <w:jc w:val="right"/>
              <w:ind w:right="114"/>
              <w:spacing w:after="0"/>
              <w:rPr>
                <w:sz w:val="20"/>
                <w:szCs w:val="20"/>
                <w:color w:val="auto"/>
              </w:rPr>
            </w:pPr>
            <w:r>
              <w:rPr>
                <w:rFonts w:ascii="Arial" w:cs="Arial" w:eastAsia="Arial" w:hAnsi="Arial"/>
                <w:sz w:val="17"/>
                <w:szCs w:val="17"/>
                <w:color w:val="auto"/>
              </w:rPr>
              <w:t>258,979</w:t>
            </w:r>
          </w:p>
        </w:tc>
      </w:tr>
      <w:tr>
        <w:trPr>
          <w:trHeight w:val="222"/>
        </w:trPr>
        <w:tc>
          <w:tcPr>
            <w:tcW w:w="75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Senior Notes</w:t>
            </w:r>
          </w:p>
        </w:tc>
        <w:tc>
          <w:tcPr>
            <w:tcW w:w="28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ind w:right="134"/>
              <w:spacing w:after="0"/>
              <w:rPr>
                <w:sz w:val="20"/>
                <w:szCs w:val="20"/>
                <w:color w:val="auto"/>
              </w:rPr>
            </w:pPr>
            <w:r>
              <w:rPr>
                <w:rFonts w:ascii="Arial" w:cs="Arial" w:eastAsia="Arial" w:hAnsi="Arial"/>
                <w:sz w:val="17"/>
                <w:szCs w:val="17"/>
                <w:color w:val="auto"/>
              </w:rPr>
              <w:t>1,085,595</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ind w:right="114"/>
              <w:spacing w:after="0"/>
              <w:rPr>
                <w:sz w:val="20"/>
                <w:szCs w:val="20"/>
                <w:color w:val="auto"/>
              </w:rPr>
            </w:pPr>
            <w:r>
              <w:rPr>
                <w:rFonts w:ascii="Arial" w:cs="Arial" w:eastAsia="Arial" w:hAnsi="Arial"/>
                <w:sz w:val="17"/>
                <w:szCs w:val="17"/>
                <w:color w:val="auto"/>
              </w:rPr>
              <w:t>1,084,022</w:t>
            </w:r>
          </w:p>
        </w:tc>
      </w:tr>
      <w:tr>
        <w:trPr>
          <w:trHeight w:val="215"/>
        </w:trPr>
        <w:tc>
          <w:tcPr>
            <w:tcW w:w="75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Total debt</w:t>
            </w:r>
          </w:p>
        </w:tc>
        <w:tc>
          <w:tcPr>
            <w:tcW w:w="280" w:type="dxa"/>
            <w:vAlign w:val="bottom"/>
            <w:shd w:val="clear" w:color="auto" w:fill="CCEEFF"/>
          </w:tcPr>
          <w:p>
            <w:pPr>
              <w:spacing w:after="0"/>
              <w:rPr>
                <w:sz w:val="18"/>
                <w:szCs w:val="18"/>
                <w:color w:val="auto"/>
              </w:rPr>
            </w:pPr>
          </w:p>
        </w:tc>
        <w:tc>
          <w:tcPr>
            <w:tcW w:w="1480" w:type="dxa"/>
            <w:vAlign w:val="bottom"/>
            <w:shd w:val="clear" w:color="auto" w:fill="CCEEFF"/>
          </w:tcPr>
          <w:p>
            <w:pPr>
              <w:jc w:val="right"/>
              <w:ind w:right="134"/>
              <w:spacing w:after="0"/>
              <w:rPr>
                <w:sz w:val="20"/>
                <w:szCs w:val="20"/>
                <w:color w:val="auto"/>
              </w:rPr>
            </w:pPr>
            <w:r>
              <w:rPr>
                <w:rFonts w:ascii="Arial" w:cs="Arial" w:eastAsia="Arial" w:hAnsi="Arial"/>
                <w:sz w:val="17"/>
                <w:szCs w:val="17"/>
                <w:color w:val="auto"/>
              </w:rPr>
              <w:t>1,344,574</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114"/>
              <w:spacing w:after="0"/>
              <w:rPr>
                <w:sz w:val="20"/>
                <w:szCs w:val="20"/>
                <w:color w:val="auto"/>
              </w:rPr>
            </w:pPr>
            <w:r>
              <w:rPr>
                <w:rFonts w:ascii="Arial" w:cs="Arial" w:eastAsia="Arial" w:hAnsi="Arial"/>
                <w:sz w:val="17"/>
                <w:szCs w:val="17"/>
                <w:color w:val="auto"/>
              </w:rPr>
              <w:t>1,343,001</w:t>
            </w:r>
          </w:p>
        </w:tc>
      </w:tr>
      <w:tr>
        <w:trPr>
          <w:trHeight w:val="222"/>
        </w:trPr>
        <w:tc>
          <w:tcPr>
            <w:tcW w:w="75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Stockholders’ equity</w:t>
            </w:r>
          </w:p>
        </w:tc>
        <w:tc>
          <w:tcPr>
            <w:tcW w:w="28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ind w:right="134"/>
              <w:spacing w:after="0"/>
              <w:rPr>
                <w:sz w:val="20"/>
                <w:szCs w:val="20"/>
                <w:color w:val="auto"/>
              </w:rPr>
            </w:pPr>
            <w:r>
              <w:rPr>
                <w:rFonts w:ascii="Arial" w:cs="Arial" w:eastAsia="Arial" w:hAnsi="Arial"/>
                <w:sz w:val="17"/>
                <w:szCs w:val="17"/>
                <w:color w:val="auto"/>
              </w:rPr>
              <w:t>2,279,290</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ind w:right="114"/>
              <w:spacing w:after="0"/>
              <w:rPr>
                <w:sz w:val="20"/>
                <w:szCs w:val="20"/>
                <w:color w:val="auto"/>
              </w:rPr>
            </w:pPr>
            <w:r>
              <w:rPr>
                <w:rFonts w:ascii="Arial" w:cs="Arial" w:eastAsia="Arial" w:hAnsi="Arial"/>
                <w:sz w:val="17"/>
                <w:szCs w:val="17"/>
                <w:color w:val="auto"/>
              </w:rPr>
              <w:t>2,232,537</w:t>
            </w:r>
          </w:p>
        </w:tc>
      </w:tr>
      <w:tr>
        <w:trPr>
          <w:trHeight w:val="240"/>
        </w:trPr>
        <w:tc>
          <w:tcPr>
            <w:tcW w:w="75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7"/>
                <w:szCs w:val="17"/>
                <w:color w:val="auto"/>
              </w:rPr>
              <w:t>Total capital</w:t>
            </w: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480" w:type="dxa"/>
            <w:vAlign w:val="bottom"/>
            <w:tcBorders>
              <w:bottom w:val="single" w:sz="8" w:color="auto"/>
            </w:tcBorders>
            <w:shd w:val="clear" w:color="auto" w:fill="CCEEFF"/>
          </w:tcPr>
          <w:p>
            <w:pPr>
              <w:jc w:val="right"/>
              <w:ind w:right="134"/>
              <w:spacing w:after="0"/>
              <w:rPr>
                <w:sz w:val="20"/>
                <w:szCs w:val="20"/>
                <w:color w:val="auto"/>
              </w:rPr>
            </w:pPr>
            <w:r>
              <w:rPr>
                <w:rFonts w:ascii="Arial" w:cs="Arial" w:eastAsia="Arial" w:hAnsi="Arial"/>
                <w:sz w:val="17"/>
                <w:szCs w:val="17"/>
                <w:color w:val="auto"/>
              </w:rPr>
              <w:t>3,623,864</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540" w:type="dxa"/>
            <w:vAlign w:val="bottom"/>
            <w:tcBorders>
              <w:bottom w:val="single" w:sz="8" w:color="auto"/>
            </w:tcBorders>
            <w:shd w:val="clear" w:color="auto" w:fill="CCEEFF"/>
          </w:tcPr>
          <w:p>
            <w:pPr>
              <w:jc w:val="right"/>
              <w:ind w:right="114"/>
              <w:spacing w:after="0"/>
              <w:rPr>
                <w:sz w:val="20"/>
                <w:szCs w:val="20"/>
                <w:color w:val="auto"/>
              </w:rPr>
            </w:pPr>
            <w:r>
              <w:rPr>
                <w:rFonts w:ascii="Arial" w:cs="Arial" w:eastAsia="Arial" w:hAnsi="Arial"/>
                <w:sz w:val="17"/>
                <w:szCs w:val="17"/>
                <w:color w:val="auto"/>
              </w:rPr>
              <w:t>3,575,538</w:t>
            </w:r>
          </w:p>
        </w:tc>
      </w:tr>
      <w:tr>
        <w:trPr>
          <w:trHeight w:val="20"/>
        </w:trPr>
        <w:tc>
          <w:tcPr>
            <w:tcW w:w="75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540" w:type="dxa"/>
            <w:vAlign w:val="bottom"/>
            <w:tcBorders>
              <w:top w:val="single" w:sz="8" w:color="CCEEFF"/>
              <w:bottom w:val="single" w:sz="8" w:color="auto"/>
            </w:tcBorders>
          </w:tcPr>
          <w:p>
            <w:pPr>
              <w:spacing w:after="0" w:line="20" w:lineRule="exact"/>
              <w:rPr>
                <w:sz w:val="1"/>
                <w:szCs w:val="1"/>
                <w:color w:val="auto"/>
              </w:rPr>
            </w:pPr>
          </w:p>
        </w:tc>
      </w:tr>
      <w:tr>
        <w:trPr>
          <w:trHeight w:val="195"/>
        </w:trPr>
        <w:tc>
          <w:tcPr>
            <w:tcW w:w="7580" w:type="dxa"/>
            <w:vAlign w:val="bottom"/>
          </w:tcPr>
          <w:p>
            <w:pPr>
              <w:ind w:left="20"/>
              <w:spacing w:after="0" w:line="195" w:lineRule="exact"/>
              <w:rPr>
                <w:sz w:val="20"/>
                <w:szCs w:val="20"/>
                <w:color w:val="auto"/>
              </w:rPr>
            </w:pPr>
            <w:r>
              <w:rPr>
                <w:rFonts w:ascii="Arial" w:cs="Arial" w:eastAsia="Arial" w:hAnsi="Arial"/>
                <w:sz w:val="17"/>
                <w:szCs w:val="17"/>
                <w:color w:val="auto"/>
              </w:rPr>
              <w:t>Ratio of debt-to-capital</w:t>
            </w:r>
            <w:r>
              <w:rPr>
                <w:rFonts w:ascii="Arial" w:cs="Arial" w:eastAsia="Arial" w:hAnsi="Arial"/>
                <w:sz w:val="20"/>
                <w:szCs w:val="20"/>
                <w:color w:val="auto"/>
                <w:vertAlign w:val="superscript"/>
              </w:rPr>
              <w:t>(1)</w:t>
            </w:r>
          </w:p>
        </w:tc>
        <w:tc>
          <w:tcPr>
            <w:tcW w:w="28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37.1 %</w:t>
            </w: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37.6 %</w:t>
            </w:r>
          </w:p>
        </w:tc>
      </w:tr>
      <w:tr>
        <w:trPr>
          <w:trHeight w:val="20"/>
        </w:trPr>
        <w:tc>
          <w:tcPr>
            <w:tcW w:w="758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r>
      <w:tr>
        <w:trPr>
          <w:trHeight w:val="214"/>
        </w:trPr>
        <w:tc>
          <w:tcPr>
            <w:tcW w:w="7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r>
      <w:tr>
        <w:trPr>
          <w:trHeight w:val="222"/>
        </w:trPr>
        <w:tc>
          <w:tcPr>
            <w:tcW w:w="7580" w:type="dxa"/>
            <w:vAlign w:val="bottom"/>
          </w:tcPr>
          <w:p>
            <w:pPr>
              <w:ind w:left="20"/>
              <w:spacing w:after="0"/>
              <w:rPr>
                <w:sz w:val="20"/>
                <w:szCs w:val="20"/>
                <w:color w:val="auto"/>
              </w:rPr>
            </w:pPr>
            <w:r>
              <w:rPr>
                <w:rFonts w:ascii="Arial" w:cs="Arial" w:eastAsia="Arial" w:hAnsi="Arial"/>
                <w:sz w:val="17"/>
                <w:szCs w:val="17"/>
                <w:color w:val="auto"/>
              </w:rPr>
              <w:t>Total debt</w:t>
            </w:r>
          </w:p>
        </w:tc>
        <w:tc>
          <w:tcPr>
            <w:tcW w:w="280" w:type="dxa"/>
            <w:vAlign w:val="bottom"/>
          </w:tcPr>
          <w:p>
            <w:pPr>
              <w:jc w:val="right"/>
              <w:ind w:right="93"/>
              <w:spacing w:after="0"/>
              <w:rPr>
                <w:sz w:val="20"/>
                <w:szCs w:val="20"/>
                <w:color w:val="auto"/>
              </w:rPr>
            </w:pPr>
            <w:r>
              <w:rPr>
                <w:rFonts w:ascii="Arial" w:cs="Arial" w:eastAsia="Arial" w:hAnsi="Arial"/>
                <w:sz w:val="17"/>
                <w:szCs w:val="17"/>
                <w:color w:val="auto"/>
                <w:w w:val="84"/>
              </w:rPr>
              <w:t>$</w:t>
            </w:r>
          </w:p>
        </w:tc>
        <w:tc>
          <w:tcPr>
            <w:tcW w:w="1480" w:type="dxa"/>
            <w:vAlign w:val="bottom"/>
          </w:tcPr>
          <w:p>
            <w:pPr>
              <w:jc w:val="right"/>
              <w:ind w:right="134"/>
              <w:spacing w:after="0"/>
              <w:rPr>
                <w:sz w:val="20"/>
                <w:szCs w:val="20"/>
                <w:color w:val="auto"/>
              </w:rPr>
            </w:pPr>
            <w:r>
              <w:rPr>
                <w:rFonts w:ascii="Arial" w:cs="Arial" w:eastAsia="Arial" w:hAnsi="Arial"/>
                <w:sz w:val="17"/>
                <w:szCs w:val="17"/>
                <w:color w:val="auto"/>
              </w:rPr>
              <w:t>1,344,574</w:t>
            </w:r>
          </w:p>
        </w:tc>
        <w:tc>
          <w:tcPr>
            <w:tcW w:w="100" w:type="dxa"/>
            <w:vAlign w:val="bottom"/>
          </w:tcPr>
          <w:p>
            <w:pPr>
              <w:spacing w:after="0"/>
              <w:rPr>
                <w:sz w:val="19"/>
                <w:szCs w:val="19"/>
                <w:color w:val="auto"/>
              </w:rPr>
            </w:pPr>
          </w:p>
        </w:tc>
        <w:tc>
          <w:tcPr>
            <w:tcW w:w="220" w:type="dxa"/>
            <w:vAlign w:val="bottom"/>
          </w:tcPr>
          <w:p>
            <w:pPr>
              <w:jc w:val="right"/>
              <w:ind w:right="33"/>
              <w:spacing w:after="0"/>
              <w:rPr>
                <w:sz w:val="20"/>
                <w:szCs w:val="20"/>
                <w:color w:val="auto"/>
              </w:rPr>
            </w:pPr>
            <w:r>
              <w:rPr>
                <w:rFonts w:ascii="Arial" w:cs="Arial" w:eastAsia="Arial" w:hAnsi="Arial"/>
                <w:sz w:val="17"/>
                <w:szCs w:val="17"/>
                <w:color w:val="auto"/>
                <w:w w:val="84"/>
              </w:rPr>
              <w:t>$</w:t>
            </w:r>
          </w:p>
        </w:tc>
        <w:tc>
          <w:tcPr>
            <w:tcW w:w="1540" w:type="dxa"/>
            <w:vAlign w:val="bottom"/>
          </w:tcPr>
          <w:p>
            <w:pPr>
              <w:jc w:val="right"/>
              <w:ind w:right="114"/>
              <w:spacing w:after="0"/>
              <w:rPr>
                <w:sz w:val="20"/>
                <w:szCs w:val="20"/>
                <w:color w:val="auto"/>
              </w:rPr>
            </w:pPr>
            <w:r>
              <w:rPr>
                <w:rFonts w:ascii="Arial" w:cs="Arial" w:eastAsia="Arial" w:hAnsi="Arial"/>
                <w:sz w:val="17"/>
                <w:szCs w:val="17"/>
                <w:color w:val="auto"/>
              </w:rPr>
              <w:t>1,343,001</w:t>
            </w:r>
          </w:p>
        </w:tc>
      </w:tr>
      <w:tr>
        <w:trPr>
          <w:trHeight w:val="222"/>
        </w:trPr>
        <w:tc>
          <w:tcPr>
            <w:tcW w:w="7580" w:type="dxa"/>
            <w:vAlign w:val="bottom"/>
            <w:shd w:val="clear" w:color="auto" w:fill="CCEEFF"/>
          </w:tcPr>
          <w:p>
            <w:pPr>
              <w:ind w:left="20"/>
              <w:spacing w:after="0"/>
              <w:rPr>
                <w:sz w:val="20"/>
                <w:szCs w:val="20"/>
                <w:color w:val="auto"/>
              </w:rPr>
            </w:pPr>
            <w:r>
              <w:rPr>
                <w:rFonts w:ascii="Arial" w:cs="Arial" w:eastAsia="Arial" w:hAnsi="Arial"/>
                <w:sz w:val="17"/>
                <w:szCs w:val="17"/>
                <w:color w:val="auto"/>
              </w:rPr>
              <w:t>Less: Cash and cash equivalents</w:t>
            </w:r>
          </w:p>
        </w:tc>
        <w:tc>
          <w:tcPr>
            <w:tcW w:w="28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ind w:right="94"/>
              <w:spacing w:after="0"/>
              <w:rPr>
                <w:sz w:val="20"/>
                <w:szCs w:val="20"/>
                <w:color w:val="auto"/>
              </w:rPr>
            </w:pPr>
            <w:r>
              <w:rPr>
                <w:rFonts w:ascii="Arial" w:cs="Arial" w:eastAsia="Arial" w:hAnsi="Arial"/>
                <w:sz w:val="17"/>
                <w:szCs w:val="17"/>
                <w:color w:val="auto"/>
              </w:rPr>
              <w:t>(556,483)</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540" w:type="dxa"/>
            <w:vAlign w:val="bottom"/>
            <w:tcBorders>
              <w:bottom w:val="single" w:sz="8" w:color="auto"/>
            </w:tcBorders>
            <w:shd w:val="clear" w:color="auto" w:fill="CCEEFF"/>
          </w:tcPr>
          <w:p>
            <w:pPr>
              <w:jc w:val="right"/>
              <w:ind w:right="74"/>
              <w:spacing w:after="0"/>
              <w:rPr>
                <w:sz w:val="20"/>
                <w:szCs w:val="20"/>
                <w:color w:val="auto"/>
              </w:rPr>
            </w:pPr>
            <w:r>
              <w:rPr>
                <w:rFonts w:ascii="Arial" w:cs="Arial" w:eastAsia="Arial" w:hAnsi="Arial"/>
                <w:sz w:val="17"/>
                <w:szCs w:val="17"/>
                <w:color w:val="auto"/>
              </w:rPr>
              <w:t>(621,295)</w:t>
            </w:r>
          </w:p>
        </w:tc>
      </w:tr>
      <w:tr>
        <w:trPr>
          <w:trHeight w:val="215"/>
        </w:trPr>
        <w:tc>
          <w:tcPr>
            <w:tcW w:w="7580" w:type="dxa"/>
            <w:vAlign w:val="bottom"/>
          </w:tcPr>
          <w:p>
            <w:pPr>
              <w:ind w:left="220"/>
              <w:spacing w:after="0"/>
              <w:rPr>
                <w:sz w:val="20"/>
                <w:szCs w:val="20"/>
                <w:color w:val="auto"/>
              </w:rPr>
            </w:pPr>
            <w:r>
              <w:rPr>
                <w:rFonts w:ascii="Arial" w:cs="Arial" w:eastAsia="Arial" w:hAnsi="Arial"/>
                <w:sz w:val="17"/>
                <w:szCs w:val="17"/>
                <w:color w:val="auto"/>
              </w:rPr>
              <w:t>Net debt</w:t>
            </w:r>
          </w:p>
        </w:tc>
        <w:tc>
          <w:tcPr>
            <w:tcW w:w="280" w:type="dxa"/>
            <w:vAlign w:val="bottom"/>
          </w:tcPr>
          <w:p>
            <w:pPr>
              <w:spacing w:after="0"/>
              <w:rPr>
                <w:sz w:val="18"/>
                <w:szCs w:val="18"/>
                <w:color w:val="auto"/>
              </w:rPr>
            </w:pPr>
          </w:p>
        </w:tc>
        <w:tc>
          <w:tcPr>
            <w:tcW w:w="1480" w:type="dxa"/>
            <w:vAlign w:val="bottom"/>
          </w:tcPr>
          <w:p>
            <w:pPr>
              <w:jc w:val="right"/>
              <w:ind w:right="134"/>
              <w:spacing w:after="0"/>
              <w:rPr>
                <w:sz w:val="20"/>
                <w:szCs w:val="20"/>
                <w:color w:val="auto"/>
              </w:rPr>
            </w:pPr>
            <w:r>
              <w:rPr>
                <w:rFonts w:ascii="Arial" w:cs="Arial" w:eastAsia="Arial" w:hAnsi="Arial"/>
                <w:sz w:val="17"/>
                <w:szCs w:val="17"/>
                <w:color w:val="auto"/>
              </w:rPr>
              <w:t>788,091</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40" w:type="dxa"/>
            <w:vAlign w:val="bottom"/>
          </w:tcPr>
          <w:p>
            <w:pPr>
              <w:jc w:val="right"/>
              <w:ind w:right="114"/>
              <w:spacing w:after="0"/>
              <w:rPr>
                <w:sz w:val="20"/>
                <w:szCs w:val="20"/>
                <w:color w:val="auto"/>
              </w:rPr>
            </w:pPr>
            <w:r>
              <w:rPr>
                <w:rFonts w:ascii="Arial" w:cs="Arial" w:eastAsia="Arial" w:hAnsi="Arial"/>
                <w:sz w:val="17"/>
                <w:szCs w:val="17"/>
                <w:color w:val="auto"/>
              </w:rPr>
              <w:t>721,706</w:t>
            </w:r>
          </w:p>
        </w:tc>
      </w:tr>
      <w:tr>
        <w:trPr>
          <w:trHeight w:val="222"/>
        </w:trPr>
        <w:tc>
          <w:tcPr>
            <w:tcW w:w="7580" w:type="dxa"/>
            <w:vAlign w:val="bottom"/>
            <w:shd w:val="clear" w:color="auto" w:fill="CCEEFF"/>
          </w:tcPr>
          <w:p>
            <w:pPr>
              <w:ind w:left="20"/>
              <w:spacing w:after="0"/>
              <w:rPr>
                <w:sz w:val="20"/>
                <w:szCs w:val="20"/>
                <w:color w:val="auto"/>
              </w:rPr>
            </w:pPr>
            <w:r>
              <w:rPr>
                <w:rFonts w:ascii="Arial" w:cs="Arial" w:eastAsia="Arial" w:hAnsi="Arial"/>
                <w:sz w:val="17"/>
                <w:szCs w:val="17"/>
                <w:color w:val="auto"/>
              </w:rPr>
              <w:t>Stockholders’ equity</w:t>
            </w:r>
          </w:p>
        </w:tc>
        <w:tc>
          <w:tcPr>
            <w:tcW w:w="28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ind w:right="134"/>
              <w:spacing w:after="0"/>
              <w:rPr>
                <w:sz w:val="20"/>
                <w:szCs w:val="20"/>
                <w:color w:val="auto"/>
              </w:rPr>
            </w:pPr>
            <w:r>
              <w:rPr>
                <w:rFonts w:ascii="Arial" w:cs="Arial" w:eastAsia="Arial" w:hAnsi="Arial"/>
                <w:sz w:val="17"/>
                <w:szCs w:val="17"/>
                <w:color w:val="auto"/>
              </w:rPr>
              <w:t>2,279,290</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540" w:type="dxa"/>
            <w:vAlign w:val="bottom"/>
            <w:tcBorders>
              <w:bottom w:val="single" w:sz="8" w:color="auto"/>
            </w:tcBorders>
            <w:shd w:val="clear" w:color="auto" w:fill="CCEEFF"/>
          </w:tcPr>
          <w:p>
            <w:pPr>
              <w:jc w:val="right"/>
              <w:ind w:right="114"/>
              <w:spacing w:after="0"/>
              <w:rPr>
                <w:sz w:val="20"/>
                <w:szCs w:val="20"/>
                <w:color w:val="auto"/>
              </w:rPr>
            </w:pPr>
            <w:r>
              <w:rPr>
                <w:rFonts w:ascii="Arial" w:cs="Arial" w:eastAsia="Arial" w:hAnsi="Arial"/>
                <w:sz w:val="17"/>
                <w:szCs w:val="17"/>
                <w:color w:val="auto"/>
              </w:rPr>
              <w:t>2,232,537</w:t>
            </w:r>
          </w:p>
        </w:tc>
      </w:tr>
      <w:tr>
        <w:trPr>
          <w:trHeight w:val="215"/>
        </w:trPr>
        <w:tc>
          <w:tcPr>
            <w:tcW w:w="7580" w:type="dxa"/>
            <w:vAlign w:val="bottom"/>
          </w:tcPr>
          <w:p>
            <w:pPr>
              <w:ind w:left="220"/>
              <w:spacing w:after="0"/>
              <w:rPr>
                <w:sz w:val="20"/>
                <w:szCs w:val="20"/>
                <w:color w:val="auto"/>
              </w:rPr>
            </w:pPr>
            <w:r>
              <w:rPr>
                <w:rFonts w:ascii="Arial" w:cs="Arial" w:eastAsia="Arial" w:hAnsi="Arial"/>
                <w:sz w:val="17"/>
                <w:szCs w:val="17"/>
                <w:color w:val="auto"/>
              </w:rPr>
              <w:t>Net capital</w:t>
            </w:r>
          </w:p>
        </w:tc>
        <w:tc>
          <w:tcPr>
            <w:tcW w:w="280" w:type="dxa"/>
            <w:vAlign w:val="bottom"/>
            <w:tcBorders>
              <w:bottom w:val="single" w:sz="8" w:color="auto"/>
            </w:tcBorders>
          </w:tcPr>
          <w:p>
            <w:pPr>
              <w:jc w:val="right"/>
              <w:ind w:right="93"/>
              <w:spacing w:after="0"/>
              <w:rPr>
                <w:sz w:val="20"/>
                <w:szCs w:val="20"/>
                <w:color w:val="auto"/>
              </w:rPr>
            </w:pPr>
            <w:r>
              <w:rPr>
                <w:rFonts w:ascii="Arial" w:cs="Arial" w:eastAsia="Arial" w:hAnsi="Arial"/>
                <w:sz w:val="17"/>
                <w:szCs w:val="17"/>
                <w:color w:val="auto"/>
                <w:w w:val="84"/>
              </w:rPr>
              <w:t>$</w:t>
            </w:r>
          </w:p>
        </w:tc>
        <w:tc>
          <w:tcPr>
            <w:tcW w:w="1480" w:type="dxa"/>
            <w:vAlign w:val="bottom"/>
            <w:tcBorders>
              <w:bottom w:val="single" w:sz="8" w:color="auto"/>
            </w:tcBorders>
          </w:tcPr>
          <w:p>
            <w:pPr>
              <w:jc w:val="right"/>
              <w:ind w:right="134"/>
              <w:spacing w:after="0"/>
              <w:rPr>
                <w:sz w:val="20"/>
                <w:szCs w:val="20"/>
                <w:color w:val="auto"/>
              </w:rPr>
            </w:pPr>
            <w:r>
              <w:rPr>
                <w:rFonts w:ascii="Arial" w:cs="Arial" w:eastAsia="Arial" w:hAnsi="Arial"/>
                <w:sz w:val="17"/>
                <w:szCs w:val="17"/>
                <w:color w:val="auto"/>
              </w:rPr>
              <w:t>3,067,381</w:t>
            </w:r>
          </w:p>
        </w:tc>
        <w:tc>
          <w:tcPr>
            <w:tcW w:w="100" w:type="dxa"/>
            <w:vAlign w:val="bottom"/>
          </w:tcPr>
          <w:p>
            <w:pPr>
              <w:spacing w:after="0"/>
              <w:rPr>
                <w:sz w:val="18"/>
                <w:szCs w:val="18"/>
                <w:color w:val="auto"/>
              </w:rPr>
            </w:pPr>
          </w:p>
        </w:tc>
        <w:tc>
          <w:tcPr>
            <w:tcW w:w="22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w w:val="84"/>
              </w:rPr>
              <w:t>$</w:t>
            </w:r>
          </w:p>
        </w:tc>
        <w:tc>
          <w:tcPr>
            <w:tcW w:w="1540" w:type="dxa"/>
            <w:vAlign w:val="bottom"/>
            <w:tcBorders>
              <w:bottom w:val="single" w:sz="8" w:color="auto"/>
            </w:tcBorders>
          </w:tcPr>
          <w:p>
            <w:pPr>
              <w:jc w:val="right"/>
              <w:ind w:right="114"/>
              <w:spacing w:after="0"/>
              <w:rPr>
                <w:sz w:val="20"/>
                <w:szCs w:val="20"/>
                <w:color w:val="auto"/>
              </w:rPr>
            </w:pPr>
            <w:r>
              <w:rPr>
                <w:rFonts w:ascii="Arial" w:cs="Arial" w:eastAsia="Arial" w:hAnsi="Arial"/>
                <w:sz w:val="17"/>
                <w:szCs w:val="17"/>
                <w:color w:val="auto"/>
              </w:rPr>
              <w:t>2,954,243</w:t>
            </w:r>
          </w:p>
        </w:tc>
      </w:tr>
      <w:tr>
        <w:trPr>
          <w:trHeight w:val="20"/>
        </w:trPr>
        <w:tc>
          <w:tcPr>
            <w:tcW w:w="758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r>
      <w:tr>
        <w:trPr>
          <w:trHeight w:val="240"/>
        </w:trPr>
        <w:tc>
          <w:tcPr>
            <w:tcW w:w="7580" w:type="dxa"/>
            <w:vAlign w:val="bottom"/>
            <w:tcBorders>
              <w:bottom w:val="single" w:sz="8" w:color="CCEEFF"/>
            </w:tcBorders>
            <w:shd w:val="clear" w:color="auto" w:fill="CCEEFF"/>
          </w:tcPr>
          <w:p>
            <w:pPr>
              <w:ind w:left="20"/>
              <w:spacing w:after="0" w:line="214" w:lineRule="exact"/>
              <w:rPr>
                <w:sz w:val="20"/>
                <w:szCs w:val="20"/>
                <w:color w:val="auto"/>
              </w:rPr>
            </w:pPr>
            <w:r>
              <w:rPr>
                <w:rFonts w:ascii="Arial" w:cs="Arial" w:eastAsia="Arial" w:hAnsi="Arial"/>
                <w:sz w:val="17"/>
                <w:szCs w:val="17"/>
                <w:color w:val="auto"/>
              </w:rPr>
              <w:t>Ratio of net debt-to-net capital</w:t>
            </w:r>
            <w:r>
              <w:rPr>
                <w:rFonts w:ascii="Arial" w:cs="Arial" w:eastAsia="Arial" w:hAnsi="Arial"/>
                <w:sz w:val="20"/>
                <w:szCs w:val="20"/>
                <w:color w:val="auto"/>
                <w:vertAlign w:val="superscript"/>
              </w:rPr>
              <w:t>(2)</w:t>
            </w:r>
          </w:p>
        </w:tc>
        <w:tc>
          <w:tcPr>
            <w:tcW w:w="280" w:type="dxa"/>
            <w:vAlign w:val="bottom"/>
            <w:tcBorders>
              <w:bottom w:val="single" w:sz="8" w:color="auto"/>
            </w:tcBorders>
            <w:shd w:val="clear" w:color="auto" w:fill="CCEEFF"/>
          </w:tcPr>
          <w:p>
            <w:pPr>
              <w:spacing w:after="0"/>
              <w:rPr>
                <w:sz w:val="20"/>
                <w:szCs w:val="20"/>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25.7 %</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spacing w:after="0"/>
              <w:rPr>
                <w:sz w:val="20"/>
                <w:szCs w:val="20"/>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24.4 %</w:t>
            </w:r>
          </w:p>
        </w:tc>
      </w:tr>
      <w:tr>
        <w:trPr>
          <w:trHeight w:val="20"/>
        </w:trPr>
        <w:tc>
          <w:tcPr>
            <w:tcW w:w="75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540" w:type="dxa"/>
            <w:vAlign w:val="bottom"/>
            <w:tcBorders>
              <w:top w:val="single" w:sz="8" w:color="CCEEFF"/>
              <w:bottom w:val="single" w:sz="8" w:color="auto"/>
            </w:tcBorders>
          </w:tcPr>
          <w:p>
            <w:pPr>
              <w:spacing w:after="0" w:line="20" w:lineRule="exact"/>
              <w:rPr>
                <w:sz w:val="1"/>
                <w:szCs w:val="1"/>
                <w:color w:val="auto"/>
              </w:rPr>
            </w:pPr>
          </w:p>
        </w:tc>
      </w:tr>
    </w:tbl>
    <w:p>
      <w:pPr>
        <w:spacing w:after="0" w:line="68" w:lineRule="exact"/>
        <w:rPr>
          <w:sz w:val="20"/>
          <w:szCs w:val="20"/>
          <w:color w:val="auto"/>
        </w:rPr>
      </w:pPr>
    </w:p>
    <w:p>
      <w:pPr>
        <w:spacing w:after="0"/>
        <w:rPr>
          <w:sz w:val="20"/>
          <w:szCs w:val="20"/>
          <w:color w:val="auto"/>
        </w:rPr>
      </w:pPr>
      <w:r>
        <w:rPr>
          <w:rFonts w:ascii="Arial" w:cs="Arial" w:eastAsia="Arial" w:hAnsi="Arial"/>
          <w:sz w:val="16"/>
          <w:szCs w:val="16"/>
          <w:color w:val="auto"/>
        </w:rPr>
        <w:t>__________</w:t>
      </w:r>
    </w:p>
    <w:p>
      <w:pPr>
        <w:spacing w:after="0" w:line="49" w:lineRule="exact"/>
        <w:rPr>
          <w:sz w:val="20"/>
          <w:szCs w:val="20"/>
          <w:color w:val="auto"/>
        </w:rPr>
      </w:pPr>
    </w:p>
    <w:p>
      <w:pPr>
        <w:ind w:left="580" w:hanging="301"/>
        <w:spacing w:after="0"/>
        <w:tabs>
          <w:tab w:leader="none" w:pos="58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ratio of debt-to-capital is computed as the quotient obtained by dividing total debt by the sum of total debt plus stockholders’ equity.</w:t>
      </w:r>
    </w:p>
    <w:p>
      <w:pPr>
        <w:spacing w:after="0" w:line="25" w:lineRule="exact"/>
        <w:rPr>
          <w:rFonts w:ascii="Arial" w:cs="Arial" w:eastAsia="Arial" w:hAnsi="Arial"/>
          <w:sz w:val="17"/>
          <w:szCs w:val="17"/>
          <w:color w:val="auto"/>
        </w:rPr>
      </w:pPr>
    </w:p>
    <w:p>
      <w:pPr>
        <w:ind w:left="600" w:hanging="321"/>
        <w:spacing w:after="0" w:line="259" w:lineRule="auto"/>
        <w:tabs>
          <w:tab w:leader="none" w:pos="594"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ratio of net debt-to-net capital is a non-GAAP financial measure and is computed as the quotient obtained by dividing net debt (which is total debt less cash and cash equivalents) by the sum of net debt plus stockholders’ equity. The most directly comparable GAAP financial measure is the ratio of debt-to-capital. We believe the ratio of net debt-to-net capital is a relevant financial measure for investors to understand the leverage employed in our operations and as an indicator of our ability to obtain financing. See the table above reconciling this non-GAAP financial measure to the ratio of debt-to-capital. Because the ratio of net debt-to-net capital is not calculated in accordance with GAAP, it may not be comparable to other similarly titled measures of other companies and should not be considered in isolation or as a substitute for, or superior to, financial measures prepared in accordance with GAAP.</w:t>
      </w:r>
    </w:p>
    <w:p>
      <w:pPr>
        <w:spacing w:after="0" w:line="200" w:lineRule="exact"/>
        <w:rPr>
          <w:rFonts w:ascii="Arial" w:cs="Arial" w:eastAsia="Arial" w:hAnsi="Arial"/>
          <w:sz w:val="17"/>
          <w:szCs w:val="17"/>
          <w:color w:val="auto"/>
        </w:rPr>
      </w:pPr>
    </w:p>
    <w:p>
      <w:pPr>
        <w:spacing w:after="0" w:line="310" w:lineRule="exact"/>
        <w:rPr>
          <w:rFonts w:ascii="Arial" w:cs="Arial" w:eastAsia="Arial" w:hAnsi="Arial"/>
          <w:sz w:val="17"/>
          <w:szCs w:val="17"/>
          <w:color w:val="auto"/>
        </w:rPr>
      </w:pPr>
    </w:p>
    <w:p>
      <w:pPr>
        <w:ind w:left="5540" w:hanging="105"/>
        <w:spacing w:after="0"/>
        <w:tabs>
          <w:tab w:leader="none" w:pos="5540" w:val="left"/>
        </w:tabs>
        <w:numPr>
          <w:ilvl w:val="1"/>
          <w:numId w:val="15"/>
        </w:numPr>
        <w:rPr>
          <w:rFonts w:ascii="Arial" w:cs="Arial" w:eastAsia="Arial" w:hAnsi="Arial"/>
          <w:sz w:val="17"/>
          <w:szCs w:val="17"/>
          <w:color w:val="auto"/>
        </w:rPr>
      </w:pPr>
      <w:r>
        <w:rPr>
          <w:rFonts w:ascii="Arial" w:cs="Arial" w:eastAsia="Arial" w:hAnsi="Arial"/>
          <w:sz w:val="17"/>
          <w:szCs w:val="17"/>
          <w:color w:val="auto"/>
        </w:rPr>
        <w:t>37 -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38" w:name="page39"/>
    <w:bookmarkEnd w:id="38"/>
    <w:p>
      <w:pPr>
        <w:spacing w:after="0"/>
        <w:rPr>
          <w:sz w:val="20"/>
          <w:szCs w:val="20"/>
          <w:color w:val="auto"/>
        </w:rPr>
      </w:pPr>
      <w:r>
        <w:rPr>
          <w:rFonts w:ascii="Arial" w:cs="Arial" w:eastAsia="Arial" w:hAnsi="Arial"/>
          <w:sz w:val="17"/>
          <w:szCs w:val="17"/>
          <w:b w:val="1"/>
          <w:bCs w:val="1"/>
          <w:i w:val="1"/>
          <w:iCs w:val="1"/>
          <w:color w:val="auto"/>
        </w:rPr>
        <w:t>Cash Flows—Six Months Ended June 30, 2021 Compared to Six Months Ended June 30, 2020</w:t>
      </w:r>
    </w:p>
    <w:p>
      <w:pPr>
        <w:spacing w:after="0" w:line="118" w:lineRule="exact"/>
        <w:rPr>
          <w:sz w:val="20"/>
          <w:szCs w:val="20"/>
          <w:color w:val="auto"/>
        </w:rPr>
      </w:pPr>
    </w:p>
    <w:p>
      <w:pPr>
        <w:ind w:left="480"/>
        <w:spacing w:after="0"/>
        <w:rPr>
          <w:sz w:val="20"/>
          <w:szCs w:val="20"/>
          <w:color w:val="auto"/>
        </w:rPr>
      </w:pPr>
      <w:r>
        <w:rPr>
          <w:rFonts w:ascii="Arial" w:cs="Arial" w:eastAsia="Arial" w:hAnsi="Arial"/>
          <w:sz w:val="17"/>
          <w:szCs w:val="17"/>
          <w:color w:val="auto"/>
        </w:rPr>
        <w:t>For the six months ended June 30, 2021 as compared to the six months ended June 30, 2020:</w:t>
      </w:r>
    </w:p>
    <w:p>
      <w:pPr>
        <w:spacing w:after="0" w:line="66" w:lineRule="exact"/>
        <w:rPr>
          <w:sz w:val="20"/>
          <w:szCs w:val="20"/>
          <w:color w:val="auto"/>
        </w:rPr>
      </w:pPr>
    </w:p>
    <w:p>
      <w:pPr>
        <w:ind w:left="940" w:right="20" w:hanging="308"/>
        <w:spacing w:after="0" w:line="303" w:lineRule="auto"/>
        <w:tabs>
          <w:tab w:leader="none" w:pos="936" w:val="left"/>
        </w:tabs>
        <w:numPr>
          <w:ilvl w:val="0"/>
          <w:numId w:val="16"/>
        </w:numPr>
        <w:rPr>
          <w:rFonts w:ascii="Arial" w:cs="Arial" w:eastAsia="Arial" w:hAnsi="Arial"/>
          <w:sz w:val="15"/>
          <w:szCs w:val="15"/>
          <w:color w:val="auto"/>
        </w:rPr>
      </w:pPr>
      <w:r>
        <w:rPr>
          <w:rFonts w:ascii="Arial" w:cs="Arial" w:eastAsia="Arial" w:hAnsi="Arial"/>
          <w:sz w:val="15"/>
          <w:szCs w:val="15"/>
          <w:color w:val="auto"/>
        </w:rPr>
        <w:t>Net cash provided by operating activities decreased by $68.9 million to $97.3 million for the six months ended June 30, 2021 compared to net cash provided by operating activities of $166.2 million for the prior-year period. The change was comprised of offsetting activity, including (i) an increase in net income to $188.7 million for the six months ended June 30, 2021 compared to $88.4 million in the prior-year period, (ii) an increase in cash used for real estate inventory purchases of $227.6 million and (iii) other offsetting changes in other assets, receivables, accounts payable, accrued expenses and other liabilities, deferred income taxes and returns on investments in unconsolidated entities. The timing of cash used for real estate inventory purchases for the prior-year period was impacted by uncertainty surrounding the onset of the COVID-19 pandemic.</w:t>
      </w:r>
    </w:p>
    <w:p>
      <w:pPr>
        <w:ind w:left="940" w:right="200" w:hanging="308"/>
        <w:spacing w:after="0" w:line="272" w:lineRule="auto"/>
        <w:tabs>
          <w:tab w:leader="none" w:pos="936" w:val="left"/>
        </w:tabs>
        <w:numPr>
          <w:ilvl w:val="0"/>
          <w:numId w:val="16"/>
        </w:numPr>
        <w:rPr>
          <w:rFonts w:ascii="Arial" w:cs="Arial" w:eastAsia="Arial" w:hAnsi="Arial"/>
          <w:sz w:val="17"/>
          <w:szCs w:val="17"/>
          <w:color w:val="auto"/>
        </w:rPr>
      </w:pPr>
      <w:r>
        <w:rPr>
          <w:rFonts w:ascii="Arial" w:cs="Arial" w:eastAsia="Arial" w:hAnsi="Arial"/>
          <w:sz w:val="17"/>
          <w:szCs w:val="17"/>
          <w:color w:val="auto"/>
        </w:rPr>
        <w:t>Net cash used in investing activities was $8.5 million for the six months ended June 30, 2021, compared to net cash used of $37.7 million for the prior-year period. The change in net cash used in investing activities was due mainly to the net change in cash flows related to investments in unconsolidated entities and a decrease in purchases of property and equipment.</w:t>
      </w:r>
    </w:p>
    <w:p>
      <w:pPr>
        <w:spacing w:after="0" w:line="14" w:lineRule="exact"/>
        <w:rPr>
          <w:rFonts w:ascii="Arial" w:cs="Arial" w:eastAsia="Arial" w:hAnsi="Arial"/>
          <w:sz w:val="17"/>
          <w:szCs w:val="17"/>
          <w:color w:val="auto"/>
        </w:rPr>
      </w:pPr>
    </w:p>
    <w:p>
      <w:pPr>
        <w:ind w:left="940" w:right="160" w:hanging="308"/>
        <w:spacing w:after="0" w:line="263" w:lineRule="auto"/>
        <w:tabs>
          <w:tab w:leader="none" w:pos="936" w:val="left"/>
        </w:tabs>
        <w:numPr>
          <w:ilvl w:val="0"/>
          <w:numId w:val="16"/>
        </w:numPr>
        <w:rPr>
          <w:rFonts w:ascii="Arial" w:cs="Arial" w:eastAsia="Arial" w:hAnsi="Arial"/>
          <w:sz w:val="17"/>
          <w:szCs w:val="17"/>
          <w:color w:val="auto"/>
        </w:rPr>
      </w:pPr>
      <w:r>
        <w:rPr>
          <w:rFonts w:ascii="Arial" w:cs="Arial" w:eastAsia="Arial" w:hAnsi="Arial"/>
          <w:sz w:val="17"/>
          <w:szCs w:val="17"/>
          <w:color w:val="auto"/>
        </w:rPr>
        <w:t>Net cash used in financing activities was $153.7 million for the six months ended June 30, 2021, compared to net cash provided by financing activities of $17.0 million for the prior-year period. Net cash used in financing activities in the current-year period was primarily comprised of $148.3 million of cash used for share repurchases. The prior-year period cash provided by financing activities was due primarily to the net borrowing of $128.3 million under our Revolving Facility offset by $102.0 million of cash used for share repurchases for the six months ended June 30, 2020. The borrowing under our Revolving Facility in the prior-year period was due primarily to the uncertainty surrounding the onset of the COVID-19 pandemic.</w:t>
      </w:r>
    </w:p>
    <w:p>
      <w:pPr>
        <w:spacing w:after="0" w:line="27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Off-Balance Sheet Arrangements and Contractual Obligations</w:t>
      </w:r>
    </w:p>
    <w:p>
      <w:pPr>
        <w:spacing w:after="0" w:line="124" w:lineRule="exact"/>
        <w:rPr>
          <w:sz w:val="20"/>
          <w:szCs w:val="20"/>
          <w:color w:val="auto"/>
        </w:rPr>
      </w:pPr>
    </w:p>
    <w:p>
      <w:pPr>
        <w:ind w:right="20" w:firstLine="470"/>
        <w:spacing w:after="0" w:line="277" w:lineRule="auto"/>
        <w:rPr>
          <w:sz w:val="20"/>
          <w:szCs w:val="20"/>
          <w:color w:val="auto"/>
        </w:rPr>
      </w:pPr>
      <w:r>
        <w:rPr>
          <w:rFonts w:ascii="Arial" w:cs="Arial" w:eastAsia="Arial" w:hAnsi="Arial"/>
          <w:sz w:val="16"/>
          <w:szCs w:val="16"/>
          <w:color w:val="auto"/>
        </w:rPr>
        <w:t xml:space="preserve">In the ordinary course of business, we enter into purchase contracts in order to procure lots for the construction of our homes. We are subject to customary obligations associated with entering into contracts for the purchase of land and improved lots. These purchase contracts typically require a cash deposit and the purchase of properties under these contracts is generally contingent upon satisfaction of certain requirements by the sellers, including obtaining applicable property and development entitlements. We also utilize option contracts with land sellers and land banking arrangements as a method of acquiring land in staged takedowns, to help us manage the financial and market risk associated with land holdings, and to reduce the use of funds from our corporate financing sources. These option contracts and land banking arrangements generally require a non-refundable deposit for the right to acquire land and lots over a specified period of time at pre-determined prices. We generally have the right, at our discretion, to terminate our obligations under both purchase contracts and option contracts by forfeiting our cash deposit with no further financial responsibility to the land seller. In some cases, however, we may be contractually obligated to complete development work even if we terminate the option to procure land or lots. As of June 30, 2021, we had $166.7 million of cash deposits, the majority of which are non-refundable, pertaining to land and lot option contracts and purchase contracts with an aggregate remaining purchase price of $1.1 billion (net of deposits). See Note 7, </w:t>
      </w:r>
      <w:r>
        <w:rPr>
          <w:rFonts w:ascii="Arial" w:cs="Arial" w:eastAsia="Arial" w:hAnsi="Arial"/>
          <w:sz w:val="16"/>
          <w:szCs w:val="16"/>
          <w:i w:val="1"/>
          <w:iCs w:val="1"/>
          <w:color w:val="auto"/>
        </w:rPr>
        <w:t>Variable Interest Entities</w:t>
      </w:r>
      <w:r>
        <w:rPr>
          <w:rFonts w:ascii="Arial" w:cs="Arial" w:eastAsia="Arial" w:hAnsi="Arial"/>
          <w:sz w:val="16"/>
          <w:szCs w:val="16"/>
          <w:color w:val="auto"/>
        </w:rPr>
        <w:t>, to the accompanying condensed notes to unaudited consolidated financial statements included in this Quarterly Report on Form 10-Q.</w:t>
      </w:r>
    </w:p>
    <w:p>
      <w:pPr>
        <w:spacing w:after="0" w:line="170" w:lineRule="exact"/>
        <w:rPr>
          <w:sz w:val="20"/>
          <w:szCs w:val="20"/>
          <w:color w:val="auto"/>
        </w:rPr>
      </w:pPr>
    </w:p>
    <w:p>
      <w:pPr>
        <w:ind w:right="60" w:firstLine="470"/>
        <w:spacing w:after="0" w:line="267" w:lineRule="auto"/>
        <w:rPr>
          <w:sz w:val="20"/>
          <w:szCs w:val="20"/>
          <w:color w:val="auto"/>
        </w:rPr>
      </w:pPr>
      <w:r>
        <w:rPr>
          <w:rFonts w:ascii="Arial" w:cs="Arial" w:eastAsia="Arial" w:hAnsi="Arial"/>
          <w:sz w:val="17"/>
          <w:szCs w:val="17"/>
          <w:color w:val="auto"/>
        </w:rPr>
        <w:t>Our utilization of land and lot option contracts and land banking arrangements is dependent on, among other things, the availability of land sellers or land banking firms willing to enter into such arrangements, the availability of capital to finance the development of optioned land and lots, general housing market conditions, and local market dynamics. Options may be more difficult to procure from land sellers in strong housing markets and are more prevalent in certain geographic regions.</w:t>
      </w:r>
    </w:p>
    <w:p>
      <w:pPr>
        <w:spacing w:after="0" w:line="176" w:lineRule="exact"/>
        <w:rPr>
          <w:sz w:val="20"/>
          <w:szCs w:val="20"/>
          <w:color w:val="auto"/>
        </w:rPr>
      </w:pPr>
    </w:p>
    <w:p>
      <w:pPr>
        <w:ind w:firstLine="470"/>
        <w:spacing w:after="0" w:line="297" w:lineRule="auto"/>
        <w:rPr>
          <w:sz w:val="20"/>
          <w:szCs w:val="20"/>
          <w:color w:val="auto"/>
        </w:rPr>
      </w:pPr>
      <w:r>
        <w:rPr>
          <w:rFonts w:ascii="Arial" w:cs="Arial" w:eastAsia="Arial" w:hAnsi="Arial"/>
          <w:sz w:val="16"/>
          <w:szCs w:val="16"/>
          <w:color w:val="auto"/>
        </w:rPr>
        <w:t xml:space="preserve">As of June 30, 2021, we held equity investments in nine active homebuilding partnerships or limited liability companies and one financial services limited liability company. Our participation in these entities may be as a developer, a builder, or an investment partner. See Note 6, </w:t>
      </w:r>
      <w:r>
        <w:rPr>
          <w:rFonts w:ascii="Arial" w:cs="Arial" w:eastAsia="Arial" w:hAnsi="Arial"/>
          <w:sz w:val="16"/>
          <w:szCs w:val="16"/>
          <w:i w:val="1"/>
          <w:iCs w:val="1"/>
          <w:color w:val="auto"/>
        </w:rPr>
        <w:t>Investments in Unconsolidated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Entities, </w:t>
      </w:r>
      <w:r>
        <w:rPr>
          <w:rFonts w:ascii="Arial" w:cs="Arial" w:eastAsia="Arial" w:hAnsi="Arial"/>
          <w:sz w:val="16"/>
          <w:szCs w:val="16"/>
          <w:color w:val="auto"/>
        </w:rPr>
        <w:t>to the accompanying condensed notes to unaudited consolidated financial statements included in this Quarterly Report on Form 10-Q.</w:t>
      </w:r>
    </w:p>
    <w:p>
      <w:pPr>
        <w:spacing w:after="0" w:line="200" w:lineRule="exact"/>
        <w:rPr>
          <w:sz w:val="20"/>
          <w:szCs w:val="20"/>
          <w:color w:val="auto"/>
        </w:rPr>
      </w:pPr>
    </w:p>
    <w:p>
      <w:pPr>
        <w:spacing w:after="0" w:line="2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- 38 -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86" w:right="339" w:bottom="1440" w:gutter="0" w:footer="0" w:header="0"/>
        </w:sectPr>
      </w:pPr>
    </w:p>
    <w:bookmarkStart w:id="39" w:name="page40"/>
    <w:bookmarkEnd w:id="39"/>
    <w:p>
      <w:pPr>
        <w:spacing w:after="0"/>
        <w:rPr>
          <w:sz w:val="20"/>
          <w:szCs w:val="20"/>
          <w:color w:val="auto"/>
        </w:rPr>
      </w:pPr>
      <w:r>
        <w:rPr>
          <w:rFonts w:ascii="Arial" w:cs="Arial" w:eastAsia="Arial" w:hAnsi="Arial"/>
          <w:sz w:val="17"/>
          <w:szCs w:val="17"/>
          <w:b w:val="1"/>
          <w:bCs w:val="1"/>
          <w:color w:val="auto"/>
        </w:rPr>
        <w:t>Supplemental Guarantor Financial Information</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2027 Notes and 2028 Notes</w:t>
      </w:r>
    </w:p>
    <w:p>
      <w:pPr>
        <w:spacing w:after="0" w:line="124" w:lineRule="exact"/>
        <w:rPr>
          <w:sz w:val="20"/>
          <w:szCs w:val="20"/>
          <w:color w:val="auto"/>
        </w:rPr>
      </w:pPr>
    </w:p>
    <w:p>
      <w:pPr>
        <w:ind w:firstLine="470"/>
        <w:spacing w:after="0" w:line="260" w:lineRule="auto"/>
        <w:rPr>
          <w:sz w:val="20"/>
          <w:szCs w:val="20"/>
          <w:color w:val="auto"/>
        </w:rPr>
      </w:pPr>
      <w:r>
        <w:rPr>
          <w:rFonts w:ascii="Arial" w:cs="Arial" w:eastAsia="Arial" w:hAnsi="Arial"/>
          <w:sz w:val="17"/>
          <w:szCs w:val="17"/>
          <w:color w:val="auto"/>
        </w:rPr>
        <w:t>On June 5, 2017, Tri Pointe issued the 2027 Notes and on June 10, 2020, Tri Pointe issued the 2028 Notes. All of Tri Pointe’s 100% owned subsidiaries that are guarantors (each a “Guarantor” and, collectively, the “Guarantors”) of the Credit Facility, including Tri Pointe Homes Holdings, are party to supplemental indentures pursuant to which they jointly and severally guarantee Tri Pointe’s obligations with respect to these Notes. Each Guarantor of the 2027 Notes and the 2028 Notes is 100% owned by Tri Pointe, and all guarantees are full and unconditional, subject to customary exceptions pursuant to the indentures governing the 2027 Notes and the 2028 Notes, as described in the following paragraph. All of our non-Guarantor subsidiaries have nominal assets and operations and are considered minor, as defined in Rule 3-10(h) of Regulation S-X. In addition, Tri Pointe has no independent assets or operations, as defined in Rule 3-10(h) of Regulation S-X. There are no significant restrictions upon the ability of Tri Pointe or any Guarantor to obtain funds from any of their respective wholly owned subsidiaries by dividend or loan. None of the assets of our subsidiaries represent restricted net assets pursuant to Rule 4-08(e)(3) of Regulation S-X.</w:t>
      </w:r>
    </w:p>
    <w:p>
      <w:pPr>
        <w:spacing w:after="0" w:line="185" w:lineRule="exact"/>
        <w:rPr>
          <w:sz w:val="20"/>
          <w:szCs w:val="20"/>
          <w:color w:val="auto"/>
        </w:rPr>
      </w:pPr>
    </w:p>
    <w:p>
      <w:pPr>
        <w:ind w:right="60" w:firstLine="470"/>
        <w:spacing w:after="0" w:line="263" w:lineRule="auto"/>
        <w:rPr>
          <w:sz w:val="20"/>
          <w:szCs w:val="20"/>
          <w:color w:val="auto"/>
        </w:rPr>
      </w:pPr>
      <w:r>
        <w:rPr>
          <w:rFonts w:ascii="Arial" w:cs="Arial" w:eastAsia="Arial" w:hAnsi="Arial"/>
          <w:sz w:val="17"/>
          <w:szCs w:val="17"/>
          <w:color w:val="auto"/>
        </w:rPr>
        <w:t>A Guarantor of the 2027 Notes and the 2028 Notes shall be released from all of its obligations under its guarantee if (i) all of the assets of the Guarantor have been sold; (ii) all of the equity interests of the Guarantor held by Tri Pointe or a subsidiary thereof have been sold; (iii) the Guarantor merges with and into Tri Pointe or another Guarantor, with Tri Pointe or such other Guarantor surviving the merger; (iv) the Guarantor is designated “unrestricted” for covenant purposes; (v) the Guarantor ceases to guarantee any indebtedness of Tri Pointe or any other Guarantor which gave rise to such Guarantor guaranteeing the 2027 Notes or the 2028 Notes; (vi) Tri Pointe exercises its legal defeasance or covenant defeasance options; or (vii) all obligations under the applicable supplemental indenture are discharged.</w:t>
      </w:r>
    </w:p>
    <w:p>
      <w:pPr>
        <w:spacing w:after="0" w:line="17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2024 Notes</w:t>
      </w:r>
    </w:p>
    <w:p>
      <w:pPr>
        <w:spacing w:after="0" w:line="124" w:lineRule="exact"/>
        <w:rPr>
          <w:sz w:val="20"/>
          <w:szCs w:val="20"/>
          <w:color w:val="auto"/>
        </w:rPr>
      </w:pPr>
    </w:p>
    <w:p>
      <w:pPr>
        <w:ind w:right="60" w:firstLine="470"/>
        <w:spacing w:after="0" w:line="267" w:lineRule="auto"/>
        <w:rPr>
          <w:sz w:val="20"/>
          <w:szCs w:val="20"/>
          <w:color w:val="auto"/>
        </w:rPr>
      </w:pPr>
      <w:r>
        <w:rPr>
          <w:rFonts w:ascii="Arial" w:cs="Arial" w:eastAsia="Arial" w:hAnsi="Arial"/>
          <w:sz w:val="17"/>
          <w:szCs w:val="17"/>
          <w:color w:val="auto"/>
        </w:rPr>
        <w:t>Tri Pointe and Tri Pointe Homes Holdings are co-issuers of the 2024 Notes. All of the Guarantors (other than Tri Pointe Homes Holdings) have entered into supplemental indentures pursuant to which they jointly and severally guarantee the obligations of Tri Pointe and Tri Pointe Homes Holdings with respect to the 2024 Notes. Each Guarantor of the 2024 Notes is 100% owned by Tri Pointe and Tri Pointe Homes Holdings, and all guarantees are full and unconditional, subject to customary exceptions pursuant to the indentures governing the 2024 Notes, as described below.</w:t>
      </w:r>
    </w:p>
    <w:p>
      <w:pPr>
        <w:spacing w:after="0" w:line="176" w:lineRule="exact"/>
        <w:rPr>
          <w:sz w:val="20"/>
          <w:szCs w:val="20"/>
          <w:color w:val="auto"/>
        </w:rPr>
      </w:pPr>
    </w:p>
    <w:p>
      <w:pPr>
        <w:ind w:right="160" w:firstLine="470"/>
        <w:spacing w:after="0" w:line="284" w:lineRule="auto"/>
        <w:rPr>
          <w:sz w:val="20"/>
          <w:szCs w:val="20"/>
          <w:color w:val="auto"/>
        </w:rPr>
      </w:pPr>
      <w:r>
        <w:rPr>
          <w:rFonts w:ascii="Arial" w:cs="Arial" w:eastAsia="Arial" w:hAnsi="Arial"/>
          <w:sz w:val="16"/>
          <w:szCs w:val="16"/>
          <w:color w:val="auto"/>
        </w:rPr>
        <w:t>A Guarantor of the 2024 Notes shall be released from all of its obligations under its guarantee if (i) all of the assets of the Guarantor have been sold; (ii) all of the equity interests of the Guarantor held by Tri Pointe or a subsidiary thereof have been sold; (iii) the Guarantor merges with and into Tri Pointe or another Guarantor, with Tri Pointe or such other Guarantor surviving the merger; (iv) the Guarantor is designated “unrestricted” for covenant purposes; (v) the Guarantor ceases to guarantee any indebtedness of Tri Pointe or any other Guarantor which gave rise to such Guarantor guaranteeing the 2024 Notes; (vi) Tri Pointe exercises its legal defeasance or covenant defeasance options; or (vii) all obligations under the applicable indenture are discharged.</w:t>
      </w:r>
    </w:p>
    <w:p>
      <w:pPr>
        <w:spacing w:after="0" w:line="166" w:lineRule="exact"/>
        <w:rPr>
          <w:sz w:val="20"/>
          <w:szCs w:val="20"/>
          <w:color w:val="auto"/>
        </w:rPr>
      </w:pPr>
    </w:p>
    <w:p>
      <w:pPr>
        <w:ind w:right="700" w:firstLine="470"/>
        <w:spacing w:after="0" w:line="288" w:lineRule="auto"/>
        <w:rPr>
          <w:sz w:val="20"/>
          <w:szCs w:val="20"/>
          <w:color w:val="auto"/>
        </w:rPr>
      </w:pPr>
      <w:r>
        <w:rPr>
          <w:rFonts w:ascii="Arial" w:cs="Arial" w:eastAsia="Arial" w:hAnsi="Arial"/>
          <w:sz w:val="17"/>
          <w:szCs w:val="17"/>
          <w:color w:val="auto"/>
        </w:rPr>
        <w:t>Tri Pointe’s non-Guarantor subsidiaries are considered minor, as defined in Rule 3-10(h) of Regulation S-X, therefore the consolidated financial statements represent the full issuer and guarantor subsidiary results.</w:t>
      </w: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Inflation</w:t>
      </w:r>
    </w:p>
    <w:p>
      <w:pPr>
        <w:spacing w:after="0" w:line="124" w:lineRule="exact"/>
        <w:rPr>
          <w:sz w:val="20"/>
          <w:szCs w:val="20"/>
          <w:color w:val="auto"/>
        </w:rPr>
      </w:pPr>
    </w:p>
    <w:p>
      <w:pPr>
        <w:ind w:right="60" w:firstLine="470"/>
        <w:spacing w:after="0" w:line="267" w:lineRule="auto"/>
        <w:rPr>
          <w:sz w:val="20"/>
          <w:szCs w:val="20"/>
          <w:color w:val="auto"/>
        </w:rPr>
      </w:pPr>
      <w:r>
        <w:rPr>
          <w:rFonts w:ascii="Arial" w:cs="Arial" w:eastAsia="Arial" w:hAnsi="Arial"/>
          <w:sz w:val="17"/>
          <w:szCs w:val="17"/>
          <w:color w:val="auto"/>
        </w:rPr>
        <w:t>Our operations can be adversely impacted by inflation, primarily from higher land, financing, labor, material and construction costs. In addition, inflation can lead to higher mortgage rates, which can significantly affect the affordability of mortgage financing to homebuyers. While we attempt to pass on cost increases to customers through increased prices, when weak housing market conditions exist, we are often unable to offset cost increases with higher selling prices.</w:t>
      </w: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- 39 -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180" w:right="359" w:bottom="1440" w:gutter="0" w:footer="0" w:header="0"/>
        </w:sectPr>
      </w:pPr>
    </w:p>
    <w:bookmarkStart w:id="40" w:name="page41"/>
    <w:bookmarkEnd w:id="40"/>
    <w:p>
      <w:pPr>
        <w:spacing w:after="0"/>
        <w:rPr>
          <w:sz w:val="20"/>
          <w:szCs w:val="20"/>
          <w:color w:val="auto"/>
        </w:rPr>
      </w:pPr>
      <w:r>
        <w:rPr>
          <w:rFonts w:ascii="Arial" w:cs="Arial" w:eastAsia="Arial" w:hAnsi="Arial"/>
          <w:sz w:val="17"/>
          <w:szCs w:val="17"/>
          <w:b w:val="1"/>
          <w:bCs w:val="1"/>
          <w:color w:val="auto"/>
        </w:rPr>
        <w:t>Seasonality</w:t>
      </w:r>
    </w:p>
    <w:p>
      <w:pPr>
        <w:spacing w:after="0" w:line="124" w:lineRule="exact"/>
        <w:rPr>
          <w:sz w:val="20"/>
          <w:szCs w:val="20"/>
          <w:color w:val="auto"/>
        </w:rPr>
      </w:pPr>
    </w:p>
    <w:p>
      <w:pPr>
        <w:ind w:firstLine="470"/>
        <w:spacing w:after="0" w:line="280" w:lineRule="auto"/>
        <w:rPr>
          <w:sz w:val="20"/>
          <w:szCs w:val="20"/>
          <w:color w:val="auto"/>
        </w:rPr>
      </w:pPr>
      <w:r>
        <w:rPr>
          <w:rFonts w:ascii="Arial" w:cs="Arial" w:eastAsia="Arial" w:hAnsi="Arial"/>
          <w:sz w:val="16"/>
          <w:szCs w:val="16"/>
          <w:color w:val="auto"/>
        </w:rPr>
        <w:t>We have experienced seasonal variations in our quarterly operating results and capital requirements. We typically take orders for more homes in the first half of the fiscal year than in the second half, which creates additional working capital requirements in the second and third quarters to build our inventories to satisfy the deliveries in the second half of the year. We expect this seasonal pattern to continue over the long-term, although it may be affected by volatility in the homebuilding industry (including developments and volatility resulting from COVID-19). In addition to the overall volume of orders and deliveries, our operating results in a given quarter are significantly affected by the number and characteristics of our active selling communities; timing of new community openings; the timing of land and lot sales; and the mix of product types, geographic locations and average selling prices of the homes delivered during the quarter. Therefore, our operating results in any given quarter will fluctuate compared to prior periods based on these factors.</w:t>
      </w:r>
    </w:p>
    <w:p>
      <w:pPr>
        <w:spacing w:after="0" w:line="26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Critical Accounting Policies</w:t>
      </w:r>
    </w:p>
    <w:p>
      <w:pPr>
        <w:spacing w:after="0" w:line="124" w:lineRule="exact"/>
        <w:rPr>
          <w:sz w:val="20"/>
          <w:szCs w:val="20"/>
          <w:color w:val="auto"/>
        </w:rPr>
      </w:pPr>
    </w:p>
    <w:p>
      <w:pPr>
        <w:ind w:right="40" w:firstLine="470"/>
        <w:spacing w:after="0" w:line="300" w:lineRule="auto"/>
        <w:rPr>
          <w:sz w:val="20"/>
          <w:szCs w:val="20"/>
          <w:color w:val="auto"/>
        </w:rPr>
      </w:pPr>
      <w:r>
        <w:rPr>
          <w:rFonts w:ascii="Arial" w:cs="Arial" w:eastAsia="Arial" w:hAnsi="Arial"/>
          <w:sz w:val="15"/>
          <w:szCs w:val="15"/>
          <w:color w:val="auto"/>
        </w:rPr>
        <w:t>Our discussion and analysis of our financial condition and results of operations is based on our unaudited condensed consolidated financial statements included in this Quarterly Report on Form 10-Q, which have been prepared in accordance with GAAP. Our condensed notes to the unaudited consolidated financial statements included in this Quarterly Report on Form 10-Q and the audited financial statements included in our Annual Report on Form 10-K for the year ended December 31, 2020 describe the significant accounting policies essential to our unaudited condensed consolidated financial statements. The preparation of our financial statements requires our management to make estimates, judgments and assumptions. We believe that the estimates, judgments and assumptions that we have used are appropriate and correct based on information available at the time they were made. These estimates, judgments and assumptions can affect our reported assets and liabilities as of the date of the financial statements, as well as the reported revenues and expenses during the period presented. If there is a material difference between these estimates, judgments and assumptions and actual facts, our financial statements may be affected.</w:t>
      </w:r>
    </w:p>
    <w:p>
      <w:pPr>
        <w:spacing w:after="0" w:line="157" w:lineRule="exact"/>
        <w:rPr>
          <w:sz w:val="20"/>
          <w:szCs w:val="20"/>
          <w:color w:val="auto"/>
        </w:rPr>
      </w:pPr>
    </w:p>
    <w:p>
      <w:pPr>
        <w:ind w:right="60" w:firstLine="470"/>
        <w:spacing w:after="0" w:line="267" w:lineRule="auto"/>
        <w:rPr>
          <w:sz w:val="20"/>
          <w:szCs w:val="20"/>
          <w:color w:val="auto"/>
        </w:rPr>
      </w:pPr>
      <w:r>
        <w:rPr>
          <w:rFonts w:ascii="Arial" w:cs="Arial" w:eastAsia="Arial" w:hAnsi="Arial"/>
          <w:sz w:val="17"/>
          <w:szCs w:val="17"/>
          <w:color w:val="auto"/>
        </w:rPr>
        <w:t>In many cases, the accounting treatment of a particular transaction is specifically dictated by GAAP and does not require our judgment in its application. There are areas in which our judgment in selecting among available alternatives would not produce a materially different result, but there are some areas in which our judgment in selecting among available alternatives would produce a materially different result. See the condensed notes to the unaudited consolidated financial statements that contain additional information regarding our accounting policies and other disclosures.</w:t>
      </w:r>
    </w:p>
    <w:p>
      <w:pPr>
        <w:spacing w:after="0" w:line="176" w:lineRule="exact"/>
        <w:rPr>
          <w:sz w:val="20"/>
          <w:szCs w:val="20"/>
          <w:color w:val="auto"/>
        </w:rPr>
      </w:pPr>
    </w:p>
    <w:p>
      <w:pPr>
        <w:ind w:right="560" w:firstLine="470"/>
        <w:spacing w:after="0" w:line="288" w:lineRule="auto"/>
        <w:rPr>
          <w:sz w:val="20"/>
          <w:szCs w:val="20"/>
          <w:color w:val="auto"/>
        </w:rPr>
      </w:pPr>
      <w:r>
        <w:rPr>
          <w:rFonts w:ascii="Arial" w:cs="Arial" w:eastAsia="Arial" w:hAnsi="Arial"/>
          <w:sz w:val="17"/>
          <w:szCs w:val="17"/>
          <w:color w:val="auto"/>
        </w:rPr>
        <w:t>There have been no material changes to our critical accounting policies and estimates as compared to the critical accounting policies and estimates described in our Annual Report on Form 10-K for the fiscal year ended December 31, 2020.</w:t>
      </w: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Recently Issued Accounting Standards</w:t>
      </w:r>
    </w:p>
    <w:p>
      <w:pPr>
        <w:spacing w:after="0" w:line="124" w:lineRule="exact"/>
        <w:rPr>
          <w:sz w:val="20"/>
          <w:szCs w:val="20"/>
          <w:color w:val="auto"/>
        </w:rPr>
      </w:pPr>
    </w:p>
    <w:p>
      <w:pPr>
        <w:ind w:right="360" w:firstLine="470"/>
        <w:spacing w:after="0" w:line="288" w:lineRule="auto"/>
        <w:rPr>
          <w:sz w:val="20"/>
          <w:szCs w:val="20"/>
          <w:color w:val="auto"/>
        </w:rPr>
      </w:pPr>
      <w:r>
        <w:rPr>
          <w:rFonts w:ascii="Arial" w:cs="Arial" w:eastAsia="Arial" w:hAnsi="Arial"/>
          <w:sz w:val="17"/>
          <w:szCs w:val="17"/>
          <w:color w:val="auto"/>
        </w:rPr>
        <w:t xml:space="preserve">See Note 1, </w:t>
      </w:r>
      <w:r>
        <w:rPr>
          <w:rFonts w:ascii="Arial" w:cs="Arial" w:eastAsia="Arial" w:hAnsi="Arial"/>
          <w:sz w:val="17"/>
          <w:szCs w:val="17"/>
          <w:i w:val="1"/>
          <w:iCs w:val="1"/>
          <w:color w:val="auto"/>
        </w:rPr>
        <w:t>Organization, Basis of Presentation and Summary of Significant Accounting Policies</w:t>
      </w:r>
      <w:r>
        <w:rPr>
          <w:rFonts w:ascii="Arial" w:cs="Arial" w:eastAsia="Arial" w:hAnsi="Arial"/>
          <w:sz w:val="17"/>
          <w:szCs w:val="17"/>
          <w:color w:val="auto"/>
        </w:rPr>
        <w:t>, to the accompanying condensed notes to unaudited consolidated financial statements included in this Quarterly Report on Form 10-Q.</w:t>
      </w:r>
    </w:p>
    <w:p>
      <w:pPr>
        <w:spacing w:after="0" w:line="283" w:lineRule="exact"/>
        <w:rPr>
          <w:sz w:val="20"/>
          <w:szCs w:val="20"/>
          <w:color w:val="auto"/>
        </w:rPr>
      </w:pPr>
    </w:p>
    <w:p>
      <w:pPr>
        <w:spacing w:after="0"/>
        <w:tabs>
          <w:tab w:leader="none" w:pos="680" w:val="left"/>
        </w:tabs>
        <w:rPr>
          <w:sz w:val="20"/>
          <w:szCs w:val="20"/>
          <w:color w:val="auto"/>
        </w:rPr>
      </w:pPr>
      <w:r>
        <w:rPr>
          <w:rFonts w:ascii="Arial" w:cs="Arial" w:eastAsia="Arial" w:hAnsi="Arial"/>
          <w:sz w:val="17"/>
          <w:szCs w:val="17"/>
          <w:b w:val="1"/>
          <w:bCs w:val="1"/>
          <w:color w:val="auto"/>
        </w:rPr>
        <w:t>Item 3.</w:t>
      </w:r>
      <w:r>
        <w:rPr>
          <w:sz w:val="20"/>
          <w:szCs w:val="20"/>
          <w:color w:val="auto"/>
        </w:rPr>
        <w:tab/>
      </w:r>
      <w:r>
        <w:rPr>
          <w:rFonts w:ascii="Arial" w:cs="Arial" w:eastAsia="Arial" w:hAnsi="Arial"/>
          <w:sz w:val="15"/>
          <w:szCs w:val="15"/>
          <w:b w:val="1"/>
          <w:bCs w:val="1"/>
          <w:color w:val="auto"/>
        </w:rPr>
        <w:t>Quantitative and Qualitative Disclosures about Market Risk</w:t>
      </w:r>
    </w:p>
    <w:p>
      <w:pPr>
        <w:spacing w:after="0" w:line="229" w:lineRule="exact"/>
        <w:rPr>
          <w:sz w:val="20"/>
          <w:szCs w:val="20"/>
          <w:color w:val="auto"/>
        </w:rPr>
      </w:pPr>
    </w:p>
    <w:p>
      <w:pPr>
        <w:ind w:right="80" w:firstLine="470"/>
        <w:spacing w:after="0" w:line="272" w:lineRule="auto"/>
        <w:rPr>
          <w:sz w:val="20"/>
          <w:szCs w:val="20"/>
          <w:color w:val="auto"/>
        </w:rPr>
      </w:pPr>
      <w:r>
        <w:rPr>
          <w:rFonts w:ascii="Arial" w:cs="Arial" w:eastAsia="Arial" w:hAnsi="Arial"/>
          <w:sz w:val="17"/>
          <w:szCs w:val="17"/>
          <w:color w:val="auto"/>
        </w:rPr>
        <w:t>We are exposed to market risks related to fluctuations in interest rates on our outstanding debt. We did not utilize swaps, forward or option contracts on interest rates or commodities, or other types of derivative financial instruments as of or during the six months ended June 30, 2021. We did not enter into during the six months ended June 30, 2021, and currently do not hold, derivatives for trading or speculative purposes.</w:t>
      </w:r>
    </w:p>
    <w:p>
      <w:pPr>
        <w:spacing w:after="0" w:line="296" w:lineRule="exact"/>
        <w:rPr>
          <w:sz w:val="20"/>
          <w:szCs w:val="20"/>
          <w:color w:val="auto"/>
        </w:rPr>
      </w:pPr>
    </w:p>
    <w:p>
      <w:pPr>
        <w:spacing w:after="0"/>
        <w:tabs>
          <w:tab w:leader="none" w:pos="680" w:val="left"/>
        </w:tabs>
        <w:rPr>
          <w:sz w:val="20"/>
          <w:szCs w:val="20"/>
          <w:color w:val="auto"/>
        </w:rPr>
      </w:pPr>
      <w:r>
        <w:rPr>
          <w:rFonts w:ascii="Arial" w:cs="Arial" w:eastAsia="Arial" w:hAnsi="Arial"/>
          <w:sz w:val="17"/>
          <w:szCs w:val="17"/>
          <w:b w:val="1"/>
          <w:bCs w:val="1"/>
          <w:color w:val="auto"/>
        </w:rPr>
        <w:t>Item 4.</w:t>
      </w:r>
      <w:r>
        <w:rPr>
          <w:sz w:val="20"/>
          <w:szCs w:val="20"/>
          <w:color w:val="auto"/>
        </w:rPr>
        <w:tab/>
      </w:r>
      <w:r>
        <w:rPr>
          <w:rFonts w:ascii="Arial" w:cs="Arial" w:eastAsia="Arial" w:hAnsi="Arial"/>
          <w:sz w:val="15"/>
          <w:szCs w:val="15"/>
          <w:b w:val="1"/>
          <w:bCs w:val="1"/>
          <w:color w:val="auto"/>
        </w:rPr>
        <w:t>Controls and Procedures</w:t>
      </w:r>
    </w:p>
    <w:p>
      <w:pPr>
        <w:spacing w:after="0" w:line="229" w:lineRule="exact"/>
        <w:rPr>
          <w:sz w:val="20"/>
          <w:szCs w:val="20"/>
          <w:color w:val="auto"/>
        </w:rPr>
      </w:pPr>
    </w:p>
    <w:p>
      <w:pPr>
        <w:ind w:right="180" w:firstLine="470"/>
        <w:spacing w:after="0" w:line="261" w:lineRule="auto"/>
        <w:rPr>
          <w:sz w:val="20"/>
          <w:szCs w:val="20"/>
          <w:color w:val="auto"/>
        </w:rPr>
      </w:pPr>
      <w:r>
        <w:rPr>
          <w:rFonts w:ascii="Arial" w:cs="Arial" w:eastAsia="Arial" w:hAnsi="Arial"/>
          <w:sz w:val="17"/>
          <w:szCs w:val="17"/>
          <w:color w:val="auto"/>
        </w:rPr>
        <w:t>We have established disclosure controls and procedures to ensure that information we are required to disclose in the reports we file or submit under the Exchange Act, is recorded, processed, summarized and reported within the time periods specified in the SEC’s rules and forms, and accumulated and communicated to management, including the Chief Executive Officer (the “Principal Executive Officer”) and Chief Financial Officer (the “Principal Financial Officer”), as appropriate, to allow timely decisions regarding required disclosure. Under the supervision and with the participation of senior management, including our Principal Executive Officer and Principal Financial Officer, we evaluated our disclosure controls and procedures, as such term is defined under Rule 13a-15(e) promulgated under the Exchange Act. Based on this evaluation, our Principal Executive Officer and Principal Financial Officer concluded that our disclosure controls and procedures were effective as of June 30, 2021.</w:t>
      </w: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- 40 -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80" w:right="339" w:bottom="1440" w:gutter="0" w:footer="0" w:header="0"/>
        </w:sectPr>
      </w:pPr>
    </w:p>
    <w:bookmarkStart w:id="41" w:name="page42"/>
    <w:bookmarkEnd w:id="41"/>
    <w:p>
      <w:pPr>
        <w:jc w:val="both"/>
        <w:ind w:firstLine="470"/>
        <w:spacing w:after="0" w:line="297" w:lineRule="auto"/>
        <w:rPr>
          <w:sz w:val="20"/>
          <w:szCs w:val="20"/>
          <w:color w:val="auto"/>
        </w:rPr>
      </w:pPr>
      <w:r>
        <w:rPr>
          <w:rFonts w:ascii="Arial" w:cs="Arial" w:eastAsia="Arial" w:hAnsi="Arial"/>
          <w:sz w:val="16"/>
          <w:szCs w:val="16"/>
          <w:color w:val="auto"/>
        </w:rPr>
        <w:t>Our management, including our Principal Executive Officer and Principal Financial Officer, has evaluated our internal control over financial reporting to determine whether any change occurred during the three months ended June 30, 2021 that has materially affected, or is reasonably likely to materially affect, our internal control over financial reporting. Based on that evaluation, there has been no such change during the three months ended June 30, 2021.</w:t>
      </w:r>
    </w:p>
    <w:p>
      <w:pPr>
        <w:spacing w:after="0" w:line="200" w:lineRule="exact"/>
        <w:rPr>
          <w:sz w:val="20"/>
          <w:szCs w:val="20"/>
          <w:color w:val="auto"/>
        </w:rPr>
      </w:pPr>
    </w:p>
    <w:p>
      <w:pPr>
        <w:spacing w:after="0" w:line="280"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- 41 -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081" w:right="359" w:bottom="1440" w:gutter="0" w:footer="0" w:header="0"/>
        </w:sectPr>
      </w:pPr>
    </w:p>
    <w:bookmarkStart w:id="42" w:name="page43"/>
    <w:bookmarkEnd w:id="42"/>
    <w:p>
      <w:pPr>
        <w:spacing w:after="0"/>
        <w:rPr>
          <w:sz w:val="20"/>
          <w:szCs w:val="20"/>
          <w:color w:val="auto"/>
        </w:rPr>
      </w:pPr>
      <w:r>
        <w:rPr>
          <w:rFonts w:ascii="Arial" w:cs="Arial" w:eastAsia="Arial" w:hAnsi="Arial"/>
          <w:sz w:val="17"/>
          <w:szCs w:val="17"/>
          <w:b w:val="1"/>
          <w:bCs w:val="1"/>
          <w:color w:val="auto"/>
        </w:rPr>
        <w:t>PART II. OTHER INFORMATION</w:t>
      </w:r>
    </w:p>
    <w:p>
      <w:pPr>
        <w:spacing w:after="0" w:line="249" w:lineRule="exact"/>
        <w:rPr>
          <w:sz w:val="20"/>
          <w:szCs w:val="20"/>
          <w:color w:val="auto"/>
        </w:rPr>
      </w:pPr>
    </w:p>
    <w:p>
      <w:pPr>
        <w:spacing w:after="0"/>
        <w:tabs>
          <w:tab w:leader="none" w:pos="680" w:val="left"/>
        </w:tabs>
        <w:rPr>
          <w:sz w:val="20"/>
          <w:szCs w:val="20"/>
          <w:color w:val="auto"/>
        </w:rPr>
      </w:pPr>
      <w:r>
        <w:rPr>
          <w:rFonts w:ascii="Arial" w:cs="Arial" w:eastAsia="Arial" w:hAnsi="Arial"/>
          <w:sz w:val="17"/>
          <w:szCs w:val="17"/>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229" w:lineRule="exact"/>
        <w:rPr>
          <w:sz w:val="20"/>
          <w:szCs w:val="20"/>
          <w:color w:val="auto"/>
        </w:rPr>
      </w:pPr>
    </w:p>
    <w:p>
      <w:pPr>
        <w:ind w:right="100" w:firstLine="470"/>
        <w:spacing w:after="0" w:line="358" w:lineRule="auto"/>
        <w:rPr>
          <w:sz w:val="20"/>
          <w:szCs w:val="20"/>
          <w:color w:val="auto"/>
        </w:rPr>
      </w:pPr>
      <w:r>
        <w:rPr>
          <w:rFonts w:ascii="Arial" w:cs="Arial" w:eastAsia="Arial" w:hAnsi="Arial"/>
          <w:sz w:val="15"/>
          <w:szCs w:val="15"/>
          <w:color w:val="auto"/>
        </w:rPr>
        <w:t xml:space="preserve">The information required with respect to this item can be found under Note 13, </w:t>
      </w:r>
      <w:r>
        <w:rPr>
          <w:rFonts w:ascii="Arial" w:cs="Arial" w:eastAsia="Arial" w:hAnsi="Arial"/>
          <w:sz w:val="15"/>
          <w:szCs w:val="15"/>
          <w:i w:val="1"/>
          <w:iCs w:val="1"/>
          <w:color w:val="auto"/>
        </w:rPr>
        <w:t>Commitments and Contingencies</w:t>
      </w:r>
      <w:r>
        <w:rPr>
          <w:rFonts w:ascii="Arial" w:cs="Arial" w:eastAsia="Arial" w:hAnsi="Arial"/>
          <w:sz w:val="15"/>
          <w:szCs w:val="15"/>
          <w:color w:val="auto"/>
        </w:rPr>
        <w:t>—</w:t>
      </w:r>
      <w:r>
        <w:rPr>
          <w:rFonts w:ascii="Arial" w:cs="Arial" w:eastAsia="Arial" w:hAnsi="Arial"/>
          <w:sz w:val="15"/>
          <w:szCs w:val="15"/>
          <w:i w:val="1"/>
          <w:iCs w:val="1"/>
          <w:color w:val="auto"/>
        </w:rPr>
        <w:t>Legal Matters</w:t>
      </w:r>
      <w:r>
        <w:rPr>
          <w:rFonts w:ascii="Arial" w:cs="Arial" w:eastAsia="Arial" w:hAnsi="Arial"/>
          <w:sz w:val="15"/>
          <w:szCs w:val="15"/>
          <w:color w:val="auto"/>
        </w:rPr>
        <w:t>, to the accompanying condensed notes to unaudited consolidated financial statements included in this Quarterly Report on Form 10-Q and is incorporated by reference into this Item 1.</w:t>
      </w:r>
    </w:p>
    <w:p>
      <w:pPr>
        <w:spacing w:after="0" w:line="237" w:lineRule="exact"/>
        <w:rPr>
          <w:sz w:val="20"/>
          <w:szCs w:val="20"/>
          <w:color w:val="auto"/>
        </w:rPr>
      </w:pPr>
    </w:p>
    <w:p>
      <w:pPr>
        <w:spacing w:after="0"/>
        <w:tabs>
          <w:tab w:leader="none" w:pos="800" w:val="left"/>
        </w:tabs>
        <w:rPr>
          <w:sz w:val="20"/>
          <w:szCs w:val="20"/>
          <w:color w:val="auto"/>
        </w:rPr>
      </w:pPr>
      <w:r>
        <w:rPr>
          <w:rFonts w:ascii="Arial" w:cs="Arial" w:eastAsia="Arial" w:hAnsi="Arial"/>
          <w:sz w:val="17"/>
          <w:szCs w:val="17"/>
          <w:b w:val="1"/>
          <w:bCs w:val="1"/>
          <w:color w:val="auto"/>
        </w:rPr>
        <w:t>Item 1A.</w:t>
      </w:r>
      <w:r>
        <w:rPr>
          <w:sz w:val="20"/>
          <w:szCs w:val="20"/>
          <w:color w:val="auto"/>
        </w:rPr>
        <w:tab/>
      </w:r>
      <w:r>
        <w:rPr>
          <w:rFonts w:ascii="Arial" w:cs="Arial" w:eastAsia="Arial" w:hAnsi="Arial"/>
          <w:sz w:val="15"/>
          <w:szCs w:val="15"/>
          <w:b w:val="1"/>
          <w:bCs w:val="1"/>
          <w:color w:val="auto"/>
        </w:rPr>
        <w:t>Risk Factors</w:t>
      </w:r>
    </w:p>
    <w:p>
      <w:pPr>
        <w:spacing w:after="0" w:line="229" w:lineRule="exact"/>
        <w:rPr>
          <w:sz w:val="20"/>
          <w:szCs w:val="20"/>
          <w:color w:val="auto"/>
        </w:rPr>
      </w:pPr>
    </w:p>
    <w:p>
      <w:pPr>
        <w:ind w:right="180" w:firstLine="174"/>
        <w:spacing w:after="0" w:line="264" w:lineRule="auto"/>
        <w:rPr>
          <w:sz w:val="20"/>
          <w:szCs w:val="20"/>
          <w:color w:val="auto"/>
        </w:rPr>
      </w:pPr>
      <w:r>
        <w:rPr>
          <w:rFonts w:ascii="Arial" w:cs="Arial" w:eastAsia="Arial" w:hAnsi="Arial"/>
          <w:sz w:val="17"/>
          <w:szCs w:val="17"/>
          <w:i w:val="1"/>
          <w:iCs w:val="1"/>
          <w:color w:val="auto"/>
        </w:rPr>
        <w:t>There have been no material changes to the risk factors in Part I, Item 1A “Risk Factors” in our Annual Report on Form 10-K for the year ended December 31, 2020. If any of the risks discussed in our Annual Report on Form 10-K occur, our business, prospects, liquidity, financial condition and results of operations could be materially and adversely affected, in which case the trading price of our common stock could decline significantly and you could lose all or a part of your investment. Some statements in this Quarterly Report on Form 10-Q constitute forward-looking statements. Please refer to Part I, Item 2 of this Quarterly Report on Form 10-Q entitled “Cautionary Note Concerning Forward-Looking Statements.”</w:t>
      </w:r>
    </w:p>
    <w:p>
      <w:pPr>
        <w:spacing w:after="0" w:line="304" w:lineRule="exact"/>
        <w:rPr>
          <w:sz w:val="20"/>
          <w:szCs w:val="20"/>
          <w:color w:val="auto"/>
        </w:rPr>
      </w:pPr>
    </w:p>
    <w:p>
      <w:pPr>
        <w:spacing w:after="0"/>
        <w:tabs>
          <w:tab w:leader="none" w:pos="680" w:val="left"/>
        </w:tabs>
        <w:rPr>
          <w:sz w:val="20"/>
          <w:szCs w:val="20"/>
          <w:color w:val="auto"/>
        </w:rPr>
      </w:pPr>
      <w:r>
        <w:rPr>
          <w:rFonts w:ascii="Arial" w:cs="Arial" w:eastAsia="Arial" w:hAnsi="Arial"/>
          <w:sz w:val="17"/>
          <w:szCs w:val="17"/>
          <w:b w:val="1"/>
          <w:bCs w:val="1"/>
          <w:color w:val="auto"/>
        </w:rPr>
        <w:t>Item 2.</w:t>
      </w:r>
      <w:r>
        <w:rPr>
          <w:sz w:val="20"/>
          <w:szCs w:val="20"/>
          <w:color w:val="auto"/>
        </w:rPr>
        <w:tab/>
      </w:r>
      <w:r>
        <w:rPr>
          <w:rFonts w:ascii="Arial" w:cs="Arial" w:eastAsia="Arial" w:hAnsi="Arial"/>
          <w:sz w:val="15"/>
          <w:szCs w:val="15"/>
          <w:b w:val="1"/>
          <w:bCs w:val="1"/>
          <w:color w:val="auto"/>
        </w:rPr>
        <w:t>Unregistered Sales of Equity Securities and Use of Proceeds</w:t>
      </w:r>
    </w:p>
    <w:p>
      <w:pPr>
        <w:spacing w:after="0" w:line="229" w:lineRule="exact"/>
        <w:rPr>
          <w:sz w:val="20"/>
          <w:szCs w:val="20"/>
          <w:color w:val="auto"/>
        </w:rPr>
      </w:pPr>
    </w:p>
    <w:p>
      <w:pPr>
        <w:ind w:right="180" w:firstLine="470"/>
        <w:spacing w:after="0" w:line="277" w:lineRule="auto"/>
        <w:rPr>
          <w:sz w:val="20"/>
          <w:szCs w:val="20"/>
          <w:color w:val="auto"/>
        </w:rPr>
      </w:pPr>
      <w:r>
        <w:rPr>
          <w:rFonts w:ascii="Arial" w:cs="Arial" w:eastAsia="Arial" w:hAnsi="Arial"/>
          <w:sz w:val="16"/>
          <w:szCs w:val="16"/>
          <w:color w:val="auto"/>
        </w:rPr>
        <w:t>On November 11, 2020, we announced the approval of our new Repurchase Program authorizing the repurchase of up to $250 million of common stock through December 31, 2021. On July 21, 2021, our board of directors authorized the repurchase of up to an additional $250 million of common stock and extended the term of the Repurchase Program through December 31, 2022, increasing the aggregate value of shares of common stock authorized to be repurchased under the Repurchase Program from $250 million to $500 million. Purchases of common stock pursuant to the Repurchase Program may be made in open market transactions effected through a broker-dealer at prevailing market prices, in block trades, or by other means in accordance with federal securities laws, including pursuant to any trading plan that may be adopted in accordance with Rule 10b5-1 under the Securities Exchange Act of 1934, as amended. We are not obligated under the Repurchase Program to repurchase any specific number or amount of shares of common stock, and we may modify, suspend or discontinue the program at any time. Company management will determine the timing and amount of any repurchases in its discretion based on a variety of factors, such as the market price of our common stock, corporate requirements, general market economic conditions and legal requirements. During the three months ended June 30, 2021, we repurchased and retired an aggregate of 3,666,676 shares of our common stock under the Repurchase Program for $82.9 million. For the six months ended June 30, 2021, we repurchased and retired an aggregate of 7,326,237 million shares of common stock for a total of $148.3 million.</w:t>
      </w:r>
    </w:p>
    <w:p>
      <w:pPr>
        <w:spacing w:after="0" w:line="170" w:lineRule="exact"/>
        <w:rPr>
          <w:sz w:val="20"/>
          <w:szCs w:val="20"/>
          <w:color w:val="auto"/>
        </w:rPr>
      </w:pPr>
    </w:p>
    <w:p>
      <w:pPr>
        <w:ind w:left="480"/>
        <w:spacing w:after="0"/>
        <w:rPr>
          <w:sz w:val="20"/>
          <w:szCs w:val="20"/>
          <w:color w:val="auto"/>
        </w:rPr>
      </w:pPr>
      <w:r>
        <w:rPr>
          <w:rFonts w:ascii="Arial" w:cs="Arial" w:eastAsia="Arial" w:hAnsi="Arial"/>
          <w:sz w:val="17"/>
          <w:szCs w:val="17"/>
          <w:color w:val="auto"/>
        </w:rPr>
        <w:t>During the three months ended June 30, 2021, we repurchased and retired the following shares pursuant to our repurchase programs:</w:t>
      </w:r>
    </w:p>
    <w:p>
      <w:pPr>
        <w:spacing w:after="0" w:line="231" w:lineRule="exact"/>
        <w:rPr>
          <w:sz w:val="20"/>
          <w:szCs w:val="20"/>
          <w:color w:val="auto"/>
        </w:rPr>
      </w:pPr>
    </w:p>
    <w:tbl>
      <w:tblPr>
        <w:tblLayout w:type="fixed"/>
        <w:tblInd w:w="480" w:type="dxa"/>
        <w:tblCellMar>
          <w:top w:w="0" w:type="dxa"/>
          <w:left w:w="0" w:type="dxa"/>
          <w:bottom w:w="0" w:type="dxa"/>
          <w:right w:w="0" w:type="dxa"/>
        </w:tblCellMar>
      </w:tblPr>
      <w:tr>
        <w:trPr>
          <w:trHeight w:val="161"/>
        </w:trPr>
        <w:tc>
          <w:tcPr>
            <w:tcW w:w="43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tcPr>
          <w:p>
            <w:pPr>
              <w:jc w:val="right"/>
              <w:spacing w:after="0"/>
              <w:rPr>
                <w:sz w:val="20"/>
                <w:szCs w:val="20"/>
                <w:color w:val="auto"/>
              </w:rPr>
            </w:pPr>
            <w:r>
              <w:rPr>
                <w:rFonts w:ascii="Arial" w:cs="Arial" w:eastAsia="Arial" w:hAnsi="Arial"/>
                <w:sz w:val="14"/>
                <w:szCs w:val="14"/>
                <w:b w:val="1"/>
                <w:bCs w:val="1"/>
                <w:color w:val="auto"/>
              </w:rPr>
              <w:t>Total number</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1"/>
              </w:rPr>
              <w:t>Approximate do</w:t>
            </w:r>
          </w:p>
        </w:tc>
        <w:tc>
          <w:tcPr>
            <w:tcW w:w="0" w:type="dxa"/>
            <w:vAlign w:val="bottom"/>
          </w:tcPr>
          <w:p>
            <w:pPr>
              <w:spacing w:after="0"/>
              <w:rPr>
                <w:sz w:val="1"/>
                <w:szCs w:val="1"/>
                <w:color w:val="auto"/>
              </w:rPr>
            </w:pPr>
          </w:p>
        </w:tc>
      </w:tr>
      <w:tr>
        <w:trPr>
          <w:trHeight w:val="131"/>
        </w:trPr>
        <w:tc>
          <w:tcPr>
            <w:tcW w:w="4380" w:type="dxa"/>
            <w:vAlign w:val="bottom"/>
          </w:tcPr>
          <w:p>
            <w:pPr>
              <w:spacing w:after="0"/>
              <w:rPr>
                <w:sz w:val="11"/>
                <w:szCs w:val="11"/>
                <w:color w:val="auto"/>
              </w:rPr>
            </w:pPr>
          </w:p>
        </w:tc>
        <w:tc>
          <w:tcPr>
            <w:tcW w:w="13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Total number</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3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Average price paid</w:t>
            </w:r>
          </w:p>
        </w:tc>
        <w:tc>
          <w:tcPr>
            <w:tcW w:w="136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85"/>
              </w:rPr>
              <w:t>of shares purchased as</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4380" w:type="dxa"/>
            <w:vAlign w:val="bottom"/>
          </w:tcPr>
          <w:p>
            <w:pPr>
              <w:spacing w:after="0"/>
              <w:rPr>
                <w:sz w:val="11"/>
                <w:szCs w:val="11"/>
                <w:color w:val="auto"/>
              </w:rPr>
            </w:pPr>
          </w:p>
        </w:tc>
        <w:tc>
          <w:tcPr>
            <w:tcW w:w="138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340" w:type="dxa"/>
            <w:vAlign w:val="bottom"/>
            <w:gridSpan w:val="2"/>
            <w:vMerge w:val="continue"/>
          </w:tcPr>
          <w:p>
            <w:pPr>
              <w:spacing w:after="0"/>
              <w:rPr>
                <w:sz w:val="11"/>
                <w:szCs w:val="11"/>
                <w:color w:val="auto"/>
              </w:rPr>
            </w:pPr>
          </w:p>
        </w:tc>
        <w:tc>
          <w:tcPr>
            <w:tcW w:w="136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91"/>
              </w:rPr>
              <w:t>part of publicly</w:t>
            </w:r>
          </w:p>
        </w:tc>
        <w:tc>
          <w:tcPr>
            <w:tcW w:w="100" w:type="dxa"/>
            <w:vAlign w:val="bottom"/>
          </w:tcPr>
          <w:p>
            <w:pPr>
              <w:spacing w:after="0"/>
              <w:rPr>
                <w:sz w:val="11"/>
                <w:szCs w:val="11"/>
                <w:color w:val="auto"/>
              </w:rPr>
            </w:pPr>
          </w:p>
        </w:tc>
        <w:tc>
          <w:tcPr>
            <w:tcW w:w="1620" w:type="dxa"/>
            <w:vAlign w:val="bottom"/>
            <w:gridSpan w:val="2"/>
          </w:tcPr>
          <w:p>
            <w:pPr>
              <w:jc w:val="right"/>
              <w:spacing w:after="0" w:line="131" w:lineRule="exact"/>
              <w:rPr>
                <w:sz w:val="20"/>
                <w:szCs w:val="20"/>
                <w:color w:val="auto"/>
              </w:rPr>
            </w:pPr>
            <w:r>
              <w:rPr>
                <w:rFonts w:ascii="Arial" w:cs="Arial" w:eastAsia="Arial" w:hAnsi="Arial"/>
                <w:sz w:val="14"/>
                <w:szCs w:val="14"/>
                <w:b w:val="1"/>
                <w:bCs w:val="1"/>
                <w:color w:val="auto"/>
                <w:w w:val="91"/>
              </w:rPr>
              <w:t>value of shares that may y</w:t>
            </w:r>
          </w:p>
        </w:tc>
        <w:tc>
          <w:tcPr>
            <w:tcW w:w="0" w:type="dxa"/>
            <w:vAlign w:val="bottom"/>
          </w:tcPr>
          <w:p>
            <w:pPr>
              <w:spacing w:after="0"/>
              <w:rPr>
                <w:sz w:val="1"/>
                <w:szCs w:val="1"/>
                <w:color w:val="auto"/>
              </w:rPr>
            </w:pPr>
          </w:p>
        </w:tc>
      </w:tr>
      <w:tr>
        <w:trPr>
          <w:trHeight w:val="183"/>
        </w:trPr>
        <w:tc>
          <w:tcPr>
            <w:tcW w:w="4380" w:type="dxa"/>
            <w:vAlign w:val="bottom"/>
            <w:tcBorders>
              <w:bottom w:val="single" w:sz="8" w:color="CCEEFF"/>
            </w:tcBorders>
          </w:tcPr>
          <w:p>
            <w:pPr>
              <w:spacing w:after="0"/>
              <w:rPr>
                <w:sz w:val="15"/>
                <w:szCs w:val="15"/>
                <w:color w:val="auto"/>
              </w:rPr>
            </w:pPr>
          </w:p>
        </w:tc>
        <w:tc>
          <w:tcPr>
            <w:tcW w:w="1380" w:type="dxa"/>
            <w:vAlign w:val="bottom"/>
            <w:tcBorders>
              <w:bottom w:val="single" w:sz="8" w:color="auto"/>
            </w:tcBorders>
          </w:tcPr>
          <w:p>
            <w:pPr>
              <w:jc w:val="right"/>
              <w:ind w:right="19"/>
              <w:spacing w:after="0"/>
              <w:rPr>
                <w:sz w:val="20"/>
                <w:szCs w:val="20"/>
                <w:color w:val="auto"/>
              </w:rPr>
            </w:pPr>
            <w:r>
              <w:rPr>
                <w:rFonts w:ascii="Arial" w:cs="Arial" w:eastAsia="Arial" w:hAnsi="Arial"/>
                <w:sz w:val="14"/>
                <w:szCs w:val="14"/>
                <w:b w:val="1"/>
                <w:bCs w:val="1"/>
                <w:color w:val="auto"/>
                <w:w w:val="91"/>
              </w:rPr>
              <w:t>of shares purchased</w:t>
            </w:r>
          </w:p>
        </w:tc>
        <w:tc>
          <w:tcPr>
            <w:tcW w:w="100" w:type="dxa"/>
            <w:vAlign w:val="bottom"/>
            <w:tcBorders>
              <w:bottom w:val="single" w:sz="8" w:color="CCEEFF"/>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w w:val="91"/>
              </w:rPr>
              <w:t>per share</w:t>
            </w:r>
          </w:p>
        </w:tc>
        <w:tc>
          <w:tcPr>
            <w:tcW w:w="120" w:type="dxa"/>
            <w:vAlign w:val="bottom"/>
            <w:tcBorders>
              <w:bottom w:val="single" w:sz="8" w:color="CCEEFF"/>
            </w:tcBorders>
          </w:tcPr>
          <w:p>
            <w:pPr>
              <w:spacing w:after="0"/>
              <w:rPr>
                <w:sz w:val="15"/>
                <w:szCs w:val="15"/>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announced program</w:t>
            </w:r>
          </w:p>
        </w:tc>
        <w:tc>
          <w:tcPr>
            <w:tcW w:w="100" w:type="dxa"/>
            <w:vAlign w:val="bottom"/>
            <w:tcBorders>
              <w:bottom w:val="single" w:sz="8" w:color="CCEEFF"/>
            </w:tcBorders>
          </w:tcPr>
          <w:p>
            <w:pPr>
              <w:spacing w:after="0"/>
              <w:rPr>
                <w:sz w:val="15"/>
                <w:szCs w:val="15"/>
                <w:color w:val="auto"/>
              </w:rPr>
            </w:pPr>
          </w:p>
        </w:tc>
        <w:tc>
          <w:tcPr>
            <w:tcW w:w="16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1"/>
              </w:rPr>
              <w:t>purchased under the prog</w:t>
            </w: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ind w:left="480"/>
              <w:spacing w:after="0"/>
              <w:rPr>
                <w:sz w:val="20"/>
                <w:szCs w:val="20"/>
                <w:color w:val="auto"/>
              </w:rPr>
            </w:pPr>
            <w:r>
              <w:rPr>
                <w:rFonts w:ascii="Arial" w:cs="Arial" w:eastAsia="Arial" w:hAnsi="Arial"/>
                <w:sz w:val="17"/>
                <w:szCs w:val="17"/>
                <w:color w:val="auto"/>
              </w:rPr>
              <w:t>April 1, 2021 to April 30, 2021</w:t>
            </w:r>
          </w:p>
        </w:tc>
        <w:tc>
          <w:tcPr>
            <w:tcW w:w="13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1,600,000</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21.92</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1,600,000</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100,473</w:t>
            </w:r>
          </w:p>
        </w:tc>
        <w:tc>
          <w:tcPr>
            <w:tcW w:w="0" w:type="dxa"/>
            <w:vAlign w:val="bottom"/>
          </w:tcPr>
          <w:p>
            <w:pPr>
              <w:spacing w:after="0"/>
              <w:rPr>
                <w:sz w:val="1"/>
                <w:szCs w:val="1"/>
                <w:color w:val="auto"/>
              </w:rPr>
            </w:pPr>
          </w:p>
        </w:tc>
      </w:tr>
      <w:tr>
        <w:trPr>
          <w:trHeight w:val="222"/>
        </w:trPr>
        <w:tc>
          <w:tcPr>
            <w:tcW w:w="4380" w:type="dxa"/>
            <w:vAlign w:val="bottom"/>
          </w:tcPr>
          <w:p>
            <w:pPr>
              <w:ind w:left="480"/>
              <w:spacing w:after="0"/>
              <w:rPr>
                <w:sz w:val="20"/>
                <w:szCs w:val="20"/>
                <w:color w:val="auto"/>
              </w:rPr>
            </w:pPr>
            <w:r>
              <w:rPr>
                <w:rFonts w:ascii="Arial" w:cs="Arial" w:eastAsia="Arial" w:hAnsi="Arial"/>
                <w:sz w:val="17"/>
                <w:szCs w:val="17"/>
                <w:color w:val="auto"/>
              </w:rPr>
              <w:t>May 1, 2021 to May 31, 2021</w:t>
            </w:r>
          </w:p>
        </w:tc>
        <w:tc>
          <w:tcPr>
            <w:tcW w:w="1380" w:type="dxa"/>
            <w:vAlign w:val="bottom"/>
          </w:tcPr>
          <w:p>
            <w:pPr>
              <w:jc w:val="right"/>
              <w:spacing w:after="0"/>
              <w:rPr>
                <w:sz w:val="20"/>
                <w:szCs w:val="20"/>
                <w:color w:val="auto"/>
              </w:rPr>
            </w:pPr>
            <w:r>
              <w:rPr>
                <w:rFonts w:ascii="Arial" w:cs="Arial" w:eastAsia="Arial" w:hAnsi="Arial"/>
                <w:sz w:val="17"/>
                <w:szCs w:val="17"/>
                <w:color w:val="auto"/>
              </w:rPr>
              <w:t>1,124,500</w:t>
            </w:r>
          </w:p>
        </w:tc>
        <w:tc>
          <w:tcPr>
            <w:tcW w:w="6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220" w:type="dxa"/>
            <w:vAlign w:val="bottom"/>
          </w:tcPr>
          <w:p>
            <w:pPr>
              <w:jc w:val="right"/>
              <w:spacing w:after="0"/>
              <w:rPr>
                <w:sz w:val="20"/>
                <w:szCs w:val="20"/>
                <w:color w:val="auto"/>
              </w:rPr>
            </w:pPr>
            <w:r>
              <w:rPr>
                <w:rFonts w:ascii="Arial" w:cs="Arial" w:eastAsia="Arial" w:hAnsi="Arial"/>
                <w:sz w:val="17"/>
                <w:szCs w:val="17"/>
                <w:color w:val="auto"/>
              </w:rPr>
              <w:t>24.42</w:t>
            </w:r>
          </w:p>
        </w:tc>
        <w:tc>
          <w:tcPr>
            <w:tcW w:w="1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1,124,500</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000" w:type="dxa"/>
            <w:vAlign w:val="bottom"/>
          </w:tcPr>
          <w:p>
            <w:pPr>
              <w:jc w:val="right"/>
              <w:spacing w:after="0"/>
              <w:rPr>
                <w:sz w:val="20"/>
                <w:szCs w:val="20"/>
                <w:color w:val="auto"/>
              </w:rPr>
            </w:pPr>
            <w:r>
              <w:rPr>
                <w:rFonts w:ascii="Arial" w:cs="Arial" w:eastAsia="Arial" w:hAnsi="Arial"/>
                <w:sz w:val="17"/>
                <w:szCs w:val="17"/>
                <w:color w:val="auto"/>
              </w:rPr>
              <w:t>73,015</w:t>
            </w:r>
          </w:p>
        </w:tc>
        <w:tc>
          <w:tcPr>
            <w:tcW w:w="0" w:type="dxa"/>
            <w:vAlign w:val="bottom"/>
          </w:tcPr>
          <w:p>
            <w:pPr>
              <w:spacing w:after="0"/>
              <w:rPr>
                <w:sz w:val="1"/>
                <w:szCs w:val="1"/>
                <w:color w:val="auto"/>
              </w:rPr>
            </w:pPr>
          </w:p>
        </w:tc>
      </w:tr>
      <w:tr>
        <w:trPr>
          <w:trHeight w:val="222"/>
        </w:trPr>
        <w:tc>
          <w:tcPr>
            <w:tcW w:w="4380" w:type="dxa"/>
            <w:vAlign w:val="bottom"/>
            <w:shd w:val="clear" w:color="auto" w:fill="CCEEFF"/>
          </w:tcPr>
          <w:p>
            <w:pPr>
              <w:ind w:left="480"/>
              <w:spacing w:after="0"/>
              <w:rPr>
                <w:sz w:val="20"/>
                <w:szCs w:val="20"/>
                <w:color w:val="auto"/>
              </w:rPr>
            </w:pPr>
            <w:r>
              <w:rPr>
                <w:rFonts w:ascii="Arial" w:cs="Arial" w:eastAsia="Arial" w:hAnsi="Arial"/>
                <w:sz w:val="17"/>
                <w:szCs w:val="17"/>
                <w:color w:val="auto"/>
              </w:rPr>
              <w:t>June 1, 2021 to June 30, 2021</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942,176</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21.56</w:t>
            </w:r>
          </w:p>
        </w:tc>
        <w:tc>
          <w:tcPr>
            <w:tcW w:w="120" w:type="dxa"/>
            <w:vAlign w:val="bottom"/>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942,176</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52,697</w:t>
            </w:r>
          </w:p>
        </w:tc>
        <w:tc>
          <w:tcPr>
            <w:tcW w:w="0" w:type="dxa"/>
            <w:vAlign w:val="bottom"/>
          </w:tcPr>
          <w:p>
            <w:pPr>
              <w:spacing w:after="0"/>
              <w:rPr>
                <w:sz w:val="1"/>
                <w:szCs w:val="1"/>
                <w:color w:val="auto"/>
              </w:rPr>
            </w:pPr>
          </w:p>
        </w:tc>
      </w:tr>
      <w:tr>
        <w:trPr>
          <w:trHeight w:val="215"/>
        </w:trPr>
        <w:tc>
          <w:tcPr>
            <w:tcW w:w="4380" w:type="dxa"/>
            <w:vAlign w:val="bottom"/>
          </w:tcPr>
          <w:p>
            <w:pPr>
              <w:ind w:left="480"/>
              <w:spacing w:after="0"/>
              <w:rPr>
                <w:sz w:val="20"/>
                <w:szCs w:val="20"/>
                <w:color w:val="auto"/>
              </w:rPr>
            </w:pPr>
            <w:r>
              <w:rPr>
                <w:rFonts w:ascii="Arial" w:cs="Arial" w:eastAsia="Arial" w:hAnsi="Arial"/>
                <w:sz w:val="17"/>
                <w:szCs w:val="17"/>
                <w:color w:val="auto"/>
              </w:rPr>
              <w:t>Total</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3,666,676</w:t>
            </w:r>
          </w:p>
        </w:tc>
        <w:tc>
          <w:tcPr>
            <w:tcW w:w="6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220" w:type="dxa"/>
            <w:vAlign w:val="bottom"/>
          </w:tcPr>
          <w:p>
            <w:pPr>
              <w:jc w:val="right"/>
              <w:spacing w:after="0"/>
              <w:rPr>
                <w:sz w:val="20"/>
                <w:szCs w:val="20"/>
                <w:color w:val="auto"/>
              </w:rPr>
            </w:pPr>
            <w:r>
              <w:rPr>
                <w:rFonts w:ascii="Arial" w:cs="Arial" w:eastAsia="Arial" w:hAnsi="Arial"/>
                <w:sz w:val="17"/>
                <w:szCs w:val="17"/>
                <w:color w:val="auto"/>
              </w:rPr>
              <w:t>22.60</w:t>
            </w:r>
          </w:p>
        </w:tc>
        <w:tc>
          <w:tcPr>
            <w:tcW w:w="120" w:type="dxa"/>
            <w:vAlign w:val="bottom"/>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3,666,676</w:t>
            </w: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38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2" w:lineRule="exact"/>
        <w:rPr>
          <w:sz w:val="20"/>
          <w:szCs w:val="20"/>
          <w:color w:val="auto"/>
        </w:rPr>
      </w:pPr>
    </w:p>
    <w:p>
      <w:pPr>
        <w:ind w:left="480"/>
        <w:spacing w:after="0"/>
        <w:rPr>
          <w:sz w:val="20"/>
          <w:szCs w:val="20"/>
          <w:color w:val="auto"/>
        </w:rPr>
      </w:pPr>
      <w:r>
        <w:rPr>
          <w:rFonts w:ascii="Arial" w:cs="Arial" w:eastAsia="Arial" w:hAnsi="Arial"/>
          <w:sz w:val="16"/>
          <w:szCs w:val="16"/>
          <w:color w:val="auto"/>
        </w:rPr>
        <w:t>__________</w:t>
      </w:r>
    </w:p>
    <w:p>
      <w:pPr>
        <w:spacing w:after="0" w:line="11" w:lineRule="exact"/>
        <w:rPr>
          <w:sz w:val="20"/>
          <w:szCs w:val="20"/>
          <w:color w:val="auto"/>
        </w:rPr>
      </w:pPr>
    </w:p>
    <w:p>
      <w:pPr>
        <w:ind w:left="600" w:right="100" w:hanging="321"/>
        <w:spacing w:after="0" w:line="261" w:lineRule="auto"/>
        <w:tabs>
          <w:tab w:leader="none" w:pos="594" w:val="left"/>
        </w:tabs>
        <w:numPr>
          <w:ilvl w:val="0"/>
          <w:numId w:val="17"/>
        </w:numPr>
        <w:rPr>
          <w:rFonts w:ascii="Arial" w:cs="Arial" w:eastAsia="Arial" w:hAnsi="Arial"/>
          <w:sz w:val="17"/>
          <w:szCs w:val="17"/>
          <w:color w:val="auto"/>
        </w:rPr>
      </w:pPr>
      <w:r>
        <w:rPr>
          <w:rFonts w:ascii="Arial" w:cs="Arial" w:eastAsia="Arial" w:hAnsi="Arial"/>
          <w:sz w:val="17"/>
          <w:szCs w:val="17"/>
          <w:color w:val="auto"/>
        </w:rPr>
        <w:t>Subsequent to June 30, 2021 and through the date of this filing, we repurchased an additional 2,125,892 shares of common stock at an average price per share of $21.33 for an aggregate dollar amount of approximately $45.3 million under the Repurchase Program. On July 22, 2021, we announced an increase in the authorization under the Repurchase Program of $250 million and the extension of the term of the Repurchase Program through December 31, 2022.</w:t>
      </w:r>
    </w:p>
    <w:p>
      <w:pPr>
        <w:spacing w:after="0" w:line="200" w:lineRule="exact"/>
        <w:rPr>
          <w:rFonts w:ascii="Arial" w:cs="Arial" w:eastAsia="Arial" w:hAnsi="Arial"/>
          <w:sz w:val="17"/>
          <w:szCs w:val="17"/>
          <w:color w:val="auto"/>
        </w:rPr>
      </w:pPr>
    </w:p>
    <w:p>
      <w:pPr>
        <w:spacing w:after="0" w:line="307" w:lineRule="exact"/>
        <w:rPr>
          <w:rFonts w:ascii="Arial" w:cs="Arial" w:eastAsia="Arial" w:hAnsi="Arial"/>
          <w:sz w:val="17"/>
          <w:szCs w:val="17"/>
          <w:color w:val="auto"/>
        </w:rPr>
      </w:pPr>
    </w:p>
    <w:p>
      <w:pPr>
        <w:ind w:left="5540" w:hanging="105"/>
        <w:spacing w:after="0"/>
        <w:tabs>
          <w:tab w:leader="none" w:pos="5540" w:val="left"/>
        </w:tabs>
        <w:numPr>
          <w:ilvl w:val="1"/>
          <w:numId w:val="17"/>
        </w:numPr>
        <w:rPr>
          <w:rFonts w:ascii="Arial" w:cs="Arial" w:eastAsia="Arial" w:hAnsi="Arial"/>
          <w:sz w:val="17"/>
          <w:szCs w:val="17"/>
          <w:color w:val="auto"/>
        </w:rPr>
      </w:pPr>
      <w:r>
        <w:rPr>
          <w:rFonts w:ascii="Arial" w:cs="Arial" w:eastAsia="Arial" w:hAnsi="Arial"/>
          <w:sz w:val="17"/>
          <w:szCs w:val="17"/>
          <w:color w:val="auto"/>
        </w:rPr>
        <w:t>42 -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340"/>
          </w:cols>
          <w:pgMar w:left="320" w:top="866" w:right="239" w:bottom="1440" w:gutter="0" w:footer="0" w:header="0"/>
        </w:sectPr>
      </w:pPr>
    </w:p>
    <w:bookmarkStart w:id="43" w:name="page44"/>
    <w:bookmarkEnd w:id="43"/>
    <w:p>
      <w:pPr>
        <w:spacing w:after="0"/>
        <w:tabs>
          <w:tab w:leader="none" w:pos="680" w:val="left"/>
        </w:tabs>
        <w:rPr>
          <w:sz w:val="20"/>
          <w:szCs w:val="20"/>
          <w:color w:val="auto"/>
        </w:rPr>
      </w:pPr>
      <w:r>
        <w:rPr>
          <w:rFonts w:ascii="Arial" w:cs="Arial" w:eastAsia="Arial" w:hAnsi="Arial"/>
          <w:sz w:val="17"/>
          <w:szCs w:val="17"/>
          <w:b w:val="1"/>
          <w:bCs w:val="1"/>
          <w:color w:val="auto"/>
        </w:rPr>
        <w:t>Item 6.</w:t>
      </w:r>
      <w:r>
        <w:rPr>
          <w:sz w:val="20"/>
          <w:szCs w:val="20"/>
          <w:color w:val="auto"/>
        </w:rPr>
        <w:tab/>
      </w:r>
      <w:r>
        <w:rPr>
          <w:rFonts w:ascii="Arial" w:cs="Arial" w:eastAsia="Arial" w:hAnsi="Arial"/>
          <w:sz w:val="15"/>
          <w:szCs w:val="15"/>
          <w:b w:val="1"/>
          <w:bCs w:val="1"/>
          <w:color w:val="auto"/>
        </w:rPr>
        <w:t>Exhibits</w:t>
      </w:r>
    </w:p>
    <w:p>
      <w:pPr>
        <w:spacing w:after="0" w:line="119" w:lineRule="exact"/>
        <w:rPr>
          <w:sz w:val="20"/>
          <w:szCs w:val="20"/>
          <w:color w:val="auto"/>
        </w:rPr>
      </w:pPr>
    </w:p>
    <w:tbl>
      <w:tblPr>
        <w:tblLayout w:type="fixed"/>
        <w:tblInd w:w="280" w:type="dxa"/>
        <w:tblCellMar>
          <w:top w:w="0" w:type="dxa"/>
          <w:left w:w="0" w:type="dxa"/>
          <w:bottom w:w="0" w:type="dxa"/>
          <w:right w:w="0" w:type="dxa"/>
        </w:tblCellMar>
      </w:tblPr>
      <w:tr>
        <w:trPr>
          <w:trHeight w:val="161"/>
        </w:trPr>
        <w:tc>
          <w:tcPr>
            <w:tcW w:w="680" w:type="dxa"/>
            <w:vAlign w:val="bottom"/>
            <w:gridSpan w:val="5"/>
          </w:tcPr>
          <w:p>
            <w:pPr>
              <w:jc w:val="center"/>
              <w:ind w:right="200"/>
              <w:spacing w:after="0"/>
              <w:rPr>
                <w:sz w:val="20"/>
                <w:szCs w:val="20"/>
                <w:color w:val="auto"/>
              </w:rPr>
            </w:pPr>
            <w:r>
              <w:rPr>
                <w:rFonts w:ascii="Arial" w:cs="Arial" w:eastAsia="Arial" w:hAnsi="Arial"/>
                <w:sz w:val="14"/>
                <w:szCs w:val="14"/>
                <w:b w:val="1"/>
                <w:bCs w:val="1"/>
                <w:i w:val="1"/>
                <w:iCs w:val="1"/>
                <w:color w:val="auto"/>
                <w:w w:val="94"/>
              </w:rPr>
              <w:t>Exhibit</w:t>
            </w:r>
          </w:p>
        </w:tc>
        <w:tc>
          <w:tcPr>
            <w:tcW w:w="10200" w:type="dxa"/>
            <w:vAlign w:val="bottom"/>
            <w:vMerge w:val="restart"/>
          </w:tcPr>
          <w:p>
            <w:pPr>
              <w:ind w:left="4660"/>
              <w:spacing w:after="0"/>
              <w:rPr>
                <w:sz w:val="20"/>
                <w:szCs w:val="20"/>
                <w:color w:val="auto"/>
              </w:rPr>
            </w:pPr>
            <w:r>
              <w:rPr>
                <w:rFonts w:ascii="Arial" w:cs="Arial" w:eastAsia="Arial" w:hAnsi="Arial"/>
                <w:sz w:val="14"/>
                <w:szCs w:val="14"/>
                <w:b w:val="1"/>
                <w:bCs w:val="1"/>
                <w:i w:val="1"/>
                <w:iCs w:val="1"/>
                <w:color w:val="auto"/>
              </w:rPr>
              <w:t>Exhibit Description</w:t>
            </w:r>
          </w:p>
        </w:tc>
        <w:tc>
          <w:tcPr>
            <w:tcW w:w="0" w:type="dxa"/>
            <w:vAlign w:val="bottom"/>
          </w:tcPr>
          <w:p>
            <w:pPr>
              <w:spacing w:after="0"/>
              <w:rPr>
                <w:sz w:val="1"/>
                <w:szCs w:val="1"/>
                <w:color w:val="auto"/>
              </w:rPr>
            </w:pPr>
          </w:p>
        </w:tc>
      </w:tr>
      <w:tr>
        <w:trPr>
          <w:trHeight w:val="178"/>
        </w:trPr>
        <w:tc>
          <w:tcPr>
            <w:tcW w:w="680" w:type="dxa"/>
            <w:vAlign w:val="bottom"/>
            <w:gridSpan w:val="5"/>
          </w:tcPr>
          <w:p>
            <w:pPr>
              <w:jc w:val="center"/>
              <w:ind w:right="200"/>
              <w:spacing w:after="0"/>
              <w:rPr>
                <w:sz w:val="20"/>
                <w:szCs w:val="20"/>
                <w:color w:val="auto"/>
              </w:rPr>
            </w:pPr>
            <w:r>
              <w:rPr>
                <w:rFonts w:ascii="Arial" w:cs="Arial" w:eastAsia="Arial" w:hAnsi="Arial"/>
                <w:sz w:val="14"/>
                <w:szCs w:val="14"/>
                <w:b w:val="1"/>
                <w:bCs w:val="1"/>
                <w:i w:val="1"/>
                <w:iCs w:val="1"/>
                <w:color w:val="auto"/>
                <w:w w:val="90"/>
              </w:rPr>
              <w:t>Number</w:t>
            </w:r>
          </w:p>
        </w:tc>
        <w:tc>
          <w:tcPr>
            <w:tcW w:w="102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40"/>
        </w:trPr>
        <w:tc>
          <w:tcPr>
            <w:tcW w:w="400" w:type="dxa"/>
            <w:vAlign w:val="bottom"/>
            <w:gridSpan w:val="4"/>
          </w:tcPr>
          <w:p>
            <w:pPr>
              <w:jc w:val="center"/>
              <w:spacing w:after="0"/>
              <w:rPr>
                <w:rFonts w:ascii="Arial" w:cs="Arial" w:eastAsia="Arial" w:hAnsi="Arial"/>
                <w:sz w:val="17"/>
                <w:szCs w:val="17"/>
                <w:color w:val="0000FF"/>
                <w:w w:val="84"/>
              </w:rPr>
            </w:pPr>
            <w:hyperlink r:id="rId53">
              <w:r>
                <w:rPr>
                  <w:rFonts w:ascii="Arial" w:cs="Arial" w:eastAsia="Arial" w:hAnsi="Arial"/>
                  <w:sz w:val="17"/>
                  <w:szCs w:val="17"/>
                  <w:color w:val="0000FF"/>
                  <w:w w:val="84"/>
                </w:rPr>
                <w:t>3.</w:t>
              </w:r>
              <w:r>
                <w:rPr>
                  <w:rFonts w:ascii="Arial" w:cs="Arial" w:eastAsia="Arial" w:hAnsi="Arial"/>
                  <w:sz w:val="17"/>
                  <w:szCs w:val="17"/>
                  <w:u w:val="single" w:color="auto"/>
                  <w:color w:val="0000FF"/>
                  <w:w w:val="84"/>
                </w:rPr>
                <w:t>1</w:t>
              </w:r>
            </w:hyperlink>
          </w:p>
        </w:tc>
        <w:tc>
          <w:tcPr>
            <w:tcW w:w="280" w:type="dxa"/>
            <w:vAlign w:val="bottom"/>
          </w:tcPr>
          <w:p>
            <w:pPr>
              <w:spacing w:after="0"/>
              <w:rPr>
                <w:sz w:val="20"/>
                <w:szCs w:val="20"/>
                <w:color w:val="auto"/>
              </w:rPr>
            </w:pPr>
          </w:p>
        </w:tc>
        <w:tc>
          <w:tcPr>
            <w:tcW w:w="10200" w:type="dxa"/>
            <w:vAlign w:val="bottom"/>
          </w:tcPr>
          <w:p>
            <w:pPr>
              <w:ind w:left="200"/>
              <w:spacing w:after="0"/>
              <w:rPr>
                <w:sz w:val="20"/>
                <w:szCs w:val="20"/>
                <w:color w:val="auto"/>
              </w:rPr>
            </w:pPr>
            <w:r>
              <w:rPr>
                <w:rFonts w:ascii="Arial" w:cs="Arial" w:eastAsia="Arial" w:hAnsi="Arial"/>
                <w:sz w:val="17"/>
                <w:szCs w:val="17"/>
                <w:color w:val="auto"/>
                <w:w w:val="97"/>
              </w:rPr>
              <w:t>Amended and Restated Certificate of Incorporation of Tri Pointe Homes, Inc. (incorporated by reference to Exhibit 3.1 to the Company’s</w:t>
            </w:r>
          </w:p>
        </w:tc>
        <w:tc>
          <w:tcPr>
            <w:tcW w:w="0" w:type="dxa"/>
            <w:vAlign w:val="bottom"/>
          </w:tcPr>
          <w:p>
            <w:pPr>
              <w:spacing w:after="0"/>
              <w:rPr>
                <w:sz w:val="1"/>
                <w:szCs w:val="1"/>
                <w:color w:val="auto"/>
              </w:rPr>
            </w:pPr>
          </w:p>
        </w:tc>
      </w:tr>
      <w:tr>
        <w:trPr>
          <w:trHeight w:val="201"/>
        </w:trPr>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Borders>
              <w:top w:val="single" w:sz="8" w:color="0000FF"/>
            </w:tcBorders>
          </w:tcPr>
          <w:p>
            <w:pPr>
              <w:spacing w:after="0"/>
              <w:rPr>
                <w:sz w:val="17"/>
                <w:szCs w:val="17"/>
                <w:color w:val="auto"/>
              </w:rPr>
            </w:pPr>
          </w:p>
        </w:tc>
        <w:tc>
          <w:tcPr>
            <w:tcW w:w="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0" w:type="dxa"/>
            <w:vAlign w:val="bottom"/>
          </w:tcPr>
          <w:p>
            <w:pPr>
              <w:ind w:left="200"/>
              <w:spacing w:after="0"/>
              <w:rPr>
                <w:sz w:val="20"/>
                <w:szCs w:val="20"/>
                <w:color w:val="auto"/>
              </w:rPr>
            </w:pPr>
            <w:r>
              <w:rPr>
                <w:rFonts w:ascii="Arial" w:cs="Arial" w:eastAsia="Arial" w:hAnsi="Arial"/>
                <w:sz w:val="17"/>
                <w:szCs w:val="17"/>
                <w:color w:val="auto"/>
              </w:rPr>
              <w:t>Current Report on Form 8-K (filed July 7, 2015))</w:t>
            </w:r>
          </w:p>
        </w:tc>
        <w:tc>
          <w:tcPr>
            <w:tcW w:w="0" w:type="dxa"/>
            <w:vAlign w:val="bottom"/>
          </w:tcPr>
          <w:p>
            <w:pPr>
              <w:spacing w:after="0"/>
              <w:rPr>
                <w:sz w:val="1"/>
                <w:szCs w:val="1"/>
                <w:color w:val="auto"/>
              </w:rPr>
            </w:pPr>
          </w:p>
        </w:tc>
      </w:tr>
      <w:tr>
        <w:trPr>
          <w:trHeight w:val="223"/>
        </w:trPr>
        <w:tc>
          <w:tcPr>
            <w:tcW w:w="400" w:type="dxa"/>
            <w:vAlign w:val="bottom"/>
            <w:gridSpan w:val="4"/>
          </w:tcPr>
          <w:p>
            <w:pPr>
              <w:jc w:val="center"/>
              <w:spacing w:after="0"/>
              <w:rPr>
                <w:rFonts w:ascii="Arial" w:cs="Arial" w:eastAsia="Arial" w:hAnsi="Arial"/>
                <w:sz w:val="17"/>
                <w:szCs w:val="17"/>
                <w:color w:val="0000FF"/>
                <w:w w:val="84"/>
              </w:rPr>
            </w:pPr>
            <w:hyperlink r:id="rId54">
              <w:r>
                <w:rPr>
                  <w:rFonts w:ascii="Arial" w:cs="Arial" w:eastAsia="Arial" w:hAnsi="Arial"/>
                  <w:sz w:val="17"/>
                  <w:szCs w:val="17"/>
                  <w:color w:val="0000FF"/>
                  <w:w w:val="84"/>
                </w:rPr>
                <w:t>3.</w:t>
              </w:r>
              <w:r>
                <w:rPr>
                  <w:rFonts w:ascii="Arial" w:cs="Arial" w:eastAsia="Arial" w:hAnsi="Arial"/>
                  <w:sz w:val="17"/>
                  <w:szCs w:val="17"/>
                  <w:u w:val="single" w:color="auto"/>
                  <w:color w:val="0000FF"/>
                  <w:w w:val="84"/>
                </w:rPr>
                <w:t>2</w:t>
              </w:r>
            </w:hyperlink>
          </w:p>
        </w:tc>
        <w:tc>
          <w:tcPr>
            <w:tcW w:w="280" w:type="dxa"/>
            <w:vAlign w:val="bottom"/>
          </w:tcPr>
          <w:p>
            <w:pPr>
              <w:spacing w:after="0"/>
              <w:rPr>
                <w:sz w:val="19"/>
                <w:szCs w:val="19"/>
                <w:color w:val="auto"/>
              </w:rPr>
            </w:pPr>
          </w:p>
        </w:tc>
        <w:tc>
          <w:tcPr>
            <w:tcW w:w="10200" w:type="dxa"/>
            <w:vAlign w:val="bottom"/>
          </w:tcPr>
          <w:p>
            <w:pPr>
              <w:ind w:left="200"/>
              <w:spacing w:after="0"/>
              <w:rPr>
                <w:sz w:val="20"/>
                <w:szCs w:val="20"/>
                <w:color w:val="auto"/>
              </w:rPr>
            </w:pPr>
            <w:r>
              <w:rPr>
                <w:rFonts w:ascii="Arial" w:cs="Arial" w:eastAsia="Arial" w:hAnsi="Arial"/>
                <w:sz w:val="17"/>
                <w:szCs w:val="17"/>
                <w:color w:val="auto"/>
                <w:w w:val="98"/>
              </w:rPr>
              <w:t>Certificate of Amendment to Amended and Restated Certificate of Incorporation of Tri Pointe Homes, Inc. (incorporated by reference to</w:t>
            </w:r>
          </w:p>
        </w:tc>
        <w:tc>
          <w:tcPr>
            <w:tcW w:w="0" w:type="dxa"/>
            <w:vAlign w:val="bottom"/>
          </w:tcPr>
          <w:p>
            <w:pPr>
              <w:spacing w:after="0"/>
              <w:rPr>
                <w:sz w:val="1"/>
                <w:szCs w:val="1"/>
                <w:color w:val="auto"/>
              </w:rPr>
            </w:pPr>
          </w:p>
        </w:tc>
      </w:tr>
      <w:tr>
        <w:trPr>
          <w:trHeight w:val="201"/>
        </w:trPr>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Borders>
              <w:top w:val="single" w:sz="8" w:color="0000FF"/>
            </w:tcBorders>
          </w:tcPr>
          <w:p>
            <w:pPr>
              <w:spacing w:after="0"/>
              <w:rPr>
                <w:sz w:val="17"/>
                <w:szCs w:val="17"/>
                <w:color w:val="auto"/>
              </w:rPr>
            </w:pPr>
          </w:p>
        </w:tc>
        <w:tc>
          <w:tcPr>
            <w:tcW w:w="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0" w:type="dxa"/>
            <w:vAlign w:val="bottom"/>
          </w:tcPr>
          <w:p>
            <w:pPr>
              <w:ind w:left="200"/>
              <w:spacing w:after="0" w:line="196" w:lineRule="exact"/>
              <w:rPr>
                <w:sz w:val="20"/>
                <w:szCs w:val="20"/>
                <w:color w:val="auto"/>
              </w:rPr>
            </w:pPr>
            <w:r>
              <w:rPr>
                <w:rFonts w:ascii="Arial" w:cs="Arial" w:eastAsia="Arial" w:hAnsi="Arial"/>
                <w:sz w:val="17"/>
                <w:szCs w:val="17"/>
                <w:color w:val="auto"/>
              </w:rPr>
              <w:t>Exhibit 3.1 to the Company’s Current Report on Form 8</w:t>
            </w:r>
            <w:r>
              <w:rPr>
                <w:rFonts w:ascii="MS PGothic" w:cs="MS PGothic" w:eastAsia="MS PGothic" w:hAnsi="MS PGothic"/>
                <w:sz w:val="17"/>
                <w:szCs w:val="17"/>
                <w:color w:val="auto"/>
              </w:rPr>
              <w:t>‑</w:t>
            </w:r>
            <w:r>
              <w:rPr>
                <w:rFonts w:ascii="Arial" w:cs="Arial" w:eastAsia="Arial" w:hAnsi="Arial"/>
                <w:sz w:val="17"/>
                <w:szCs w:val="17"/>
                <w:color w:val="auto"/>
              </w:rPr>
              <w:t>K (filed January 21, 2021))</w:t>
            </w:r>
          </w:p>
        </w:tc>
        <w:tc>
          <w:tcPr>
            <w:tcW w:w="0" w:type="dxa"/>
            <w:vAlign w:val="bottom"/>
          </w:tcPr>
          <w:p>
            <w:pPr>
              <w:spacing w:after="0"/>
              <w:rPr>
                <w:sz w:val="1"/>
                <w:szCs w:val="1"/>
                <w:color w:val="auto"/>
              </w:rPr>
            </w:pPr>
          </w:p>
        </w:tc>
      </w:tr>
      <w:tr>
        <w:trPr>
          <w:trHeight w:val="223"/>
        </w:trPr>
        <w:tc>
          <w:tcPr>
            <w:tcW w:w="400" w:type="dxa"/>
            <w:vAlign w:val="bottom"/>
            <w:gridSpan w:val="4"/>
          </w:tcPr>
          <w:p>
            <w:pPr>
              <w:jc w:val="center"/>
              <w:spacing w:after="0"/>
              <w:rPr>
                <w:rFonts w:ascii="Arial" w:cs="Arial" w:eastAsia="Arial" w:hAnsi="Arial"/>
                <w:sz w:val="17"/>
                <w:szCs w:val="17"/>
                <w:color w:val="0000FF"/>
                <w:w w:val="84"/>
              </w:rPr>
            </w:pPr>
            <w:hyperlink r:id="rId55">
              <w:r>
                <w:rPr>
                  <w:rFonts w:ascii="Arial" w:cs="Arial" w:eastAsia="Arial" w:hAnsi="Arial"/>
                  <w:sz w:val="17"/>
                  <w:szCs w:val="17"/>
                  <w:color w:val="0000FF"/>
                  <w:w w:val="84"/>
                </w:rPr>
                <w:t>3.</w:t>
              </w:r>
              <w:r>
                <w:rPr>
                  <w:rFonts w:ascii="Arial" w:cs="Arial" w:eastAsia="Arial" w:hAnsi="Arial"/>
                  <w:sz w:val="17"/>
                  <w:szCs w:val="17"/>
                  <w:u w:val="single" w:color="auto"/>
                  <w:color w:val="0000FF"/>
                  <w:w w:val="84"/>
                </w:rPr>
                <w:t>3</w:t>
              </w:r>
            </w:hyperlink>
          </w:p>
        </w:tc>
        <w:tc>
          <w:tcPr>
            <w:tcW w:w="280" w:type="dxa"/>
            <w:vAlign w:val="bottom"/>
          </w:tcPr>
          <w:p>
            <w:pPr>
              <w:spacing w:after="0"/>
              <w:rPr>
                <w:sz w:val="19"/>
                <w:szCs w:val="19"/>
                <w:color w:val="auto"/>
              </w:rPr>
            </w:pPr>
          </w:p>
        </w:tc>
        <w:tc>
          <w:tcPr>
            <w:tcW w:w="10200" w:type="dxa"/>
            <w:vAlign w:val="bottom"/>
          </w:tcPr>
          <w:p>
            <w:pPr>
              <w:ind w:left="200"/>
              <w:spacing w:after="0"/>
              <w:rPr>
                <w:sz w:val="20"/>
                <w:szCs w:val="20"/>
                <w:color w:val="auto"/>
              </w:rPr>
            </w:pPr>
            <w:r>
              <w:rPr>
                <w:rFonts w:ascii="Arial" w:cs="Arial" w:eastAsia="Arial" w:hAnsi="Arial"/>
                <w:sz w:val="17"/>
                <w:szCs w:val="17"/>
                <w:color w:val="auto"/>
                <w:w w:val="94"/>
              </w:rPr>
              <w:t>Amended and Restated Bylaws of Tri Pointe Homes, Inc. (incorporated by reference to Exhibit 3.1 to the Company’s Current Report on Form</w:t>
            </w:r>
          </w:p>
        </w:tc>
        <w:tc>
          <w:tcPr>
            <w:tcW w:w="0" w:type="dxa"/>
            <w:vAlign w:val="bottom"/>
          </w:tcPr>
          <w:p>
            <w:pPr>
              <w:spacing w:after="0"/>
              <w:rPr>
                <w:sz w:val="1"/>
                <w:szCs w:val="1"/>
                <w:color w:val="auto"/>
              </w:rPr>
            </w:pPr>
          </w:p>
        </w:tc>
      </w:tr>
      <w:tr>
        <w:trPr>
          <w:trHeight w:val="201"/>
        </w:trPr>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Borders>
              <w:top w:val="single" w:sz="8" w:color="0000FF"/>
            </w:tcBorders>
          </w:tcPr>
          <w:p>
            <w:pPr>
              <w:spacing w:after="0"/>
              <w:rPr>
                <w:sz w:val="17"/>
                <w:szCs w:val="17"/>
                <w:color w:val="auto"/>
              </w:rPr>
            </w:pPr>
          </w:p>
        </w:tc>
        <w:tc>
          <w:tcPr>
            <w:tcW w:w="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0" w:type="dxa"/>
            <w:vAlign w:val="bottom"/>
          </w:tcPr>
          <w:p>
            <w:pPr>
              <w:ind w:left="200"/>
              <w:spacing w:after="0"/>
              <w:rPr>
                <w:sz w:val="20"/>
                <w:szCs w:val="20"/>
                <w:color w:val="auto"/>
              </w:rPr>
            </w:pPr>
            <w:r>
              <w:rPr>
                <w:rFonts w:ascii="Arial" w:cs="Arial" w:eastAsia="Arial" w:hAnsi="Arial"/>
                <w:sz w:val="17"/>
                <w:szCs w:val="17"/>
                <w:color w:val="auto"/>
              </w:rPr>
              <w:t>8-K (filed October 27, 2016))</w:t>
            </w:r>
          </w:p>
        </w:tc>
        <w:tc>
          <w:tcPr>
            <w:tcW w:w="0" w:type="dxa"/>
            <w:vAlign w:val="bottom"/>
          </w:tcPr>
          <w:p>
            <w:pPr>
              <w:spacing w:after="0"/>
              <w:rPr>
                <w:sz w:val="1"/>
                <w:szCs w:val="1"/>
                <w:color w:val="auto"/>
              </w:rPr>
            </w:pPr>
          </w:p>
        </w:tc>
      </w:tr>
      <w:tr>
        <w:trPr>
          <w:trHeight w:val="223"/>
        </w:trPr>
        <w:tc>
          <w:tcPr>
            <w:tcW w:w="400" w:type="dxa"/>
            <w:vAlign w:val="bottom"/>
            <w:gridSpan w:val="4"/>
          </w:tcPr>
          <w:p>
            <w:pPr>
              <w:jc w:val="center"/>
              <w:spacing w:after="0"/>
              <w:rPr>
                <w:rFonts w:ascii="Arial" w:cs="Arial" w:eastAsia="Arial" w:hAnsi="Arial"/>
                <w:sz w:val="17"/>
                <w:szCs w:val="17"/>
                <w:color w:val="0000FF"/>
                <w:w w:val="96"/>
              </w:rPr>
            </w:pPr>
            <w:hyperlink r:id="rId56">
              <w:r>
                <w:rPr>
                  <w:rFonts w:ascii="Arial" w:cs="Arial" w:eastAsia="Arial" w:hAnsi="Arial"/>
                  <w:sz w:val="17"/>
                  <w:szCs w:val="17"/>
                  <w:color w:val="0000FF"/>
                  <w:w w:val="96"/>
                </w:rPr>
                <w:t>10.</w:t>
              </w:r>
              <w:r>
                <w:rPr>
                  <w:rFonts w:ascii="Arial" w:cs="Arial" w:eastAsia="Arial" w:hAnsi="Arial"/>
                  <w:sz w:val="17"/>
                  <w:szCs w:val="17"/>
                  <w:u w:val="single" w:color="auto"/>
                  <w:color w:val="0000FF"/>
                  <w:w w:val="96"/>
                </w:rPr>
                <w:t>1</w:t>
              </w:r>
            </w:hyperlink>
          </w:p>
        </w:tc>
        <w:tc>
          <w:tcPr>
            <w:tcW w:w="280" w:type="dxa"/>
            <w:vAlign w:val="bottom"/>
          </w:tcPr>
          <w:p>
            <w:pPr>
              <w:spacing w:after="0"/>
              <w:rPr>
                <w:sz w:val="19"/>
                <w:szCs w:val="19"/>
                <w:color w:val="auto"/>
              </w:rPr>
            </w:pPr>
          </w:p>
        </w:tc>
        <w:tc>
          <w:tcPr>
            <w:tcW w:w="10200" w:type="dxa"/>
            <w:vAlign w:val="bottom"/>
          </w:tcPr>
          <w:p>
            <w:pPr>
              <w:ind w:left="200"/>
              <w:spacing w:after="0"/>
              <w:rPr>
                <w:sz w:val="20"/>
                <w:szCs w:val="20"/>
                <w:color w:val="auto"/>
              </w:rPr>
            </w:pPr>
            <w:r>
              <w:rPr>
                <w:rFonts w:ascii="Arial" w:cs="Arial" w:eastAsia="Arial" w:hAnsi="Arial"/>
                <w:sz w:val="17"/>
                <w:szCs w:val="17"/>
                <w:color w:val="auto"/>
                <w:w w:val="95"/>
              </w:rPr>
              <w:t>Second Modification Agreement, dated as of June 10, 2021, among Tri Pointe Homes, Inc., U.S. Bank National Association, d/b/a Housing</w:t>
            </w:r>
          </w:p>
        </w:tc>
        <w:tc>
          <w:tcPr>
            <w:tcW w:w="0" w:type="dxa"/>
            <w:vAlign w:val="bottom"/>
          </w:tcPr>
          <w:p>
            <w:pPr>
              <w:spacing w:after="0"/>
              <w:rPr>
                <w:sz w:val="1"/>
                <w:szCs w:val="1"/>
                <w:color w:val="auto"/>
              </w:rPr>
            </w:pPr>
          </w:p>
        </w:tc>
      </w:tr>
      <w:tr>
        <w:trPr>
          <w:trHeight w:val="137"/>
        </w:trPr>
        <w:tc>
          <w:tcPr>
            <w:tcW w:w="80" w:type="dxa"/>
            <w:vAlign w:val="bottom"/>
          </w:tcPr>
          <w:p>
            <w:pPr>
              <w:spacing w:after="0"/>
              <w:rPr>
                <w:sz w:val="11"/>
                <w:szCs w:val="11"/>
                <w:color w:val="auto"/>
              </w:rPr>
            </w:pPr>
          </w:p>
        </w:tc>
        <w:tc>
          <w:tcPr>
            <w:tcW w:w="60" w:type="dxa"/>
            <w:vAlign w:val="bottom"/>
            <w:tcBorders>
              <w:top w:val="single" w:sz="8" w:color="0000FF"/>
            </w:tcBorders>
          </w:tcPr>
          <w:p>
            <w:pPr>
              <w:spacing w:after="0"/>
              <w:rPr>
                <w:sz w:val="11"/>
                <w:szCs w:val="11"/>
                <w:color w:val="auto"/>
              </w:rPr>
            </w:pPr>
          </w:p>
        </w:tc>
        <w:tc>
          <w:tcPr>
            <w:tcW w:w="200" w:type="dxa"/>
            <w:vAlign w:val="bottom"/>
            <w:tcBorders>
              <w:top w:val="single" w:sz="8" w:color="0000FF"/>
            </w:tcBorders>
          </w:tcPr>
          <w:p>
            <w:pPr>
              <w:spacing w:after="0"/>
              <w:rPr>
                <w:sz w:val="11"/>
                <w:szCs w:val="11"/>
                <w:color w:val="auto"/>
              </w:rPr>
            </w:pPr>
          </w:p>
        </w:tc>
        <w:tc>
          <w:tcPr>
            <w:tcW w:w="60" w:type="dxa"/>
            <w:vAlign w:val="bottom"/>
            <w:tcBorders>
              <w:top w:val="single" w:sz="8" w:color="0000FF"/>
            </w:tcBorders>
          </w:tcPr>
          <w:p>
            <w:pPr>
              <w:spacing w:after="0"/>
              <w:rPr>
                <w:sz w:val="11"/>
                <w:szCs w:val="11"/>
                <w:color w:val="auto"/>
              </w:rPr>
            </w:pPr>
          </w:p>
        </w:tc>
        <w:tc>
          <w:tcPr>
            <w:tcW w:w="280" w:type="dxa"/>
            <w:vAlign w:val="bottom"/>
          </w:tcPr>
          <w:p>
            <w:pPr>
              <w:spacing w:after="0"/>
              <w:rPr>
                <w:sz w:val="11"/>
                <w:szCs w:val="11"/>
                <w:color w:val="auto"/>
              </w:rPr>
            </w:pPr>
          </w:p>
        </w:tc>
        <w:tc>
          <w:tcPr>
            <w:tcW w:w="10200" w:type="dxa"/>
            <w:vAlign w:val="bottom"/>
          </w:tcPr>
          <w:p>
            <w:pPr>
              <w:ind w:left="200"/>
              <w:spacing w:after="0" w:line="138" w:lineRule="exact"/>
              <w:rPr>
                <w:sz w:val="20"/>
                <w:szCs w:val="20"/>
                <w:color w:val="auto"/>
              </w:rPr>
            </w:pPr>
            <w:r>
              <w:rPr>
                <w:rFonts w:ascii="Arial" w:cs="Arial" w:eastAsia="Arial" w:hAnsi="Arial"/>
                <w:sz w:val="15"/>
                <w:szCs w:val="15"/>
                <w:color w:val="auto"/>
              </w:rPr>
              <w:t>Capital Company, and the lenders party thereto (incorporated by reference to Exhibit 10.1 to the Company’s Current Report on Form 8-K (filed</w:t>
            </w:r>
          </w:p>
        </w:tc>
        <w:tc>
          <w:tcPr>
            <w:tcW w:w="0" w:type="dxa"/>
            <w:vAlign w:val="bottom"/>
          </w:tcPr>
          <w:p>
            <w:pPr>
              <w:spacing w:after="0"/>
              <w:rPr>
                <w:sz w:val="1"/>
                <w:szCs w:val="1"/>
                <w:color w:val="auto"/>
              </w:rPr>
            </w:pPr>
          </w:p>
        </w:tc>
      </w:tr>
      <w:tr>
        <w:trPr>
          <w:trHeight w:val="221"/>
        </w:trPr>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200" w:type="dxa"/>
            <w:vAlign w:val="bottom"/>
          </w:tcPr>
          <w:p>
            <w:pPr>
              <w:ind w:left="200"/>
              <w:spacing w:after="0"/>
              <w:rPr>
                <w:sz w:val="20"/>
                <w:szCs w:val="20"/>
                <w:color w:val="auto"/>
              </w:rPr>
            </w:pPr>
            <w:r>
              <w:rPr>
                <w:rFonts w:ascii="Arial" w:cs="Arial" w:eastAsia="Arial" w:hAnsi="Arial"/>
                <w:sz w:val="17"/>
                <w:szCs w:val="17"/>
                <w:color w:val="auto"/>
              </w:rPr>
              <w:t>June 11, 2021))</w:t>
            </w:r>
          </w:p>
        </w:tc>
        <w:tc>
          <w:tcPr>
            <w:tcW w:w="0" w:type="dxa"/>
            <w:vAlign w:val="bottom"/>
          </w:tcPr>
          <w:p>
            <w:pPr>
              <w:spacing w:after="0"/>
              <w:rPr>
                <w:sz w:val="1"/>
                <w:szCs w:val="1"/>
                <w:color w:val="auto"/>
              </w:rPr>
            </w:pPr>
          </w:p>
        </w:tc>
      </w:tr>
      <w:tr>
        <w:trPr>
          <w:trHeight w:val="236"/>
        </w:trPr>
        <w:tc>
          <w:tcPr>
            <w:tcW w:w="400" w:type="dxa"/>
            <w:vAlign w:val="bottom"/>
            <w:gridSpan w:val="4"/>
          </w:tcPr>
          <w:p>
            <w:pPr>
              <w:jc w:val="center"/>
              <w:spacing w:after="0"/>
              <w:rPr>
                <w:rFonts w:ascii="Arial" w:cs="Arial" w:eastAsia="Arial" w:hAnsi="Arial"/>
                <w:sz w:val="17"/>
                <w:szCs w:val="17"/>
                <w:color w:val="0000FF"/>
                <w:w w:val="96"/>
              </w:rPr>
            </w:pPr>
            <w:hyperlink r:id="rId57">
              <w:r>
                <w:rPr>
                  <w:rFonts w:ascii="Arial" w:cs="Arial" w:eastAsia="Arial" w:hAnsi="Arial"/>
                  <w:sz w:val="17"/>
                  <w:szCs w:val="17"/>
                  <w:color w:val="0000FF"/>
                  <w:w w:val="96"/>
                </w:rPr>
                <w:t>22.</w:t>
              </w:r>
              <w:r>
                <w:rPr>
                  <w:rFonts w:ascii="Arial" w:cs="Arial" w:eastAsia="Arial" w:hAnsi="Arial"/>
                  <w:sz w:val="17"/>
                  <w:szCs w:val="17"/>
                  <w:u w:val="single" w:color="auto"/>
                  <w:color w:val="0000FF"/>
                  <w:w w:val="96"/>
                </w:rPr>
                <w:t>1</w:t>
              </w:r>
            </w:hyperlink>
          </w:p>
        </w:tc>
        <w:tc>
          <w:tcPr>
            <w:tcW w:w="280" w:type="dxa"/>
            <w:vAlign w:val="bottom"/>
          </w:tcPr>
          <w:p>
            <w:pPr>
              <w:spacing w:after="0"/>
              <w:rPr>
                <w:sz w:val="20"/>
                <w:szCs w:val="20"/>
                <w:color w:val="auto"/>
              </w:rPr>
            </w:pPr>
          </w:p>
        </w:tc>
        <w:tc>
          <w:tcPr>
            <w:tcW w:w="10200" w:type="dxa"/>
            <w:vAlign w:val="bottom"/>
          </w:tcPr>
          <w:p>
            <w:pPr>
              <w:ind w:left="200"/>
              <w:spacing w:after="0"/>
              <w:rPr>
                <w:sz w:val="20"/>
                <w:szCs w:val="20"/>
                <w:color w:val="auto"/>
              </w:rPr>
            </w:pPr>
            <w:r>
              <w:rPr>
                <w:rFonts w:ascii="Arial" w:cs="Arial" w:eastAsia="Arial" w:hAnsi="Arial"/>
                <w:sz w:val="17"/>
                <w:szCs w:val="17"/>
                <w:color w:val="auto"/>
                <w:w w:val="95"/>
              </w:rPr>
              <w:t>List of guarantor subsidiaries of Tri Pointe Homes, Inc. (incorporated by reference to Exhibit 22.1 to the Company’s Annual Report on Form</w:t>
            </w:r>
          </w:p>
        </w:tc>
        <w:tc>
          <w:tcPr>
            <w:tcW w:w="0" w:type="dxa"/>
            <w:vAlign w:val="bottom"/>
          </w:tcPr>
          <w:p>
            <w:pPr>
              <w:spacing w:after="0"/>
              <w:rPr>
                <w:sz w:val="1"/>
                <w:szCs w:val="1"/>
                <w:color w:val="auto"/>
              </w:rPr>
            </w:pPr>
          </w:p>
        </w:tc>
      </w:tr>
      <w:tr>
        <w:trPr>
          <w:trHeight w:val="201"/>
        </w:trPr>
        <w:tc>
          <w:tcPr>
            <w:tcW w:w="80" w:type="dxa"/>
            <w:vAlign w:val="bottom"/>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20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280" w:type="dxa"/>
            <w:vAlign w:val="bottom"/>
          </w:tcPr>
          <w:p>
            <w:pPr>
              <w:spacing w:after="0"/>
              <w:rPr>
                <w:sz w:val="17"/>
                <w:szCs w:val="17"/>
                <w:color w:val="auto"/>
              </w:rPr>
            </w:pPr>
          </w:p>
        </w:tc>
        <w:tc>
          <w:tcPr>
            <w:tcW w:w="10200" w:type="dxa"/>
            <w:vAlign w:val="bottom"/>
          </w:tcPr>
          <w:p>
            <w:pPr>
              <w:ind w:left="200"/>
              <w:spacing w:after="0"/>
              <w:rPr>
                <w:sz w:val="20"/>
                <w:szCs w:val="20"/>
                <w:color w:val="auto"/>
              </w:rPr>
            </w:pPr>
            <w:r>
              <w:rPr>
                <w:rFonts w:ascii="Arial" w:cs="Arial" w:eastAsia="Arial" w:hAnsi="Arial"/>
                <w:sz w:val="17"/>
                <w:szCs w:val="17"/>
                <w:color w:val="auto"/>
              </w:rPr>
              <w:t>10-K (filed February 19, 2021))</w:t>
            </w:r>
          </w:p>
        </w:tc>
        <w:tc>
          <w:tcPr>
            <w:tcW w:w="0" w:type="dxa"/>
            <w:vAlign w:val="bottom"/>
          </w:tcPr>
          <w:p>
            <w:pPr>
              <w:spacing w:after="0"/>
              <w:rPr>
                <w:sz w:val="1"/>
                <w:szCs w:val="1"/>
                <w:color w:val="auto"/>
              </w:rPr>
            </w:pPr>
          </w:p>
        </w:tc>
      </w:tr>
      <w:tr>
        <w:trPr>
          <w:trHeight w:val="223"/>
        </w:trPr>
        <w:tc>
          <w:tcPr>
            <w:tcW w:w="80" w:type="dxa"/>
            <w:vAlign w:val="bottom"/>
          </w:tcPr>
          <w:p>
            <w:pPr>
              <w:spacing w:after="0"/>
              <w:rPr>
                <w:sz w:val="19"/>
                <w:szCs w:val="19"/>
                <w:color w:val="auto"/>
              </w:rPr>
            </w:pPr>
          </w:p>
        </w:tc>
        <w:tc>
          <w:tcPr>
            <w:tcW w:w="320" w:type="dxa"/>
            <w:vAlign w:val="bottom"/>
            <w:tcBorders>
              <w:bottom w:val="single" w:sz="8" w:color="0000FF"/>
            </w:tcBorders>
            <w:gridSpan w:val="3"/>
          </w:tcPr>
          <w:p>
            <w:pPr>
              <w:jc w:val="center"/>
              <w:spacing w:after="0"/>
              <w:rPr>
                <w:rFonts w:ascii="Arial" w:cs="Arial" w:eastAsia="Arial" w:hAnsi="Arial"/>
                <w:sz w:val="17"/>
                <w:szCs w:val="17"/>
                <w:color w:val="0000FF"/>
                <w:w w:val="96"/>
              </w:rPr>
            </w:pPr>
            <w:hyperlink w:anchor="page46">
              <w:r>
                <w:rPr>
                  <w:rFonts w:ascii="Arial" w:cs="Arial" w:eastAsia="Arial" w:hAnsi="Arial"/>
                  <w:sz w:val="17"/>
                  <w:szCs w:val="17"/>
                  <w:color w:val="0000FF"/>
                  <w:w w:val="96"/>
                </w:rPr>
                <w:t>31.</w:t>
              </w:r>
              <w:r>
                <w:rPr>
                  <w:rFonts w:ascii="Arial" w:cs="Arial" w:eastAsia="Arial" w:hAnsi="Arial"/>
                  <w:sz w:val="17"/>
                  <w:szCs w:val="17"/>
                  <w:u w:val="single" w:color="auto"/>
                  <w:color w:val="0000FF"/>
                  <w:w w:val="96"/>
                </w:rPr>
                <w:t>1</w:t>
              </w:r>
            </w:hyperlink>
          </w:p>
        </w:tc>
        <w:tc>
          <w:tcPr>
            <w:tcW w:w="280" w:type="dxa"/>
            <w:vAlign w:val="bottom"/>
          </w:tcPr>
          <w:p>
            <w:pPr>
              <w:spacing w:after="0"/>
              <w:rPr>
                <w:sz w:val="19"/>
                <w:szCs w:val="19"/>
                <w:color w:val="auto"/>
              </w:rPr>
            </w:pPr>
          </w:p>
        </w:tc>
        <w:tc>
          <w:tcPr>
            <w:tcW w:w="10200" w:type="dxa"/>
            <w:vAlign w:val="bottom"/>
          </w:tcPr>
          <w:p>
            <w:pPr>
              <w:ind w:left="200"/>
              <w:spacing w:after="0"/>
              <w:rPr>
                <w:sz w:val="20"/>
                <w:szCs w:val="20"/>
                <w:color w:val="auto"/>
              </w:rPr>
            </w:pPr>
            <w:r>
              <w:rPr>
                <w:rFonts w:ascii="Arial" w:cs="Arial" w:eastAsia="Arial" w:hAnsi="Arial"/>
                <w:sz w:val="17"/>
                <w:szCs w:val="17"/>
                <w:color w:val="auto"/>
              </w:rPr>
              <w:t>Chief Executive Officer Section 302 Certification of the Sarbanes-Oxley Act of 2002</w:t>
            </w:r>
          </w:p>
        </w:tc>
        <w:tc>
          <w:tcPr>
            <w:tcW w:w="0" w:type="dxa"/>
            <w:vAlign w:val="bottom"/>
          </w:tcPr>
          <w:p>
            <w:pPr>
              <w:spacing w:after="0"/>
              <w:rPr>
                <w:sz w:val="1"/>
                <w:szCs w:val="1"/>
                <w:color w:val="auto"/>
              </w:rPr>
            </w:pPr>
          </w:p>
        </w:tc>
      </w:tr>
      <w:tr>
        <w:trPr>
          <w:trHeight w:val="254"/>
        </w:trPr>
        <w:tc>
          <w:tcPr>
            <w:tcW w:w="80" w:type="dxa"/>
            <w:vAlign w:val="bottom"/>
          </w:tcPr>
          <w:p>
            <w:pPr>
              <w:spacing w:after="0"/>
              <w:rPr>
                <w:sz w:val="22"/>
                <w:szCs w:val="22"/>
                <w:color w:val="auto"/>
              </w:rPr>
            </w:pPr>
          </w:p>
        </w:tc>
        <w:tc>
          <w:tcPr>
            <w:tcW w:w="320" w:type="dxa"/>
            <w:vAlign w:val="bottom"/>
            <w:tcBorders>
              <w:bottom w:val="single" w:sz="8" w:color="0000FF"/>
            </w:tcBorders>
            <w:gridSpan w:val="3"/>
          </w:tcPr>
          <w:p>
            <w:pPr>
              <w:jc w:val="center"/>
              <w:spacing w:after="0"/>
              <w:rPr>
                <w:rFonts w:ascii="Arial" w:cs="Arial" w:eastAsia="Arial" w:hAnsi="Arial"/>
                <w:sz w:val="17"/>
                <w:szCs w:val="17"/>
                <w:color w:val="0000FF"/>
                <w:w w:val="96"/>
              </w:rPr>
            </w:pPr>
            <w:hyperlink w:anchor="page47">
              <w:r>
                <w:rPr>
                  <w:rFonts w:ascii="Arial" w:cs="Arial" w:eastAsia="Arial" w:hAnsi="Arial"/>
                  <w:sz w:val="17"/>
                  <w:szCs w:val="17"/>
                  <w:color w:val="0000FF"/>
                  <w:w w:val="96"/>
                </w:rPr>
                <w:t>31.</w:t>
              </w:r>
              <w:r>
                <w:rPr>
                  <w:rFonts w:ascii="Arial" w:cs="Arial" w:eastAsia="Arial" w:hAnsi="Arial"/>
                  <w:sz w:val="17"/>
                  <w:szCs w:val="17"/>
                  <w:u w:val="single" w:color="auto"/>
                  <w:color w:val="0000FF"/>
                  <w:w w:val="96"/>
                </w:rPr>
                <w:t>2</w:t>
              </w:r>
            </w:hyperlink>
          </w:p>
        </w:tc>
        <w:tc>
          <w:tcPr>
            <w:tcW w:w="280" w:type="dxa"/>
            <w:vAlign w:val="bottom"/>
          </w:tcPr>
          <w:p>
            <w:pPr>
              <w:spacing w:after="0"/>
              <w:rPr>
                <w:sz w:val="22"/>
                <w:szCs w:val="22"/>
                <w:color w:val="auto"/>
              </w:rPr>
            </w:pPr>
          </w:p>
        </w:tc>
        <w:tc>
          <w:tcPr>
            <w:tcW w:w="10200" w:type="dxa"/>
            <w:vAlign w:val="bottom"/>
          </w:tcPr>
          <w:p>
            <w:pPr>
              <w:ind w:left="200"/>
              <w:spacing w:after="0"/>
              <w:rPr>
                <w:sz w:val="20"/>
                <w:szCs w:val="20"/>
                <w:color w:val="auto"/>
              </w:rPr>
            </w:pPr>
            <w:r>
              <w:rPr>
                <w:rFonts w:ascii="Arial" w:cs="Arial" w:eastAsia="Arial" w:hAnsi="Arial"/>
                <w:sz w:val="17"/>
                <w:szCs w:val="17"/>
                <w:color w:val="auto"/>
              </w:rPr>
              <w:t>Chief Financial Officer Section 302 Certification of the Sarbanes-Oxley Act of 2002</w:t>
            </w:r>
          </w:p>
        </w:tc>
        <w:tc>
          <w:tcPr>
            <w:tcW w:w="0" w:type="dxa"/>
            <w:vAlign w:val="bottom"/>
          </w:tcPr>
          <w:p>
            <w:pPr>
              <w:spacing w:after="0"/>
              <w:rPr>
                <w:sz w:val="1"/>
                <w:szCs w:val="1"/>
                <w:color w:val="auto"/>
              </w:rPr>
            </w:pPr>
          </w:p>
        </w:tc>
      </w:tr>
      <w:tr>
        <w:trPr>
          <w:trHeight w:val="254"/>
        </w:trPr>
        <w:tc>
          <w:tcPr>
            <w:tcW w:w="80" w:type="dxa"/>
            <w:vAlign w:val="bottom"/>
          </w:tcPr>
          <w:p>
            <w:pPr>
              <w:spacing w:after="0"/>
              <w:rPr>
                <w:sz w:val="22"/>
                <w:szCs w:val="22"/>
                <w:color w:val="auto"/>
              </w:rPr>
            </w:pPr>
          </w:p>
        </w:tc>
        <w:tc>
          <w:tcPr>
            <w:tcW w:w="320" w:type="dxa"/>
            <w:vAlign w:val="bottom"/>
            <w:tcBorders>
              <w:bottom w:val="single" w:sz="8" w:color="0000FF"/>
            </w:tcBorders>
            <w:gridSpan w:val="3"/>
          </w:tcPr>
          <w:p>
            <w:pPr>
              <w:jc w:val="center"/>
              <w:spacing w:after="0"/>
              <w:rPr>
                <w:rFonts w:ascii="Arial" w:cs="Arial" w:eastAsia="Arial" w:hAnsi="Arial"/>
                <w:sz w:val="17"/>
                <w:szCs w:val="17"/>
                <w:color w:val="0000FF"/>
                <w:w w:val="96"/>
              </w:rPr>
            </w:pPr>
            <w:hyperlink w:anchor="page48">
              <w:r>
                <w:rPr>
                  <w:rFonts w:ascii="Arial" w:cs="Arial" w:eastAsia="Arial" w:hAnsi="Arial"/>
                  <w:sz w:val="17"/>
                  <w:szCs w:val="17"/>
                  <w:color w:val="0000FF"/>
                  <w:w w:val="96"/>
                </w:rPr>
                <w:t>32.</w:t>
              </w:r>
              <w:r>
                <w:rPr>
                  <w:rFonts w:ascii="Arial" w:cs="Arial" w:eastAsia="Arial" w:hAnsi="Arial"/>
                  <w:sz w:val="17"/>
                  <w:szCs w:val="17"/>
                  <w:u w:val="single" w:color="auto"/>
                  <w:color w:val="0000FF"/>
                  <w:w w:val="96"/>
                </w:rPr>
                <w:t>1</w:t>
              </w:r>
            </w:hyperlink>
          </w:p>
        </w:tc>
        <w:tc>
          <w:tcPr>
            <w:tcW w:w="280" w:type="dxa"/>
            <w:vAlign w:val="bottom"/>
          </w:tcPr>
          <w:p>
            <w:pPr>
              <w:spacing w:after="0"/>
              <w:rPr>
                <w:sz w:val="22"/>
                <w:szCs w:val="22"/>
                <w:color w:val="auto"/>
              </w:rPr>
            </w:pPr>
          </w:p>
        </w:tc>
        <w:tc>
          <w:tcPr>
            <w:tcW w:w="10200" w:type="dxa"/>
            <w:vAlign w:val="bottom"/>
          </w:tcPr>
          <w:p>
            <w:pPr>
              <w:ind w:left="200"/>
              <w:spacing w:after="0"/>
              <w:rPr>
                <w:sz w:val="20"/>
                <w:szCs w:val="20"/>
                <w:color w:val="auto"/>
              </w:rPr>
            </w:pPr>
            <w:r>
              <w:rPr>
                <w:rFonts w:ascii="Arial" w:cs="Arial" w:eastAsia="Arial" w:hAnsi="Arial"/>
                <w:sz w:val="17"/>
                <w:szCs w:val="17"/>
                <w:color w:val="auto"/>
              </w:rPr>
              <w:t>Chief Executive Officer Section 906 Certification of the Sarbanes-Oxley Act of 2002</w:t>
            </w:r>
          </w:p>
        </w:tc>
        <w:tc>
          <w:tcPr>
            <w:tcW w:w="0" w:type="dxa"/>
            <w:vAlign w:val="bottom"/>
          </w:tcPr>
          <w:p>
            <w:pPr>
              <w:spacing w:after="0"/>
              <w:rPr>
                <w:sz w:val="1"/>
                <w:szCs w:val="1"/>
                <w:color w:val="auto"/>
              </w:rPr>
            </w:pPr>
          </w:p>
        </w:tc>
      </w:tr>
      <w:tr>
        <w:trPr>
          <w:trHeight w:val="254"/>
        </w:trPr>
        <w:tc>
          <w:tcPr>
            <w:tcW w:w="80" w:type="dxa"/>
            <w:vAlign w:val="bottom"/>
          </w:tcPr>
          <w:p>
            <w:pPr>
              <w:spacing w:after="0"/>
              <w:rPr>
                <w:sz w:val="22"/>
                <w:szCs w:val="22"/>
                <w:color w:val="auto"/>
              </w:rPr>
            </w:pPr>
          </w:p>
        </w:tc>
        <w:tc>
          <w:tcPr>
            <w:tcW w:w="320" w:type="dxa"/>
            <w:vAlign w:val="bottom"/>
            <w:tcBorders>
              <w:bottom w:val="single" w:sz="8" w:color="0000FF"/>
            </w:tcBorders>
            <w:gridSpan w:val="3"/>
          </w:tcPr>
          <w:p>
            <w:pPr>
              <w:jc w:val="center"/>
              <w:spacing w:after="0"/>
              <w:rPr>
                <w:rFonts w:ascii="Arial" w:cs="Arial" w:eastAsia="Arial" w:hAnsi="Arial"/>
                <w:sz w:val="17"/>
                <w:szCs w:val="17"/>
                <w:color w:val="0000FF"/>
                <w:w w:val="96"/>
              </w:rPr>
            </w:pPr>
            <w:hyperlink w:anchor="page49">
              <w:r>
                <w:rPr>
                  <w:rFonts w:ascii="Arial" w:cs="Arial" w:eastAsia="Arial" w:hAnsi="Arial"/>
                  <w:sz w:val="17"/>
                  <w:szCs w:val="17"/>
                  <w:color w:val="0000FF"/>
                  <w:w w:val="96"/>
                </w:rPr>
                <w:t>32.</w:t>
              </w:r>
              <w:r>
                <w:rPr>
                  <w:rFonts w:ascii="Arial" w:cs="Arial" w:eastAsia="Arial" w:hAnsi="Arial"/>
                  <w:sz w:val="17"/>
                  <w:szCs w:val="17"/>
                  <w:u w:val="single" w:color="auto"/>
                  <w:color w:val="0000FF"/>
                  <w:w w:val="96"/>
                </w:rPr>
                <w:t>2</w:t>
              </w:r>
            </w:hyperlink>
          </w:p>
        </w:tc>
        <w:tc>
          <w:tcPr>
            <w:tcW w:w="280" w:type="dxa"/>
            <w:vAlign w:val="bottom"/>
          </w:tcPr>
          <w:p>
            <w:pPr>
              <w:spacing w:after="0"/>
              <w:rPr>
                <w:sz w:val="22"/>
                <w:szCs w:val="22"/>
                <w:color w:val="auto"/>
              </w:rPr>
            </w:pPr>
          </w:p>
        </w:tc>
        <w:tc>
          <w:tcPr>
            <w:tcW w:w="10200" w:type="dxa"/>
            <w:vAlign w:val="bottom"/>
          </w:tcPr>
          <w:p>
            <w:pPr>
              <w:ind w:left="200"/>
              <w:spacing w:after="0"/>
              <w:rPr>
                <w:sz w:val="20"/>
                <w:szCs w:val="20"/>
                <w:color w:val="auto"/>
              </w:rPr>
            </w:pPr>
            <w:r>
              <w:rPr>
                <w:rFonts w:ascii="Arial" w:cs="Arial" w:eastAsia="Arial" w:hAnsi="Arial"/>
                <w:sz w:val="17"/>
                <w:szCs w:val="17"/>
                <w:color w:val="auto"/>
              </w:rPr>
              <w:t>Chief Financial Officer Section 906 Certification of the Sarbanes-Oxley Act of 2002</w:t>
            </w:r>
          </w:p>
        </w:tc>
        <w:tc>
          <w:tcPr>
            <w:tcW w:w="0" w:type="dxa"/>
            <w:vAlign w:val="bottom"/>
          </w:tcPr>
          <w:p>
            <w:pPr>
              <w:spacing w:after="0"/>
              <w:rPr>
                <w:sz w:val="1"/>
                <w:szCs w:val="1"/>
                <w:color w:val="auto"/>
              </w:rPr>
            </w:pPr>
          </w:p>
        </w:tc>
      </w:tr>
    </w:tbl>
    <w:p>
      <w:pPr>
        <w:spacing w:after="0" w:line="79" w:lineRule="exact"/>
        <w:rPr>
          <w:sz w:val="20"/>
          <w:szCs w:val="20"/>
          <w:color w:val="auto"/>
        </w:rPr>
      </w:pPr>
    </w:p>
    <w:p>
      <w:pPr>
        <w:ind w:left="1160" w:right="20" w:hanging="770"/>
        <w:spacing w:after="0" w:line="230" w:lineRule="auto"/>
        <w:tabs>
          <w:tab w:leader="none" w:pos="116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following materials from Tri Pointe Homes, Inc.’s Quarterly Report on Form 10-Q for the quarter ended June 30, 2021, formatted in Inline eXtensible Business Reporting Language (iXBRL): (i) Consolidated Balance Sheets, (ii) Consolidated Statements of Operations,</w:t>
      </w:r>
    </w:p>
    <w:p>
      <w:pPr>
        <w:spacing w:after="0" w:line="1" w:lineRule="exact"/>
        <w:rPr>
          <w:rFonts w:ascii="Arial" w:cs="Arial" w:eastAsia="Arial" w:hAnsi="Arial"/>
          <w:sz w:val="16"/>
          <w:szCs w:val="16"/>
          <w:color w:val="auto"/>
        </w:rPr>
      </w:pPr>
    </w:p>
    <w:p>
      <w:pPr>
        <w:ind w:left="1160"/>
        <w:spacing w:after="0"/>
        <w:rPr>
          <w:rFonts w:ascii="Arial" w:cs="Arial" w:eastAsia="Arial" w:hAnsi="Arial"/>
          <w:sz w:val="16"/>
          <w:szCs w:val="16"/>
          <w:color w:val="auto"/>
        </w:rPr>
      </w:pPr>
      <w:r>
        <w:rPr>
          <w:rFonts w:ascii="Arial" w:cs="Arial" w:eastAsia="Arial" w:hAnsi="Arial"/>
          <w:sz w:val="17"/>
          <w:szCs w:val="17"/>
          <w:color w:val="auto"/>
        </w:rPr>
        <w:t>(iii) Consolidated Statement of Cash Flows, and (iv) Condensed Notes to Consolidated Financial Statement.</w:t>
      </w:r>
    </w:p>
    <w:p>
      <w:pPr>
        <w:spacing w:after="0" w:line="65" w:lineRule="exact"/>
        <w:rPr>
          <w:sz w:val="20"/>
          <w:szCs w:val="20"/>
          <w:color w:val="auto"/>
        </w:rPr>
      </w:pPr>
    </w:p>
    <w:p>
      <w:pPr>
        <w:ind w:left="1160" w:right="40" w:hanging="770"/>
        <w:spacing w:after="0"/>
        <w:tabs>
          <w:tab w:leader="none" w:pos="11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Cover page from Tri Pointe Homes, Inc.’s Quarterly Report on Form 10-Q for the quarter ended June 30, 2021, formatted in Inline XBRL (and contained in Exhibit 101).</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63" w:lineRule="exact"/>
        <w:rPr>
          <w:rFonts w:ascii="Arial" w:cs="Arial" w:eastAsia="Arial" w:hAnsi="Arial"/>
          <w:sz w:val="17"/>
          <w:szCs w:val="17"/>
          <w:color w:val="auto"/>
        </w:rPr>
      </w:pPr>
    </w:p>
    <w:p>
      <w:pPr>
        <w:ind w:left="5540" w:hanging="105"/>
        <w:spacing w:after="0"/>
        <w:tabs>
          <w:tab w:leader="none" w:pos="5540" w:val="left"/>
        </w:tabs>
        <w:numPr>
          <w:ilvl w:val="1"/>
          <w:numId w:val="19"/>
        </w:numPr>
        <w:rPr>
          <w:rFonts w:ascii="Arial" w:cs="Arial" w:eastAsia="Arial" w:hAnsi="Arial"/>
          <w:sz w:val="17"/>
          <w:szCs w:val="17"/>
          <w:color w:val="auto"/>
        </w:rPr>
      </w:pPr>
      <w:r>
        <w:rPr>
          <w:rFonts w:ascii="Arial" w:cs="Arial" w:eastAsia="Arial" w:hAnsi="Arial"/>
          <w:sz w:val="17"/>
          <w:szCs w:val="17"/>
          <w:color w:val="auto"/>
        </w:rPr>
        <w:t>43 -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160"/>
          </w:cols>
          <w:pgMar w:left="320" w:top="1206" w:right="419" w:bottom="1440" w:gutter="0" w:footer="0" w:header="0"/>
        </w:sectPr>
      </w:pPr>
    </w:p>
    <w:bookmarkStart w:id="44" w:name="page45"/>
    <w:bookmarkEnd w:id="44"/>
    <w:p>
      <w:pPr>
        <w:jc w:val="center"/>
        <w:ind w:right="-19"/>
        <w:spacing w:after="0"/>
        <w:rPr>
          <w:sz w:val="20"/>
          <w:szCs w:val="20"/>
          <w:color w:val="auto"/>
        </w:rPr>
      </w:pPr>
      <w:r>
        <w:rPr>
          <w:rFonts w:ascii="Arial" w:cs="Arial" w:eastAsia="Arial" w:hAnsi="Arial"/>
          <w:sz w:val="17"/>
          <w:szCs w:val="17"/>
          <w:b w:val="1"/>
          <w:bCs w:val="1"/>
          <w:color w:val="auto"/>
        </w:rPr>
        <w:t>SIGNATURES</w:t>
      </w:r>
    </w:p>
    <w:p>
      <w:pPr>
        <w:spacing w:after="0" w:line="229" w:lineRule="exact"/>
        <w:rPr>
          <w:sz w:val="20"/>
          <w:szCs w:val="20"/>
          <w:color w:val="auto"/>
        </w:rPr>
      </w:pPr>
    </w:p>
    <w:p>
      <w:pPr>
        <w:ind w:right="800" w:firstLine="470"/>
        <w:spacing w:after="0" w:line="288" w:lineRule="auto"/>
        <w:rPr>
          <w:sz w:val="20"/>
          <w:szCs w:val="20"/>
          <w:color w:val="auto"/>
        </w:rPr>
      </w:pPr>
      <w:r>
        <w:rPr>
          <w:rFonts w:ascii="Arial" w:cs="Arial" w:eastAsia="Arial" w:hAnsi="Arial"/>
          <w:sz w:val="17"/>
          <w:szCs w:val="17"/>
          <w:color w:val="auto"/>
        </w:rPr>
        <w:t>Pursuant to the requirements of the Securities Exchange Act of 1934, the registrant has duly caused this report to be signed on its behalf by the undersigned, thereunto duly authorized.</w:t>
      </w:r>
    </w:p>
    <w:p>
      <w:pPr>
        <w:spacing w:after="0" w:line="328" w:lineRule="exact"/>
        <w:rPr>
          <w:sz w:val="20"/>
          <w:szCs w:val="20"/>
          <w:color w:val="auto"/>
        </w:rPr>
      </w:pPr>
    </w:p>
    <w:tbl>
      <w:tblPr>
        <w:tblLayout w:type="fixed"/>
        <w:tblInd w:w="20" w:type="dxa"/>
        <w:tblCellMar>
          <w:top w:w="0" w:type="dxa"/>
          <w:left w:w="0" w:type="dxa"/>
          <w:bottom w:w="0" w:type="dxa"/>
          <w:right w:w="0" w:type="dxa"/>
        </w:tblCellMar>
      </w:tblPr>
      <w:tr>
        <w:trPr>
          <w:trHeight w:val="221"/>
        </w:trPr>
        <w:tc>
          <w:tcPr>
            <w:tcW w:w="3400" w:type="dxa"/>
            <w:vAlign w:val="bottom"/>
          </w:tcPr>
          <w:p>
            <w:pPr>
              <w:spacing w:after="0"/>
              <w:rPr>
                <w:sz w:val="19"/>
                <w:szCs w:val="19"/>
                <w:color w:val="auto"/>
              </w:rPr>
            </w:pPr>
          </w:p>
        </w:tc>
        <w:tc>
          <w:tcPr>
            <w:tcW w:w="7800" w:type="dxa"/>
            <w:vAlign w:val="bottom"/>
            <w:gridSpan w:val="2"/>
          </w:tcPr>
          <w:p>
            <w:pPr>
              <w:ind w:left="4020"/>
              <w:spacing w:after="0"/>
              <w:rPr>
                <w:sz w:val="20"/>
                <w:szCs w:val="20"/>
                <w:color w:val="auto"/>
              </w:rPr>
            </w:pPr>
            <w:r>
              <w:rPr>
                <w:rFonts w:ascii="Arial" w:cs="Arial" w:eastAsia="Arial" w:hAnsi="Arial"/>
                <w:sz w:val="17"/>
                <w:szCs w:val="17"/>
                <w:color w:val="auto"/>
              </w:rPr>
              <w:t>Tri Pointe Homes, Inc.</w:t>
            </w:r>
          </w:p>
        </w:tc>
      </w:tr>
      <w:tr>
        <w:trPr>
          <w:trHeight w:val="484"/>
        </w:trPr>
        <w:tc>
          <w:tcPr>
            <w:tcW w:w="3400" w:type="dxa"/>
            <w:vAlign w:val="bottom"/>
          </w:tcPr>
          <w:p>
            <w:pPr>
              <w:spacing w:after="0"/>
              <w:rPr>
                <w:sz w:val="20"/>
                <w:szCs w:val="20"/>
                <w:color w:val="auto"/>
              </w:rPr>
            </w:pPr>
            <w:r>
              <w:rPr>
                <w:rFonts w:ascii="Arial" w:cs="Arial" w:eastAsia="Arial" w:hAnsi="Arial"/>
                <w:sz w:val="17"/>
                <w:szCs w:val="17"/>
                <w:color w:val="auto"/>
              </w:rPr>
              <w:t>Date: July 22, 2021</w:t>
            </w:r>
          </w:p>
        </w:tc>
        <w:tc>
          <w:tcPr>
            <w:tcW w:w="4460" w:type="dxa"/>
            <w:vAlign w:val="bottom"/>
          </w:tcPr>
          <w:p>
            <w:pPr>
              <w:ind w:left="4020"/>
              <w:spacing w:after="0"/>
              <w:rPr>
                <w:sz w:val="20"/>
                <w:szCs w:val="20"/>
                <w:color w:val="auto"/>
              </w:rPr>
            </w:pPr>
            <w:r>
              <w:rPr>
                <w:rFonts w:ascii="Arial" w:cs="Arial" w:eastAsia="Arial" w:hAnsi="Arial"/>
                <w:sz w:val="17"/>
                <w:szCs w:val="17"/>
                <w:color w:val="auto"/>
              </w:rPr>
              <w:t>By:</w:t>
            </w:r>
          </w:p>
        </w:tc>
        <w:tc>
          <w:tcPr>
            <w:tcW w:w="334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Douglas F. Bauer</w:t>
            </w:r>
          </w:p>
        </w:tc>
      </w:tr>
      <w:tr>
        <w:trPr>
          <w:trHeight w:val="215"/>
        </w:trPr>
        <w:tc>
          <w:tcPr>
            <w:tcW w:w="3400" w:type="dxa"/>
            <w:vAlign w:val="bottom"/>
          </w:tcPr>
          <w:p>
            <w:pPr>
              <w:spacing w:after="0"/>
              <w:rPr>
                <w:sz w:val="18"/>
                <w:szCs w:val="18"/>
                <w:color w:val="auto"/>
              </w:rPr>
            </w:pPr>
          </w:p>
        </w:tc>
        <w:tc>
          <w:tcPr>
            <w:tcW w:w="4460" w:type="dxa"/>
            <w:vAlign w:val="bottom"/>
          </w:tcPr>
          <w:p>
            <w:pPr>
              <w:spacing w:after="0"/>
              <w:rPr>
                <w:sz w:val="18"/>
                <w:szCs w:val="18"/>
                <w:color w:val="auto"/>
              </w:rPr>
            </w:pPr>
          </w:p>
        </w:tc>
        <w:tc>
          <w:tcPr>
            <w:tcW w:w="3340" w:type="dxa"/>
            <w:vAlign w:val="bottom"/>
          </w:tcPr>
          <w:p>
            <w:pPr>
              <w:ind w:left="20"/>
              <w:spacing w:after="0"/>
              <w:rPr>
                <w:sz w:val="20"/>
                <w:szCs w:val="20"/>
                <w:color w:val="auto"/>
              </w:rPr>
            </w:pPr>
            <w:r>
              <w:rPr>
                <w:rFonts w:ascii="Arial" w:cs="Arial" w:eastAsia="Arial" w:hAnsi="Arial"/>
                <w:sz w:val="17"/>
                <w:szCs w:val="17"/>
                <w:color w:val="auto"/>
              </w:rPr>
              <w:t>Douglas F. Bauer</w:t>
            </w:r>
          </w:p>
        </w:tc>
      </w:tr>
      <w:tr>
        <w:trPr>
          <w:trHeight w:val="222"/>
        </w:trPr>
        <w:tc>
          <w:tcPr>
            <w:tcW w:w="3400" w:type="dxa"/>
            <w:vAlign w:val="bottom"/>
          </w:tcPr>
          <w:p>
            <w:pPr>
              <w:spacing w:after="0"/>
              <w:rPr>
                <w:sz w:val="19"/>
                <w:szCs w:val="19"/>
                <w:color w:val="auto"/>
              </w:rPr>
            </w:pPr>
          </w:p>
        </w:tc>
        <w:tc>
          <w:tcPr>
            <w:tcW w:w="4460" w:type="dxa"/>
            <w:vAlign w:val="bottom"/>
          </w:tcPr>
          <w:p>
            <w:pPr>
              <w:spacing w:after="0"/>
              <w:rPr>
                <w:sz w:val="19"/>
                <w:szCs w:val="19"/>
                <w:color w:val="auto"/>
              </w:rPr>
            </w:pPr>
          </w:p>
        </w:tc>
        <w:tc>
          <w:tcPr>
            <w:tcW w:w="3340" w:type="dxa"/>
            <w:vAlign w:val="bottom"/>
          </w:tcPr>
          <w:p>
            <w:pPr>
              <w:ind w:left="20"/>
              <w:spacing w:after="0"/>
              <w:rPr>
                <w:sz w:val="20"/>
                <w:szCs w:val="20"/>
                <w:color w:val="auto"/>
              </w:rPr>
            </w:pPr>
            <w:r>
              <w:rPr>
                <w:rFonts w:ascii="Arial" w:cs="Arial" w:eastAsia="Arial" w:hAnsi="Arial"/>
                <w:sz w:val="17"/>
                <w:szCs w:val="17"/>
                <w:color w:val="auto"/>
              </w:rPr>
              <w:t>Chief Executive Officer</w:t>
            </w:r>
          </w:p>
        </w:tc>
      </w:tr>
      <w:tr>
        <w:trPr>
          <w:trHeight w:val="222"/>
        </w:trPr>
        <w:tc>
          <w:tcPr>
            <w:tcW w:w="3400" w:type="dxa"/>
            <w:vAlign w:val="bottom"/>
          </w:tcPr>
          <w:p>
            <w:pPr>
              <w:spacing w:after="0"/>
              <w:rPr>
                <w:sz w:val="19"/>
                <w:szCs w:val="19"/>
                <w:color w:val="auto"/>
              </w:rPr>
            </w:pPr>
          </w:p>
        </w:tc>
        <w:tc>
          <w:tcPr>
            <w:tcW w:w="4460" w:type="dxa"/>
            <w:vAlign w:val="bottom"/>
          </w:tcPr>
          <w:p>
            <w:pPr>
              <w:spacing w:after="0"/>
              <w:rPr>
                <w:sz w:val="19"/>
                <w:szCs w:val="19"/>
                <w:color w:val="auto"/>
              </w:rPr>
            </w:pPr>
          </w:p>
        </w:tc>
        <w:tc>
          <w:tcPr>
            <w:tcW w:w="3340" w:type="dxa"/>
            <w:vAlign w:val="bottom"/>
          </w:tcPr>
          <w:p>
            <w:pPr>
              <w:ind w:left="20"/>
              <w:spacing w:after="0"/>
              <w:rPr>
                <w:sz w:val="20"/>
                <w:szCs w:val="20"/>
                <w:color w:val="auto"/>
              </w:rPr>
            </w:pPr>
            <w:r>
              <w:rPr>
                <w:rFonts w:ascii="Arial" w:cs="Arial" w:eastAsia="Arial" w:hAnsi="Arial"/>
                <w:sz w:val="17"/>
                <w:szCs w:val="17"/>
                <w:i w:val="1"/>
                <w:iCs w:val="1"/>
                <w:color w:val="auto"/>
              </w:rPr>
              <w:t>(Principal Executive Officer)</w:t>
            </w:r>
          </w:p>
        </w:tc>
      </w:tr>
      <w:tr>
        <w:trPr>
          <w:trHeight w:val="222"/>
        </w:trPr>
        <w:tc>
          <w:tcPr>
            <w:tcW w:w="3400" w:type="dxa"/>
            <w:vAlign w:val="bottom"/>
          </w:tcPr>
          <w:p>
            <w:pPr>
              <w:spacing w:after="0"/>
              <w:rPr>
                <w:sz w:val="20"/>
                <w:szCs w:val="20"/>
                <w:color w:val="auto"/>
              </w:rPr>
            </w:pPr>
            <w:r>
              <w:rPr>
                <w:rFonts w:ascii="Arial" w:cs="Arial" w:eastAsia="Arial" w:hAnsi="Arial"/>
                <w:sz w:val="17"/>
                <w:szCs w:val="17"/>
                <w:color w:val="auto"/>
              </w:rPr>
              <w:t>Date: July 22, 2021</w:t>
            </w:r>
          </w:p>
        </w:tc>
        <w:tc>
          <w:tcPr>
            <w:tcW w:w="4460" w:type="dxa"/>
            <w:vAlign w:val="bottom"/>
          </w:tcPr>
          <w:p>
            <w:pPr>
              <w:ind w:left="4020"/>
              <w:spacing w:after="0"/>
              <w:rPr>
                <w:sz w:val="20"/>
                <w:szCs w:val="20"/>
                <w:color w:val="auto"/>
              </w:rPr>
            </w:pPr>
            <w:r>
              <w:rPr>
                <w:rFonts w:ascii="Arial" w:cs="Arial" w:eastAsia="Arial" w:hAnsi="Arial"/>
                <w:sz w:val="17"/>
                <w:szCs w:val="17"/>
                <w:color w:val="auto"/>
              </w:rPr>
              <w:t>By:</w:t>
            </w:r>
          </w:p>
        </w:tc>
        <w:tc>
          <w:tcPr>
            <w:tcW w:w="334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Glenn J. Keeler</w:t>
            </w:r>
          </w:p>
        </w:tc>
      </w:tr>
      <w:tr>
        <w:trPr>
          <w:trHeight w:val="215"/>
        </w:trPr>
        <w:tc>
          <w:tcPr>
            <w:tcW w:w="3400" w:type="dxa"/>
            <w:vAlign w:val="bottom"/>
          </w:tcPr>
          <w:p>
            <w:pPr>
              <w:spacing w:after="0"/>
              <w:rPr>
                <w:sz w:val="18"/>
                <w:szCs w:val="18"/>
                <w:color w:val="auto"/>
              </w:rPr>
            </w:pPr>
          </w:p>
        </w:tc>
        <w:tc>
          <w:tcPr>
            <w:tcW w:w="4460" w:type="dxa"/>
            <w:vAlign w:val="bottom"/>
          </w:tcPr>
          <w:p>
            <w:pPr>
              <w:spacing w:after="0"/>
              <w:rPr>
                <w:sz w:val="18"/>
                <w:szCs w:val="18"/>
                <w:color w:val="auto"/>
              </w:rPr>
            </w:pPr>
          </w:p>
        </w:tc>
        <w:tc>
          <w:tcPr>
            <w:tcW w:w="3340" w:type="dxa"/>
            <w:vAlign w:val="bottom"/>
          </w:tcPr>
          <w:p>
            <w:pPr>
              <w:ind w:left="20"/>
              <w:spacing w:after="0"/>
              <w:rPr>
                <w:sz w:val="20"/>
                <w:szCs w:val="20"/>
                <w:color w:val="auto"/>
              </w:rPr>
            </w:pPr>
            <w:r>
              <w:rPr>
                <w:rFonts w:ascii="Arial" w:cs="Arial" w:eastAsia="Arial" w:hAnsi="Arial"/>
                <w:sz w:val="17"/>
                <w:szCs w:val="17"/>
                <w:color w:val="auto"/>
              </w:rPr>
              <w:t>Glenn J. Keeler</w:t>
            </w:r>
          </w:p>
        </w:tc>
      </w:tr>
      <w:tr>
        <w:trPr>
          <w:trHeight w:val="222"/>
        </w:trPr>
        <w:tc>
          <w:tcPr>
            <w:tcW w:w="3400" w:type="dxa"/>
            <w:vAlign w:val="bottom"/>
          </w:tcPr>
          <w:p>
            <w:pPr>
              <w:spacing w:after="0"/>
              <w:rPr>
                <w:sz w:val="19"/>
                <w:szCs w:val="19"/>
                <w:color w:val="auto"/>
              </w:rPr>
            </w:pPr>
          </w:p>
        </w:tc>
        <w:tc>
          <w:tcPr>
            <w:tcW w:w="4460" w:type="dxa"/>
            <w:vAlign w:val="bottom"/>
          </w:tcPr>
          <w:p>
            <w:pPr>
              <w:spacing w:after="0"/>
              <w:rPr>
                <w:sz w:val="19"/>
                <w:szCs w:val="19"/>
                <w:color w:val="auto"/>
              </w:rPr>
            </w:pPr>
          </w:p>
        </w:tc>
        <w:tc>
          <w:tcPr>
            <w:tcW w:w="3340" w:type="dxa"/>
            <w:vAlign w:val="bottom"/>
          </w:tcPr>
          <w:p>
            <w:pPr>
              <w:ind w:left="20"/>
              <w:spacing w:after="0"/>
              <w:rPr>
                <w:sz w:val="20"/>
                <w:szCs w:val="20"/>
                <w:color w:val="auto"/>
              </w:rPr>
            </w:pPr>
            <w:r>
              <w:rPr>
                <w:rFonts w:ascii="Arial" w:cs="Arial" w:eastAsia="Arial" w:hAnsi="Arial"/>
                <w:sz w:val="17"/>
                <w:szCs w:val="17"/>
                <w:color w:val="auto"/>
              </w:rPr>
              <w:t>Chief Financial Officer</w:t>
            </w:r>
          </w:p>
        </w:tc>
      </w:tr>
      <w:tr>
        <w:trPr>
          <w:trHeight w:val="222"/>
        </w:trPr>
        <w:tc>
          <w:tcPr>
            <w:tcW w:w="3400" w:type="dxa"/>
            <w:vAlign w:val="bottom"/>
          </w:tcPr>
          <w:p>
            <w:pPr>
              <w:spacing w:after="0"/>
              <w:rPr>
                <w:sz w:val="19"/>
                <w:szCs w:val="19"/>
                <w:color w:val="auto"/>
              </w:rPr>
            </w:pPr>
          </w:p>
        </w:tc>
        <w:tc>
          <w:tcPr>
            <w:tcW w:w="4460" w:type="dxa"/>
            <w:vAlign w:val="bottom"/>
          </w:tcPr>
          <w:p>
            <w:pPr>
              <w:spacing w:after="0"/>
              <w:rPr>
                <w:sz w:val="19"/>
                <w:szCs w:val="19"/>
                <w:color w:val="auto"/>
              </w:rPr>
            </w:pPr>
          </w:p>
        </w:tc>
        <w:tc>
          <w:tcPr>
            <w:tcW w:w="3340" w:type="dxa"/>
            <w:vAlign w:val="bottom"/>
          </w:tcPr>
          <w:p>
            <w:pPr>
              <w:ind w:left="20"/>
              <w:spacing w:after="0"/>
              <w:rPr>
                <w:sz w:val="20"/>
                <w:szCs w:val="20"/>
                <w:color w:val="auto"/>
              </w:rPr>
            </w:pPr>
            <w:r>
              <w:rPr>
                <w:rFonts w:ascii="Arial" w:cs="Arial" w:eastAsia="Arial" w:hAnsi="Arial"/>
                <w:sz w:val="17"/>
                <w:szCs w:val="17"/>
                <w:i w:val="1"/>
                <w:iCs w:val="1"/>
                <w:color w:val="auto"/>
              </w:rPr>
              <w:t>(Principal Financial Officer)</w:t>
            </w:r>
          </w:p>
        </w:tc>
      </w:tr>
      <w:tr>
        <w:trPr>
          <w:trHeight w:val="823"/>
        </w:trPr>
        <w:tc>
          <w:tcPr>
            <w:tcW w:w="3400" w:type="dxa"/>
            <w:vAlign w:val="bottom"/>
          </w:tcPr>
          <w:p>
            <w:pPr>
              <w:spacing w:after="0"/>
              <w:rPr>
                <w:sz w:val="24"/>
                <w:szCs w:val="24"/>
                <w:color w:val="auto"/>
              </w:rPr>
            </w:pPr>
          </w:p>
        </w:tc>
        <w:tc>
          <w:tcPr>
            <w:tcW w:w="4460" w:type="dxa"/>
            <w:vAlign w:val="bottom"/>
          </w:tcPr>
          <w:p>
            <w:pPr>
              <w:jc w:val="right"/>
              <w:ind w:right="1973"/>
              <w:spacing w:after="0"/>
              <w:rPr>
                <w:sz w:val="20"/>
                <w:szCs w:val="20"/>
                <w:color w:val="auto"/>
              </w:rPr>
            </w:pPr>
            <w:r>
              <w:rPr>
                <w:rFonts w:ascii="Arial" w:cs="Arial" w:eastAsia="Arial" w:hAnsi="Arial"/>
                <w:sz w:val="17"/>
                <w:szCs w:val="17"/>
                <w:color w:val="auto"/>
              </w:rPr>
              <w:t>- 44 -</w:t>
            </w:r>
          </w:p>
        </w:tc>
        <w:tc>
          <w:tcPr>
            <w:tcW w:w="3340" w:type="dxa"/>
            <w:vAlign w:val="bottom"/>
          </w:tcPr>
          <w:p>
            <w:pPr>
              <w:spacing w:after="0"/>
              <w:rPr>
                <w:sz w:val="24"/>
                <w:szCs w:val="24"/>
                <w:color w:val="auto"/>
              </w:rPr>
            </w:pPr>
          </w:p>
        </w:tc>
      </w:tr>
    </w:tbl>
    <w:p>
      <w:pPr>
        <w:sectPr>
          <w:pgSz w:w="11900" w:h="16838" w:orient="portrait"/>
          <w:cols w:equalWidth="0" w:num="1">
            <w:col w:w="11220"/>
          </w:cols>
          <w:pgMar w:left="320" w:top="866" w:right="359" w:bottom="1440" w:gutter="0" w:footer="0" w:header="0"/>
        </w:sectPr>
      </w:pPr>
    </w:p>
    <w:bookmarkStart w:id="45" w:name="page46"/>
    <w:bookmarkEnd w:id="45"/>
    <w:p>
      <w:pPr>
        <w:jc w:val="right"/>
        <w:spacing w:after="0"/>
        <w:rPr>
          <w:sz w:val="20"/>
          <w:szCs w:val="20"/>
          <w:color w:val="auto"/>
        </w:rPr>
      </w:pPr>
      <w:r>
        <w:rPr>
          <w:rFonts w:ascii="Arial" w:cs="Arial" w:eastAsia="Arial" w:hAnsi="Arial"/>
          <w:sz w:val="17"/>
          <w:szCs w:val="17"/>
          <w:b w:val="1"/>
          <w:bCs w:val="1"/>
          <w:color w:val="auto"/>
        </w:rPr>
        <w:t>Exhibit 31.1</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SECTION 302 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I, Douglas F. Bauer, certify that:</w:t>
      </w:r>
    </w:p>
    <w:p>
      <w:pPr>
        <w:spacing w:after="0" w:line="223" w:lineRule="exact"/>
        <w:rPr>
          <w:sz w:val="20"/>
          <w:szCs w:val="20"/>
          <w:color w:val="auto"/>
        </w:rPr>
      </w:pPr>
    </w:p>
    <w:p>
      <w:pPr>
        <w:ind w:left="640" w:hanging="635"/>
        <w:spacing w:after="0"/>
        <w:tabs>
          <w:tab w:leader="none" w:pos="640" w:val="left"/>
        </w:tabs>
        <w:numPr>
          <w:ilvl w:val="0"/>
          <w:numId w:val="20"/>
        </w:numPr>
        <w:rPr>
          <w:rFonts w:ascii="Arial" w:cs="Arial" w:eastAsia="Arial" w:hAnsi="Arial"/>
          <w:sz w:val="17"/>
          <w:szCs w:val="17"/>
          <w:color w:val="auto"/>
        </w:rPr>
      </w:pPr>
      <w:r>
        <w:rPr>
          <w:rFonts w:ascii="Arial" w:cs="Arial" w:eastAsia="Arial" w:hAnsi="Arial"/>
          <w:sz w:val="17"/>
          <w:szCs w:val="17"/>
          <w:color w:val="auto"/>
        </w:rPr>
        <w:t>I have reviewed this report on Form 10-Q of Tri Pointe Homes, Inc.;</w:t>
      </w:r>
    </w:p>
    <w:p>
      <w:pPr>
        <w:spacing w:after="0" w:line="222" w:lineRule="exact"/>
        <w:rPr>
          <w:rFonts w:ascii="Arial" w:cs="Arial" w:eastAsia="Arial" w:hAnsi="Arial"/>
          <w:sz w:val="17"/>
          <w:szCs w:val="17"/>
          <w:color w:val="auto"/>
        </w:rPr>
      </w:pPr>
    </w:p>
    <w:p>
      <w:pPr>
        <w:jc w:val="both"/>
        <w:ind w:left="640" w:right="480" w:hanging="635"/>
        <w:spacing w:after="0" w:line="272" w:lineRule="auto"/>
        <w:tabs>
          <w:tab w:leader="none" w:pos="640" w:val="left"/>
        </w:tabs>
        <w:numPr>
          <w:ilvl w:val="0"/>
          <w:numId w:val="20"/>
        </w:numPr>
        <w:rPr>
          <w:rFonts w:ascii="Arial" w:cs="Arial" w:eastAsia="Arial" w:hAnsi="Arial"/>
          <w:sz w:val="17"/>
          <w:szCs w:val="17"/>
          <w:color w:val="auto"/>
        </w:rPr>
      </w:pPr>
      <w:r>
        <w:rPr>
          <w:rFonts w:ascii="Arial" w:cs="Arial" w:eastAsia="Arial" w:hAnsi="Arial"/>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71" w:lineRule="exact"/>
        <w:rPr>
          <w:rFonts w:ascii="Arial" w:cs="Arial" w:eastAsia="Arial" w:hAnsi="Arial"/>
          <w:sz w:val="17"/>
          <w:szCs w:val="17"/>
          <w:color w:val="auto"/>
        </w:rPr>
      </w:pPr>
    </w:p>
    <w:p>
      <w:pPr>
        <w:ind w:left="640" w:right="440" w:hanging="635"/>
        <w:spacing w:after="0" w:line="288" w:lineRule="auto"/>
        <w:tabs>
          <w:tab w:leader="none" w:pos="640" w:val="left"/>
        </w:tabs>
        <w:numPr>
          <w:ilvl w:val="0"/>
          <w:numId w:val="2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58" w:lineRule="exact"/>
        <w:rPr>
          <w:rFonts w:ascii="Arial" w:cs="Arial" w:eastAsia="Arial" w:hAnsi="Arial"/>
          <w:sz w:val="17"/>
          <w:szCs w:val="17"/>
          <w:color w:val="auto"/>
        </w:rPr>
      </w:pPr>
    </w:p>
    <w:p>
      <w:pPr>
        <w:ind w:left="640" w:right="60" w:hanging="635"/>
        <w:spacing w:after="0" w:line="272" w:lineRule="auto"/>
        <w:tabs>
          <w:tab w:leader="none" w:pos="640"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97" w:lineRule="exact"/>
        <w:rPr>
          <w:rFonts w:ascii="Arial" w:cs="Arial" w:eastAsia="Arial" w:hAnsi="Arial"/>
          <w:sz w:val="17"/>
          <w:szCs w:val="17"/>
          <w:color w:val="auto"/>
        </w:rPr>
      </w:pPr>
    </w:p>
    <w:p>
      <w:pPr>
        <w:ind w:left="1880" w:right="80" w:hanging="621"/>
        <w:spacing w:after="0" w:line="272" w:lineRule="auto"/>
        <w:tabs>
          <w:tab w:leader="none" w:pos="1870" w:val="left"/>
        </w:tabs>
        <w:numPr>
          <w:ilvl w:val="1"/>
          <w:numId w:val="20"/>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97" w:lineRule="exact"/>
        <w:rPr>
          <w:rFonts w:ascii="Arial" w:cs="Arial" w:eastAsia="Arial" w:hAnsi="Arial"/>
          <w:sz w:val="17"/>
          <w:szCs w:val="17"/>
          <w:color w:val="auto"/>
        </w:rPr>
      </w:pPr>
    </w:p>
    <w:p>
      <w:pPr>
        <w:ind w:left="1880" w:right="140" w:hanging="621"/>
        <w:spacing w:after="0" w:line="272" w:lineRule="auto"/>
        <w:tabs>
          <w:tab w:leader="none" w:pos="1880" w:val="left"/>
        </w:tabs>
        <w:numPr>
          <w:ilvl w:val="1"/>
          <w:numId w:val="20"/>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97" w:lineRule="exact"/>
        <w:rPr>
          <w:rFonts w:ascii="Arial" w:cs="Arial" w:eastAsia="Arial" w:hAnsi="Arial"/>
          <w:sz w:val="17"/>
          <w:szCs w:val="17"/>
          <w:color w:val="auto"/>
        </w:rPr>
      </w:pPr>
    </w:p>
    <w:p>
      <w:pPr>
        <w:ind w:left="1880" w:right="220" w:hanging="621"/>
        <w:spacing w:after="0" w:line="272" w:lineRule="auto"/>
        <w:tabs>
          <w:tab w:leader="none" w:pos="1870" w:val="left"/>
        </w:tabs>
        <w:numPr>
          <w:ilvl w:val="1"/>
          <w:numId w:val="20"/>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97" w:lineRule="exact"/>
        <w:rPr>
          <w:rFonts w:ascii="Arial" w:cs="Arial" w:eastAsia="Arial" w:hAnsi="Arial"/>
          <w:sz w:val="17"/>
          <w:szCs w:val="17"/>
          <w:color w:val="auto"/>
        </w:rPr>
      </w:pPr>
    </w:p>
    <w:p>
      <w:pPr>
        <w:ind w:left="1880" w:right="320" w:hanging="621"/>
        <w:spacing w:after="0" w:line="297" w:lineRule="auto"/>
        <w:tabs>
          <w:tab w:leader="none" w:pos="1880" w:val="left"/>
        </w:tabs>
        <w:numPr>
          <w:ilvl w:val="1"/>
          <w:numId w:val="20"/>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9" w:lineRule="exact"/>
        <w:rPr>
          <w:rFonts w:ascii="Arial" w:cs="Arial" w:eastAsia="Arial" w:hAnsi="Arial"/>
          <w:sz w:val="16"/>
          <w:szCs w:val="16"/>
          <w:color w:val="auto"/>
        </w:rPr>
      </w:pPr>
    </w:p>
    <w:p>
      <w:pPr>
        <w:ind w:left="640" w:right="180" w:hanging="635"/>
        <w:spacing w:after="0" w:line="321" w:lineRule="auto"/>
        <w:tabs>
          <w:tab w:leader="none" w:pos="64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Arial" w:cs="Arial" w:eastAsia="Arial" w:hAnsi="Arial"/>
          <w:sz w:val="16"/>
          <w:szCs w:val="16"/>
          <w:color w:val="auto"/>
        </w:rPr>
      </w:pPr>
    </w:p>
    <w:p>
      <w:pPr>
        <w:ind w:left="1880" w:right="180" w:hanging="621"/>
        <w:spacing w:after="0" w:line="321" w:lineRule="auto"/>
        <w:tabs>
          <w:tab w:leader="none" w:pos="1870" w:val="left"/>
        </w:tabs>
        <w:numPr>
          <w:ilvl w:val="1"/>
          <w:numId w:val="20"/>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Arial" w:cs="Arial" w:eastAsia="Arial" w:hAnsi="Arial"/>
          <w:sz w:val="16"/>
          <w:szCs w:val="16"/>
          <w:color w:val="auto"/>
        </w:rPr>
      </w:pPr>
    </w:p>
    <w:p>
      <w:pPr>
        <w:ind w:left="1880" w:right="440" w:hanging="621"/>
        <w:spacing w:after="0" w:line="288" w:lineRule="auto"/>
        <w:tabs>
          <w:tab w:leader="none" w:pos="1880" w:val="left"/>
        </w:tabs>
        <w:numPr>
          <w:ilvl w:val="1"/>
          <w:numId w:val="20"/>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20" w:type="dxa"/>
        <w:tblCellMar>
          <w:top w:w="0" w:type="dxa"/>
          <w:left w:w="0" w:type="dxa"/>
          <w:bottom w:w="0" w:type="dxa"/>
          <w:right w:w="0" w:type="dxa"/>
        </w:tblCellMar>
      </w:tblPr>
      <w:tr>
        <w:trPr>
          <w:trHeight w:val="221"/>
        </w:trPr>
        <w:tc>
          <w:tcPr>
            <w:tcW w:w="6760" w:type="dxa"/>
            <w:vAlign w:val="bottom"/>
          </w:tcPr>
          <w:p>
            <w:pPr>
              <w:spacing w:after="0"/>
              <w:rPr>
                <w:sz w:val="20"/>
                <w:szCs w:val="20"/>
                <w:color w:val="auto"/>
              </w:rPr>
            </w:pPr>
            <w:r>
              <w:rPr>
                <w:rFonts w:ascii="Arial" w:cs="Arial" w:eastAsia="Arial" w:hAnsi="Arial"/>
                <w:sz w:val="17"/>
                <w:szCs w:val="17"/>
                <w:color w:val="auto"/>
              </w:rPr>
              <w:t>Date: July 22, 2021</w:t>
            </w:r>
          </w:p>
        </w:tc>
        <w:tc>
          <w:tcPr>
            <w:tcW w:w="444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Douglas F. Bauer</w:t>
            </w:r>
          </w:p>
        </w:tc>
      </w:tr>
      <w:tr>
        <w:trPr>
          <w:trHeight w:val="215"/>
        </w:trPr>
        <w:tc>
          <w:tcPr>
            <w:tcW w:w="6760" w:type="dxa"/>
            <w:vAlign w:val="bottom"/>
          </w:tcPr>
          <w:p>
            <w:pPr>
              <w:spacing w:after="0"/>
              <w:rPr>
                <w:sz w:val="18"/>
                <w:szCs w:val="18"/>
                <w:color w:val="auto"/>
              </w:rPr>
            </w:pPr>
          </w:p>
        </w:tc>
        <w:tc>
          <w:tcPr>
            <w:tcW w:w="4440" w:type="dxa"/>
            <w:vAlign w:val="bottom"/>
          </w:tcPr>
          <w:p>
            <w:pPr>
              <w:ind w:left="20"/>
              <w:spacing w:after="0"/>
              <w:rPr>
                <w:sz w:val="20"/>
                <w:szCs w:val="20"/>
                <w:color w:val="auto"/>
              </w:rPr>
            </w:pPr>
            <w:r>
              <w:rPr>
                <w:rFonts w:ascii="Arial" w:cs="Arial" w:eastAsia="Arial" w:hAnsi="Arial"/>
                <w:sz w:val="17"/>
                <w:szCs w:val="17"/>
                <w:color w:val="auto"/>
              </w:rPr>
              <w:t>Douglas F. Bauer</w:t>
            </w:r>
          </w:p>
        </w:tc>
      </w:tr>
      <w:tr>
        <w:trPr>
          <w:trHeight w:val="222"/>
        </w:trPr>
        <w:tc>
          <w:tcPr>
            <w:tcW w:w="6760" w:type="dxa"/>
            <w:vAlign w:val="bottom"/>
          </w:tcPr>
          <w:p>
            <w:pPr>
              <w:spacing w:after="0"/>
              <w:rPr>
                <w:sz w:val="19"/>
                <w:szCs w:val="19"/>
                <w:color w:val="auto"/>
              </w:rPr>
            </w:pPr>
          </w:p>
        </w:tc>
        <w:tc>
          <w:tcPr>
            <w:tcW w:w="4440" w:type="dxa"/>
            <w:vAlign w:val="bottom"/>
          </w:tcPr>
          <w:p>
            <w:pPr>
              <w:ind w:left="20"/>
              <w:spacing w:after="0"/>
              <w:rPr>
                <w:sz w:val="20"/>
                <w:szCs w:val="20"/>
                <w:color w:val="auto"/>
              </w:rPr>
            </w:pPr>
            <w:r>
              <w:rPr>
                <w:rFonts w:ascii="Arial" w:cs="Arial" w:eastAsia="Arial" w:hAnsi="Arial"/>
                <w:sz w:val="17"/>
                <w:szCs w:val="17"/>
                <w:color w:val="auto"/>
              </w:rPr>
              <w:t>Chief Executive Officer (Principal Executive Officer)</w:t>
            </w:r>
          </w:p>
        </w:tc>
      </w:tr>
    </w:tbl>
    <w:p>
      <w:pPr>
        <w:sectPr>
          <w:pgSz w:w="11900" w:h="16838" w:orient="portrait"/>
          <w:cols w:equalWidth="0" w:num="1">
            <w:col w:w="11240"/>
          </w:cols>
          <w:pgMar w:left="320" w:top="866" w:right="339" w:bottom="1440" w:gutter="0" w:footer="0" w:header="0"/>
        </w:sectPr>
      </w:pPr>
    </w:p>
    <w:bookmarkStart w:id="46" w:name="page47"/>
    <w:bookmarkEnd w:id="46"/>
    <w:p>
      <w:pPr>
        <w:jc w:val="right"/>
        <w:spacing w:after="0"/>
        <w:rPr>
          <w:sz w:val="20"/>
          <w:szCs w:val="20"/>
          <w:color w:val="auto"/>
        </w:rPr>
      </w:pPr>
      <w:r>
        <w:rPr>
          <w:rFonts w:ascii="Arial" w:cs="Arial" w:eastAsia="Arial" w:hAnsi="Arial"/>
          <w:sz w:val="17"/>
          <w:szCs w:val="17"/>
          <w:b w:val="1"/>
          <w:bCs w:val="1"/>
          <w:color w:val="auto"/>
        </w:rPr>
        <w:t>Exhibit 31.2</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SECTION 302 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I, Glenn J. Keeler, certify that:</w:t>
      </w:r>
    </w:p>
    <w:p>
      <w:pPr>
        <w:spacing w:after="0" w:line="249" w:lineRule="exact"/>
        <w:rPr>
          <w:sz w:val="20"/>
          <w:szCs w:val="20"/>
          <w:color w:val="auto"/>
        </w:rPr>
      </w:pPr>
    </w:p>
    <w:p>
      <w:pPr>
        <w:ind w:left="640" w:hanging="635"/>
        <w:spacing w:after="0"/>
        <w:tabs>
          <w:tab w:leader="none" w:pos="640" w:val="left"/>
        </w:tabs>
        <w:numPr>
          <w:ilvl w:val="0"/>
          <w:numId w:val="21"/>
        </w:numPr>
        <w:rPr>
          <w:rFonts w:ascii="Arial" w:cs="Arial" w:eastAsia="Arial" w:hAnsi="Arial"/>
          <w:sz w:val="17"/>
          <w:szCs w:val="17"/>
          <w:color w:val="auto"/>
        </w:rPr>
      </w:pPr>
      <w:r>
        <w:rPr>
          <w:rFonts w:ascii="Arial" w:cs="Arial" w:eastAsia="Arial" w:hAnsi="Arial"/>
          <w:sz w:val="17"/>
          <w:szCs w:val="17"/>
          <w:color w:val="auto"/>
        </w:rPr>
        <w:t>I have reviewed this report on Form 10-Q of Tri Pointe Homes, Inc.;</w:t>
      </w:r>
    </w:p>
    <w:p>
      <w:pPr>
        <w:spacing w:after="0" w:line="248" w:lineRule="exact"/>
        <w:rPr>
          <w:rFonts w:ascii="Arial" w:cs="Arial" w:eastAsia="Arial" w:hAnsi="Arial"/>
          <w:sz w:val="17"/>
          <w:szCs w:val="17"/>
          <w:color w:val="auto"/>
        </w:rPr>
      </w:pPr>
    </w:p>
    <w:p>
      <w:pPr>
        <w:jc w:val="both"/>
        <w:ind w:left="640" w:right="480" w:hanging="635"/>
        <w:spacing w:after="0" w:line="272" w:lineRule="auto"/>
        <w:tabs>
          <w:tab w:leader="none" w:pos="640" w:val="left"/>
        </w:tabs>
        <w:numPr>
          <w:ilvl w:val="0"/>
          <w:numId w:val="21"/>
        </w:numPr>
        <w:rPr>
          <w:rFonts w:ascii="Arial" w:cs="Arial" w:eastAsia="Arial" w:hAnsi="Arial"/>
          <w:sz w:val="17"/>
          <w:szCs w:val="17"/>
          <w:color w:val="auto"/>
        </w:rPr>
      </w:pPr>
      <w:r>
        <w:rPr>
          <w:rFonts w:ascii="Arial" w:cs="Arial" w:eastAsia="Arial" w:hAnsi="Arial"/>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97" w:lineRule="exact"/>
        <w:rPr>
          <w:rFonts w:ascii="Arial" w:cs="Arial" w:eastAsia="Arial" w:hAnsi="Arial"/>
          <w:sz w:val="17"/>
          <w:szCs w:val="17"/>
          <w:color w:val="auto"/>
        </w:rPr>
      </w:pPr>
    </w:p>
    <w:p>
      <w:pPr>
        <w:ind w:left="640" w:right="440" w:hanging="635"/>
        <w:spacing w:after="0" w:line="288" w:lineRule="auto"/>
        <w:tabs>
          <w:tab w:leader="none" w:pos="640" w:val="left"/>
        </w:tabs>
        <w:numPr>
          <w:ilvl w:val="0"/>
          <w:numId w:val="2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4" w:lineRule="exact"/>
        <w:rPr>
          <w:rFonts w:ascii="Arial" w:cs="Arial" w:eastAsia="Arial" w:hAnsi="Arial"/>
          <w:sz w:val="17"/>
          <w:szCs w:val="17"/>
          <w:color w:val="auto"/>
        </w:rPr>
      </w:pPr>
    </w:p>
    <w:p>
      <w:pPr>
        <w:ind w:left="640" w:right="60" w:hanging="635"/>
        <w:spacing w:after="0" w:line="272" w:lineRule="auto"/>
        <w:tabs>
          <w:tab w:leader="none" w:pos="640" w:val="left"/>
        </w:tabs>
        <w:numPr>
          <w:ilvl w:val="0"/>
          <w:numId w:val="21"/>
        </w:numPr>
        <w:rPr>
          <w:rFonts w:ascii="Arial" w:cs="Arial" w:eastAsia="Arial" w:hAnsi="Arial"/>
          <w:sz w:val="17"/>
          <w:szCs w:val="17"/>
          <w:color w:val="auto"/>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97" w:lineRule="exact"/>
        <w:rPr>
          <w:rFonts w:ascii="Arial" w:cs="Arial" w:eastAsia="Arial" w:hAnsi="Arial"/>
          <w:sz w:val="17"/>
          <w:szCs w:val="17"/>
          <w:color w:val="auto"/>
        </w:rPr>
      </w:pPr>
    </w:p>
    <w:p>
      <w:pPr>
        <w:ind w:left="1260" w:right="100" w:hanging="628"/>
        <w:spacing w:after="0" w:line="272" w:lineRule="auto"/>
        <w:tabs>
          <w:tab w:leader="none" w:pos="1250" w:val="left"/>
        </w:tabs>
        <w:numPr>
          <w:ilvl w:val="1"/>
          <w:numId w:val="21"/>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97" w:lineRule="exact"/>
        <w:rPr>
          <w:rFonts w:ascii="Arial" w:cs="Arial" w:eastAsia="Arial" w:hAnsi="Arial"/>
          <w:sz w:val="17"/>
          <w:szCs w:val="17"/>
          <w:color w:val="auto"/>
        </w:rPr>
      </w:pPr>
    </w:p>
    <w:p>
      <w:pPr>
        <w:ind w:left="1260" w:right="400" w:hanging="628"/>
        <w:spacing w:after="0" w:line="272" w:lineRule="auto"/>
        <w:tabs>
          <w:tab w:leader="none" w:pos="1260" w:val="left"/>
        </w:tabs>
        <w:numPr>
          <w:ilvl w:val="1"/>
          <w:numId w:val="21"/>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97" w:lineRule="exact"/>
        <w:rPr>
          <w:rFonts w:ascii="Arial" w:cs="Arial" w:eastAsia="Arial" w:hAnsi="Arial"/>
          <w:sz w:val="17"/>
          <w:szCs w:val="17"/>
          <w:color w:val="auto"/>
        </w:rPr>
      </w:pPr>
    </w:p>
    <w:p>
      <w:pPr>
        <w:jc w:val="both"/>
        <w:ind w:left="1260" w:right="560" w:hanging="628"/>
        <w:spacing w:after="0" w:line="358" w:lineRule="auto"/>
        <w:tabs>
          <w:tab w:leader="none" w:pos="1250" w:val="left"/>
        </w:tabs>
        <w:numPr>
          <w:ilvl w:val="1"/>
          <w:numId w:val="21"/>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38" w:lineRule="exact"/>
        <w:rPr>
          <w:rFonts w:ascii="Arial" w:cs="Arial" w:eastAsia="Arial" w:hAnsi="Arial"/>
          <w:sz w:val="15"/>
          <w:szCs w:val="15"/>
          <w:color w:val="auto"/>
        </w:rPr>
      </w:pPr>
    </w:p>
    <w:p>
      <w:pPr>
        <w:ind w:left="1260" w:right="100" w:hanging="628"/>
        <w:spacing w:after="0" w:line="272" w:lineRule="auto"/>
        <w:tabs>
          <w:tab w:leader="none" w:pos="1260" w:val="left"/>
        </w:tabs>
        <w:numPr>
          <w:ilvl w:val="1"/>
          <w:numId w:val="21"/>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97" w:lineRule="exact"/>
        <w:rPr>
          <w:rFonts w:ascii="Arial" w:cs="Arial" w:eastAsia="Arial" w:hAnsi="Arial"/>
          <w:sz w:val="17"/>
          <w:szCs w:val="17"/>
          <w:color w:val="auto"/>
        </w:rPr>
      </w:pPr>
    </w:p>
    <w:p>
      <w:pPr>
        <w:ind w:left="640" w:right="180" w:hanging="635"/>
        <w:spacing w:after="0" w:line="321" w:lineRule="auto"/>
        <w:tabs>
          <w:tab w:leader="none" w:pos="64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Arial" w:cs="Arial" w:eastAsia="Arial" w:hAnsi="Arial"/>
          <w:sz w:val="16"/>
          <w:szCs w:val="16"/>
          <w:color w:val="auto"/>
        </w:rPr>
      </w:pPr>
    </w:p>
    <w:p>
      <w:pPr>
        <w:ind w:left="1260" w:right="20" w:hanging="628"/>
        <w:spacing w:after="0" w:line="288" w:lineRule="auto"/>
        <w:tabs>
          <w:tab w:leader="none" w:pos="1250" w:val="left"/>
        </w:tabs>
        <w:numPr>
          <w:ilvl w:val="1"/>
          <w:numId w:val="21"/>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4" w:lineRule="exact"/>
        <w:rPr>
          <w:rFonts w:ascii="Arial" w:cs="Arial" w:eastAsia="Arial" w:hAnsi="Arial"/>
          <w:sz w:val="17"/>
          <w:szCs w:val="17"/>
          <w:color w:val="auto"/>
        </w:rPr>
      </w:pPr>
    </w:p>
    <w:p>
      <w:pPr>
        <w:ind w:left="1260" w:right="500" w:hanging="628"/>
        <w:spacing w:after="0" w:line="288" w:lineRule="auto"/>
        <w:tabs>
          <w:tab w:leader="none" w:pos="1260" w:val="left"/>
        </w:tabs>
        <w:numPr>
          <w:ilvl w:val="1"/>
          <w:numId w:val="21"/>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20" w:type="dxa"/>
        <w:tblCellMar>
          <w:top w:w="0" w:type="dxa"/>
          <w:left w:w="0" w:type="dxa"/>
          <w:bottom w:w="0" w:type="dxa"/>
          <w:right w:w="0" w:type="dxa"/>
        </w:tblCellMar>
      </w:tblPr>
      <w:tr>
        <w:trPr>
          <w:trHeight w:val="221"/>
        </w:trPr>
        <w:tc>
          <w:tcPr>
            <w:tcW w:w="6420" w:type="dxa"/>
            <w:vAlign w:val="bottom"/>
          </w:tcPr>
          <w:p>
            <w:pPr>
              <w:spacing w:after="0"/>
              <w:rPr>
                <w:sz w:val="20"/>
                <w:szCs w:val="20"/>
                <w:color w:val="auto"/>
              </w:rPr>
            </w:pPr>
            <w:r>
              <w:rPr>
                <w:rFonts w:ascii="Arial" w:cs="Arial" w:eastAsia="Arial" w:hAnsi="Arial"/>
                <w:sz w:val="17"/>
                <w:szCs w:val="17"/>
                <w:color w:val="auto"/>
              </w:rPr>
              <w:t>Date: July 22, 2021</w:t>
            </w:r>
          </w:p>
        </w:tc>
        <w:tc>
          <w:tcPr>
            <w:tcW w:w="446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Glenn J. Keeler</w:t>
            </w:r>
          </w:p>
        </w:tc>
      </w:tr>
      <w:tr>
        <w:trPr>
          <w:trHeight w:val="215"/>
        </w:trPr>
        <w:tc>
          <w:tcPr>
            <w:tcW w:w="6420" w:type="dxa"/>
            <w:vAlign w:val="bottom"/>
          </w:tcPr>
          <w:p>
            <w:pPr>
              <w:spacing w:after="0"/>
              <w:rPr>
                <w:sz w:val="18"/>
                <w:szCs w:val="18"/>
                <w:color w:val="auto"/>
              </w:rPr>
            </w:pPr>
          </w:p>
        </w:tc>
        <w:tc>
          <w:tcPr>
            <w:tcW w:w="4460" w:type="dxa"/>
            <w:vAlign w:val="bottom"/>
          </w:tcPr>
          <w:p>
            <w:pPr>
              <w:ind w:left="20"/>
              <w:spacing w:after="0"/>
              <w:rPr>
                <w:sz w:val="20"/>
                <w:szCs w:val="20"/>
                <w:color w:val="auto"/>
              </w:rPr>
            </w:pPr>
            <w:r>
              <w:rPr>
                <w:rFonts w:ascii="Arial" w:cs="Arial" w:eastAsia="Arial" w:hAnsi="Arial"/>
                <w:sz w:val="17"/>
                <w:szCs w:val="17"/>
                <w:color w:val="auto"/>
              </w:rPr>
              <w:t>Glenn J. Keeler</w:t>
            </w:r>
          </w:p>
        </w:tc>
      </w:tr>
      <w:tr>
        <w:trPr>
          <w:trHeight w:val="222"/>
        </w:trPr>
        <w:tc>
          <w:tcPr>
            <w:tcW w:w="6420" w:type="dxa"/>
            <w:vAlign w:val="bottom"/>
          </w:tcPr>
          <w:p>
            <w:pPr>
              <w:spacing w:after="0"/>
              <w:rPr>
                <w:sz w:val="19"/>
                <w:szCs w:val="19"/>
                <w:color w:val="auto"/>
              </w:rPr>
            </w:pPr>
          </w:p>
        </w:tc>
        <w:tc>
          <w:tcPr>
            <w:tcW w:w="4460" w:type="dxa"/>
            <w:vAlign w:val="bottom"/>
          </w:tcPr>
          <w:p>
            <w:pPr>
              <w:ind w:left="20"/>
              <w:spacing w:after="0"/>
              <w:rPr>
                <w:sz w:val="20"/>
                <w:szCs w:val="20"/>
                <w:color w:val="auto"/>
              </w:rPr>
            </w:pPr>
            <w:r>
              <w:rPr>
                <w:rFonts w:ascii="Arial" w:cs="Arial" w:eastAsia="Arial" w:hAnsi="Arial"/>
                <w:sz w:val="17"/>
                <w:szCs w:val="17"/>
                <w:color w:val="auto"/>
              </w:rPr>
              <w:t>Chief Financial Officer (Principal Financial Officer)</w:t>
            </w:r>
          </w:p>
        </w:tc>
      </w:tr>
    </w:tbl>
    <w:p>
      <w:pPr>
        <w:sectPr>
          <w:pgSz w:w="11900" w:h="16838" w:orient="portrait"/>
          <w:cols w:equalWidth="0" w:num="1">
            <w:col w:w="11240"/>
          </w:cols>
          <w:pgMar w:left="320" w:top="866" w:right="339" w:bottom="1440" w:gutter="0" w:footer="0" w:header="0"/>
        </w:sectPr>
      </w:pPr>
    </w:p>
    <w:bookmarkStart w:id="47" w:name="page48"/>
    <w:bookmarkEnd w:id="47"/>
    <w:p>
      <w:pPr>
        <w:jc w:val="right"/>
        <w:spacing w:after="0"/>
        <w:rPr>
          <w:sz w:val="20"/>
          <w:szCs w:val="20"/>
          <w:color w:val="auto"/>
        </w:rPr>
      </w:pPr>
      <w:r>
        <w:rPr>
          <w:rFonts w:ascii="Arial" w:cs="Arial" w:eastAsia="Arial" w:hAnsi="Arial"/>
          <w:sz w:val="17"/>
          <w:szCs w:val="17"/>
          <w:b w:val="1"/>
          <w:bCs w:val="1"/>
          <w:color w:val="auto"/>
        </w:rPr>
        <w:t>Exhibit 32.1</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18 U.S.C. SECTION 1350,</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ADOPTED PURSUANT TO</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SECTION 906 OF THE SARBANES-OXLEY ACT OF 2002</w:t>
      </w:r>
    </w:p>
    <w:p>
      <w:pPr>
        <w:spacing w:after="0" w:line="211"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In connection with the Quarterly Report of Tri Pointe Homes, Inc. (the “Company”) on Form 10-Q for the period ended June 30, 2021 as filed with the Securities and Exchange Commission on the date hereof (the “Report”), I, Douglas F. Bauer, Chief Executive Officer of the Company, certify, pursuant to 18 U.S.C. § 1350, as adopted pursuant to § 906 of the Sarbanes-Oxley Act of 2002, that:</w:t>
      </w:r>
    </w:p>
    <w:p>
      <w:pPr>
        <w:spacing w:after="0" w:line="172" w:lineRule="exact"/>
        <w:rPr>
          <w:sz w:val="20"/>
          <w:szCs w:val="20"/>
          <w:color w:val="auto"/>
        </w:rPr>
      </w:pPr>
    </w:p>
    <w:p>
      <w:pPr>
        <w:ind w:left="1260" w:hanging="628"/>
        <w:spacing w:after="0"/>
        <w:tabs>
          <w:tab w:leader="none" w:pos="12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The Report fully complies with the requirements of section 13(a) or 15(d) of the Securities Exchange Act of 1934; and</w:t>
      </w:r>
    </w:p>
    <w:p>
      <w:pPr>
        <w:spacing w:after="0" w:line="222" w:lineRule="exact"/>
        <w:rPr>
          <w:rFonts w:ascii="Arial" w:cs="Arial" w:eastAsia="Arial" w:hAnsi="Arial"/>
          <w:sz w:val="17"/>
          <w:szCs w:val="17"/>
          <w:color w:val="auto"/>
        </w:rPr>
      </w:pPr>
    </w:p>
    <w:p>
      <w:pPr>
        <w:ind w:left="1260" w:right="620" w:hanging="628"/>
        <w:spacing w:after="0" w:line="288" w:lineRule="auto"/>
        <w:tabs>
          <w:tab w:leader="none" w:pos="12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197" w:lineRule="exact"/>
        <w:rPr>
          <w:sz w:val="20"/>
          <w:szCs w:val="20"/>
          <w:color w:val="auto"/>
        </w:rPr>
      </w:pPr>
    </w:p>
    <w:tbl>
      <w:tblPr>
        <w:tblLayout w:type="fixed"/>
        <w:tblInd w:w="20" w:type="dxa"/>
        <w:tblCellMar>
          <w:top w:w="0" w:type="dxa"/>
          <w:left w:w="0" w:type="dxa"/>
          <w:bottom w:w="0" w:type="dxa"/>
          <w:right w:w="0" w:type="dxa"/>
        </w:tblCellMar>
      </w:tblPr>
      <w:tr>
        <w:trPr>
          <w:trHeight w:val="221"/>
        </w:trPr>
        <w:tc>
          <w:tcPr>
            <w:tcW w:w="6200" w:type="dxa"/>
            <w:vAlign w:val="bottom"/>
          </w:tcPr>
          <w:p>
            <w:pPr>
              <w:spacing w:after="0"/>
              <w:rPr>
                <w:sz w:val="20"/>
                <w:szCs w:val="20"/>
                <w:color w:val="auto"/>
              </w:rPr>
            </w:pPr>
            <w:r>
              <w:rPr>
                <w:rFonts w:ascii="Arial" w:cs="Arial" w:eastAsia="Arial" w:hAnsi="Arial"/>
                <w:sz w:val="17"/>
                <w:szCs w:val="17"/>
                <w:color w:val="auto"/>
              </w:rPr>
              <w:t>Date: July 22, 2021</w:t>
            </w:r>
          </w:p>
        </w:tc>
        <w:tc>
          <w:tcPr>
            <w:tcW w:w="500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Douglas F. Bauer</w:t>
            </w:r>
          </w:p>
        </w:tc>
      </w:tr>
      <w:tr>
        <w:trPr>
          <w:trHeight w:val="215"/>
        </w:trPr>
        <w:tc>
          <w:tcPr>
            <w:tcW w:w="6200" w:type="dxa"/>
            <w:vAlign w:val="bottom"/>
          </w:tcPr>
          <w:p>
            <w:pPr>
              <w:spacing w:after="0"/>
              <w:rPr>
                <w:sz w:val="18"/>
                <w:szCs w:val="18"/>
                <w:color w:val="auto"/>
              </w:rPr>
            </w:pPr>
          </w:p>
        </w:tc>
        <w:tc>
          <w:tcPr>
            <w:tcW w:w="5000" w:type="dxa"/>
            <w:vAlign w:val="bottom"/>
          </w:tcPr>
          <w:p>
            <w:pPr>
              <w:ind w:left="20"/>
              <w:spacing w:after="0"/>
              <w:rPr>
                <w:sz w:val="20"/>
                <w:szCs w:val="20"/>
                <w:color w:val="auto"/>
              </w:rPr>
            </w:pPr>
            <w:r>
              <w:rPr>
                <w:rFonts w:ascii="Arial" w:cs="Arial" w:eastAsia="Arial" w:hAnsi="Arial"/>
                <w:sz w:val="17"/>
                <w:szCs w:val="17"/>
                <w:color w:val="auto"/>
              </w:rPr>
              <w:t>Douglas F. Bauer</w:t>
            </w:r>
          </w:p>
        </w:tc>
      </w:tr>
      <w:tr>
        <w:trPr>
          <w:trHeight w:val="222"/>
        </w:trPr>
        <w:tc>
          <w:tcPr>
            <w:tcW w:w="6200" w:type="dxa"/>
            <w:vAlign w:val="bottom"/>
          </w:tcPr>
          <w:p>
            <w:pPr>
              <w:spacing w:after="0"/>
              <w:rPr>
                <w:sz w:val="19"/>
                <w:szCs w:val="19"/>
                <w:color w:val="auto"/>
              </w:rPr>
            </w:pPr>
          </w:p>
        </w:tc>
        <w:tc>
          <w:tcPr>
            <w:tcW w:w="5000" w:type="dxa"/>
            <w:vAlign w:val="bottom"/>
          </w:tcPr>
          <w:p>
            <w:pPr>
              <w:ind w:left="20"/>
              <w:spacing w:after="0"/>
              <w:rPr>
                <w:sz w:val="20"/>
                <w:szCs w:val="20"/>
                <w:color w:val="auto"/>
              </w:rPr>
            </w:pPr>
            <w:r>
              <w:rPr>
                <w:rFonts w:ascii="Arial" w:cs="Arial" w:eastAsia="Arial" w:hAnsi="Arial"/>
                <w:sz w:val="17"/>
                <w:szCs w:val="17"/>
                <w:color w:val="auto"/>
              </w:rPr>
              <w:t>Chief Executive Officer (Principal Executive Officer)</w:t>
            </w:r>
          </w:p>
        </w:tc>
      </w:tr>
    </w:tbl>
    <w:p>
      <w:pPr>
        <w:sectPr>
          <w:pgSz w:w="11900" w:h="16838" w:orient="portrait"/>
          <w:cols w:equalWidth="0" w:num="1">
            <w:col w:w="11240"/>
          </w:cols>
          <w:pgMar w:left="320" w:top="866" w:right="339" w:bottom="1440" w:gutter="0" w:footer="0" w:header="0"/>
        </w:sectPr>
      </w:pPr>
    </w:p>
    <w:bookmarkStart w:id="48" w:name="page49"/>
    <w:bookmarkEnd w:id="48"/>
    <w:p>
      <w:pPr>
        <w:jc w:val="right"/>
        <w:spacing w:after="0"/>
        <w:rPr>
          <w:sz w:val="20"/>
          <w:szCs w:val="20"/>
          <w:color w:val="auto"/>
        </w:rPr>
      </w:pPr>
      <w:r>
        <w:rPr>
          <w:rFonts w:ascii="Arial" w:cs="Arial" w:eastAsia="Arial" w:hAnsi="Arial"/>
          <w:sz w:val="17"/>
          <w:szCs w:val="17"/>
          <w:b w:val="1"/>
          <w:bCs w:val="1"/>
          <w:color w:val="auto"/>
        </w:rPr>
        <w:t>Exhibit 32.2</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18 U.S.C. SECTION 1350,</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ADOPTED PURSUANT TO</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SECTION 906 OF THE SARBANES-OXLEY ACT OF 2002</w:t>
      </w:r>
    </w:p>
    <w:p>
      <w:pPr>
        <w:spacing w:after="0" w:line="211" w:lineRule="exact"/>
        <w:rPr>
          <w:sz w:val="20"/>
          <w:szCs w:val="20"/>
          <w:color w:val="auto"/>
        </w:rPr>
      </w:pPr>
    </w:p>
    <w:p>
      <w:pPr>
        <w:jc w:val="both"/>
        <w:ind w:right="680"/>
        <w:spacing w:after="0" w:line="272" w:lineRule="auto"/>
        <w:rPr>
          <w:sz w:val="20"/>
          <w:szCs w:val="20"/>
          <w:color w:val="auto"/>
        </w:rPr>
      </w:pPr>
      <w:r>
        <w:rPr>
          <w:rFonts w:ascii="Arial" w:cs="Arial" w:eastAsia="Arial" w:hAnsi="Arial"/>
          <w:sz w:val="17"/>
          <w:szCs w:val="17"/>
          <w:color w:val="auto"/>
        </w:rPr>
        <w:t>In connection with the Quarterly Report of Tri Pointe Homes, Inc. (the “Company”) on Form 10-Q for the period ended June 30, 2021 as filed with the Securities and Exchange Commission on the date hereof (the “Report”), I, Glenn J. Keeler, Chief Financial Officer of the Company, certify, pursuant to 18 U.S.C. § 1350, as adopted pursuant to § 906 of the Sarbanes-Oxley Act of 2002, that:</w:t>
      </w:r>
    </w:p>
    <w:p>
      <w:pPr>
        <w:spacing w:after="0" w:line="172" w:lineRule="exact"/>
        <w:rPr>
          <w:sz w:val="20"/>
          <w:szCs w:val="20"/>
          <w:color w:val="auto"/>
        </w:rPr>
      </w:pPr>
    </w:p>
    <w:p>
      <w:pPr>
        <w:ind w:left="1260" w:hanging="628"/>
        <w:spacing w:after="0"/>
        <w:tabs>
          <w:tab w:leader="none" w:pos="12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The Report fully complies with the requirements of section 13(a) or 15(d) of the Securities Exchange Act of 1934; and</w:t>
      </w:r>
    </w:p>
    <w:p>
      <w:pPr>
        <w:spacing w:after="0" w:line="222" w:lineRule="exact"/>
        <w:rPr>
          <w:rFonts w:ascii="Arial" w:cs="Arial" w:eastAsia="Arial" w:hAnsi="Arial"/>
          <w:sz w:val="17"/>
          <w:szCs w:val="17"/>
          <w:color w:val="auto"/>
        </w:rPr>
      </w:pPr>
    </w:p>
    <w:p>
      <w:pPr>
        <w:ind w:left="1260" w:right="620" w:hanging="628"/>
        <w:spacing w:after="0" w:line="288" w:lineRule="auto"/>
        <w:tabs>
          <w:tab w:leader="none" w:pos="12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197" w:lineRule="exact"/>
        <w:rPr>
          <w:sz w:val="20"/>
          <w:szCs w:val="20"/>
          <w:color w:val="auto"/>
        </w:rPr>
      </w:pPr>
    </w:p>
    <w:tbl>
      <w:tblPr>
        <w:tblLayout w:type="fixed"/>
        <w:tblInd w:w="20" w:type="dxa"/>
        <w:tblCellMar>
          <w:top w:w="0" w:type="dxa"/>
          <w:left w:w="0" w:type="dxa"/>
          <w:bottom w:w="0" w:type="dxa"/>
          <w:right w:w="0" w:type="dxa"/>
        </w:tblCellMar>
      </w:tblPr>
      <w:tr>
        <w:trPr>
          <w:trHeight w:val="221"/>
        </w:trPr>
        <w:tc>
          <w:tcPr>
            <w:tcW w:w="6200" w:type="dxa"/>
            <w:vAlign w:val="bottom"/>
          </w:tcPr>
          <w:p>
            <w:pPr>
              <w:spacing w:after="0"/>
              <w:rPr>
                <w:sz w:val="20"/>
                <w:szCs w:val="20"/>
                <w:color w:val="auto"/>
              </w:rPr>
            </w:pPr>
            <w:r>
              <w:rPr>
                <w:rFonts w:ascii="Arial" w:cs="Arial" w:eastAsia="Arial" w:hAnsi="Arial"/>
                <w:sz w:val="17"/>
                <w:szCs w:val="17"/>
                <w:color w:val="auto"/>
              </w:rPr>
              <w:t>Date: July 22, 2021</w:t>
            </w:r>
          </w:p>
        </w:tc>
        <w:tc>
          <w:tcPr>
            <w:tcW w:w="500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Glenn J. Keeler</w:t>
            </w:r>
          </w:p>
        </w:tc>
      </w:tr>
      <w:tr>
        <w:trPr>
          <w:trHeight w:val="215"/>
        </w:trPr>
        <w:tc>
          <w:tcPr>
            <w:tcW w:w="6200" w:type="dxa"/>
            <w:vAlign w:val="bottom"/>
          </w:tcPr>
          <w:p>
            <w:pPr>
              <w:spacing w:after="0"/>
              <w:rPr>
                <w:sz w:val="18"/>
                <w:szCs w:val="18"/>
                <w:color w:val="auto"/>
              </w:rPr>
            </w:pPr>
          </w:p>
        </w:tc>
        <w:tc>
          <w:tcPr>
            <w:tcW w:w="5000" w:type="dxa"/>
            <w:vAlign w:val="bottom"/>
          </w:tcPr>
          <w:p>
            <w:pPr>
              <w:ind w:left="20"/>
              <w:spacing w:after="0"/>
              <w:rPr>
                <w:sz w:val="20"/>
                <w:szCs w:val="20"/>
                <w:color w:val="auto"/>
              </w:rPr>
            </w:pPr>
            <w:r>
              <w:rPr>
                <w:rFonts w:ascii="Arial" w:cs="Arial" w:eastAsia="Arial" w:hAnsi="Arial"/>
                <w:sz w:val="17"/>
                <w:szCs w:val="17"/>
                <w:color w:val="auto"/>
              </w:rPr>
              <w:t>Glenn J. Keeler</w:t>
            </w:r>
          </w:p>
        </w:tc>
      </w:tr>
      <w:tr>
        <w:trPr>
          <w:trHeight w:val="222"/>
        </w:trPr>
        <w:tc>
          <w:tcPr>
            <w:tcW w:w="6200" w:type="dxa"/>
            <w:vAlign w:val="bottom"/>
          </w:tcPr>
          <w:p>
            <w:pPr>
              <w:spacing w:after="0"/>
              <w:rPr>
                <w:sz w:val="19"/>
                <w:szCs w:val="19"/>
                <w:color w:val="auto"/>
              </w:rPr>
            </w:pPr>
          </w:p>
        </w:tc>
        <w:tc>
          <w:tcPr>
            <w:tcW w:w="5000" w:type="dxa"/>
            <w:vAlign w:val="bottom"/>
          </w:tcPr>
          <w:p>
            <w:pPr>
              <w:ind w:left="20"/>
              <w:spacing w:after="0"/>
              <w:rPr>
                <w:sz w:val="20"/>
                <w:szCs w:val="20"/>
                <w:color w:val="auto"/>
              </w:rPr>
            </w:pPr>
            <w:r>
              <w:rPr>
                <w:rFonts w:ascii="Arial" w:cs="Arial" w:eastAsia="Arial" w:hAnsi="Arial"/>
                <w:sz w:val="17"/>
                <w:szCs w:val="17"/>
                <w:color w:val="auto"/>
              </w:rPr>
              <w:t>Chief Financial Officer (Principal Financial Officer)</w:t>
            </w:r>
          </w:p>
        </w:tc>
      </w:tr>
    </w:tbl>
    <w:p>
      <w:pPr>
        <w:spacing w:after="0" w:line="1" w:lineRule="exact"/>
        <w:rPr>
          <w:sz w:val="20"/>
          <w:szCs w:val="20"/>
          <w:color w:val="auto"/>
        </w:rPr>
      </w:pPr>
    </w:p>
    <w:sectPr>
      <w:pgSz w:w="11900" w:h="16838" w:orient="portrait"/>
      <w:cols w:equalWidth="0" w:num="1">
        <w:col w:w="11240"/>
      </w:cols>
      <w:pgMar w:left="320" w:top="86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EF438D"/>
    <w:multiLevelType w:val="hybridMultilevel"/>
    <w:lvl w:ilvl="0">
      <w:lvlJc w:val="left"/>
      <w:lvlText w:val="☒"/>
      <w:numFmt w:val="bullet"/>
      <w:start w:val="1"/>
    </w:lvl>
  </w:abstractNum>
  <w:abstractNum w:abstractNumId="1">
    <w:nsid w:val="140E0F76"/>
    <w:multiLevelType w:val="hybridMultilevel"/>
    <w:lvl w:ilvl="0">
      <w:lvlJc w:val="left"/>
      <w:lvlText w:val="☐"/>
      <w:numFmt w:val="bullet"/>
      <w:start w:val="1"/>
    </w:lvl>
  </w:abstractNum>
  <w:abstractNum w:abstractNumId="2">
    <w:nsid w:val="3352255A"/>
    <w:multiLevelType w:val="hybridMultilevel"/>
    <w:lvl w:ilvl="0">
      <w:lvlJc w:val="left"/>
      <w:lvlText w:val="%1"/>
      <w:numFmt w:val="decimal"/>
      <w:start w:val="1"/>
    </w:lvl>
    <w:lvl w:ilvl="1">
      <w:lvlJc w:val="left"/>
      <w:lvlText w:val="(%2)"/>
      <w:numFmt w:val="decimal"/>
      <w:start w:val="1"/>
    </w:lvl>
  </w:abstractNum>
  <w:abstractNum w:abstractNumId="3">
    <w:nsid w:val="109CF92E"/>
    <w:multiLevelType w:val="hybridMultilevel"/>
    <w:lvl w:ilvl="0">
      <w:lvlJc w:val="left"/>
      <w:lvlText w:val="%1."/>
      <w:numFmt w:val="decimal"/>
      <w:start w:val="3"/>
    </w:lvl>
    <w:lvl w:ilvl="1">
      <w:lvlJc w:val="left"/>
      <w:lvlText w:val="%2"/>
      <w:numFmt w:val="decimal"/>
      <w:start w:val="1"/>
    </w:lvl>
  </w:abstractNum>
  <w:abstractNum w:abstractNumId="4">
    <w:nsid w:val="DED7263"/>
    <w:multiLevelType w:val="hybridMultilevel"/>
    <w:lvl w:ilvl="0">
      <w:lvlJc w:val="left"/>
      <w:lvlText w:val="%1."/>
      <w:numFmt w:val="decimal"/>
      <w:start w:val="11"/>
    </w:lvl>
  </w:abstractNum>
  <w:abstractNum w:abstractNumId="5">
    <w:nsid w:val="7FDCC233"/>
    <w:multiLevelType w:val="hybridMultilevel"/>
    <w:lvl w:ilvl="0">
      <w:lvlJc w:val="left"/>
      <w:lvlText w:val="%1."/>
      <w:numFmt w:val="decimal"/>
      <w:start w:val="12"/>
    </w:lvl>
  </w:abstractNum>
  <w:abstractNum w:abstractNumId="6">
    <w:nsid w:val="1BEFD79F"/>
    <w:multiLevelType w:val="hybridMultilevel"/>
    <w:lvl w:ilvl="0">
      <w:lvlJc w:val="left"/>
      <w:lvlText w:val="•"/>
      <w:numFmt w:val="bullet"/>
      <w:start w:val="1"/>
    </w:lvl>
  </w:abstractNum>
  <w:abstractNum w:abstractNumId="7">
    <w:nsid w:val="41A7C4C9"/>
    <w:multiLevelType w:val="hybridMultilevel"/>
    <w:lvl w:ilvl="0">
      <w:lvlJc w:val="left"/>
      <w:lvlText w:val="(%1)"/>
      <w:numFmt w:val="decimal"/>
      <w:start w:val="1"/>
    </w:lvl>
  </w:abstractNum>
  <w:abstractNum w:abstractNumId="8">
    <w:nsid w:val="6B68079A"/>
    <w:multiLevelType w:val="hybridMultilevel"/>
    <w:lvl w:ilvl="0">
      <w:lvlJc w:val="left"/>
      <w:lvlText w:val="%1."/>
      <w:numFmt w:val="decimal"/>
      <w:start w:val="13"/>
    </w:lvl>
  </w:abstractNum>
  <w:abstractNum w:abstractNumId="9">
    <w:nsid w:val="4E6AFB66"/>
    <w:multiLevelType w:val="hybridMultilevel"/>
    <w:lvl w:ilvl="0">
      <w:lvlJc w:val="left"/>
      <w:lvlText w:val="%1"/>
      <w:numFmt w:val="decimal"/>
      <w:start w:val="1"/>
    </w:lvl>
    <w:lvl w:ilvl="1">
      <w:lvlJc w:val="left"/>
      <w:lvlText w:val="(%2)"/>
      <w:numFmt w:val="decimal"/>
      <w:start w:val="1"/>
    </w:lvl>
  </w:abstractNum>
  <w:abstractNum w:abstractNumId="10">
    <w:nsid w:val="25E45D32"/>
    <w:multiLevelType w:val="hybridMultilevel"/>
    <w:lvl w:ilvl="0">
      <w:lvlJc w:val="left"/>
      <w:lvlText w:val="%1."/>
      <w:numFmt w:val="decimal"/>
      <w:start w:val="14"/>
    </w:lvl>
    <w:lvl w:ilvl="1">
      <w:lvlJc w:val="left"/>
      <w:lvlText w:val="%2"/>
      <w:numFmt w:val="decimal"/>
      <w:start w:val="1"/>
    </w:lvl>
  </w:abstractNum>
  <w:abstractNum w:abstractNumId="11">
    <w:nsid w:val="519B500D"/>
    <w:multiLevelType w:val="hybridMultilevel"/>
    <w:lvl w:ilvl="0">
      <w:lvlJc w:val="left"/>
      <w:lvlText w:val="•"/>
      <w:numFmt w:val="bullet"/>
      <w:start w:val="1"/>
    </w:lvl>
    <w:lvl w:ilvl="1">
      <w:lvlJc w:val="left"/>
      <w:lvlText w:val="-"/>
      <w:numFmt w:val="bullet"/>
      <w:start w:val="1"/>
    </w:lvl>
  </w:abstractNum>
  <w:abstractNum w:abstractNumId="12">
    <w:nsid w:val="431BD7B7"/>
    <w:multiLevelType w:val="hybridMultilevel"/>
    <w:lvl w:ilvl="0">
      <w:lvlJc w:val="left"/>
      <w:lvlText w:val="•"/>
      <w:numFmt w:val="bullet"/>
      <w:start w:val="1"/>
    </w:lvl>
  </w:abstractNum>
  <w:abstractNum w:abstractNumId="13">
    <w:nsid w:val="3F2DBA31"/>
    <w:multiLevelType w:val="hybridMultilevel"/>
    <w:lvl w:ilvl="0">
      <w:lvlJc w:val="left"/>
      <w:lvlText w:val="(%1)"/>
      <w:numFmt w:val="decimal"/>
      <w:start w:val="1"/>
    </w:lvl>
  </w:abstractNum>
  <w:abstractNum w:abstractNumId="14">
    <w:nsid w:val="7C83E458"/>
    <w:multiLevelType w:val="hybridMultilevel"/>
    <w:lvl w:ilvl="0">
      <w:lvlJc w:val="left"/>
      <w:lvlText w:val="(%1)"/>
      <w:numFmt w:val="decimal"/>
      <w:start w:val="1"/>
    </w:lvl>
    <w:lvl w:ilvl="1">
      <w:lvlJc w:val="left"/>
      <w:lvlText w:val="-"/>
      <w:numFmt w:val="bullet"/>
      <w:start w:val="1"/>
    </w:lvl>
  </w:abstractNum>
  <w:abstractNum w:abstractNumId="15">
    <w:nsid w:val="257130A3"/>
    <w:multiLevelType w:val="hybridMultilevel"/>
    <w:lvl w:ilvl="0">
      <w:lvlJc w:val="left"/>
      <w:lvlText w:val="•"/>
      <w:numFmt w:val="bullet"/>
      <w:start w:val="1"/>
    </w:lvl>
  </w:abstractNum>
  <w:abstractNum w:abstractNumId="16">
    <w:nsid w:val="62BBD95A"/>
    <w:multiLevelType w:val="hybridMultilevel"/>
    <w:lvl w:ilvl="0">
      <w:lvlJc w:val="left"/>
      <w:lvlText w:val="(%1)"/>
      <w:numFmt w:val="decimal"/>
      <w:start w:val="1"/>
    </w:lvl>
    <w:lvl w:ilvl="1">
      <w:lvlJc w:val="left"/>
      <w:lvlText w:val="-"/>
      <w:numFmt w:val="bullet"/>
      <w:start w:val="1"/>
    </w:lvl>
  </w:abstractNum>
  <w:abstractNum w:abstractNumId="17">
    <w:nsid w:val="436C6125"/>
    <w:multiLevelType w:val="hybridMultilevel"/>
    <w:lvl w:ilvl="0">
      <w:lvlJc w:val="left"/>
      <w:lvlText w:val="%1"/>
      <w:numFmt w:val="decimal"/>
      <w:start w:val="101"/>
    </w:lvl>
  </w:abstractNum>
  <w:abstractNum w:abstractNumId="18">
    <w:nsid w:val="628C895D"/>
    <w:multiLevelType w:val="hybridMultilevel"/>
    <w:lvl w:ilvl="0">
      <w:lvlJc w:val="left"/>
      <w:lvlText w:val="%1"/>
      <w:numFmt w:val="decimal"/>
      <w:start w:val="104"/>
    </w:lvl>
    <w:lvl w:ilvl="1">
      <w:lvlJc w:val="left"/>
      <w:lvlText w:val="-"/>
      <w:numFmt w:val="bullet"/>
      <w:start w:val="1"/>
    </w:lvl>
  </w:abstractNum>
  <w:abstractNum w:abstractNumId="19">
    <w:nsid w:val="333AB105"/>
    <w:multiLevelType w:val="hybridMultilevel"/>
    <w:lvl w:ilvl="0">
      <w:lvlJc w:val="left"/>
      <w:lvlText w:val="%1."/>
      <w:numFmt w:val="decimal"/>
      <w:start w:val="1"/>
    </w:lvl>
    <w:lvl w:ilvl="1">
      <w:lvlJc w:val="left"/>
      <w:lvlText w:val="%2."/>
      <w:numFmt w:val="lowerLetter"/>
      <w:start w:val="1"/>
    </w:lvl>
  </w:abstractNum>
  <w:abstractNum w:abstractNumId="20">
    <w:nsid w:val="721DA317"/>
    <w:multiLevelType w:val="hybridMultilevel"/>
    <w:lvl w:ilvl="0">
      <w:lvlJc w:val="left"/>
      <w:lvlText w:val="%1."/>
      <w:numFmt w:val="decimal"/>
      <w:start w:val="1"/>
    </w:lvl>
    <w:lvl w:ilvl="1">
      <w:lvlJc w:val="left"/>
      <w:lvlText w:val="%2."/>
      <w:numFmt w:val="lowerLetter"/>
      <w:start w:val="1"/>
    </w:lvl>
  </w:abstractNum>
  <w:abstractNum w:abstractNumId="21">
    <w:nsid w:val="2443A858"/>
    <w:multiLevelType w:val="hybridMultilevel"/>
    <w:lvl w:ilvl="0">
      <w:lvlJc w:val="left"/>
      <w:lvlText w:val="%1."/>
      <w:numFmt w:val="decimal"/>
      <w:start w:val="1"/>
    </w:lvl>
  </w:abstractNum>
  <w:abstractNum w:abstractNumId="22">
    <w:nsid w:val="2D1D5AE9"/>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8" Type="http://schemas.openxmlformats.org/officeDocument/2006/relationships/image" Target="media/image46.png"/><Relationship Id="rId53" Type="http://schemas.openxmlformats.org/officeDocument/2006/relationships/hyperlink" Target="http://www.sec.gov/Archives/edgar/data/1561680/000119312515246892/d25110dex31.htm" TargetMode="External"/><Relationship Id="rId54" Type="http://schemas.openxmlformats.org/officeDocument/2006/relationships/hyperlink" Target="https://www.sec.gov/Archives/edgar/data/1561680/000156168021000011/ex31certificateofamendment.htm" TargetMode="External"/><Relationship Id="rId55" Type="http://schemas.openxmlformats.org/officeDocument/2006/relationships/hyperlink" Target="http://www.sec.gov/Archives/edgar/data/1561680/000156168016000038/arbylawsoftripointegroup-f.htm" TargetMode="External"/><Relationship Id="rId56" Type="http://schemas.openxmlformats.org/officeDocument/2006/relationships/hyperlink" Target="https://www.sec.gov/Archives/edgar/data/1561680/000156168021000085/tphsecondmodificationagree.htm" TargetMode="External"/><Relationship Id="rId57" Type="http://schemas.openxmlformats.org/officeDocument/2006/relationships/hyperlink" Target="https://www.sec.gov/Archives/edgar/data/1561680/000156168021000023/tph10k2020ex22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2021-07-22T15:21:52Z</dcterms:created>
  <dcterms:modified xsi:type="dcterms:W3CDTF">2021-07-22T15:21:52Z</dcterms:modified>
</cp:coreProperties>
</file>