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40"/>
        <w:spacing w:after="0"/>
        <w:rPr>
          <w:sz w:val="20"/>
          <w:szCs w:val="20"/>
          <w:color w:val="auto"/>
        </w:rPr>
      </w:pPr>
      <w:r>
        <w:rPr>
          <w:rFonts w:ascii="Arial" w:cs="Arial" w:eastAsia="Arial" w:hAnsi="Arial"/>
          <w:sz w:val="18"/>
          <w:szCs w:val="18"/>
          <w:color w:val="auto"/>
        </w:rPr>
        <w:t>Filed pursuant to Rule 433</w:t>
      </w:r>
    </w:p>
    <w:p>
      <w:pPr>
        <w:spacing w:after="0" w:line="23" w:lineRule="exact"/>
        <w:rPr>
          <w:sz w:val="24"/>
          <w:szCs w:val="24"/>
          <w:color w:val="auto"/>
        </w:rPr>
      </w:pPr>
    </w:p>
    <w:p>
      <w:pPr>
        <w:jc w:val="right"/>
        <w:ind w:right="40"/>
        <w:spacing w:after="0"/>
        <w:rPr>
          <w:sz w:val="20"/>
          <w:szCs w:val="20"/>
          <w:color w:val="auto"/>
        </w:rPr>
      </w:pPr>
      <w:r>
        <w:rPr>
          <w:rFonts w:ascii="Arial" w:cs="Arial" w:eastAsia="Arial" w:hAnsi="Arial"/>
          <w:sz w:val="18"/>
          <w:szCs w:val="18"/>
          <w:color w:val="auto"/>
        </w:rPr>
        <w:t>Issuer Free Writing Prospectus, dated June 3, 2020</w:t>
      </w:r>
    </w:p>
    <w:p>
      <w:pPr>
        <w:spacing w:after="0" w:line="9" w:lineRule="exact"/>
        <w:rPr>
          <w:sz w:val="24"/>
          <w:szCs w:val="24"/>
          <w:color w:val="auto"/>
        </w:rPr>
      </w:pPr>
    </w:p>
    <w:p>
      <w:pPr>
        <w:jc w:val="right"/>
        <w:ind w:right="40"/>
        <w:spacing w:after="0"/>
        <w:rPr>
          <w:sz w:val="20"/>
          <w:szCs w:val="20"/>
          <w:color w:val="auto"/>
        </w:rPr>
      </w:pPr>
      <w:r>
        <w:rPr>
          <w:rFonts w:ascii="Arial" w:cs="Arial" w:eastAsia="Arial" w:hAnsi="Arial"/>
          <w:sz w:val="18"/>
          <w:szCs w:val="18"/>
          <w:color w:val="auto"/>
        </w:rPr>
        <w:t>Supplementing the Preliminary Prospectus Supplement, dated June 3, 2020</w:t>
      </w:r>
    </w:p>
    <w:p>
      <w:pPr>
        <w:spacing w:after="0" w:line="9" w:lineRule="exact"/>
        <w:rPr>
          <w:sz w:val="24"/>
          <w:szCs w:val="24"/>
          <w:color w:val="auto"/>
        </w:rPr>
      </w:pPr>
    </w:p>
    <w:p>
      <w:pPr>
        <w:jc w:val="right"/>
        <w:ind w:right="40"/>
        <w:spacing w:after="0"/>
        <w:rPr>
          <w:sz w:val="20"/>
          <w:szCs w:val="20"/>
          <w:color w:val="auto"/>
        </w:rPr>
      </w:pPr>
      <w:r>
        <w:rPr>
          <w:rFonts w:ascii="Arial" w:cs="Arial" w:eastAsia="Arial" w:hAnsi="Arial"/>
          <w:sz w:val="18"/>
          <w:szCs w:val="18"/>
          <w:color w:val="auto"/>
        </w:rPr>
        <w:t>Registration No. 333-238897</w:t>
      </w:r>
    </w:p>
    <w:p>
      <w:pPr>
        <w:spacing w:after="0" w:line="20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TRI Pointe Group, Inc.</w:t>
      </w:r>
    </w:p>
    <w:p>
      <w:pPr>
        <w:spacing w:after="0" w:line="229"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$350,000,000 5.700% Senior Notes due 2028</w:t>
      </w:r>
    </w:p>
    <w:p>
      <w:pPr>
        <w:spacing w:after="0" w:line="221"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Pricing Supplement</w:t>
      </w:r>
    </w:p>
    <w:p>
      <w:pPr>
        <w:spacing w:after="0" w:line="229"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The information in this Pricing Supplement supplements the Preliminary Prospectus Supplement and supersedes the information in the Preliminary Prospectus Supplement to the extent it is inconsistent with the information in the Preliminary Prospectus Supplement.</w:t>
      </w:r>
    </w:p>
    <w:p>
      <w:pPr>
        <w:spacing w:after="0" w:line="170" w:lineRule="exact"/>
        <w:rPr>
          <w:sz w:val="24"/>
          <w:szCs w:val="24"/>
          <w:color w:val="auto"/>
        </w:rPr>
      </w:pPr>
    </w:p>
    <w:p>
      <w:pPr>
        <w:ind w:right="80"/>
        <w:spacing w:after="0" w:line="279" w:lineRule="auto"/>
        <w:rPr>
          <w:sz w:val="20"/>
          <w:szCs w:val="20"/>
          <w:color w:val="auto"/>
        </w:rPr>
      </w:pPr>
      <w:r>
        <w:rPr>
          <w:rFonts w:ascii="Arial" w:cs="Arial" w:eastAsia="Arial" w:hAnsi="Arial"/>
          <w:sz w:val="17"/>
          <w:szCs w:val="17"/>
          <w:color w:val="auto"/>
        </w:rPr>
        <w:t>The aggregate principal amount of notes to be issued in the offering increased from $300,000,000 to $350,000,000. The increased amount of $50,000,000 will be funded to the balance sheet and be used for general corporate purposes, including the repayment of our outstanding indebtedness. The information in the Preliminary Prospectus Supplement (including, but not limited to, the financial information in the capitalization table and use of proceeds) is deemed to have changed to the extent affected by the increase in the size of the offering of the notes.</w:t>
      </w:r>
    </w:p>
    <w:p>
      <w:pPr>
        <w:spacing w:after="0" w:line="16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180" w:type="dxa"/>
            <w:vAlign w:val="bottom"/>
          </w:tcPr>
          <w:p>
            <w:pPr>
              <w:spacing w:after="0"/>
              <w:rPr>
                <w:sz w:val="20"/>
                <w:szCs w:val="20"/>
                <w:color w:val="auto"/>
              </w:rPr>
            </w:pPr>
            <w:r>
              <w:rPr>
                <w:rFonts w:ascii="Arial" w:cs="Arial" w:eastAsia="Arial" w:hAnsi="Arial"/>
                <w:sz w:val="18"/>
                <w:szCs w:val="18"/>
                <w:b w:val="1"/>
                <w:bCs w:val="1"/>
                <w:color w:val="auto"/>
              </w:rPr>
              <w:t>Issuer</w:t>
            </w:r>
          </w:p>
        </w:tc>
        <w:tc>
          <w:tcPr>
            <w:tcW w:w="8100" w:type="dxa"/>
            <w:vAlign w:val="bottom"/>
          </w:tcPr>
          <w:p>
            <w:pPr>
              <w:ind w:left="740"/>
              <w:spacing w:after="0"/>
              <w:rPr>
                <w:sz w:val="20"/>
                <w:szCs w:val="20"/>
                <w:color w:val="auto"/>
              </w:rPr>
            </w:pPr>
            <w:r>
              <w:rPr>
                <w:rFonts w:ascii="Arial" w:cs="Arial" w:eastAsia="Arial" w:hAnsi="Arial"/>
                <w:sz w:val="18"/>
                <w:szCs w:val="18"/>
                <w:color w:val="auto"/>
              </w:rPr>
              <w:t>TRI Pointe Group, Inc.</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Title of Securities</w:t>
            </w:r>
          </w:p>
        </w:tc>
        <w:tc>
          <w:tcPr>
            <w:tcW w:w="8100" w:type="dxa"/>
            <w:vAlign w:val="bottom"/>
          </w:tcPr>
          <w:p>
            <w:pPr>
              <w:ind w:left="740"/>
              <w:spacing w:after="0"/>
              <w:rPr>
                <w:sz w:val="20"/>
                <w:szCs w:val="20"/>
                <w:color w:val="auto"/>
              </w:rPr>
            </w:pPr>
            <w:r>
              <w:rPr>
                <w:rFonts w:ascii="Arial" w:cs="Arial" w:eastAsia="Arial" w:hAnsi="Arial"/>
                <w:sz w:val="18"/>
                <w:szCs w:val="18"/>
                <w:color w:val="auto"/>
              </w:rPr>
              <w:t>5.700% Senior Notes due 2028</w:t>
            </w:r>
          </w:p>
        </w:tc>
      </w:tr>
      <w:tr>
        <w:trPr>
          <w:trHeight w:val="418"/>
        </w:trPr>
        <w:tc>
          <w:tcPr>
            <w:tcW w:w="3180" w:type="dxa"/>
            <w:vAlign w:val="bottom"/>
          </w:tcPr>
          <w:p>
            <w:pPr>
              <w:spacing w:after="0"/>
              <w:rPr>
                <w:sz w:val="20"/>
                <w:szCs w:val="20"/>
                <w:color w:val="auto"/>
              </w:rPr>
            </w:pPr>
            <w:r>
              <w:rPr>
                <w:rFonts w:ascii="Arial" w:cs="Arial" w:eastAsia="Arial" w:hAnsi="Arial"/>
                <w:sz w:val="18"/>
                <w:szCs w:val="18"/>
                <w:b w:val="1"/>
                <w:bCs w:val="1"/>
                <w:color w:val="auto"/>
              </w:rPr>
              <w:t>Aggregate Principal Amount</w:t>
            </w:r>
          </w:p>
        </w:tc>
        <w:tc>
          <w:tcPr>
            <w:tcW w:w="8100" w:type="dxa"/>
            <w:vAlign w:val="bottom"/>
          </w:tcPr>
          <w:p>
            <w:pPr>
              <w:ind w:left="740"/>
              <w:spacing w:after="0"/>
              <w:rPr>
                <w:sz w:val="20"/>
                <w:szCs w:val="20"/>
                <w:color w:val="auto"/>
              </w:rPr>
            </w:pPr>
            <w:r>
              <w:rPr>
                <w:rFonts w:ascii="Arial" w:cs="Arial" w:eastAsia="Arial" w:hAnsi="Arial"/>
                <w:sz w:val="18"/>
                <w:szCs w:val="18"/>
                <w:color w:val="auto"/>
                <w:w w:val="92"/>
              </w:rPr>
              <w:t>$350,000,000, which represents an increase of $50,000,000 from the offering size in the Preliminary</w:t>
            </w:r>
          </w:p>
        </w:tc>
      </w:tr>
      <w:tr>
        <w:trPr>
          <w:trHeight w:val="230"/>
        </w:trPr>
        <w:tc>
          <w:tcPr>
            <w:tcW w:w="3180" w:type="dxa"/>
            <w:vAlign w:val="bottom"/>
          </w:tcPr>
          <w:p>
            <w:pPr>
              <w:spacing w:after="0"/>
              <w:rPr>
                <w:sz w:val="20"/>
                <w:szCs w:val="20"/>
                <w:color w:val="auto"/>
              </w:rPr>
            </w:pPr>
          </w:p>
        </w:tc>
        <w:tc>
          <w:tcPr>
            <w:tcW w:w="8100" w:type="dxa"/>
            <w:vAlign w:val="bottom"/>
          </w:tcPr>
          <w:p>
            <w:pPr>
              <w:ind w:left="740"/>
              <w:spacing w:after="0"/>
              <w:rPr>
                <w:sz w:val="20"/>
                <w:szCs w:val="20"/>
                <w:color w:val="auto"/>
              </w:rPr>
            </w:pPr>
            <w:r>
              <w:rPr>
                <w:rFonts w:ascii="Arial" w:cs="Arial" w:eastAsia="Arial" w:hAnsi="Arial"/>
                <w:sz w:val="18"/>
                <w:szCs w:val="18"/>
                <w:color w:val="auto"/>
              </w:rPr>
              <w:t>Prospectus Supplement</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Maturity Date</w:t>
            </w:r>
          </w:p>
        </w:tc>
        <w:tc>
          <w:tcPr>
            <w:tcW w:w="8100" w:type="dxa"/>
            <w:vAlign w:val="bottom"/>
          </w:tcPr>
          <w:p>
            <w:pPr>
              <w:ind w:left="740"/>
              <w:spacing w:after="0"/>
              <w:rPr>
                <w:sz w:val="20"/>
                <w:szCs w:val="20"/>
                <w:color w:val="auto"/>
              </w:rPr>
            </w:pPr>
            <w:r>
              <w:rPr>
                <w:rFonts w:ascii="Arial" w:cs="Arial" w:eastAsia="Arial" w:hAnsi="Arial"/>
                <w:sz w:val="18"/>
                <w:szCs w:val="18"/>
                <w:color w:val="auto"/>
              </w:rPr>
              <w:t>June 15, 2028</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Coupon</w:t>
            </w:r>
          </w:p>
        </w:tc>
        <w:tc>
          <w:tcPr>
            <w:tcW w:w="8100" w:type="dxa"/>
            <w:vAlign w:val="bottom"/>
          </w:tcPr>
          <w:p>
            <w:pPr>
              <w:ind w:left="740"/>
              <w:spacing w:after="0"/>
              <w:rPr>
                <w:sz w:val="20"/>
                <w:szCs w:val="20"/>
                <w:color w:val="auto"/>
              </w:rPr>
            </w:pPr>
            <w:r>
              <w:rPr>
                <w:rFonts w:ascii="Arial" w:cs="Arial" w:eastAsia="Arial" w:hAnsi="Arial"/>
                <w:sz w:val="18"/>
                <w:szCs w:val="18"/>
                <w:color w:val="auto"/>
              </w:rPr>
              <w:t>5.700%</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Public Offering Price</w:t>
            </w:r>
          </w:p>
        </w:tc>
        <w:tc>
          <w:tcPr>
            <w:tcW w:w="8100" w:type="dxa"/>
            <w:vAlign w:val="bottom"/>
          </w:tcPr>
          <w:p>
            <w:pPr>
              <w:ind w:left="740"/>
              <w:spacing w:after="0"/>
              <w:rPr>
                <w:sz w:val="20"/>
                <w:szCs w:val="20"/>
                <w:color w:val="auto"/>
              </w:rPr>
            </w:pPr>
            <w:r>
              <w:rPr>
                <w:rFonts w:ascii="Arial" w:cs="Arial" w:eastAsia="Arial" w:hAnsi="Arial"/>
                <w:sz w:val="18"/>
                <w:szCs w:val="18"/>
                <w:color w:val="auto"/>
              </w:rPr>
              <w:t>100.00% plus accrued interest, if any, from June 10, 2020</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Yield to Maturity</w:t>
            </w:r>
          </w:p>
        </w:tc>
        <w:tc>
          <w:tcPr>
            <w:tcW w:w="8100" w:type="dxa"/>
            <w:vAlign w:val="bottom"/>
          </w:tcPr>
          <w:p>
            <w:pPr>
              <w:ind w:left="740"/>
              <w:spacing w:after="0"/>
              <w:rPr>
                <w:sz w:val="20"/>
                <w:szCs w:val="20"/>
                <w:color w:val="auto"/>
              </w:rPr>
            </w:pPr>
            <w:r>
              <w:rPr>
                <w:rFonts w:ascii="Arial" w:cs="Arial" w:eastAsia="Arial" w:hAnsi="Arial"/>
                <w:sz w:val="18"/>
                <w:szCs w:val="18"/>
                <w:color w:val="auto"/>
              </w:rPr>
              <w:t>5.700%</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Spread to Benchmark Treasury</w:t>
            </w:r>
          </w:p>
        </w:tc>
        <w:tc>
          <w:tcPr>
            <w:tcW w:w="8100" w:type="dxa"/>
            <w:vAlign w:val="bottom"/>
          </w:tcPr>
          <w:p>
            <w:pPr>
              <w:ind w:left="740"/>
              <w:spacing w:after="0"/>
              <w:rPr>
                <w:sz w:val="20"/>
                <w:szCs w:val="20"/>
                <w:color w:val="auto"/>
              </w:rPr>
            </w:pPr>
            <w:r>
              <w:rPr>
                <w:rFonts w:ascii="Arial" w:cs="Arial" w:eastAsia="Arial" w:hAnsi="Arial"/>
                <w:sz w:val="18"/>
                <w:szCs w:val="18"/>
                <w:color w:val="auto"/>
              </w:rPr>
              <w:t>+494 basis points</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Benchmark Treasury</w:t>
            </w:r>
          </w:p>
        </w:tc>
        <w:tc>
          <w:tcPr>
            <w:tcW w:w="8100" w:type="dxa"/>
            <w:vAlign w:val="bottom"/>
          </w:tcPr>
          <w:p>
            <w:pPr>
              <w:ind w:left="740"/>
              <w:spacing w:after="0"/>
              <w:rPr>
                <w:sz w:val="20"/>
                <w:szCs w:val="20"/>
                <w:color w:val="auto"/>
              </w:rPr>
            </w:pPr>
            <w:r>
              <w:rPr>
                <w:rFonts w:ascii="Arial" w:cs="Arial" w:eastAsia="Arial" w:hAnsi="Arial"/>
                <w:sz w:val="18"/>
                <w:szCs w:val="18"/>
                <w:color w:val="auto"/>
              </w:rPr>
              <w:t>0.625% due May 15, 2030</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Interest Payment Dates</w:t>
            </w:r>
          </w:p>
        </w:tc>
        <w:tc>
          <w:tcPr>
            <w:tcW w:w="8100" w:type="dxa"/>
            <w:vAlign w:val="bottom"/>
          </w:tcPr>
          <w:p>
            <w:pPr>
              <w:ind w:left="740"/>
              <w:spacing w:after="0"/>
              <w:rPr>
                <w:sz w:val="20"/>
                <w:szCs w:val="20"/>
                <w:color w:val="auto"/>
              </w:rPr>
            </w:pPr>
            <w:r>
              <w:rPr>
                <w:rFonts w:ascii="Arial" w:cs="Arial" w:eastAsia="Arial" w:hAnsi="Arial"/>
                <w:sz w:val="18"/>
                <w:szCs w:val="18"/>
                <w:color w:val="auto"/>
              </w:rPr>
              <w:t>June 15 and December 15 of each year, beginning on December 15, 2020</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Record Dates</w:t>
            </w:r>
          </w:p>
        </w:tc>
        <w:tc>
          <w:tcPr>
            <w:tcW w:w="8100" w:type="dxa"/>
            <w:vAlign w:val="bottom"/>
          </w:tcPr>
          <w:p>
            <w:pPr>
              <w:ind w:left="740"/>
              <w:spacing w:after="0"/>
              <w:rPr>
                <w:sz w:val="20"/>
                <w:szCs w:val="20"/>
                <w:color w:val="auto"/>
              </w:rPr>
            </w:pPr>
            <w:r>
              <w:rPr>
                <w:rFonts w:ascii="Arial" w:cs="Arial" w:eastAsia="Arial" w:hAnsi="Arial"/>
                <w:sz w:val="18"/>
                <w:szCs w:val="18"/>
                <w:color w:val="auto"/>
              </w:rPr>
              <w:t>June 1 and December 1 of each year</w:t>
            </w:r>
          </w:p>
        </w:tc>
      </w:tr>
      <w:tr>
        <w:trPr>
          <w:trHeight w:val="418"/>
        </w:trPr>
        <w:tc>
          <w:tcPr>
            <w:tcW w:w="3180" w:type="dxa"/>
            <w:vAlign w:val="bottom"/>
          </w:tcPr>
          <w:p>
            <w:pPr>
              <w:spacing w:after="0"/>
              <w:rPr>
                <w:sz w:val="20"/>
                <w:szCs w:val="20"/>
                <w:color w:val="auto"/>
              </w:rPr>
            </w:pPr>
            <w:r>
              <w:rPr>
                <w:rFonts w:ascii="Arial" w:cs="Arial" w:eastAsia="Arial" w:hAnsi="Arial"/>
                <w:sz w:val="18"/>
                <w:szCs w:val="18"/>
                <w:b w:val="1"/>
                <w:bCs w:val="1"/>
                <w:color w:val="auto"/>
              </w:rPr>
              <w:t>Optional Redemption</w:t>
            </w:r>
          </w:p>
        </w:tc>
        <w:tc>
          <w:tcPr>
            <w:tcW w:w="8100" w:type="dxa"/>
            <w:vAlign w:val="bottom"/>
          </w:tcPr>
          <w:p>
            <w:pPr>
              <w:ind w:left="740"/>
              <w:spacing w:after="0"/>
              <w:rPr>
                <w:sz w:val="20"/>
                <w:szCs w:val="20"/>
                <w:color w:val="auto"/>
              </w:rPr>
            </w:pPr>
            <w:r>
              <w:rPr>
                <w:rFonts w:ascii="Arial" w:cs="Arial" w:eastAsia="Arial" w:hAnsi="Arial"/>
                <w:sz w:val="18"/>
                <w:szCs w:val="18"/>
                <w:color w:val="auto"/>
                <w:w w:val="99"/>
              </w:rPr>
              <w:t>Make-whole call at T+50 bps. Par call on or after December 15, 2027 (six months prior to the</w:t>
            </w:r>
          </w:p>
        </w:tc>
      </w:tr>
      <w:tr>
        <w:trPr>
          <w:trHeight w:val="230"/>
        </w:trPr>
        <w:tc>
          <w:tcPr>
            <w:tcW w:w="3180" w:type="dxa"/>
            <w:vAlign w:val="bottom"/>
          </w:tcPr>
          <w:p>
            <w:pPr>
              <w:spacing w:after="0"/>
              <w:rPr>
                <w:sz w:val="20"/>
                <w:szCs w:val="20"/>
                <w:color w:val="auto"/>
              </w:rPr>
            </w:pPr>
          </w:p>
        </w:tc>
        <w:tc>
          <w:tcPr>
            <w:tcW w:w="8100" w:type="dxa"/>
            <w:vAlign w:val="bottom"/>
          </w:tcPr>
          <w:p>
            <w:pPr>
              <w:ind w:left="740"/>
              <w:spacing w:after="0"/>
              <w:rPr>
                <w:sz w:val="20"/>
                <w:szCs w:val="20"/>
                <w:color w:val="auto"/>
              </w:rPr>
            </w:pPr>
            <w:r>
              <w:rPr>
                <w:rFonts w:ascii="Arial" w:cs="Arial" w:eastAsia="Arial" w:hAnsi="Arial"/>
                <w:sz w:val="18"/>
                <w:szCs w:val="18"/>
                <w:color w:val="auto"/>
              </w:rPr>
              <w:t>maturity date of the notes).</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Underwriting Discount</w:t>
            </w:r>
          </w:p>
        </w:tc>
        <w:tc>
          <w:tcPr>
            <w:tcW w:w="8100" w:type="dxa"/>
            <w:vAlign w:val="bottom"/>
          </w:tcPr>
          <w:p>
            <w:pPr>
              <w:ind w:left="740"/>
              <w:spacing w:after="0"/>
              <w:rPr>
                <w:sz w:val="20"/>
                <w:szCs w:val="20"/>
                <w:color w:val="auto"/>
              </w:rPr>
            </w:pPr>
            <w:r>
              <w:rPr>
                <w:rFonts w:ascii="Arial" w:cs="Arial" w:eastAsia="Arial" w:hAnsi="Arial"/>
                <w:sz w:val="18"/>
                <w:szCs w:val="18"/>
                <w:color w:val="auto"/>
              </w:rPr>
              <w:t>1.00%</w:t>
            </w:r>
          </w:p>
        </w:tc>
      </w:tr>
      <w:tr>
        <w:trPr>
          <w:trHeight w:val="432"/>
        </w:trPr>
        <w:tc>
          <w:tcPr>
            <w:tcW w:w="3180" w:type="dxa"/>
            <w:vAlign w:val="bottom"/>
          </w:tcPr>
          <w:p>
            <w:pPr>
              <w:spacing w:after="0"/>
              <w:rPr>
                <w:sz w:val="20"/>
                <w:szCs w:val="20"/>
                <w:color w:val="auto"/>
              </w:rPr>
            </w:pPr>
            <w:r>
              <w:rPr>
                <w:rFonts w:ascii="Arial" w:cs="Arial" w:eastAsia="Arial" w:hAnsi="Arial"/>
                <w:sz w:val="18"/>
                <w:szCs w:val="18"/>
                <w:b w:val="1"/>
                <w:bCs w:val="1"/>
                <w:color w:val="auto"/>
              </w:rPr>
              <w:t>Trade Date</w:t>
            </w:r>
          </w:p>
        </w:tc>
        <w:tc>
          <w:tcPr>
            <w:tcW w:w="8100" w:type="dxa"/>
            <w:vAlign w:val="bottom"/>
          </w:tcPr>
          <w:p>
            <w:pPr>
              <w:ind w:left="740"/>
              <w:spacing w:after="0"/>
              <w:rPr>
                <w:sz w:val="20"/>
                <w:szCs w:val="20"/>
                <w:color w:val="auto"/>
              </w:rPr>
            </w:pPr>
            <w:r>
              <w:rPr>
                <w:rFonts w:ascii="Arial" w:cs="Arial" w:eastAsia="Arial" w:hAnsi="Arial"/>
                <w:sz w:val="18"/>
                <w:szCs w:val="18"/>
                <w:color w:val="auto"/>
              </w:rPr>
              <w:t>June 3, 2020</w:t>
            </w:r>
          </w:p>
        </w:tc>
      </w:tr>
      <w:tr>
        <w:trPr>
          <w:trHeight w:val="348"/>
        </w:trPr>
        <w:tc>
          <w:tcPr>
            <w:tcW w:w="3180" w:type="dxa"/>
            <w:vAlign w:val="bottom"/>
            <w:tcBorders>
              <w:bottom w:val="single" w:sz="8" w:color="808080"/>
            </w:tcBorders>
          </w:tcPr>
          <w:p>
            <w:pPr>
              <w:spacing w:after="0"/>
              <w:rPr>
                <w:sz w:val="24"/>
                <w:szCs w:val="24"/>
                <w:color w:val="auto"/>
              </w:rPr>
            </w:pPr>
          </w:p>
        </w:tc>
        <w:tc>
          <w:tcPr>
            <w:tcW w:w="8100" w:type="dxa"/>
            <w:vAlign w:val="bottom"/>
            <w:tcBorders>
              <w:bottom w:val="single" w:sz="8" w:color="808080"/>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7143750</wp:posOffset>
            </wp:positionH>
            <wp:positionV relativeFrom="paragraph">
              <wp:posOffset>-29210</wp:posOffset>
            </wp:positionV>
            <wp:extent cx="12700" cy="2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280"/>
          </w:cols>
          <w:pgMar w:left="320" w:top="449" w:right="2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3160" w:type="dxa"/>
            <w:vAlign w:val="bottom"/>
          </w:tcPr>
          <w:p>
            <w:pPr>
              <w:spacing w:after="0"/>
              <w:rPr>
                <w:sz w:val="20"/>
                <w:szCs w:val="20"/>
                <w:color w:val="auto"/>
              </w:rPr>
            </w:pPr>
            <w:r>
              <w:rPr>
                <w:rFonts w:ascii="Arial" w:cs="Arial" w:eastAsia="Arial" w:hAnsi="Arial"/>
                <w:sz w:val="18"/>
                <w:szCs w:val="18"/>
                <w:b w:val="1"/>
                <w:bCs w:val="1"/>
                <w:color w:val="auto"/>
              </w:rPr>
              <w:t>Settlement Date</w:t>
            </w:r>
          </w:p>
        </w:tc>
        <w:tc>
          <w:tcPr>
            <w:tcW w:w="3000" w:type="dxa"/>
            <w:vAlign w:val="bottom"/>
          </w:tcPr>
          <w:p>
            <w:pPr>
              <w:ind w:left="800"/>
              <w:spacing w:after="0"/>
              <w:rPr>
                <w:sz w:val="20"/>
                <w:szCs w:val="20"/>
                <w:color w:val="auto"/>
              </w:rPr>
            </w:pPr>
            <w:r>
              <w:rPr>
                <w:rFonts w:ascii="Arial" w:cs="Arial" w:eastAsia="Arial" w:hAnsi="Arial"/>
                <w:sz w:val="18"/>
                <w:szCs w:val="18"/>
                <w:color w:val="auto"/>
              </w:rPr>
              <w:t>June 10, 2020 (T+5)</w:t>
            </w:r>
          </w:p>
        </w:tc>
        <w:tc>
          <w:tcPr>
            <w:tcW w:w="5040" w:type="dxa"/>
            <w:vAlign w:val="bottom"/>
          </w:tcPr>
          <w:p>
            <w:pPr>
              <w:spacing w:after="0"/>
              <w:rPr>
                <w:sz w:val="20"/>
                <w:szCs w:val="20"/>
                <w:color w:val="auto"/>
              </w:rPr>
            </w:pPr>
          </w:p>
        </w:tc>
      </w:tr>
      <w:tr>
        <w:trPr>
          <w:trHeight w:val="418"/>
        </w:trPr>
        <w:tc>
          <w:tcPr>
            <w:tcW w:w="3160" w:type="dxa"/>
            <w:vAlign w:val="bottom"/>
          </w:tcPr>
          <w:p>
            <w:pPr>
              <w:spacing w:after="0"/>
              <w:rPr>
                <w:sz w:val="24"/>
                <w:szCs w:val="24"/>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94"/>
              </w:rPr>
              <w:t>We expect that delivery of the notes will be made against payment therefor on or about June 10,</w:t>
            </w: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92"/>
              </w:rPr>
              <w:t>2020, which is the fifth business day following the date of pricing of the notes (this settlement cycle</w:t>
            </w: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96"/>
              </w:rPr>
              <w:t>being referred to as “T+5”). Under Rule 15c6-1 of the Securities and Exchange Act of 1934, as</w:t>
            </w: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88"/>
              </w:rPr>
              <w:t>amended, trades in the secondary market generally are required to settle in two business days, unless</w:t>
            </w: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91"/>
              </w:rPr>
              <w:t>the parties to any such trade expressly agree otherwise. Accordingly, purchasers who wish to trade</w:t>
            </w: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90"/>
              </w:rPr>
              <w:t>their notes on any date prior to the second business day before delivery will be required, by virtue of</w:t>
            </w: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91"/>
              </w:rPr>
              <w:t>the fact that the notes initially will settle in T+5, to specify an alternative settlement cycle at the time</w:t>
            </w: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90"/>
              </w:rPr>
              <w:t>of any such trade to prevent a failed settlement. Purchasers of the notes who wish to trade the notes</w:t>
            </w:r>
          </w:p>
        </w:tc>
      </w:tr>
      <w:tr>
        <w:trPr>
          <w:trHeight w:val="230"/>
        </w:trPr>
        <w:tc>
          <w:tcPr>
            <w:tcW w:w="3160" w:type="dxa"/>
            <w:vAlign w:val="bottom"/>
          </w:tcPr>
          <w:p>
            <w:pPr>
              <w:spacing w:after="0"/>
              <w:rPr>
                <w:sz w:val="20"/>
                <w:szCs w:val="20"/>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w w:val="95"/>
              </w:rPr>
              <w:t>on any date prior to the second business day before delivery should consult their own advisors.</w:t>
            </w:r>
          </w:p>
        </w:tc>
      </w:tr>
      <w:tr>
        <w:trPr>
          <w:trHeight w:val="432"/>
        </w:trPr>
        <w:tc>
          <w:tcPr>
            <w:tcW w:w="3160" w:type="dxa"/>
            <w:vAlign w:val="bottom"/>
          </w:tcPr>
          <w:p>
            <w:pPr>
              <w:spacing w:after="0"/>
              <w:rPr>
                <w:sz w:val="20"/>
                <w:szCs w:val="20"/>
                <w:color w:val="auto"/>
              </w:rPr>
            </w:pPr>
            <w:r>
              <w:rPr>
                <w:rFonts w:ascii="Arial" w:cs="Arial" w:eastAsia="Arial" w:hAnsi="Arial"/>
                <w:sz w:val="18"/>
                <w:szCs w:val="18"/>
                <w:b w:val="1"/>
                <w:bCs w:val="1"/>
                <w:color w:val="auto"/>
              </w:rPr>
              <w:t>Expected Ratings</w:t>
            </w:r>
          </w:p>
        </w:tc>
        <w:tc>
          <w:tcPr>
            <w:tcW w:w="3000" w:type="dxa"/>
            <w:vAlign w:val="bottom"/>
          </w:tcPr>
          <w:p>
            <w:pPr>
              <w:ind w:left="800"/>
              <w:spacing w:after="0"/>
              <w:rPr>
                <w:sz w:val="20"/>
                <w:szCs w:val="20"/>
                <w:color w:val="auto"/>
              </w:rPr>
            </w:pPr>
            <w:r>
              <w:rPr>
                <w:rFonts w:ascii="Arial" w:cs="Arial" w:eastAsia="Arial" w:hAnsi="Arial"/>
                <w:sz w:val="18"/>
                <w:szCs w:val="18"/>
                <w:color w:val="auto"/>
              </w:rPr>
              <w:t>Ba3/BB-</w:t>
            </w:r>
          </w:p>
        </w:tc>
        <w:tc>
          <w:tcPr>
            <w:tcW w:w="5040" w:type="dxa"/>
            <w:vAlign w:val="bottom"/>
          </w:tcPr>
          <w:p>
            <w:pPr>
              <w:spacing w:after="0"/>
              <w:rPr>
                <w:sz w:val="24"/>
                <w:szCs w:val="24"/>
                <w:color w:val="auto"/>
              </w:rPr>
            </w:pPr>
          </w:p>
        </w:tc>
      </w:tr>
      <w:tr>
        <w:trPr>
          <w:trHeight w:val="432"/>
        </w:trPr>
        <w:tc>
          <w:tcPr>
            <w:tcW w:w="3160" w:type="dxa"/>
            <w:vAlign w:val="bottom"/>
          </w:tcPr>
          <w:p>
            <w:pPr>
              <w:spacing w:after="0"/>
              <w:rPr>
                <w:sz w:val="20"/>
                <w:szCs w:val="20"/>
                <w:color w:val="auto"/>
              </w:rPr>
            </w:pPr>
            <w:r>
              <w:rPr>
                <w:rFonts w:ascii="Arial" w:cs="Arial" w:eastAsia="Arial" w:hAnsi="Arial"/>
                <w:sz w:val="18"/>
                <w:szCs w:val="18"/>
                <w:b w:val="1"/>
                <w:bCs w:val="1"/>
                <w:color w:val="auto"/>
              </w:rPr>
              <w:t>CUSIP/ISIN Numbers</w:t>
            </w:r>
          </w:p>
        </w:tc>
        <w:tc>
          <w:tcPr>
            <w:tcW w:w="3000" w:type="dxa"/>
            <w:vAlign w:val="bottom"/>
          </w:tcPr>
          <w:p>
            <w:pPr>
              <w:ind w:left="800"/>
              <w:spacing w:after="0"/>
              <w:rPr>
                <w:sz w:val="20"/>
                <w:szCs w:val="20"/>
                <w:color w:val="auto"/>
              </w:rPr>
            </w:pPr>
            <w:r>
              <w:rPr>
                <w:rFonts w:ascii="Arial" w:cs="Arial" w:eastAsia="Arial" w:hAnsi="Arial"/>
                <w:sz w:val="18"/>
                <w:szCs w:val="18"/>
                <w:color w:val="auto"/>
              </w:rPr>
              <w:t>CUSIP: 87265H AG4</w:t>
            </w:r>
          </w:p>
        </w:tc>
        <w:tc>
          <w:tcPr>
            <w:tcW w:w="5040" w:type="dxa"/>
            <w:vAlign w:val="bottom"/>
          </w:tcPr>
          <w:p>
            <w:pPr>
              <w:ind w:left="40"/>
              <w:spacing w:after="0"/>
              <w:rPr>
                <w:sz w:val="20"/>
                <w:szCs w:val="20"/>
                <w:color w:val="auto"/>
              </w:rPr>
            </w:pPr>
            <w:r>
              <w:rPr>
                <w:rFonts w:ascii="Arial" w:cs="Arial" w:eastAsia="Arial" w:hAnsi="Arial"/>
                <w:sz w:val="18"/>
                <w:szCs w:val="18"/>
                <w:color w:val="auto"/>
              </w:rPr>
              <w:t>ISIN: US87265HAG48</w:t>
            </w:r>
          </w:p>
        </w:tc>
      </w:tr>
      <w:tr>
        <w:trPr>
          <w:trHeight w:val="418"/>
        </w:trPr>
        <w:tc>
          <w:tcPr>
            <w:tcW w:w="3160" w:type="dxa"/>
            <w:vAlign w:val="bottom"/>
          </w:tcPr>
          <w:p>
            <w:pPr>
              <w:spacing w:after="0"/>
              <w:rPr>
                <w:sz w:val="20"/>
                <w:szCs w:val="20"/>
                <w:color w:val="auto"/>
              </w:rPr>
            </w:pPr>
            <w:r>
              <w:rPr>
                <w:rFonts w:ascii="Arial" w:cs="Arial" w:eastAsia="Arial" w:hAnsi="Arial"/>
                <w:sz w:val="18"/>
                <w:szCs w:val="18"/>
                <w:b w:val="1"/>
                <w:bCs w:val="1"/>
                <w:color w:val="auto"/>
              </w:rPr>
              <w:t>Joint Book-Running Managers</w:t>
            </w:r>
          </w:p>
        </w:tc>
        <w:tc>
          <w:tcPr>
            <w:tcW w:w="3000" w:type="dxa"/>
            <w:vAlign w:val="bottom"/>
          </w:tcPr>
          <w:p>
            <w:pPr>
              <w:ind w:left="800"/>
              <w:spacing w:after="0"/>
              <w:rPr>
                <w:sz w:val="20"/>
                <w:szCs w:val="20"/>
                <w:color w:val="auto"/>
              </w:rPr>
            </w:pPr>
            <w:r>
              <w:rPr>
                <w:rFonts w:ascii="Arial" w:cs="Arial" w:eastAsia="Arial" w:hAnsi="Arial"/>
                <w:sz w:val="18"/>
                <w:szCs w:val="18"/>
                <w:color w:val="auto"/>
                <w:w w:val="93"/>
              </w:rPr>
              <w:t>Citigroup Global Markets Inc.</w:t>
            </w:r>
          </w:p>
        </w:tc>
        <w:tc>
          <w:tcPr>
            <w:tcW w:w="5040" w:type="dxa"/>
            <w:vAlign w:val="bottom"/>
          </w:tcPr>
          <w:p>
            <w:pPr>
              <w:spacing w:after="0"/>
              <w:rPr>
                <w:sz w:val="24"/>
                <w:szCs w:val="24"/>
                <w:color w:val="auto"/>
              </w:rPr>
            </w:pPr>
          </w:p>
        </w:tc>
      </w:tr>
      <w:tr>
        <w:trPr>
          <w:trHeight w:val="216"/>
        </w:trPr>
        <w:tc>
          <w:tcPr>
            <w:tcW w:w="3160" w:type="dxa"/>
            <w:vAlign w:val="bottom"/>
          </w:tcPr>
          <w:p>
            <w:pPr>
              <w:spacing w:after="0"/>
              <w:rPr>
                <w:sz w:val="18"/>
                <w:szCs w:val="18"/>
                <w:color w:val="auto"/>
              </w:rPr>
            </w:pPr>
          </w:p>
        </w:tc>
        <w:tc>
          <w:tcPr>
            <w:tcW w:w="3000" w:type="dxa"/>
            <w:vAlign w:val="bottom"/>
          </w:tcPr>
          <w:p>
            <w:pPr>
              <w:ind w:left="800"/>
              <w:spacing w:after="0"/>
              <w:rPr>
                <w:sz w:val="20"/>
                <w:szCs w:val="20"/>
                <w:color w:val="auto"/>
              </w:rPr>
            </w:pPr>
            <w:r>
              <w:rPr>
                <w:rFonts w:ascii="Arial" w:cs="Arial" w:eastAsia="Arial" w:hAnsi="Arial"/>
                <w:sz w:val="18"/>
                <w:szCs w:val="18"/>
                <w:color w:val="auto"/>
                <w:w w:val="99"/>
              </w:rPr>
              <w:t>J.P. Morgan Securities LLC</w:t>
            </w:r>
          </w:p>
        </w:tc>
        <w:tc>
          <w:tcPr>
            <w:tcW w:w="5040" w:type="dxa"/>
            <w:vAlign w:val="bottom"/>
          </w:tcPr>
          <w:p>
            <w:pPr>
              <w:spacing w:after="0"/>
              <w:rPr>
                <w:sz w:val="18"/>
                <w:szCs w:val="18"/>
                <w:color w:val="auto"/>
              </w:rPr>
            </w:pPr>
          </w:p>
        </w:tc>
      </w:tr>
      <w:tr>
        <w:trPr>
          <w:trHeight w:val="216"/>
        </w:trPr>
        <w:tc>
          <w:tcPr>
            <w:tcW w:w="3160" w:type="dxa"/>
            <w:vAlign w:val="bottom"/>
          </w:tcPr>
          <w:p>
            <w:pPr>
              <w:spacing w:after="0"/>
              <w:rPr>
                <w:sz w:val="18"/>
                <w:szCs w:val="18"/>
                <w:color w:val="auto"/>
              </w:rPr>
            </w:pPr>
          </w:p>
        </w:tc>
        <w:tc>
          <w:tcPr>
            <w:tcW w:w="3000" w:type="dxa"/>
            <w:vAlign w:val="bottom"/>
          </w:tcPr>
          <w:p>
            <w:pPr>
              <w:ind w:left="800"/>
              <w:spacing w:after="0"/>
              <w:rPr>
                <w:sz w:val="20"/>
                <w:szCs w:val="20"/>
                <w:color w:val="auto"/>
              </w:rPr>
            </w:pPr>
            <w:r>
              <w:rPr>
                <w:rFonts w:ascii="Arial" w:cs="Arial" w:eastAsia="Arial" w:hAnsi="Arial"/>
                <w:sz w:val="18"/>
                <w:szCs w:val="18"/>
                <w:color w:val="auto"/>
                <w:w w:val="97"/>
              </w:rPr>
              <w:t>Wells Fargo Securities, LLC</w:t>
            </w:r>
          </w:p>
        </w:tc>
        <w:tc>
          <w:tcPr>
            <w:tcW w:w="5040" w:type="dxa"/>
            <w:vAlign w:val="bottom"/>
          </w:tcPr>
          <w:p>
            <w:pPr>
              <w:spacing w:after="0"/>
              <w:rPr>
                <w:sz w:val="18"/>
                <w:szCs w:val="18"/>
                <w:color w:val="auto"/>
              </w:rPr>
            </w:pP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rPr>
              <w:t>Credit Suisse Securities (USA) LLC</w:t>
            </w:r>
          </w:p>
        </w:tc>
      </w:tr>
      <w:tr>
        <w:trPr>
          <w:trHeight w:val="230"/>
        </w:trPr>
        <w:tc>
          <w:tcPr>
            <w:tcW w:w="3160" w:type="dxa"/>
            <w:vAlign w:val="bottom"/>
          </w:tcPr>
          <w:p>
            <w:pPr>
              <w:spacing w:after="0"/>
              <w:rPr>
                <w:sz w:val="20"/>
                <w:szCs w:val="20"/>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rPr>
              <w:t>U.S. Bancorp Investments, Inc.</w:t>
            </w:r>
          </w:p>
        </w:tc>
      </w:tr>
      <w:tr>
        <w:trPr>
          <w:trHeight w:val="418"/>
        </w:trPr>
        <w:tc>
          <w:tcPr>
            <w:tcW w:w="3160" w:type="dxa"/>
            <w:vAlign w:val="bottom"/>
          </w:tcPr>
          <w:p>
            <w:pPr>
              <w:spacing w:after="0"/>
              <w:rPr>
                <w:sz w:val="20"/>
                <w:szCs w:val="20"/>
                <w:color w:val="auto"/>
              </w:rPr>
            </w:pPr>
            <w:r>
              <w:rPr>
                <w:rFonts w:ascii="Arial" w:cs="Arial" w:eastAsia="Arial" w:hAnsi="Arial"/>
                <w:sz w:val="18"/>
                <w:szCs w:val="18"/>
                <w:b w:val="1"/>
                <w:bCs w:val="1"/>
                <w:color w:val="auto"/>
              </w:rPr>
              <w:t>Co-Managers</w:t>
            </w:r>
          </w:p>
        </w:tc>
        <w:tc>
          <w:tcPr>
            <w:tcW w:w="3000" w:type="dxa"/>
            <w:vAlign w:val="bottom"/>
          </w:tcPr>
          <w:p>
            <w:pPr>
              <w:ind w:left="800"/>
              <w:spacing w:after="0"/>
              <w:rPr>
                <w:sz w:val="20"/>
                <w:szCs w:val="20"/>
                <w:color w:val="auto"/>
              </w:rPr>
            </w:pPr>
            <w:r>
              <w:rPr>
                <w:rFonts w:ascii="Arial" w:cs="Arial" w:eastAsia="Arial" w:hAnsi="Arial"/>
                <w:sz w:val="18"/>
                <w:szCs w:val="18"/>
                <w:color w:val="auto"/>
              </w:rPr>
              <w:t>Fifth Third Securities, Inc.</w:t>
            </w:r>
          </w:p>
        </w:tc>
        <w:tc>
          <w:tcPr>
            <w:tcW w:w="5040" w:type="dxa"/>
            <w:vAlign w:val="bottom"/>
          </w:tcPr>
          <w:p>
            <w:pPr>
              <w:spacing w:after="0"/>
              <w:rPr>
                <w:sz w:val="24"/>
                <w:szCs w:val="24"/>
                <w:color w:val="auto"/>
              </w:rPr>
            </w:pPr>
          </w:p>
        </w:tc>
      </w:tr>
      <w:tr>
        <w:trPr>
          <w:trHeight w:val="216"/>
        </w:trPr>
        <w:tc>
          <w:tcPr>
            <w:tcW w:w="3160" w:type="dxa"/>
            <w:vAlign w:val="bottom"/>
          </w:tcPr>
          <w:p>
            <w:pPr>
              <w:spacing w:after="0"/>
              <w:rPr>
                <w:sz w:val="18"/>
                <w:szCs w:val="18"/>
                <w:color w:val="auto"/>
              </w:rPr>
            </w:pPr>
          </w:p>
        </w:tc>
        <w:tc>
          <w:tcPr>
            <w:tcW w:w="8040" w:type="dxa"/>
            <w:vAlign w:val="bottom"/>
            <w:gridSpan w:val="2"/>
          </w:tcPr>
          <w:p>
            <w:pPr>
              <w:ind w:left="800"/>
              <w:spacing w:after="0"/>
              <w:rPr>
                <w:sz w:val="20"/>
                <w:szCs w:val="20"/>
                <w:color w:val="auto"/>
              </w:rPr>
            </w:pPr>
            <w:r>
              <w:rPr>
                <w:rFonts w:ascii="Arial" w:cs="Arial" w:eastAsia="Arial" w:hAnsi="Arial"/>
                <w:sz w:val="18"/>
                <w:szCs w:val="18"/>
                <w:color w:val="auto"/>
              </w:rPr>
              <w:t>SunTrust Robinson Humphrey, Inc.</w:t>
            </w:r>
          </w:p>
        </w:tc>
      </w:tr>
      <w:tr>
        <w:trPr>
          <w:trHeight w:val="216"/>
        </w:trPr>
        <w:tc>
          <w:tcPr>
            <w:tcW w:w="3160" w:type="dxa"/>
            <w:vAlign w:val="bottom"/>
          </w:tcPr>
          <w:p>
            <w:pPr>
              <w:spacing w:after="0"/>
              <w:rPr>
                <w:sz w:val="18"/>
                <w:szCs w:val="18"/>
                <w:color w:val="auto"/>
              </w:rPr>
            </w:pPr>
          </w:p>
        </w:tc>
        <w:tc>
          <w:tcPr>
            <w:tcW w:w="3000" w:type="dxa"/>
            <w:vAlign w:val="bottom"/>
          </w:tcPr>
          <w:p>
            <w:pPr>
              <w:ind w:left="800"/>
              <w:spacing w:after="0"/>
              <w:rPr>
                <w:sz w:val="20"/>
                <w:szCs w:val="20"/>
                <w:color w:val="auto"/>
              </w:rPr>
            </w:pPr>
            <w:r>
              <w:rPr>
                <w:rFonts w:ascii="Arial" w:cs="Arial" w:eastAsia="Arial" w:hAnsi="Arial"/>
                <w:sz w:val="18"/>
                <w:szCs w:val="18"/>
                <w:color w:val="auto"/>
                <w:w w:val="99"/>
              </w:rPr>
              <w:t>BMO Capital Markets Corp.</w:t>
            </w:r>
          </w:p>
        </w:tc>
        <w:tc>
          <w:tcPr>
            <w:tcW w:w="5040" w:type="dxa"/>
            <w:vAlign w:val="bottom"/>
          </w:tcPr>
          <w:p>
            <w:pPr>
              <w:spacing w:after="0"/>
              <w:rPr>
                <w:sz w:val="18"/>
                <w:szCs w:val="18"/>
                <w:color w:val="auto"/>
              </w:rPr>
            </w:pPr>
          </w:p>
        </w:tc>
      </w:tr>
      <w:tr>
        <w:trPr>
          <w:trHeight w:val="216"/>
        </w:trPr>
        <w:tc>
          <w:tcPr>
            <w:tcW w:w="3160" w:type="dxa"/>
            <w:vAlign w:val="bottom"/>
          </w:tcPr>
          <w:p>
            <w:pPr>
              <w:spacing w:after="0"/>
              <w:rPr>
                <w:sz w:val="18"/>
                <w:szCs w:val="18"/>
                <w:color w:val="auto"/>
              </w:rPr>
            </w:pPr>
          </w:p>
        </w:tc>
        <w:tc>
          <w:tcPr>
            <w:tcW w:w="3000" w:type="dxa"/>
            <w:vAlign w:val="bottom"/>
          </w:tcPr>
          <w:p>
            <w:pPr>
              <w:ind w:left="800"/>
              <w:spacing w:after="0"/>
              <w:rPr>
                <w:sz w:val="20"/>
                <w:szCs w:val="20"/>
                <w:color w:val="auto"/>
              </w:rPr>
            </w:pPr>
            <w:r>
              <w:rPr>
                <w:rFonts w:ascii="Arial" w:cs="Arial" w:eastAsia="Arial" w:hAnsi="Arial"/>
                <w:sz w:val="18"/>
                <w:szCs w:val="18"/>
                <w:color w:val="auto"/>
              </w:rPr>
              <w:t>Regions Securities LLC</w:t>
            </w:r>
          </w:p>
        </w:tc>
        <w:tc>
          <w:tcPr>
            <w:tcW w:w="5040" w:type="dxa"/>
            <w:vAlign w:val="bottom"/>
          </w:tcPr>
          <w:p>
            <w:pPr>
              <w:spacing w:after="0"/>
              <w:rPr>
                <w:sz w:val="18"/>
                <w:szCs w:val="18"/>
                <w:color w:val="auto"/>
              </w:rPr>
            </w:pPr>
          </w:p>
        </w:tc>
      </w:tr>
      <w:tr>
        <w:trPr>
          <w:trHeight w:val="230"/>
        </w:trPr>
        <w:tc>
          <w:tcPr>
            <w:tcW w:w="3160" w:type="dxa"/>
            <w:vAlign w:val="bottom"/>
          </w:tcPr>
          <w:p>
            <w:pPr>
              <w:spacing w:after="0"/>
              <w:rPr>
                <w:sz w:val="20"/>
                <w:szCs w:val="20"/>
                <w:color w:val="auto"/>
              </w:rPr>
            </w:pPr>
          </w:p>
        </w:tc>
        <w:tc>
          <w:tcPr>
            <w:tcW w:w="3000" w:type="dxa"/>
            <w:vAlign w:val="bottom"/>
          </w:tcPr>
          <w:p>
            <w:pPr>
              <w:ind w:left="800"/>
              <w:spacing w:after="0"/>
              <w:rPr>
                <w:sz w:val="20"/>
                <w:szCs w:val="20"/>
                <w:color w:val="auto"/>
              </w:rPr>
            </w:pPr>
            <w:r>
              <w:rPr>
                <w:rFonts w:ascii="Arial" w:cs="Arial" w:eastAsia="Arial" w:hAnsi="Arial"/>
                <w:sz w:val="18"/>
                <w:szCs w:val="18"/>
                <w:color w:val="auto"/>
              </w:rPr>
              <w:t>Zelman Partners LLC</w:t>
            </w:r>
          </w:p>
        </w:tc>
        <w:tc>
          <w:tcPr>
            <w:tcW w:w="5040" w:type="dxa"/>
            <w:vAlign w:val="bottom"/>
          </w:tcPr>
          <w:p>
            <w:pPr>
              <w:spacing w:after="0"/>
              <w:rPr>
                <w:sz w:val="20"/>
                <w:szCs w:val="20"/>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A securities rating is not a recommendation to buy, sell or hold securities and may be subject to revision or withdrawal at any time.</w:t>
      </w:r>
    </w:p>
    <w:p>
      <w:pPr>
        <w:spacing w:after="0" w:line="237" w:lineRule="exact"/>
        <w:rPr>
          <w:sz w:val="20"/>
          <w:szCs w:val="20"/>
          <w:color w:val="auto"/>
        </w:rPr>
      </w:pPr>
    </w:p>
    <w:p>
      <w:pPr>
        <w:ind w:right="100"/>
        <w:spacing w:after="0" w:line="286" w:lineRule="auto"/>
        <w:rPr>
          <w:sz w:val="20"/>
          <w:szCs w:val="20"/>
          <w:color w:val="auto"/>
        </w:rPr>
      </w:pPr>
      <w:r>
        <w:rPr>
          <w:rFonts w:ascii="Arial" w:cs="Arial" w:eastAsia="Arial" w:hAnsi="Arial"/>
          <w:sz w:val="16"/>
          <w:szCs w:val="16"/>
          <w:b w:val="1"/>
          <w:bCs w:val="1"/>
          <w:color w:val="auto"/>
        </w:rPr>
        <w:t xml:space="preserve">The issuer has filed a registration statement (including a prospectus and a related prospectus supplement) with the United States Securities and Exchange Commission (“SEC”) for the offering to which this communication relates. Before you invest, you should read the prospectus in that registration statement, the prospectus supplement and other documents TRI Pointe Group, Inc. has filed with the SEC for more complete information about the issuer and this offering. You may get these documents for free by visiting EDGAR on the SEC website at </w:t>
      </w:r>
      <w:r>
        <w:rPr>
          <w:rFonts w:ascii="Arial" w:cs="Arial" w:eastAsia="Arial" w:hAnsi="Arial"/>
          <w:sz w:val="16"/>
          <w:szCs w:val="16"/>
          <w:b w:val="1"/>
          <w:bCs w:val="1"/>
          <w:i w:val="1"/>
          <w:iCs w:val="1"/>
          <w:color w:val="auto"/>
        </w:rPr>
        <w:t>www.sec.gov</w:t>
      </w:r>
      <w:r>
        <w:rPr>
          <w:rFonts w:ascii="Arial" w:cs="Arial" w:eastAsia="Arial" w:hAnsi="Arial"/>
          <w:sz w:val="16"/>
          <w:szCs w:val="16"/>
          <w:b w:val="1"/>
          <w:bCs w:val="1"/>
          <w:color w:val="auto"/>
        </w:rPr>
        <w:t>. Alternatively, copies of the prospectus supplement and accompanying prospectus may be obtained by calling Citigroup Global Markets Inc. at 1-</w:t>
      </w:r>
    </w:p>
    <w:p>
      <w:pPr>
        <w:spacing w:after="0" w:line="2" w:lineRule="exact"/>
        <w:rPr>
          <w:sz w:val="20"/>
          <w:szCs w:val="20"/>
          <w:color w:val="auto"/>
        </w:rPr>
      </w:pPr>
    </w:p>
    <w:p>
      <w:pPr>
        <w:ind w:right="780" w:firstLine="8"/>
        <w:spacing w:after="0" w:line="260" w:lineRule="auto"/>
        <w:tabs>
          <w:tab w:leader="none" w:pos="375"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803-9204 or at the following address: Citigroup Global Markets Inc., c/o Broadridge Financial Solutions, 1155 Long Island Avenue, Edgewood, NY 11717.</w:t>
      </w:r>
    </w:p>
    <w:p>
      <w:pPr>
        <w:spacing w:after="0" w:line="181" w:lineRule="exact"/>
        <w:rPr>
          <w:sz w:val="20"/>
          <w:szCs w:val="20"/>
          <w:color w:val="auto"/>
        </w:rPr>
      </w:pPr>
    </w:p>
    <w:p>
      <w:pPr>
        <w:jc w:val="both"/>
        <w:ind w:right="100"/>
        <w:spacing w:after="0" w:line="266" w:lineRule="auto"/>
        <w:rPr>
          <w:sz w:val="20"/>
          <w:szCs w:val="20"/>
          <w:color w:val="auto"/>
        </w:rPr>
      </w:pPr>
      <w:r>
        <w:rPr>
          <w:rFonts w:ascii="Arial" w:cs="Arial" w:eastAsia="Arial" w:hAnsi="Arial"/>
          <w:sz w:val="18"/>
          <w:szCs w:val="18"/>
          <w:b w:val="1"/>
          <w:bCs w:val="1"/>
          <w:color w:val="auto"/>
        </w:rPr>
        <w:t>ANY DISCLAIMERS OR OTHER NOTICES THAT MAY APPEAR BELOW ARE NOT APPLICABLE TO THIS COMMUNICATION AND SHOULD BE DISREGARDED. SUCH DISCLAIMERS OR OTHER NOTICES WERE AUTOMATICALLY GENERATED AS A RESULT OF THIS COMMUNICATION BEING SENT VIA BLOOMBERG OR ANOTHER EMAIL SYSTEM.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189865</wp:posOffset>
            </wp:positionV>
            <wp:extent cx="7153275"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sectPr>
      <w:pgSz w:w="11900" w:h="16838" w:orient="portrait"/>
      <w:cols w:equalWidth="0" w:num="1">
        <w:col w:w="11200"/>
      </w:cols>
      <w:pgMar w:left="320" w:top="337"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866"/>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2020-06-03T15:17:10Z</dcterms:created>
  <dcterms:modified xsi:type="dcterms:W3CDTF">2020-06-03T15:17:10Z</dcterms:modified>
</cp:coreProperties>
</file>