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2</w:t>
      </w:r>
    </w:p>
    <w:p>
      <w:pPr>
        <w:spacing w:after="0" w:line="238" w:lineRule="auto"/>
        <w:rPr>
          <w:sz w:val="20"/>
          <w:szCs w:val="20"/>
          <w:color w:val="auto"/>
        </w:rPr>
      </w:pPr>
      <w:r>
        <w:rPr>
          <w:rFonts w:ascii="Courier New" w:cs="Courier New" w:eastAsia="Courier New" w:hAnsi="Courier New"/>
          <w:sz w:val="18"/>
          <w:szCs w:val="18"/>
          <w:color w:val="auto"/>
        </w:rPr>
        <w:t>TRI POINTE GROUP INC</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#87265H109</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spacing w:after="0" w:line="4"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#87265H109</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3" w:lineRule="exact"/>
        <w:rPr>
          <w:sz w:val="24"/>
          <w:szCs w:val="24"/>
          <w:color w:val="auto"/>
        </w:rPr>
      </w:pPr>
    </w:p>
    <w:p>
      <w:pPr>
        <w:jc w:val="both"/>
        <w:ind w:right="8519" w:firstLine="851"/>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66,618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5,628,804</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5,628,804</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4.042%</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#87265H109</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29"/>
        <w:spacing w:after="0" w:line="237"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8" w:lineRule="auto"/>
        <w:rPr>
          <w:sz w:val="20"/>
          <w:szCs w:val="20"/>
          <w:color w:val="auto"/>
        </w:rPr>
      </w:pPr>
      <w:r>
        <w:rPr>
          <w:rFonts w:ascii="Courier New" w:cs="Courier New" w:eastAsia="Courier New" w:hAnsi="Courier New"/>
          <w:sz w:val="18"/>
          <w:szCs w:val="18"/>
          <w:color w:val="auto"/>
        </w:rPr>
        <w:t>Item 4: United States of America</w:t>
      </w:r>
    </w:p>
    <w:p>
      <w:pPr>
        <w:spacing w:after="0"/>
        <w:rPr>
          <w:sz w:val="20"/>
          <w:szCs w:val="20"/>
          <w:color w:val="auto"/>
        </w:rPr>
      </w:pPr>
      <w:r>
        <w:rPr>
          <w:rFonts w:ascii="Courier New" w:cs="Courier New" w:eastAsia="Courier New" w:hAnsi="Courier New"/>
          <w:sz w:val="18"/>
          <w:szCs w:val="18"/>
          <w:color w:val="auto"/>
        </w:rPr>
        <w:t>Item 5: 0</w:t>
      </w:r>
    </w:p>
    <w:p>
      <w:pPr>
        <w:spacing w:after="0" w:line="237"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5,628,804</w:t>
      </w:r>
    </w:p>
    <w:p>
      <w:pPr>
        <w:spacing w:after="0" w:line="237"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5,628,804</w:t>
      </w:r>
    </w:p>
    <w:p>
      <w:pPr>
        <w:spacing w:after="0" w:line="237" w:lineRule="auto"/>
        <w:rPr>
          <w:sz w:val="20"/>
          <w:szCs w:val="20"/>
          <w:color w:val="auto"/>
        </w:rPr>
      </w:pPr>
      <w:r>
        <w:rPr>
          <w:rFonts w:ascii="Courier New" w:cs="Courier New" w:eastAsia="Courier New" w:hAnsi="Courier New"/>
          <w:sz w:val="18"/>
          <w:szCs w:val="18"/>
          <w:color w:val="auto"/>
        </w:rPr>
        <w:t>Item 11: 4.042%</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TRI POINTE GROUP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19540 JAMBOREE ROAD, SUITE 300</w:t>
      </w:r>
    </w:p>
    <w:p>
      <w:pPr>
        <w:spacing w:after="0" w:line="238" w:lineRule="auto"/>
        <w:rPr>
          <w:sz w:val="20"/>
          <w:szCs w:val="20"/>
          <w:color w:val="auto"/>
        </w:rPr>
      </w:pPr>
      <w:r>
        <w:rPr>
          <w:rFonts w:ascii="Courier New" w:cs="Courier New" w:eastAsia="Courier New" w:hAnsi="Courier New"/>
          <w:sz w:val="18"/>
          <w:szCs w:val="18"/>
          <w:color w:val="auto"/>
        </w:rPr>
        <w:t>IRVINE, CA 92612</w:t>
      </w:r>
    </w:p>
    <w:p>
      <w:pPr>
        <w:spacing w:after="0"/>
        <w:rPr>
          <w:sz w:val="20"/>
          <w:szCs w:val="20"/>
          <w:color w:val="auto"/>
        </w:rPr>
      </w:pPr>
      <w:r>
        <w:rPr>
          <w:rFonts w:ascii="Courier New" w:cs="Courier New" w:eastAsia="Courier New" w:hAnsi="Courier New"/>
          <w:sz w:val="18"/>
          <w:szCs w:val="18"/>
          <w:color w:val="auto"/>
        </w:rPr>
        <w:t>USA</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87265H109</w:t>
      </w:r>
    </w:p>
    <w:p>
      <w:pPr>
        <w:spacing w:after="0" w:line="207" w:lineRule="exact"/>
        <w:rPr>
          <w:sz w:val="24"/>
          <w:szCs w:val="24"/>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5,628,804</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4.042%</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55"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66,618</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5,628,804</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7" w:lineRule="exact"/>
        <w:rPr>
          <w:sz w:val="20"/>
          <w:szCs w:val="20"/>
          <w:color w:val="auto"/>
        </w:rPr>
      </w:pPr>
    </w:p>
    <w:p>
      <w:pPr>
        <w:ind w:right="2419"/>
        <w:spacing w:after="0" w:line="279" w:lineRule="auto"/>
        <w:rPr>
          <w:sz w:val="20"/>
          <w:szCs w:val="20"/>
          <w:color w:val="auto"/>
        </w:rPr>
      </w:pPr>
      <w:r>
        <w:rPr>
          <w:rFonts w:ascii="Courier New" w:cs="Courier New" w:eastAsia="Courier New" w:hAnsi="Courier New"/>
          <w:sz w:val="16"/>
          <w:szCs w:val="16"/>
          <w:color w:val="auto"/>
        </w:rPr>
        <w:t>If this statement is being filed to report the fact that as of the date hereof, the reporting person has ceased to be the beneficial owner of more than five percent of the class of securities, check the following (X).</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TRI POINTE GROUP INC. No one other person's interest in the COMMON STOCK of TRI POINTE GROUP INC is more than five percent of the total outstanding COMMON STOCK.</w:t>
      </w:r>
    </w:p>
    <w:p>
      <w:pPr>
        <w:spacing w:after="0" w:line="209"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6, 2020</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339"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259"/>
          </w:cols>
          <w:pgMar w:left="240" w:top="339" w:right="1440" w:bottom="0" w:gutter="0" w:footer="0" w:header="0"/>
          <w:type w:val="continuous"/>
        </w:sectPr>
      </w:pPr>
    </w:p>
    <w:p>
      <w:pPr>
        <w:spacing w:after="0" w:line="24" w:lineRule="exact"/>
        <w:rPr>
          <w:sz w:val="20"/>
          <w:szCs w:val="20"/>
          <w:color w:val="auto"/>
        </w:rPr>
      </w:pPr>
    </w:p>
    <w:p>
      <w:pPr>
        <w:spacing w:after="0" w:line="236" w:lineRule="auto"/>
        <w:rPr>
          <w:sz w:val="20"/>
          <w:szCs w:val="20"/>
          <w:color w:val="auto"/>
        </w:rPr>
      </w:pPr>
      <w:r>
        <w:rPr>
          <w:rFonts w:ascii="Courier New" w:cs="Courier New" w:eastAsia="Courier New" w:hAnsi="Courier New"/>
          <w:sz w:val="18"/>
          <w:szCs w:val="18"/>
          <w:color w:val="auto"/>
        </w:rPr>
        <w:t>FIAM LLC IA FMR CO., INC IA STRATEGIC ADVISERS LLC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ectPr>
          <w:pgSz w:w="11900" w:h="16838" w:orient="portrait"/>
          <w:cols w:equalWidth="0" w:num="2">
            <w:col w:w="2320" w:space="220"/>
            <w:col w:w="7679"/>
          </w:cols>
          <w:pgMar w:left="240" w:top="339" w:right="1440" w:bottom="0" w:gutter="0" w:footer="0" w:header="0"/>
          <w:type w:val="continuous"/>
        </w:sectPr>
      </w:pPr>
    </w:p>
    <w:bookmarkStart w:id="2" w:name="page3"/>
    <w:bookmarkEnd w:id="2"/>
    <w:p>
      <w:pPr>
        <w:ind w:right="199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5"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FMR Co carries out the voting of the shares under written guidelines established by the Fidelity Funds' Boards of Trustees.</w:t>
      </w:r>
    </w:p>
    <w:p>
      <w:pPr>
        <w:spacing w:after="0" w:line="211"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The undersigned persons, on February 6, 2020, agree and consent to the joint filing on their behalf of this Schedule 13G in connection with their beneficial ownership of the COMMON STOCK of TRI POINTE GROUP INC at December 31, 2019.</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219"/>
      </w:cols>
      <w:pgMar w:left="240" w:top="54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lowerRoman"/>
      <w:start w:val="10"/>
    </w:lvl>
  </w:abstractNum>
  <w:abstractNum w:abstractNumId="1">
    <w:nsid w:val="238E1F29"/>
    <w:multiLevelType w:val="hybridMultilevel"/>
    <w:lvl w:ilvl="0">
      <w:lvlJc w:val="left"/>
      <w:lvlText w:val="(%1)"/>
      <w:numFmt w:val="lowerLetter"/>
      <w:start w:val="2"/>
    </w:lvl>
  </w:abstractNum>
  <w:abstractNum w:abstractNumId="2">
    <w:nsid w:val="46E87CCD"/>
    <w:multiLevelType w:val="hybridMultilevel"/>
    <w:lvl w:ilvl="0">
      <w:lvlJc w:val="left"/>
      <w:lvlText w:val="(%1)"/>
      <w:numFmt w:val="lowerLetter"/>
      <w:start w:val="2"/>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Roman"/>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2020-02-17T16:40:04Z</dcterms:created>
  <dcterms:modified xsi:type="dcterms:W3CDTF">2020-02-17T16:40:04Z</dcterms:modified>
</cp:coreProperties>
</file>