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2 )</w:t>
      </w:r>
      <w:r>
        <w:rPr>
          <w:rFonts w:ascii="Arial" w:cs="Arial" w:eastAsia="Arial" w:hAnsi="Arial"/>
          <w:sz w:val="36"/>
          <w:szCs w:val="36"/>
          <w:b w:val="1"/>
          <w:bCs w:val="1"/>
          <w:color w:val="auto"/>
          <w:vertAlign w:val="superscript"/>
        </w:rPr>
        <w:t>*</w:t>
      </w:r>
    </w:p>
    <w:p>
      <w:pPr>
        <w:spacing w:after="0" w:line="200" w:lineRule="exact"/>
        <w:rPr>
          <w:sz w:val="24"/>
          <w:szCs w:val="24"/>
          <w:color w:val="auto"/>
        </w:rPr>
      </w:pPr>
    </w:p>
    <w:p>
      <w:pPr>
        <w:spacing w:after="0" w:line="382"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TRI Pointe Group,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504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87265H109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840"/>
        <w:spacing w:after="0"/>
        <w:rPr>
          <w:sz w:val="20"/>
          <w:szCs w:val="20"/>
          <w:color w:val="auto"/>
        </w:rPr>
      </w:pPr>
      <w:r>
        <w:rPr>
          <w:rFonts w:ascii="Arial" w:cs="Arial" w:eastAsia="Arial" w:hAnsi="Arial"/>
          <w:sz w:val="22"/>
          <w:szCs w:val="22"/>
          <w:color w:val="auto"/>
        </w:rPr>
        <w:t>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85" w:lineRule="auto"/>
        <w:tabs>
          <w:tab w:leader="none" w:pos="479"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0" w:lineRule="auto"/>
        <w:rPr>
          <w:rFonts w:ascii="Arial" w:cs="Arial" w:eastAsia="Arial" w:hAnsi="Arial"/>
          <w:sz w:val="19"/>
          <w:szCs w:val="19"/>
          <w:color w:val="auto"/>
        </w:rPr>
      </w:pPr>
      <w:r>
        <w:rPr>
          <w:rFonts w:ascii="Arial" w:cs="Arial" w:eastAsia="Arial" w:hAnsi="Arial"/>
          <w:sz w:val="36"/>
          <w:szCs w:val="36"/>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7" w:lineRule="exact"/>
        <w:rPr>
          <w:sz w:val="24"/>
          <w:szCs w:val="24"/>
          <w:color w:val="auto"/>
        </w:rPr>
      </w:pPr>
    </w:p>
    <w:p>
      <w:pPr>
        <w:jc w:val="both"/>
        <w:ind w:right="10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20" w:right="29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87265H109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Group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Massachusetts</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6,951,421</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7,905,530</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7,905,530</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5.68%</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2" w:name="page3"/>
    <w:bookmarkEnd w:id="2"/>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87265H109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Group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6,951,421</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7,905,530</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7,905,530</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5.68%</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3" w:name="page4"/>
    <w:bookmarkEnd w:id="3"/>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87265H109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Investment Advisors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6,951,421</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7,905,530</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7,905,530</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5.68%</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4" w:name="page5"/>
    <w:bookmarkEnd w:id="4"/>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87265H109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Company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6,904,443</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7,683,807</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7,683,807</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5.52%</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IA</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Item 1.</w:t>
      </w:r>
    </w:p>
    <w:p>
      <w:pPr>
        <w:spacing w:after="0" w:line="125" w:lineRule="exact"/>
        <w:rPr>
          <w:sz w:val="20"/>
          <w:szCs w:val="20"/>
          <w:color w:val="auto"/>
        </w:rPr>
      </w:pPr>
    </w:p>
    <w:p>
      <w:pPr>
        <w:ind w:left="1780" w:hanging="407"/>
        <w:spacing w:after="0"/>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Name of Issuer</w:t>
      </w:r>
    </w:p>
    <w:p>
      <w:pPr>
        <w:spacing w:after="0" w:line="14" w:lineRule="exact"/>
        <w:rPr>
          <w:rFonts w:ascii="Arial" w:cs="Arial" w:eastAsia="Arial" w:hAnsi="Arial"/>
          <w:sz w:val="22"/>
          <w:szCs w:val="22"/>
          <w:b w:val="1"/>
          <w:bCs w:val="1"/>
          <w:color w:val="auto"/>
        </w:rPr>
      </w:pP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TRI Pointe Group, Inc.</w:t>
      </w:r>
    </w:p>
    <w:p>
      <w:pPr>
        <w:spacing w:after="0" w:line="101" w:lineRule="exact"/>
        <w:rPr>
          <w:rFonts w:ascii="Arial" w:cs="Arial" w:eastAsia="Arial" w:hAnsi="Arial"/>
          <w:sz w:val="22"/>
          <w:szCs w:val="22"/>
          <w:b w:val="1"/>
          <w:bCs w:val="1"/>
          <w:color w:val="auto"/>
        </w:rPr>
      </w:pPr>
    </w:p>
    <w:p>
      <w:pPr>
        <w:ind w:left="1780" w:right="5180" w:hanging="407"/>
        <w:spacing w:after="0" w:line="242" w:lineRule="auto"/>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Issuer's Principal Executive Offices </w:t>
      </w:r>
      <w:r>
        <w:rPr>
          <w:rFonts w:ascii="Arial" w:cs="Arial" w:eastAsia="Arial" w:hAnsi="Arial"/>
          <w:sz w:val="22"/>
          <w:szCs w:val="22"/>
          <w:color w:val="auto"/>
        </w:rPr>
        <w:t>19540 Jamboree Road, Suite 300</w:t>
      </w: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Irvine, CA 92612</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780" w:right="540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Wellington Group Holdings LLP Wellington Investment Advisors Holdings LLP Wellington Management Company LLP</w:t>
      </w:r>
    </w:p>
    <w:p>
      <w:pPr>
        <w:spacing w:after="0" w:line="93" w:lineRule="exact"/>
        <w:rPr>
          <w:rFonts w:ascii="Arial" w:cs="Arial" w:eastAsia="Arial" w:hAnsi="Arial"/>
          <w:sz w:val="22"/>
          <w:szCs w:val="22"/>
          <w:b w:val="1"/>
          <w:bCs w:val="1"/>
          <w:color w:val="auto"/>
        </w:rPr>
      </w:pPr>
    </w:p>
    <w:p>
      <w:pPr>
        <w:ind w:left="1780" w:right="4080" w:hanging="407"/>
        <w:spacing w:after="0" w:line="242" w:lineRule="auto"/>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Principal Business Office or, if None, Residence </w:t>
      </w:r>
      <w:r>
        <w:rPr>
          <w:rFonts w:ascii="Arial" w:cs="Arial" w:eastAsia="Arial" w:hAnsi="Arial"/>
          <w:sz w:val="22"/>
          <w:szCs w:val="22"/>
          <w:color w:val="auto"/>
        </w:rPr>
        <w:t>c/o Wellington Management Company LLP</w:t>
      </w:r>
    </w:p>
    <w:p>
      <w:pPr>
        <w:ind w:left="1780" w:right="7740"/>
        <w:spacing w:after="0" w:line="339" w:lineRule="auto"/>
        <w:rPr>
          <w:rFonts w:ascii="Arial" w:cs="Arial" w:eastAsia="Arial" w:hAnsi="Arial"/>
          <w:sz w:val="22"/>
          <w:szCs w:val="22"/>
          <w:b w:val="1"/>
          <w:bCs w:val="1"/>
          <w:color w:val="auto"/>
        </w:rPr>
      </w:pPr>
      <w:r>
        <w:rPr>
          <w:rFonts w:ascii="Arial" w:cs="Arial" w:eastAsia="Arial" w:hAnsi="Arial"/>
          <w:sz w:val="18"/>
          <w:szCs w:val="18"/>
          <w:color w:val="auto"/>
        </w:rPr>
        <w:t>280 Congress Street Boston, MA 02210</w:t>
      </w:r>
    </w:p>
    <w:p>
      <w:pPr>
        <w:spacing w:after="0" w:line="12" w:lineRule="exact"/>
        <w:rPr>
          <w:rFonts w:ascii="Arial" w:cs="Arial" w:eastAsia="Arial" w:hAnsi="Arial"/>
          <w:sz w:val="22"/>
          <w:szCs w:val="22"/>
          <w:b w:val="1"/>
          <w:bCs w:val="1"/>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Citizenship</w:t>
      </w:r>
    </w:p>
    <w:p>
      <w:pPr>
        <w:spacing w:after="0" w:line="14" w:lineRule="exact"/>
        <w:rPr>
          <w:rFonts w:ascii="Arial" w:cs="Arial" w:eastAsia="Arial" w:hAnsi="Arial"/>
          <w:sz w:val="22"/>
          <w:szCs w:val="22"/>
          <w:b w:val="1"/>
          <w:bCs w:val="1"/>
          <w:color w:val="auto"/>
        </w:rPr>
      </w:pPr>
    </w:p>
    <w:p>
      <w:pPr>
        <w:ind w:left="1780" w:right="438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 Massachusetts Wellington Group Holdings LLP - Delaware Wellington Investment Advisors Holdings LLP - Delaware Wellington Management Company LLP - Delaware</w:t>
      </w:r>
    </w:p>
    <w:p>
      <w:pPr>
        <w:spacing w:after="0" w:line="93" w:lineRule="exact"/>
        <w:rPr>
          <w:rFonts w:ascii="Arial" w:cs="Arial" w:eastAsia="Arial" w:hAnsi="Arial"/>
          <w:sz w:val="22"/>
          <w:szCs w:val="22"/>
          <w:b w:val="1"/>
          <w:bCs w:val="1"/>
          <w:color w:val="auto"/>
        </w:rPr>
      </w:pPr>
    </w:p>
    <w:p>
      <w:pPr>
        <w:ind w:left="1780" w:right="708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1" w:lineRule="exact"/>
        <w:rPr>
          <w:rFonts w:ascii="Arial" w:cs="Arial" w:eastAsia="Arial" w:hAnsi="Arial"/>
          <w:sz w:val="19"/>
          <w:szCs w:val="19"/>
          <w:b w:val="1"/>
          <w:bCs w:val="1"/>
          <w:color w:val="auto"/>
        </w:rPr>
      </w:pPr>
    </w:p>
    <w:p>
      <w:pPr>
        <w:ind w:left="1780" w:right="802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87265H109</w:t>
      </w:r>
    </w:p>
    <w:p>
      <w:pPr>
        <w:spacing w:after="0" w:line="11" w:lineRule="exact"/>
        <w:rPr>
          <w:sz w:val="20"/>
          <w:szCs w:val="20"/>
          <w:color w:val="auto"/>
        </w:rPr>
      </w:pPr>
    </w:p>
    <w:p>
      <w:pPr>
        <w:ind w:left="138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If This Statement is Filed Pursuant to Rule 13d-1(b), or 13d-2(b) or (c), Check Whether the Person Filing is a:</w:t>
      </w:r>
    </w:p>
    <w:p>
      <w:pPr>
        <w:spacing w:after="0" w:line="88" w:lineRule="exact"/>
        <w:rPr>
          <w:sz w:val="20"/>
          <w:szCs w:val="20"/>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Broker or dealer registered under Section 15 of the Act (15 U.S.C. 78o).</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Bank as defined in Section 3(a)(6) of the Act (15 U.S.C. 78c).</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Insurance Company as defined in Section 3(a)(19) of the Act (15 U.S.C. 78c).</w:t>
      </w:r>
    </w:p>
    <w:p>
      <w:pPr>
        <w:spacing w:after="0" w:line="125" w:lineRule="exact"/>
        <w:rPr>
          <w:rFonts w:ascii="Arial" w:cs="Arial" w:eastAsia="Arial" w:hAnsi="Arial"/>
          <w:sz w:val="22"/>
          <w:szCs w:val="22"/>
          <w:color w:val="auto"/>
        </w:rPr>
      </w:pPr>
    </w:p>
    <w:p>
      <w:pPr>
        <w:ind w:left="2240" w:right="3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Investment Company registered under Section 8 of the Investment Company Act of 1940 (15 U.S.C. 80a-8).</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An investment adviser in accordance with Rule 240.13d-1(b)(1)(ii)(E); *</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An employee benefit plan or endowment fund in accordance with Rule 240.13d-1(b)(1)(ii)(F);</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 parent holding company or control person in accordance with Rule 240.13d-1(b)(1)(ii)(G);</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19"/>
          <w:szCs w:val="19"/>
          <w:color w:val="auto"/>
        </w:rPr>
      </w:pPr>
      <w:r>
        <w:rPr>
          <w:rFonts w:ascii="Arial" w:cs="Arial" w:eastAsia="Arial" w:hAnsi="Arial"/>
          <w:sz w:val="19"/>
          <w:szCs w:val="19"/>
          <w:color w:val="auto"/>
        </w:rPr>
        <w:t>[ ]   A savings association as defined in Section 3(b) of the Federal Deposit Insurance Act (12 U.S.C. 1813);</w:t>
      </w:r>
    </w:p>
    <w:p>
      <w:pPr>
        <w:spacing w:after="0" w:line="159" w:lineRule="exact"/>
        <w:rPr>
          <w:rFonts w:ascii="Arial" w:cs="Arial" w:eastAsia="Arial" w:hAnsi="Arial"/>
          <w:sz w:val="19"/>
          <w:szCs w:val="19"/>
          <w:color w:val="auto"/>
        </w:rPr>
      </w:pPr>
    </w:p>
    <w:p>
      <w:pPr>
        <w:ind w:left="2240" w:right="1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church plan that is excluded from the definition of an investment company under Section 3(c)(14) of the Investment Company Act of 1940 (15 U.S.C. 80a-3);</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Group, in accordance with Rule 240.13d-1(b)(1)(ii)(J).</w:t>
      </w:r>
    </w:p>
    <w:p>
      <w:pPr>
        <w:spacing w:after="0" w:line="125"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If this statement is filed pursuant to Rule 13d-1(c), check this box [ ]</w:t>
      </w:r>
    </w:p>
    <w:p>
      <w:pPr>
        <w:spacing w:after="0" w:line="125"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Group LLP - HC</w:t>
      </w:r>
    </w:p>
    <w:p>
      <w:pPr>
        <w:ind w:left="1380"/>
        <w:spacing w:after="0" w:line="238" w:lineRule="auto"/>
        <w:rPr>
          <w:sz w:val="20"/>
          <w:szCs w:val="20"/>
          <w:color w:val="auto"/>
        </w:rPr>
      </w:pPr>
      <w:r>
        <w:rPr>
          <w:rFonts w:ascii="Arial" w:cs="Arial" w:eastAsia="Arial" w:hAnsi="Arial"/>
          <w:sz w:val="22"/>
          <w:szCs w:val="22"/>
          <w:color w:val="auto"/>
        </w:rPr>
        <w:t>Wellington Group Holdings LLP - HC</w:t>
      </w:r>
    </w:p>
    <w:p>
      <w:pPr>
        <w:ind w:left="1380"/>
        <w:spacing w:after="0" w:line="230" w:lineRule="auto"/>
        <w:rPr>
          <w:sz w:val="20"/>
          <w:szCs w:val="20"/>
          <w:color w:val="auto"/>
        </w:rPr>
      </w:pPr>
      <w:r>
        <w:rPr>
          <w:rFonts w:ascii="Arial" w:cs="Arial" w:eastAsia="Arial" w:hAnsi="Arial"/>
          <w:sz w:val="22"/>
          <w:szCs w:val="22"/>
          <w:color w:val="auto"/>
        </w:rPr>
        <w:t>Wellington Investment Advisors Holdings LLP - HC</w:t>
      </w:r>
    </w:p>
    <w:p>
      <w:pPr>
        <w:spacing w:after="0" w:line="1"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Company LLP - IA</w:t>
      </w:r>
    </w:p>
    <w:p>
      <w:pPr>
        <w:spacing w:after="0" w:line="101"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2" w:lineRule="exact"/>
        <w:rPr>
          <w:sz w:val="20"/>
          <w:szCs w:val="20"/>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9 on the attached cover pages.</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11 on the attached cover pages.</w:t>
      </w:r>
    </w:p>
    <w:p>
      <w:pPr>
        <w:sectPr>
          <w:pgSz w:w="11900" w:h="16838" w:orient="portrait"/>
          <w:cols w:equalWidth="0" w:num="1">
            <w:col w:w="11260"/>
          </w:cols>
          <w:pgMar w:left="320" w:top="409" w:right="319" w:bottom="0" w:gutter="0" w:footer="0" w:header="0"/>
        </w:sectPr>
      </w:pPr>
    </w:p>
    <w:bookmarkStart w:id="6" w:name="page7"/>
    <w:bookmarkEnd w:id="6"/>
    <w:p>
      <w:pPr>
        <w:ind w:left="1780" w:hanging="407"/>
        <w:spacing w:after="0"/>
        <w:tabs>
          <w:tab w:leader="none" w:pos="1780" w:val="left"/>
        </w:tabs>
        <w:numPr>
          <w:ilvl w:val="0"/>
          <w:numId w:val="6"/>
        </w:numPr>
        <w:rPr>
          <w:rFonts w:ascii="Arial" w:cs="Arial" w:eastAsia="Arial" w:hAnsi="Arial"/>
          <w:sz w:val="19"/>
          <w:szCs w:val="19"/>
          <w:color w:val="auto"/>
        </w:rPr>
      </w:pPr>
      <w:r>
        <w:rPr>
          <w:rFonts w:ascii="Arial" w:cs="Arial" w:eastAsia="Arial" w:hAnsi="Arial"/>
          <w:sz w:val="19"/>
          <w:szCs w:val="19"/>
          <w:color w:val="auto"/>
        </w:rPr>
        <w:t>Number of shares as to which such person has:</w:t>
      </w:r>
    </w:p>
    <w:p>
      <w:pPr>
        <w:spacing w:after="0" w:line="160" w:lineRule="exact"/>
        <w:rPr>
          <w:rFonts w:ascii="Arial" w:cs="Arial" w:eastAsia="Arial" w:hAnsi="Arial"/>
          <w:sz w:val="19"/>
          <w:szCs w:val="19"/>
          <w:color w:val="auto"/>
        </w:rPr>
      </w:pPr>
    </w:p>
    <w:p>
      <w:pPr>
        <w:ind w:left="2240" w:hanging="462"/>
        <w:spacing w:after="0"/>
        <w:tabs>
          <w:tab w:leader="none" w:pos="2240" w:val="left"/>
        </w:tabs>
        <w:numPr>
          <w:ilvl w:val="1"/>
          <w:numId w:val="6"/>
        </w:numPr>
        <w:rPr>
          <w:rFonts w:ascii="Arial" w:cs="Arial" w:eastAsia="Arial" w:hAnsi="Arial"/>
          <w:sz w:val="21"/>
          <w:szCs w:val="21"/>
          <w:color w:val="auto"/>
        </w:rPr>
      </w:pPr>
      <w:r>
        <w:rPr>
          <w:rFonts w:ascii="Arial" w:cs="Arial" w:eastAsia="Arial" w:hAnsi="Arial"/>
          <w:sz w:val="21"/>
          <w:szCs w:val="21"/>
          <w:color w:val="auto"/>
        </w:rPr>
        <w:t>sole power to vote or to direct the vote</w:t>
      </w:r>
    </w:p>
    <w:p>
      <w:pPr>
        <w:spacing w:after="0" w:line="258" w:lineRule="exact"/>
        <w:rPr>
          <w:rFonts w:ascii="Arial" w:cs="Arial" w:eastAsia="Arial" w:hAnsi="Arial"/>
          <w:sz w:val="21"/>
          <w:szCs w:val="21"/>
          <w:color w:val="auto"/>
        </w:rPr>
      </w:pPr>
    </w:p>
    <w:p>
      <w:pPr>
        <w:ind w:left="2240" w:hanging="462"/>
        <w:spacing w:after="0"/>
        <w:tabs>
          <w:tab w:leader="none" w:pos="2240" w:val="left"/>
        </w:tabs>
        <w:numPr>
          <w:ilvl w:val="1"/>
          <w:numId w:val="6"/>
        </w:numPr>
        <w:rPr>
          <w:rFonts w:ascii="Arial" w:cs="Arial" w:eastAsia="Arial" w:hAnsi="Arial"/>
          <w:sz w:val="19"/>
          <w:szCs w:val="19"/>
          <w:color w:val="auto"/>
        </w:rPr>
      </w:pPr>
      <w:r>
        <w:rPr>
          <w:rFonts w:ascii="Arial" w:cs="Arial" w:eastAsia="Arial" w:hAnsi="Arial"/>
          <w:sz w:val="19"/>
          <w:szCs w:val="19"/>
          <w:color w:val="auto"/>
        </w:rPr>
        <w:t>shared power to vote or to direct the vote</w:t>
      </w:r>
    </w:p>
    <w:p>
      <w:pPr>
        <w:spacing w:after="0" w:line="20" w:lineRule="exact"/>
        <w:rPr>
          <w:sz w:val="20"/>
          <w:szCs w:val="20"/>
          <w:color w:val="auto"/>
        </w:rPr>
      </w:pPr>
      <w:r>
        <w:rPr>
          <w:sz w:val="20"/>
          <w:szCs w:val="20"/>
          <w:color w:val="auto"/>
        </w:rPr>
        <w:br w:type="column"/>
      </w:r>
    </w:p>
    <w:p>
      <w:pPr>
        <w:spacing w:after="0" w:line="359"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125" w:lineRule="exact"/>
        <w:rPr>
          <w:sz w:val="20"/>
          <w:szCs w:val="20"/>
          <w:color w:val="auto"/>
        </w:rPr>
      </w:pPr>
    </w:p>
    <w:p>
      <w:pPr>
        <w:ind w:right="320"/>
        <w:spacing w:after="0" w:line="245" w:lineRule="auto"/>
        <w:rPr>
          <w:sz w:val="20"/>
          <w:szCs w:val="20"/>
          <w:color w:val="auto"/>
        </w:rPr>
      </w:pPr>
      <w:r>
        <w:rPr>
          <w:rFonts w:ascii="Arial" w:cs="Arial" w:eastAsia="Arial" w:hAnsi="Arial"/>
          <w:sz w:val="22"/>
          <w:szCs w:val="22"/>
          <w:color w:val="auto"/>
        </w:rPr>
        <w:t>See the responses to Item 6 on the attached cover pages.</w:t>
      </w:r>
    </w:p>
    <w:p>
      <w:pPr>
        <w:spacing w:after="0" w:line="59" w:lineRule="exact"/>
        <w:rPr>
          <w:sz w:val="20"/>
          <w:szCs w:val="20"/>
          <w:color w:val="auto"/>
        </w:rPr>
      </w:pPr>
    </w:p>
    <w:p>
      <w:pPr>
        <w:sectPr>
          <w:pgSz w:w="11900" w:h="16838" w:orient="portrait"/>
          <w:cols w:equalWidth="0" w:num="2">
            <w:col w:w="5980" w:space="720"/>
            <w:col w:w="4560"/>
          </w:cols>
          <w:pgMar w:left="320" w:top="118" w:right="319" w:bottom="0" w:gutter="0" w:footer="0" w:header="0"/>
        </w:sectPr>
      </w:pPr>
    </w:p>
    <w:p>
      <w:pPr>
        <w:ind w:left="2240" w:hanging="462"/>
        <w:spacing w:after="0"/>
        <w:tabs>
          <w:tab w:leader="none" w:pos="2240" w:val="left"/>
        </w:tabs>
        <w:numPr>
          <w:ilvl w:val="0"/>
          <w:numId w:val="7"/>
        </w:numPr>
        <w:rPr>
          <w:rFonts w:ascii="Arial" w:cs="Arial" w:eastAsia="Arial" w:hAnsi="Arial"/>
          <w:sz w:val="34"/>
          <w:szCs w:val="34"/>
          <w:color w:val="auto"/>
          <w:vertAlign w:val="subscript"/>
        </w:rPr>
      </w:pPr>
      <w:r>
        <w:rPr>
          <w:rFonts w:ascii="Arial" w:cs="Arial" w:eastAsia="Arial" w:hAnsi="Arial"/>
          <w:sz w:val="18"/>
          <w:szCs w:val="18"/>
          <w:color w:val="auto"/>
        </w:rPr>
        <w:t>sole</w:t>
      </w:r>
      <w:r>
        <w:rPr>
          <w:rFonts w:ascii="Arial" w:cs="Arial" w:eastAsia="Arial" w:hAnsi="Arial"/>
          <w:sz w:val="34"/>
          <w:szCs w:val="34"/>
          <w:color w:val="auto"/>
          <w:vertAlign w:val="subscript"/>
        </w:rPr>
        <w:t>of</w:t>
      </w:r>
      <w:r>
        <w:rPr>
          <w:rFonts w:ascii="Arial" w:cs="Arial" w:eastAsia="Arial" w:hAnsi="Arial"/>
          <w:sz w:val="18"/>
          <w:szCs w:val="18"/>
          <w:color w:val="auto"/>
        </w:rPr>
        <w:t xml:space="preserve"> power to dispose or to direct the disposition</w:t>
      </w:r>
    </w:p>
    <w:p>
      <w:pPr>
        <w:spacing w:after="0" w:line="275" w:lineRule="exact"/>
        <w:rPr>
          <w:rFonts w:ascii="Arial" w:cs="Arial" w:eastAsia="Arial" w:hAnsi="Arial"/>
          <w:sz w:val="34"/>
          <w:szCs w:val="34"/>
          <w:color w:val="auto"/>
          <w:vertAlign w:val="subscript"/>
        </w:rPr>
      </w:pPr>
    </w:p>
    <w:p>
      <w:pPr>
        <w:ind w:left="2240" w:right="780" w:hanging="462"/>
        <w:spacing w:after="0" w:line="183" w:lineRule="auto"/>
        <w:tabs>
          <w:tab w:leader="none" w:pos="2240" w:val="left"/>
        </w:tabs>
        <w:numPr>
          <w:ilvl w:val="0"/>
          <w:numId w:val="7"/>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ind w:right="320"/>
        <w:spacing w:after="0" w:line="251" w:lineRule="auto"/>
        <w:rPr>
          <w:sz w:val="20"/>
          <w:szCs w:val="20"/>
          <w:color w:val="auto"/>
        </w:rPr>
      </w:pPr>
      <w:r>
        <w:rPr>
          <w:rFonts w:ascii="Arial" w:cs="Arial" w:eastAsia="Arial" w:hAnsi="Arial"/>
          <w:sz w:val="22"/>
          <w:szCs w:val="22"/>
          <w:color w:val="auto"/>
        </w:rPr>
        <w:t>See the responses to Item 8 on the attached cover pages.</w:t>
      </w:r>
    </w:p>
    <w:p>
      <w:pPr>
        <w:spacing w:after="0" w:line="86" w:lineRule="exact"/>
        <w:rPr>
          <w:sz w:val="20"/>
          <w:szCs w:val="20"/>
          <w:color w:val="auto"/>
        </w:rPr>
      </w:pPr>
    </w:p>
    <w:p>
      <w:pPr>
        <w:sectPr>
          <w:pgSz w:w="11900" w:h="16838" w:orient="portrait"/>
          <w:cols w:equalWidth="0" w:num="2">
            <w:col w:w="6420" w:space="280"/>
            <w:col w:w="4560"/>
          </w:cols>
          <w:pgMar w:left="320" w:top="118" w:right="319" w:bottom="0" w:gutter="0" w:footer="0" w:header="0"/>
          <w:type w:val="continuous"/>
        </w:sectPr>
      </w:pPr>
    </w:p>
    <w:tbl>
      <w:tblPr>
        <w:tblLayout w:type="fixed"/>
        <w:tblInd w:w="0" w:type="dxa"/>
        <w:tblCellMar>
          <w:top w:w="0" w:type="dxa"/>
          <w:left w:w="0" w:type="dxa"/>
          <w:bottom w:w="0" w:type="dxa"/>
          <w:right w:w="0" w:type="dxa"/>
        </w:tblCellMar>
      </w:tblPr>
      <w:tr>
        <w:trPr>
          <w:trHeight w:val="281"/>
        </w:trPr>
        <w:tc>
          <w:tcPr>
            <w:tcW w:w="940" w:type="dxa"/>
            <w:vAlign w:val="bottom"/>
          </w:tcPr>
          <w:p>
            <w:pPr>
              <w:spacing w:after="0"/>
              <w:rPr>
                <w:sz w:val="20"/>
                <w:szCs w:val="20"/>
                <w:color w:val="auto"/>
              </w:rPr>
            </w:pPr>
            <w:r>
              <w:rPr>
                <w:rFonts w:ascii="Arial" w:cs="Arial" w:eastAsia="Arial" w:hAnsi="Arial"/>
                <w:sz w:val="22"/>
                <w:szCs w:val="22"/>
                <w:b w:val="1"/>
                <w:bCs w:val="1"/>
                <w:color w:val="auto"/>
              </w:rPr>
              <w:t>Item 5.</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Five Percent or Less of Class.</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If this statement is being filed to report the fact that as of the date hereof the reporting person has ceased to be the</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beneficial owner of more than five percent of the class of securities, check the following: [ ]</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6.</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More than Five Percent on Behalf of Another Person.</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The securities as to which this Schedule is filed are owned of record by clients of one or more investment advisers</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3"/>
              </w:rPr>
              <w:t>identified in Exhibit A directly or indirectly owned by Wellington Management Group LLP. Those clients have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2"/>
              </w:rPr>
              <w:t>the right to receive, or the power to direct the receipt of, dividends from, or the proceeds from the sale of, such</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9"/>
              </w:rPr>
              <w:t>securities. No such client is known to have such right or power with respect to more than five percent of this class</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of securities, except as follows:</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41"/>
        </w:trPr>
        <w:tc>
          <w:tcPr>
            <w:tcW w:w="940" w:type="dxa"/>
            <w:vAlign w:val="bottom"/>
          </w:tcPr>
          <w:p>
            <w:pPr>
              <w:spacing w:after="0"/>
              <w:rPr>
                <w:sz w:val="20"/>
                <w:szCs w:val="20"/>
                <w:color w:val="auto"/>
              </w:rPr>
            </w:pPr>
            <w:r>
              <w:rPr>
                <w:rFonts w:ascii="Arial" w:cs="Arial" w:eastAsia="Arial" w:hAnsi="Arial"/>
                <w:sz w:val="22"/>
                <w:szCs w:val="22"/>
                <w:b w:val="1"/>
                <w:bCs w:val="1"/>
                <w:color w:val="auto"/>
              </w:rPr>
              <w:t>Item 7.</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w w:val="90"/>
              </w:rPr>
              <w:t>Identification and Classification of the Subsidiary Which Acquired the Security Being Reported on by the</w:t>
            </w:r>
          </w:p>
        </w:tc>
      </w:tr>
      <w:tr>
        <w:trPr>
          <w:trHeight w:val="28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Parent Holding Company.</w:t>
            </w:r>
          </w:p>
        </w:tc>
      </w:tr>
      <w:tr>
        <w:trPr>
          <w:trHeight w:val="62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See attached Exhibit A.</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8.</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Identification and Classification of Members of the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9.</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Notice of Dissolution of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10.</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Certification.</w:t>
            </w:r>
          </w:p>
        </w:tc>
      </w:tr>
      <w:tr>
        <w:trPr>
          <w:trHeight w:val="455"/>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94"/>
              </w:rPr>
              <w:t>By signing below I certify that, to the best of my knowledge and belief, the securities referred to above were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8"/>
              </w:rPr>
              <w:t>acquired and are held in the ordinary course of business and were not acquired and are not held for the purpose of</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1"/>
              </w:rPr>
              <w:t>or with the effect of changing or influencing the control of the issuer of the securities and were not acquired and</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are not held in connection with or as a participant in any transaction having that purpose or effect.</w:t>
            </w:r>
          </w:p>
        </w:tc>
      </w:tr>
      <w:tr>
        <w:trPr>
          <w:trHeight w:val="608"/>
        </w:trPr>
        <w:tc>
          <w:tcPr>
            <w:tcW w:w="9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6420" w:type="dxa"/>
            <w:vAlign w:val="bottom"/>
            <w:gridSpan w:val="2"/>
          </w:tcPr>
          <w:p>
            <w:pPr>
              <w:ind w:left="160"/>
              <w:spacing w:after="0"/>
              <w:rPr>
                <w:sz w:val="20"/>
                <w:szCs w:val="20"/>
                <w:color w:val="auto"/>
              </w:rPr>
            </w:pPr>
            <w:r>
              <w:rPr>
                <w:rFonts w:ascii="Arial" w:cs="Arial" w:eastAsia="Arial" w:hAnsi="Arial"/>
                <w:sz w:val="22"/>
                <w:szCs w:val="22"/>
                <w:b w:val="1"/>
                <w:bCs w:val="1"/>
                <w:color w:val="auto"/>
              </w:rPr>
              <w:t>SIGNATURE</w:t>
            </w:r>
          </w:p>
        </w:tc>
      </w:tr>
      <w:tr>
        <w:trPr>
          <w:trHeight w:val="549"/>
        </w:trPr>
        <w:tc>
          <w:tcPr>
            <w:tcW w:w="940" w:type="dxa"/>
            <w:vAlign w:val="bottom"/>
          </w:tcPr>
          <w:p>
            <w:pPr>
              <w:spacing w:after="0"/>
              <w:rPr>
                <w:sz w:val="24"/>
                <w:szCs w:val="24"/>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After reasonable inquiry and to the best of my knowledge and belief, I certify that the information set</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forth in this statement is true, complete and correct.</w:t>
            </w:r>
          </w:p>
        </w:tc>
      </w:tr>
      <w:tr>
        <w:trPr>
          <w:trHeight w:val="56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Management Group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2020</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Group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2020</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Investment Advisors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bl>
    <w:p>
      <w:pPr>
        <w:sectPr>
          <w:pgSz w:w="11900" w:h="16838" w:orient="portrait"/>
          <w:cols w:equalWidth="0" w:num="1">
            <w:col w:w="11260"/>
          </w:cols>
          <w:pgMar w:left="320" w:top="118" w:right="319" w:bottom="0" w:gutter="0" w:footer="0" w:header="0"/>
          <w:type w:val="continuous"/>
        </w:sectPr>
      </w:pPr>
    </w:p>
    <w:bookmarkStart w:id="7" w:name="page8"/>
    <w:bookmarkEnd w:id="7"/>
    <w:p>
      <w:pPr>
        <w:ind w:left="3360"/>
        <w:spacing w:after="0"/>
        <w:rPr>
          <w:sz w:val="20"/>
          <w:szCs w:val="20"/>
          <w:color w:val="auto"/>
        </w:rPr>
      </w:pPr>
      <w:r>
        <w:rPr>
          <w:rFonts w:ascii="Arial" w:cs="Arial" w:eastAsia="Arial" w:hAnsi="Arial"/>
          <w:sz w:val="22"/>
          <w:szCs w:val="22"/>
          <w:color w:val="auto"/>
        </w:rPr>
        <w:t>Title: Authorized Person</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356870</wp:posOffset>
            </wp:positionV>
            <wp:extent cx="5818505"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A</w:t>
      </w:r>
    </w:p>
    <w:p>
      <w:pPr>
        <w:spacing w:after="0" w:line="320" w:lineRule="exact"/>
        <w:rPr>
          <w:sz w:val="20"/>
          <w:szCs w:val="20"/>
          <w:color w:val="auto"/>
        </w:rPr>
      </w:pPr>
    </w:p>
    <w:p>
      <w:pPr>
        <w:spacing w:after="0"/>
        <w:rPr>
          <w:sz w:val="20"/>
          <w:szCs w:val="20"/>
          <w:color w:val="auto"/>
        </w:rPr>
      </w:pPr>
      <w:r>
        <w:rPr>
          <w:rFonts w:ascii="Arial" w:cs="Arial" w:eastAsia="Arial" w:hAnsi="Arial"/>
          <w:sz w:val="22"/>
          <w:szCs w:val="22"/>
          <w:color w:val="auto"/>
        </w:rPr>
        <w:t>Pursuant to the instructions in Item 7 of Schedule 13G, the following lists the identity and Item 3 classification of each relevant entity that beneficially owns shares of the security class being reported on this Schedule 13G.</w:t>
      </w:r>
    </w:p>
    <w:p>
      <w:pPr>
        <w:spacing w:after="0" w:line="268" w:lineRule="exact"/>
        <w:rPr>
          <w:sz w:val="20"/>
          <w:szCs w:val="20"/>
          <w:color w:val="auto"/>
        </w:rPr>
      </w:pPr>
    </w:p>
    <w:p>
      <w:pPr>
        <w:ind w:right="4460"/>
        <w:spacing w:after="0" w:line="311" w:lineRule="auto"/>
        <w:rPr>
          <w:sz w:val="20"/>
          <w:szCs w:val="20"/>
          <w:color w:val="auto"/>
        </w:rPr>
      </w:pPr>
      <w:r>
        <w:rPr>
          <w:rFonts w:ascii="Arial" w:cs="Arial" w:eastAsia="Arial" w:hAnsi="Arial"/>
          <w:sz w:val="21"/>
          <w:szCs w:val="21"/>
          <w:color w:val="auto"/>
        </w:rPr>
        <w:t>Wellington Group Holdings LLP – HC Wellington Investment Advisors LLP – HC Wellington Management Global Holdings, Ltd. - HC</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color w:val="auto"/>
        </w:rPr>
        <w:t>One or more of the following investment advisers (the “Wellington Investment Advisers”):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Company LLP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Canada LLC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Singapore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Hong Kong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International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Japan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Australia Pty Ltd - IA</w:t>
      </w:r>
    </w:p>
    <w:p>
      <w:pPr>
        <w:spacing w:after="0" w:line="287"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The securities as to which this Schedule is filed by Wellington Management Group LLP, as parent holding company of certain holding companies and the Wellington Investment Advisers,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132715</wp:posOffset>
            </wp:positionV>
            <wp:extent cx="5818505"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B</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JOINT FILING AGREEMENT</w:t>
      </w:r>
    </w:p>
    <w:p>
      <w:pPr>
        <w:spacing w:after="0" w:line="320" w:lineRule="exact"/>
        <w:rPr>
          <w:sz w:val="20"/>
          <w:szCs w:val="20"/>
          <w:color w:val="auto"/>
        </w:rPr>
      </w:pPr>
    </w:p>
    <w:p>
      <w:pPr>
        <w:ind w:right="20"/>
        <w:spacing w:after="0" w:line="272" w:lineRule="auto"/>
        <w:rPr>
          <w:sz w:val="20"/>
          <w:szCs w:val="20"/>
          <w:color w:val="auto"/>
        </w:rPr>
      </w:pPr>
      <w:r>
        <w:rPr>
          <w:rFonts w:ascii="Arial" w:cs="Arial" w:eastAsia="Arial" w:hAnsi="Arial"/>
          <w:sz w:val="19"/>
          <w:szCs w:val="19"/>
          <w:color w:val="auto"/>
        </w:rPr>
        <w:t>The undersigned hereby agree that this Schedule 13G (the “Schedule 13G”) with respect to the common stock of TRI Pointe Group, Inc. is, and any additional amendment thereto signed by each of the undersigned shall be, filed on behalf of each undersigned pursuant to and in accordance with the provisions of 13d-1(k) under the Securities Exchange Act of 1934, as amended, and that all subsequent amendments to the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it contained therein, but shall not be responsible for the completeness and accuracy of the information concerning the other, except to the extent that it knows or has reason to believe that such information is inaccurate. It is understood and agreed that the joint filing of the Schedule 13G shall not be construed as an admission that the persons named herein constitute a group for purposes of Regulation 13D-G of the Securities Exchange Act of 1934, nor is a joint venture for purposes of the Investment Company Act of 1940.</w:t>
      </w:r>
    </w:p>
    <w:p>
      <w:pPr>
        <w:spacing w:after="0" w:line="200" w:lineRule="exact"/>
        <w:rPr>
          <w:sz w:val="20"/>
          <w:szCs w:val="20"/>
          <w:color w:val="auto"/>
        </w:rPr>
      </w:pPr>
    </w:p>
    <w:p>
      <w:pPr>
        <w:spacing w:after="0" w:line="308"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Group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ectPr>
          <w:pgSz w:w="11900" w:h="16838" w:orient="portrait"/>
          <w:cols w:equalWidth="0" w:num="1">
            <w:col w:w="9020"/>
          </w:cols>
          <w:pgMar w:left="1440" w:top="118" w:right="1439" w:bottom="0" w:gutter="0" w:footer="0" w:header="0"/>
        </w:sectPr>
      </w:pPr>
    </w:p>
    <w:bookmarkStart w:id="8" w:name="page9"/>
    <w:bookmarkEnd w:id="8"/>
    <w:p>
      <w:pPr>
        <w:ind w:left="3360"/>
        <w:spacing w:after="0"/>
        <w:rPr>
          <w:sz w:val="20"/>
          <w:szCs w:val="20"/>
          <w:color w:val="auto"/>
        </w:rPr>
      </w:pPr>
      <w:r>
        <w:rPr>
          <w:rFonts w:ascii="Arial" w:cs="Arial" w:eastAsia="Arial" w:hAnsi="Arial"/>
          <w:sz w:val="22"/>
          <w:szCs w:val="22"/>
          <w:color w:val="auto"/>
        </w:rPr>
        <w:t>Title: Authorized Person</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Group Holdings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19"/>
          <w:szCs w:val="19"/>
          <w:color w:val="auto"/>
        </w:rPr>
        <w:t>By: Wellington Investment Advisors Holdings LLP</w:t>
      </w:r>
    </w:p>
    <w:p>
      <w:pPr>
        <w:spacing w:after="0" w:line="79"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sectPr>
      <w:pgSz w:w="11900" w:h="16838" w:orient="portrait"/>
      <w:cols w:equalWidth="0" w:num="1">
        <w:col w:w="9019"/>
      </w:cols>
      <w:pgMar w:left="14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lvl w:ilvl="1">
      <w:lvlJc w:val="left"/>
      <w:lvlText w:val="[%2]"/>
      <w:numFmt w:val="upperLetter"/>
      <w:start w:val="24"/>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lowerLetter"/>
      <w:start w:val="1"/>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Letter"/>
      <w:start w:val="1"/>
    </w:lvl>
  </w:abstractNum>
  <w:abstractNum w:abstractNumId="5">
    <w:nsid w:val="2EB141F2"/>
    <w:multiLevelType w:val="hybridMultilevel"/>
    <w:lvl w:ilvl="0">
      <w:lvlJc w:val="left"/>
      <w:lvlText w:val="(%1)"/>
      <w:numFmt w:val="lowerLetter"/>
      <w:start w:val="3"/>
    </w:lvl>
    <w:lvl w:ilvl="1">
      <w:lvlJc w:val="left"/>
      <w:lvlText w:val="(%2)"/>
      <w:numFmt w:val="lowerRoman"/>
      <w:start w:val="1"/>
    </w:lvl>
  </w:abstractNum>
  <w:abstractNum w:abstractNumId="6">
    <w:nsid w:val="41B71EFB"/>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2020-01-08T15:13:07Z</dcterms:created>
  <dcterms:modified xsi:type="dcterms:W3CDTF">2020-01-08T15:13:07Z</dcterms:modified>
</cp:coreProperties>
</file>