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92" w:lineRule="exact"/>
        <w:rPr>
          <w:sz w:val="24"/>
          <w:szCs w:val="24"/>
          <w:color w:val="auto"/>
        </w:rPr>
      </w:pPr>
    </w:p>
    <w:p>
      <w:pPr>
        <w:ind w:left="336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1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8-K/A</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1)</w:t>
      </w:r>
    </w:p>
    <w:p>
      <w:pPr>
        <w:ind w:left="336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19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December 31, 2019</w:t>
      </w:r>
    </w:p>
    <w:p>
      <w:pPr>
        <w:spacing w:after="0" w:line="126" w:lineRule="exact"/>
        <w:rPr>
          <w:sz w:val="24"/>
          <w:szCs w:val="24"/>
          <w:color w:val="auto"/>
        </w:rPr>
      </w:pPr>
    </w:p>
    <w:p>
      <w:pPr>
        <w:ind w:left="336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2543810</wp:posOffset>
            </wp:positionH>
            <wp:positionV relativeFrom="paragraph">
              <wp:posOffset>140335</wp:posOffset>
            </wp:positionV>
            <wp:extent cx="2178050" cy="428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78050" cy="4286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TRI Pointe Group, Inc.</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99" w:lineRule="exact"/>
        <w:rPr>
          <w:sz w:val="24"/>
          <w:szCs w:val="24"/>
          <w:color w:val="auto"/>
        </w:rPr>
      </w:pPr>
    </w:p>
    <w:p>
      <w:pPr>
        <w:ind w:left="336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153" w:lineRule="exact"/>
        <w:rPr>
          <w:sz w:val="24"/>
          <w:szCs w:val="24"/>
          <w:color w:val="auto"/>
        </w:rPr>
      </w:pPr>
    </w:p>
    <w:tbl>
      <w:tblPr>
        <w:tblLayout w:type="fixed"/>
        <w:tblInd w:w="800" w:type="dxa"/>
        <w:tblCellMar>
          <w:top w:w="0" w:type="dxa"/>
          <w:left w:w="0" w:type="dxa"/>
          <w:bottom w:w="0" w:type="dxa"/>
          <w:right w:w="0" w:type="dxa"/>
        </w:tblCellMar>
      </w:tblPr>
      <w:tr>
        <w:trPr>
          <w:trHeight w:val="210"/>
        </w:trPr>
        <w:tc>
          <w:tcPr>
            <w:tcW w:w="2200" w:type="dxa"/>
            <w:vAlign w:val="bottom"/>
          </w:tcPr>
          <w:p>
            <w:pPr>
              <w:jc w:val="center"/>
              <w:ind w:right="259"/>
              <w:spacing w:after="0"/>
              <w:rPr>
                <w:sz w:val="20"/>
                <w:szCs w:val="20"/>
                <w:color w:val="auto"/>
              </w:rPr>
            </w:pPr>
            <w:r>
              <w:rPr>
                <w:rFonts w:ascii="Arial" w:cs="Arial" w:eastAsia="Arial" w:hAnsi="Arial"/>
                <w:sz w:val="16"/>
                <w:szCs w:val="16"/>
                <w:b w:val="1"/>
                <w:bCs w:val="1"/>
                <w:color w:val="auto"/>
                <w:w w:val="93"/>
              </w:rPr>
              <w:t>Delaware</w:t>
            </w:r>
          </w:p>
        </w:tc>
        <w:tc>
          <w:tcPr>
            <w:tcW w:w="5540" w:type="dxa"/>
            <w:vAlign w:val="bottom"/>
          </w:tcPr>
          <w:p>
            <w:pPr>
              <w:jc w:val="center"/>
              <w:ind w:right="125"/>
              <w:spacing w:after="0"/>
              <w:rPr>
                <w:sz w:val="20"/>
                <w:szCs w:val="20"/>
                <w:color w:val="auto"/>
              </w:rPr>
            </w:pPr>
            <w:r>
              <w:rPr>
                <w:rFonts w:ascii="Arial" w:cs="Arial" w:eastAsia="Arial" w:hAnsi="Arial"/>
                <w:sz w:val="16"/>
                <w:szCs w:val="16"/>
                <w:b w:val="1"/>
                <w:bCs w:val="1"/>
                <w:color w:val="auto"/>
                <w:w w:val="91"/>
              </w:rPr>
              <w:t>1-35796</w:t>
            </w:r>
          </w:p>
        </w:tc>
        <w:tc>
          <w:tcPr>
            <w:tcW w:w="1760" w:type="dxa"/>
            <w:vAlign w:val="bottom"/>
          </w:tcPr>
          <w:p>
            <w:pPr>
              <w:jc w:val="center"/>
              <w:ind w:left="379"/>
              <w:spacing w:after="0"/>
              <w:rPr>
                <w:sz w:val="20"/>
                <w:szCs w:val="20"/>
                <w:color w:val="auto"/>
              </w:rPr>
            </w:pPr>
            <w:r>
              <w:rPr>
                <w:rFonts w:ascii="Arial" w:cs="Arial" w:eastAsia="Arial" w:hAnsi="Arial"/>
                <w:sz w:val="16"/>
                <w:szCs w:val="16"/>
                <w:b w:val="1"/>
                <w:bCs w:val="1"/>
                <w:color w:val="auto"/>
                <w:w w:val="91"/>
              </w:rPr>
              <w:t>61-1763235</w:t>
            </w:r>
          </w:p>
        </w:tc>
      </w:tr>
      <w:tr>
        <w:trPr>
          <w:trHeight w:val="249"/>
        </w:trPr>
        <w:tc>
          <w:tcPr>
            <w:tcW w:w="2200" w:type="dxa"/>
            <w:vAlign w:val="bottom"/>
          </w:tcPr>
          <w:p>
            <w:pPr>
              <w:jc w:val="center"/>
              <w:ind w:right="279"/>
              <w:spacing w:after="0"/>
              <w:rPr>
                <w:sz w:val="20"/>
                <w:szCs w:val="20"/>
                <w:color w:val="auto"/>
              </w:rPr>
            </w:pPr>
            <w:r>
              <w:rPr>
                <w:rFonts w:ascii="Arial" w:cs="Arial" w:eastAsia="Arial" w:hAnsi="Arial"/>
                <w:sz w:val="16"/>
                <w:szCs w:val="16"/>
                <w:b w:val="1"/>
                <w:bCs w:val="1"/>
                <w:color w:val="auto"/>
                <w:w w:val="91"/>
              </w:rPr>
              <w:t>(State or other jurisdiction</w:t>
            </w:r>
          </w:p>
        </w:tc>
        <w:tc>
          <w:tcPr>
            <w:tcW w:w="5540" w:type="dxa"/>
            <w:vAlign w:val="bottom"/>
          </w:tcPr>
          <w:p>
            <w:pPr>
              <w:jc w:val="center"/>
              <w:ind w:right="125"/>
              <w:spacing w:after="0"/>
              <w:rPr>
                <w:sz w:val="20"/>
                <w:szCs w:val="20"/>
                <w:color w:val="auto"/>
              </w:rPr>
            </w:pPr>
            <w:r>
              <w:rPr>
                <w:rFonts w:ascii="Arial" w:cs="Arial" w:eastAsia="Arial" w:hAnsi="Arial"/>
                <w:sz w:val="16"/>
                <w:szCs w:val="16"/>
                <w:b w:val="1"/>
                <w:bCs w:val="1"/>
                <w:color w:val="auto"/>
                <w:w w:val="88"/>
              </w:rPr>
              <w:t>(Commission</w:t>
            </w:r>
          </w:p>
        </w:tc>
        <w:tc>
          <w:tcPr>
            <w:tcW w:w="1760" w:type="dxa"/>
            <w:vAlign w:val="bottom"/>
          </w:tcPr>
          <w:p>
            <w:pPr>
              <w:jc w:val="center"/>
              <w:ind w:left="399"/>
              <w:spacing w:after="0"/>
              <w:rPr>
                <w:sz w:val="20"/>
                <w:szCs w:val="20"/>
                <w:color w:val="auto"/>
              </w:rPr>
            </w:pPr>
            <w:r>
              <w:rPr>
                <w:rFonts w:ascii="Arial" w:cs="Arial" w:eastAsia="Arial" w:hAnsi="Arial"/>
                <w:sz w:val="16"/>
                <w:szCs w:val="16"/>
                <w:b w:val="1"/>
                <w:bCs w:val="1"/>
                <w:color w:val="auto"/>
                <w:w w:val="95"/>
              </w:rPr>
              <w:t>(IRS Employer</w:t>
            </w:r>
          </w:p>
        </w:tc>
      </w:tr>
      <w:tr>
        <w:trPr>
          <w:trHeight w:val="210"/>
        </w:trPr>
        <w:tc>
          <w:tcPr>
            <w:tcW w:w="2200" w:type="dxa"/>
            <w:vAlign w:val="bottom"/>
          </w:tcPr>
          <w:p>
            <w:pPr>
              <w:jc w:val="center"/>
              <w:ind w:right="259"/>
              <w:spacing w:after="0"/>
              <w:rPr>
                <w:sz w:val="20"/>
                <w:szCs w:val="20"/>
                <w:color w:val="auto"/>
              </w:rPr>
            </w:pPr>
            <w:r>
              <w:rPr>
                <w:rFonts w:ascii="Arial" w:cs="Arial" w:eastAsia="Arial" w:hAnsi="Arial"/>
                <w:sz w:val="16"/>
                <w:szCs w:val="16"/>
                <w:b w:val="1"/>
                <w:bCs w:val="1"/>
                <w:color w:val="auto"/>
                <w:w w:val="92"/>
              </w:rPr>
              <w:t>of incorporation)</w:t>
            </w:r>
          </w:p>
        </w:tc>
        <w:tc>
          <w:tcPr>
            <w:tcW w:w="5540" w:type="dxa"/>
            <w:vAlign w:val="bottom"/>
          </w:tcPr>
          <w:p>
            <w:pPr>
              <w:jc w:val="center"/>
              <w:ind w:right="125"/>
              <w:spacing w:after="0"/>
              <w:rPr>
                <w:sz w:val="20"/>
                <w:szCs w:val="20"/>
                <w:color w:val="auto"/>
              </w:rPr>
            </w:pPr>
            <w:r>
              <w:rPr>
                <w:rFonts w:ascii="Arial" w:cs="Arial" w:eastAsia="Arial" w:hAnsi="Arial"/>
                <w:sz w:val="16"/>
                <w:szCs w:val="16"/>
                <w:b w:val="1"/>
                <w:bCs w:val="1"/>
                <w:color w:val="auto"/>
                <w:w w:val="96"/>
              </w:rPr>
              <w:t>File Number)</w:t>
            </w:r>
          </w:p>
        </w:tc>
        <w:tc>
          <w:tcPr>
            <w:tcW w:w="1760" w:type="dxa"/>
            <w:vAlign w:val="bottom"/>
          </w:tcPr>
          <w:p>
            <w:pPr>
              <w:jc w:val="center"/>
              <w:ind w:left="399"/>
              <w:spacing w:after="0"/>
              <w:rPr>
                <w:sz w:val="20"/>
                <w:szCs w:val="20"/>
                <w:color w:val="auto"/>
              </w:rPr>
            </w:pPr>
            <w:r>
              <w:rPr>
                <w:rFonts w:ascii="Arial" w:cs="Arial" w:eastAsia="Arial" w:hAnsi="Arial"/>
                <w:sz w:val="16"/>
                <w:szCs w:val="16"/>
                <w:b w:val="1"/>
                <w:bCs w:val="1"/>
                <w:color w:val="auto"/>
                <w:w w:val="94"/>
              </w:rPr>
              <w:t>Identification No.)</w:t>
            </w:r>
          </w:p>
        </w:tc>
      </w:tr>
      <w:tr>
        <w:trPr>
          <w:trHeight w:val="578"/>
        </w:trPr>
        <w:tc>
          <w:tcPr>
            <w:tcW w:w="2200" w:type="dxa"/>
            <w:vAlign w:val="bottom"/>
          </w:tcPr>
          <w:p>
            <w:pPr>
              <w:spacing w:after="0"/>
              <w:rPr>
                <w:sz w:val="24"/>
                <w:szCs w:val="24"/>
                <w:color w:val="auto"/>
              </w:rPr>
            </w:pPr>
          </w:p>
        </w:tc>
        <w:tc>
          <w:tcPr>
            <w:tcW w:w="5540" w:type="dxa"/>
            <w:vAlign w:val="bottom"/>
          </w:tcPr>
          <w:p>
            <w:pPr>
              <w:jc w:val="center"/>
              <w:ind w:right="25"/>
              <w:spacing w:after="0"/>
              <w:rPr>
                <w:sz w:val="20"/>
                <w:szCs w:val="20"/>
                <w:color w:val="auto"/>
              </w:rPr>
            </w:pPr>
            <w:r>
              <w:rPr>
                <w:rFonts w:ascii="Arial" w:cs="Arial" w:eastAsia="Arial" w:hAnsi="Arial"/>
                <w:sz w:val="14"/>
                <w:szCs w:val="14"/>
                <w:b w:val="1"/>
                <w:bCs w:val="1"/>
                <w:color w:val="auto"/>
                <w:w w:val="92"/>
              </w:rPr>
              <w:t>19540 Jamboree Road, Suite 300</w:t>
            </w:r>
          </w:p>
        </w:tc>
        <w:tc>
          <w:tcPr>
            <w:tcW w:w="1760" w:type="dxa"/>
            <w:vAlign w:val="bottom"/>
          </w:tcPr>
          <w:p>
            <w:pPr>
              <w:spacing w:after="0"/>
              <w:rPr>
                <w:sz w:val="24"/>
                <w:szCs w:val="24"/>
                <w:color w:val="auto"/>
              </w:rPr>
            </w:pPr>
          </w:p>
        </w:tc>
      </w:tr>
      <w:tr>
        <w:trPr>
          <w:trHeight w:val="162"/>
        </w:trPr>
        <w:tc>
          <w:tcPr>
            <w:tcW w:w="2200" w:type="dxa"/>
            <w:vAlign w:val="bottom"/>
          </w:tcPr>
          <w:p>
            <w:pPr>
              <w:spacing w:after="0"/>
              <w:rPr>
                <w:sz w:val="14"/>
                <w:szCs w:val="14"/>
                <w:color w:val="auto"/>
              </w:rPr>
            </w:pPr>
          </w:p>
        </w:tc>
        <w:tc>
          <w:tcPr>
            <w:tcW w:w="5540" w:type="dxa"/>
            <w:vAlign w:val="bottom"/>
          </w:tcPr>
          <w:p>
            <w:pPr>
              <w:jc w:val="center"/>
              <w:ind w:right="25"/>
              <w:spacing w:after="0"/>
              <w:rPr>
                <w:sz w:val="20"/>
                <w:szCs w:val="20"/>
                <w:color w:val="auto"/>
              </w:rPr>
            </w:pPr>
            <w:r>
              <w:rPr>
                <w:rFonts w:ascii="Arial" w:cs="Arial" w:eastAsia="Arial" w:hAnsi="Arial"/>
                <w:sz w:val="14"/>
                <w:szCs w:val="14"/>
                <w:b w:val="1"/>
                <w:bCs w:val="1"/>
                <w:color w:val="auto"/>
                <w:w w:val="97"/>
              </w:rPr>
              <w:t>Irvine, California 92612</w:t>
            </w:r>
          </w:p>
        </w:tc>
        <w:tc>
          <w:tcPr>
            <w:tcW w:w="1760" w:type="dxa"/>
            <w:vAlign w:val="bottom"/>
          </w:tcPr>
          <w:p>
            <w:pPr>
              <w:spacing w:after="0"/>
              <w:rPr>
                <w:sz w:val="14"/>
                <w:szCs w:val="14"/>
                <w:color w:val="auto"/>
              </w:rPr>
            </w:pPr>
          </w:p>
        </w:tc>
      </w:tr>
      <w:tr>
        <w:trPr>
          <w:trHeight w:val="186"/>
        </w:trPr>
        <w:tc>
          <w:tcPr>
            <w:tcW w:w="2200" w:type="dxa"/>
            <w:vAlign w:val="bottom"/>
          </w:tcPr>
          <w:p>
            <w:pPr>
              <w:spacing w:after="0"/>
              <w:rPr>
                <w:sz w:val="16"/>
                <w:szCs w:val="16"/>
                <w:color w:val="auto"/>
              </w:rPr>
            </w:pPr>
          </w:p>
        </w:tc>
        <w:tc>
          <w:tcPr>
            <w:tcW w:w="5540" w:type="dxa"/>
            <w:vAlign w:val="bottom"/>
          </w:tcPr>
          <w:p>
            <w:pPr>
              <w:jc w:val="center"/>
              <w:ind w:right="25"/>
              <w:spacing w:after="0"/>
              <w:rPr>
                <w:sz w:val="20"/>
                <w:szCs w:val="20"/>
                <w:color w:val="auto"/>
              </w:rPr>
            </w:pPr>
            <w:r>
              <w:rPr>
                <w:rFonts w:ascii="Arial" w:cs="Arial" w:eastAsia="Arial" w:hAnsi="Arial"/>
                <w:sz w:val="14"/>
                <w:szCs w:val="14"/>
                <w:b w:val="1"/>
                <w:bCs w:val="1"/>
                <w:color w:val="auto"/>
                <w:w w:val="92"/>
              </w:rPr>
              <w:t>(Address of principal executive offices) (Zip Code)</w:t>
            </w:r>
          </w:p>
        </w:tc>
        <w:tc>
          <w:tcPr>
            <w:tcW w:w="1760" w:type="dxa"/>
            <w:vAlign w:val="bottom"/>
          </w:tcPr>
          <w:p>
            <w:pPr>
              <w:spacing w:after="0"/>
              <w:rPr>
                <w:sz w:val="16"/>
                <w:szCs w:val="16"/>
                <w:color w:val="auto"/>
              </w:rPr>
            </w:pPr>
          </w:p>
        </w:tc>
      </w:tr>
      <w:tr>
        <w:trPr>
          <w:trHeight w:val="411"/>
        </w:trPr>
        <w:tc>
          <w:tcPr>
            <w:tcW w:w="2200" w:type="dxa"/>
            <w:vAlign w:val="bottom"/>
          </w:tcPr>
          <w:p>
            <w:pPr>
              <w:spacing w:after="0"/>
              <w:rPr>
                <w:sz w:val="24"/>
                <w:szCs w:val="24"/>
                <w:color w:val="auto"/>
              </w:rPr>
            </w:pPr>
          </w:p>
        </w:tc>
        <w:tc>
          <w:tcPr>
            <w:tcW w:w="5540" w:type="dxa"/>
            <w:vAlign w:val="bottom"/>
          </w:tcPr>
          <w:p>
            <w:pPr>
              <w:jc w:val="center"/>
              <w:ind w:right="25"/>
              <w:spacing w:after="0"/>
              <w:rPr>
                <w:sz w:val="20"/>
                <w:szCs w:val="20"/>
                <w:color w:val="auto"/>
              </w:rPr>
            </w:pPr>
            <w:r>
              <w:rPr>
                <w:rFonts w:ascii="Arial" w:cs="Arial" w:eastAsia="Arial" w:hAnsi="Arial"/>
                <w:sz w:val="16"/>
                <w:szCs w:val="16"/>
                <w:b w:val="1"/>
                <w:bCs w:val="1"/>
                <w:color w:val="auto"/>
                <w:w w:val="90"/>
              </w:rPr>
              <w:t>Registrant’s telephone number, including area code (949) 438-1400</w:t>
            </w:r>
          </w:p>
        </w:tc>
        <w:tc>
          <w:tcPr>
            <w:tcW w:w="1760" w:type="dxa"/>
            <w:vAlign w:val="bottom"/>
          </w:tcPr>
          <w:p>
            <w:pPr>
              <w:spacing w:after="0"/>
              <w:rPr>
                <w:sz w:val="24"/>
                <w:szCs w:val="24"/>
                <w:color w:val="auto"/>
              </w:rPr>
            </w:pPr>
          </w:p>
        </w:tc>
      </w:tr>
      <w:tr>
        <w:trPr>
          <w:trHeight w:val="375"/>
        </w:trPr>
        <w:tc>
          <w:tcPr>
            <w:tcW w:w="2200" w:type="dxa"/>
            <w:vAlign w:val="bottom"/>
          </w:tcPr>
          <w:p>
            <w:pPr>
              <w:spacing w:after="0"/>
              <w:rPr>
                <w:sz w:val="24"/>
                <w:szCs w:val="24"/>
                <w:color w:val="auto"/>
              </w:rPr>
            </w:pPr>
          </w:p>
        </w:tc>
        <w:tc>
          <w:tcPr>
            <w:tcW w:w="5540" w:type="dxa"/>
            <w:vAlign w:val="bottom"/>
          </w:tcPr>
          <w:p>
            <w:pPr>
              <w:jc w:val="center"/>
              <w:ind w:right="25"/>
              <w:spacing w:after="0"/>
              <w:rPr>
                <w:sz w:val="20"/>
                <w:szCs w:val="20"/>
                <w:color w:val="auto"/>
              </w:rPr>
            </w:pPr>
            <w:r>
              <w:rPr>
                <w:rFonts w:ascii="Arial" w:cs="Arial" w:eastAsia="Arial" w:hAnsi="Arial"/>
                <w:sz w:val="16"/>
                <w:szCs w:val="16"/>
                <w:b w:val="1"/>
                <w:bCs w:val="1"/>
                <w:color w:val="auto"/>
                <w:w w:val="92"/>
              </w:rPr>
              <w:t>Not Applicable</w:t>
            </w:r>
          </w:p>
        </w:tc>
        <w:tc>
          <w:tcPr>
            <w:tcW w:w="1760" w:type="dxa"/>
            <w:vAlign w:val="bottom"/>
          </w:tcPr>
          <w:p>
            <w:pPr>
              <w:spacing w:after="0"/>
              <w:rPr>
                <w:sz w:val="24"/>
                <w:szCs w:val="24"/>
                <w:color w:val="auto"/>
              </w:rPr>
            </w:pPr>
          </w:p>
        </w:tc>
      </w:tr>
      <w:tr>
        <w:trPr>
          <w:trHeight w:val="186"/>
        </w:trPr>
        <w:tc>
          <w:tcPr>
            <w:tcW w:w="2200" w:type="dxa"/>
            <w:vAlign w:val="bottom"/>
          </w:tcPr>
          <w:p>
            <w:pPr>
              <w:spacing w:after="0"/>
              <w:rPr>
                <w:sz w:val="16"/>
                <w:szCs w:val="16"/>
                <w:color w:val="auto"/>
              </w:rPr>
            </w:pPr>
          </w:p>
        </w:tc>
        <w:tc>
          <w:tcPr>
            <w:tcW w:w="5540" w:type="dxa"/>
            <w:vAlign w:val="bottom"/>
          </w:tcPr>
          <w:p>
            <w:pPr>
              <w:jc w:val="center"/>
              <w:ind w:right="25"/>
              <w:spacing w:after="0"/>
              <w:rPr>
                <w:sz w:val="20"/>
                <w:szCs w:val="20"/>
                <w:color w:val="auto"/>
              </w:rPr>
            </w:pPr>
            <w:r>
              <w:rPr>
                <w:rFonts w:ascii="Arial" w:cs="Arial" w:eastAsia="Arial" w:hAnsi="Arial"/>
                <w:sz w:val="14"/>
                <w:szCs w:val="14"/>
                <w:b w:val="1"/>
                <w:bCs w:val="1"/>
                <w:color w:val="auto"/>
                <w:w w:val="92"/>
              </w:rPr>
              <w:t>(Former name or former address, if changed since last report.)</w:t>
            </w:r>
          </w:p>
        </w:tc>
        <w:tc>
          <w:tcPr>
            <w:tcW w:w="1760" w:type="dxa"/>
            <w:vAlign w:val="bottom"/>
          </w:tcPr>
          <w:p>
            <w:pPr>
              <w:spacing w:after="0"/>
              <w:rPr>
                <w:sz w:val="16"/>
                <w:szCs w:val="16"/>
                <w:color w:val="auto"/>
              </w:rPr>
            </w:pPr>
          </w:p>
        </w:tc>
      </w:tr>
      <w:tr>
        <w:trPr>
          <w:trHeight w:val="233"/>
        </w:trPr>
        <w:tc>
          <w:tcPr>
            <w:tcW w:w="2200" w:type="dxa"/>
            <w:vAlign w:val="bottom"/>
          </w:tcPr>
          <w:p>
            <w:pPr>
              <w:spacing w:after="0"/>
              <w:rPr>
                <w:sz w:val="20"/>
                <w:szCs w:val="20"/>
                <w:color w:val="auto"/>
              </w:rPr>
            </w:pPr>
          </w:p>
        </w:tc>
        <w:tc>
          <w:tcPr>
            <w:tcW w:w="5540" w:type="dxa"/>
            <w:vAlign w:val="bottom"/>
          </w:tcPr>
          <w:p>
            <w:pPr>
              <w:jc w:val="center"/>
              <w:ind w:right="45"/>
              <w:spacing w:after="0"/>
              <w:rPr>
                <w:sz w:val="20"/>
                <w:szCs w:val="20"/>
                <w:color w:val="auto"/>
              </w:rPr>
            </w:pPr>
            <w:r>
              <w:rPr>
                <w:rFonts w:ascii="Arial" w:cs="Arial" w:eastAsia="Arial" w:hAnsi="Arial"/>
                <w:sz w:val="11"/>
                <w:szCs w:val="11"/>
                <w:color w:val="auto"/>
                <w:w w:val="88"/>
              </w:rPr>
              <w:t>_______________________________________________________________________________________</w:t>
            </w:r>
          </w:p>
        </w:tc>
        <w:tc>
          <w:tcPr>
            <w:tcW w:w="1760" w:type="dxa"/>
            <w:vAlign w:val="bottom"/>
          </w:tcPr>
          <w:p>
            <w:pPr>
              <w:spacing w:after="0"/>
              <w:rPr>
                <w:sz w:val="20"/>
                <w:szCs w:val="20"/>
                <w:color w:val="auto"/>
              </w:rPr>
            </w:pPr>
          </w:p>
        </w:tc>
      </w:tr>
    </w:tbl>
    <w:p>
      <w:pPr>
        <w:spacing w:after="0" w:line="144"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 below if the Form 8-K filing is intended to simultaneously satisfy the filing obligation of the registrant under any of the following provisions:</w:t>
      </w:r>
    </w:p>
    <w:p>
      <w:pPr>
        <w:spacing w:after="0" w:line="165" w:lineRule="exact"/>
        <w:rPr>
          <w:sz w:val="24"/>
          <w:szCs w:val="24"/>
          <w:color w:val="auto"/>
        </w:rPr>
      </w:pPr>
    </w:p>
    <w:p>
      <w:pPr>
        <w:ind w:left="720" w:hanging="685"/>
        <w:spacing w:after="0"/>
        <w:tabs>
          <w:tab w:leader="none" w:pos="7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Written communications pursuant to Rule 425 under the Securities Act (17 CFR 230.425)</w:t>
      </w:r>
    </w:p>
    <w:p>
      <w:pPr>
        <w:spacing w:after="0" w:line="205" w:lineRule="exact"/>
        <w:rPr>
          <w:rFonts w:ascii="MS PGothic" w:cs="MS PGothic" w:eastAsia="MS PGothic" w:hAnsi="MS PGothic"/>
          <w:sz w:val="15"/>
          <w:szCs w:val="15"/>
          <w:color w:val="auto"/>
        </w:rPr>
      </w:pPr>
    </w:p>
    <w:p>
      <w:pPr>
        <w:ind w:left="720" w:hanging="685"/>
        <w:spacing w:after="0"/>
        <w:tabs>
          <w:tab w:leader="none" w:pos="7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Soliciting material pursuant to Rule 14a-12 under the Exchange Act (17 CFR 240.14a-12)</w:t>
      </w:r>
    </w:p>
    <w:p>
      <w:pPr>
        <w:spacing w:after="0" w:line="205" w:lineRule="exact"/>
        <w:rPr>
          <w:rFonts w:ascii="MS PGothic" w:cs="MS PGothic" w:eastAsia="MS PGothic" w:hAnsi="MS PGothic"/>
          <w:sz w:val="15"/>
          <w:szCs w:val="15"/>
          <w:color w:val="auto"/>
        </w:rPr>
      </w:pPr>
    </w:p>
    <w:p>
      <w:pPr>
        <w:ind w:left="720" w:hanging="685"/>
        <w:spacing w:after="0"/>
        <w:tabs>
          <w:tab w:leader="none" w:pos="7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Pre-commencement communications pursuant to Rule 14d-2(b) under the Exchange Act (17 CFR 240.14d-2(b))</w:t>
      </w:r>
    </w:p>
    <w:p>
      <w:pPr>
        <w:spacing w:after="0" w:line="205" w:lineRule="exact"/>
        <w:rPr>
          <w:rFonts w:ascii="MS PGothic" w:cs="MS PGothic" w:eastAsia="MS PGothic" w:hAnsi="MS PGothic"/>
          <w:sz w:val="15"/>
          <w:szCs w:val="15"/>
          <w:color w:val="auto"/>
        </w:rPr>
      </w:pPr>
    </w:p>
    <w:p>
      <w:pPr>
        <w:ind w:right="3860" w:firstLine="35"/>
        <w:spacing w:after="0" w:line="469" w:lineRule="auto"/>
        <w:tabs>
          <w:tab w:leader="none" w:pos="716"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10"/>
        </w:trPr>
        <w:tc>
          <w:tcPr>
            <w:tcW w:w="4480" w:type="dxa"/>
            <w:vAlign w:val="bottom"/>
            <w:gridSpan w:val="2"/>
          </w:tcPr>
          <w:p>
            <w:pPr>
              <w:ind w:left="40"/>
              <w:spacing w:after="0"/>
              <w:rPr>
                <w:sz w:val="20"/>
                <w:szCs w:val="20"/>
                <w:color w:val="auto"/>
              </w:rPr>
            </w:pPr>
            <w:r>
              <w:rPr>
                <w:rFonts w:ascii="Arial" w:cs="Arial" w:eastAsia="Arial" w:hAnsi="Arial"/>
                <w:sz w:val="16"/>
                <w:szCs w:val="16"/>
                <w:b w:val="1"/>
                <w:bCs w:val="1"/>
                <w:color w:val="auto"/>
              </w:rPr>
              <w:t>Title of each class</w:t>
            </w:r>
          </w:p>
        </w:tc>
        <w:tc>
          <w:tcPr>
            <w:tcW w:w="20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Trading Symbol(s)</w:t>
            </w:r>
          </w:p>
        </w:tc>
        <w:tc>
          <w:tcPr>
            <w:tcW w:w="4900" w:type="dxa"/>
            <w:vAlign w:val="bottom"/>
          </w:tcPr>
          <w:p>
            <w:pPr>
              <w:jc w:val="center"/>
              <w:spacing w:after="0"/>
              <w:rPr>
                <w:sz w:val="20"/>
                <w:szCs w:val="20"/>
                <w:color w:val="auto"/>
              </w:rPr>
            </w:pPr>
            <w:r>
              <w:rPr>
                <w:rFonts w:ascii="Arial" w:cs="Arial" w:eastAsia="Arial" w:hAnsi="Arial"/>
                <w:sz w:val="16"/>
                <w:szCs w:val="16"/>
                <w:b w:val="1"/>
                <w:bCs w:val="1"/>
                <w:color w:val="auto"/>
                <w:w w:val="89"/>
              </w:rPr>
              <w:t>Name of each exchange on which registered</w:t>
            </w:r>
          </w:p>
        </w:tc>
      </w:tr>
      <w:tr>
        <w:trPr>
          <w:trHeight w:val="33"/>
        </w:trPr>
        <w:tc>
          <w:tcPr>
            <w:tcW w:w="4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Borders>
              <w:bottom w:val="single" w:sz="8" w:color="auto"/>
            </w:tcBorders>
          </w:tcPr>
          <w:p>
            <w:pPr>
              <w:spacing w:after="0"/>
              <w:rPr>
                <w:sz w:val="2"/>
                <w:szCs w:val="2"/>
                <w:color w:val="auto"/>
              </w:rPr>
            </w:pPr>
          </w:p>
        </w:tc>
      </w:tr>
      <w:tr>
        <w:trPr>
          <w:trHeight w:val="217"/>
        </w:trPr>
        <w:tc>
          <w:tcPr>
            <w:tcW w:w="4480" w:type="dxa"/>
            <w:vAlign w:val="bottom"/>
            <w:gridSpan w:val="2"/>
          </w:tcPr>
          <w:p>
            <w:pPr>
              <w:ind w:left="40"/>
              <w:spacing w:after="0"/>
              <w:rPr>
                <w:sz w:val="20"/>
                <w:szCs w:val="20"/>
                <w:color w:val="auto"/>
              </w:rPr>
            </w:pPr>
            <w:r>
              <w:rPr>
                <w:rFonts w:ascii="Arial" w:cs="Arial" w:eastAsia="Arial" w:hAnsi="Arial"/>
                <w:sz w:val="16"/>
                <w:szCs w:val="16"/>
                <w:color w:val="auto"/>
              </w:rPr>
              <w:t>Common Stock, par value $0.01 per share</w:t>
            </w:r>
          </w:p>
        </w:tc>
        <w:tc>
          <w:tcPr>
            <w:tcW w:w="2040" w:type="dxa"/>
            <w:vAlign w:val="bottom"/>
            <w:gridSpan w:val="2"/>
          </w:tcPr>
          <w:p>
            <w:pPr>
              <w:jc w:val="center"/>
              <w:ind w:right="100"/>
              <w:spacing w:after="0"/>
              <w:rPr>
                <w:sz w:val="20"/>
                <w:szCs w:val="20"/>
                <w:color w:val="auto"/>
              </w:rPr>
            </w:pPr>
            <w:r>
              <w:rPr>
                <w:rFonts w:ascii="Arial" w:cs="Arial" w:eastAsia="Arial" w:hAnsi="Arial"/>
                <w:sz w:val="16"/>
                <w:szCs w:val="16"/>
                <w:color w:val="auto"/>
                <w:w w:val="93"/>
              </w:rPr>
              <w:t>TPH</w:t>
            </w:r>
          </w:p>
        </w:tc>
        <w:tc>
          <w:tcPr>
            <w:tcW w:w="4900" w:type="dxa"/>
            <w:vAlign w:val="bottom"/>
          </w:tcPr>
          <w:p>
            <w:pPr>
              <w:jc w:val="center"/>
              <w:spacing w:after="0"/>
              <w:rPr>
                <w:sz w:val="20"/>
                <w:szCs w:val="20"/>
                <w:color w:val="auto"/>
              </w:rPr>
            </w:pPr>
            <w:r>
              <w:rPr>
                <w:rFonts w:ascii="Arial" w:cs="Arial" w:eastAsia="Arial" w:hAnsi="Arial"/>
                <w:sz w:val="16"/>
                <w:szCs w:val="16"/>
                <w:color w:val="auto"/>
                <w:w w:val="91"/>
              </w:rPr>
              <w:t>New York Stock Exchange</w:t>
            </w:r>
          </w:p>
        </w:tc>
      </w:tr>
    </w:tbl>
    <w:p>
      <w:pPr>
        <w:spacing w:after="0" w:line="209" w:lineRule="exact"/>
        <w:rPr>
          <w:sz w:val="24"/>
          <w:szCs w:val="24"/>
          <w:color w:val="auto"/>
        </w:rPr>
      </w:pPr>
    </w:p>
    <w:p>
      <w:pPr>
        <w:ind w:right="40"/>
        <w:spacing w:after="0" w:line="248" w:lineRule="auto"/>
        <w:rPr>
          <w:sz w:val="20"/>
          <w:szCs w:val="20"/>
          <w:color w:val="auto"/>
        </w:rPr>
      </w:pPr>
      <w:r>
        <w:rPr>
          <w:rFonts w:ascii="Arial" w:cs="Arial" w:eastAsia="Arial" w:hAnsi="Arial"/>
          <w:sz w:val="15"/>
          <w:szCs w:val="15"/>
          <w:color w:val="auto"/>
        </w:rPr>
        <w:t>Indicate by check mark whether the registrant is an emerging growth company as defined in as defined in Rule 405 of the Securities Act of 1933 (§230.405 of this chapter) or Rule 12b-2 of the Securities Exchange Act of 1934 (§240.12b-2 of this chapter).</w:t>
      </w:r>
    </w:p>
    <w:p>
      <w:pPr>
        <w:spacing w:after="0" w:line="1"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Emerging growth company </w:t>
      </w:r>
      <w:r>
        <w:rPr>
          <w:rFonts w:ascii="MS PGothic" w:cs="MS PGothic" w:eastAsia="MS PGothic" w:hAnsi="MS PGothic"/>
          <w:sz w:val="15"/>
          <w:szCs w:val="15"/>
          <w:color w:val="auto"/>
        </w:rPr>
        <w:t>☐</w:t>
      </w:r>
    </w:p>
    <w:p>
      <w:pPr>
        <w:spacing w:after="0" w:line="9" w:lineRule="exact"/>
        <w:rPr>
          <w:sz w:val="24"/>
          <w:szCs w:val="24"/>
          <w:color w:val="auto"/>
        </w:rPr>
      </w:pPr>
    </w:p>
    <w:p>
      <w:pPr>
        <w:ind w:right="80"/>
        <w:spacing w:after="0" w:line="187" w:lineRule="exact"/>
        <w:rPr>
          <w:sz w:val="20"/>
          <w:szCs w:val="20"/>
          <w:color w:val="auto"/>
        </w:rPr>
      </w:pPr>
      <w:r>
        <w:rPr>
          <w:rFonts w:ascii="Arial" w:cs="Arial" w:eastAsia="Arial" w:hAnsi="Arial"/>
          <w:sz w:val="15"/>
          <w:szCs w:val="15"/>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5"/>
          <w:szCs w:val="15"/>
          <w:color w:val="auto"/>
        </w:rPr>
        <w:t>☐</w:t>
      </w:r>
    </w:p>
    <w:p>
      <w:pPr>
        <w:spacing w:after="0" w:line="18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720" w:right="23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This Amendment No. 1 on Form 8-K/A is being filed solely to ensure the correct item number tags (Items 5.02 and 9.01) are reflected in the EDGAR system for the submission of the Current Report on Form 8-K filed January 2, 2020 with respect to the approval of a new base salary for the Company’s Chief Financial Officer, effective January 1, 2020. No substantive changes have been made to the disclosures previously provided.</w:t>
      </w:r>
    </w:p>
    <w:p>
      <w:pPr>
        <w:spacing w:after="0" w:line="256"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260" w:lineRule="exact"/>
        <w:rPr>
          <w:sz w:val="20"/>
          <w:szCs w:val="20"/>
          <w:color w:val="auto"/>
        </w:rPr>
      </w:pPr>
    </w:p>
    <w:p>
      <w:pPr>
        <w:ind w:right="240"/>
        <w:spacing w:after="0" w:line="276" w:lineRule="auto"/>
        <w:rPr>
          <w:sz w:val="20"/>
          <w:szCs w:val="20"/>
          <w:color w:val="auto"/>
        </w:rPr>
      </w:pPr>
      <w:r>
        <w:rPr>
          <w:rFonts w:ascii="Arial" w:cs="Arial" w:eastAsia="Arial" w:hAnsi="Arial"/>
          <w:sz w:val="17"/>
          <w:szCs w:val="17"/>
          <w:color w:val="auto"/>
        </w:rPr>
        <w:t>As previously announced, Glenn J. Keeler was appointed Chief Financial Officer and Treasurer of TRI Pointe Group, Inc., a Delaware corporation (the “Company”), effective January 1, 2020, succeeding Michael D. Grubbs, who retired as Chief Financial Officer and Treasurer of the Company, effective January 1, 2020. On December 31, 2019, the Board of Directors (the “Board”) of the Company approved a base salary of $400,000 for Mr. Keeler as Chief Financial Officer, effective January 1, 2020. The Board will determine Mr. Keeler’s 2020 annual cash incentive target and the target value of long-term incentive awards at the same time it determines compensation for 2020 for the other named executive officers of the Company.</w:t>
      </w:r>
    </w:p>
    <w:p>
      <w:pPr>
        <w:spacing w:after="0" w:line="236" w:lineRule="exact"/>
        <w:rPr>
          <w:sz w:val="20"/>
          <w:szCs w:val="20"/>
          <w:color w:val="auto"/>
        </w:rPr>
      </w:pPr>
    </w:p>
    <w:p>
      <w:pPr>
        <w:spacing w:after="0"/>
        <w:tabs>
          <w:tab w:leader="none" w:pos="25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Exhibits</w:t>
      </w:r>
    </w:p>
    <w:p>
      <w:pPr>
        <w:spacing w:after="0" w:line="229" w:lineRule="exact"/>
        <w:rPr>
          <w:sz w:val="20"/>
          <w:szCs w:val="20"/>
          <w:color w:val="auto"/>
        </w:rPr>
      </w:pPr>
    </w:p>
    <w:p>
      <w:pPr>
        <w:ind w:left="1800" w:hanging="658"/>
        <w:spacing w:after="0"/>
        <w:tabs>
          <w:tab w:leader="none" w:pos="18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1800"/>
        <w:spacing w:after="0"/>
        <w:rPr>
          <w:rFonts w:ascii="Arial" w:cs="Arial" w:eastAsia="Arial" w:hAnsi="Arial"/>
          <w:sz w:val="18"/>
          <w:szCs w:val="18"/>
          <w:color w:val="auto"/>
        </w:rPr>
      </w:pPr>
      <w:r>
        <w:rPr>
          <w:rFonts w:ascii="Arial" w:cs="Arial" w:eastAsia="Arial" w:hAnsi="Arial"/>
          <w:sz w:val="18"/>
          <w:szCs w:val="18"/>
          <w:color w:val="auto"/>
        </w:rPr>
        <w:t>104</w:t>
      </w:r>
      <w:r>
        <w:rPr>
          <w:rFonts w:ascii="Arial" w:cs="Arial" w:eastAsia="Arial" w:hAnsi="Arial"/>
          <w:sz w:val="16"/>
          <w:szCs w:val="16"/>
          <w:color w:val="auto"/>
        </w:rPr>
        <w:t>Cover Page Interactive Data File, formatted in Inline XBRL</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553" w:right="23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37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TRI Pointe Group, Inc.</w:t>
      </w:r>
    </w:p>
    <w:p>
      <w:pPr>
        <w:spacing w:after="0" w:line="333" w:lineRule="exact"/>
        <w:rPr>
          <w:sz w:val="20"/>
          <w:szCs w:val="20"/>
          <w:color w:val="auto"/>
        </w:rPr>
      </w:pPr>
    </w:p>
    <w:p>
      <w:pPr>
        <w:ind w:left="40"/>
        <w:spacing w:after="0"/>
        <w:tabs>
          <w:tab w:leader="none" w:pos="5960" w:val="left"/>
          <w:tab w:leader="none" w:pos="6480" w:val="left"/>
        </w:tabs>
        <w:rPr>
          <w:sz w:val="20"/>
          <w:szCs w:val="20"/>
          <w:color w:val="auto"/>
        </w:rPr>
      </w:pPr>
      <w:r>
        <w:rPr>
          <w:rFonts w:ascii="Arial" w:cs="Arial" w:eastAsia="Arial" w:hAnsi="Arial"/>
          <w:sz w:val="18"/>
          <w:szCs w:val="18"/>
          <w:color w:val="auto"/>
        </w:rPr>
        <w:t>Date: January 3,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David C. Lee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48895</wp:posOffset>
            </wp:positionV>
            <wp:extent cx="31813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111" w:lineRule="exact"/>
        <w:rPr>
          <w:sz w:val="20"/>
          <w:szCs w:val="20"/>
          <w:color w:val="auto"/>
        </w:rPr>
      </w:pPr>
    </w:p>
    <w:p>
      <w:pPr>
        <w:ind w:left="6500"/>
        <w:spacing w:after="0"/>
        <w:rPr>
          <w:sz w:val="20"/>
          <w:szCs w:val="20"/>
          <w:color w:val="auto"/>
        </w:rPr>
      </w:pPr>
      <w:r>
        <w:rPr>
          <w:rFonts w:ascii="Arial" w:cs="Arial" w:eastAsia="Arial" w:hAnsi="Arial"/>
          <w:sz w:val="18"/>
          <w:szCs w:val="18"/>
          <w:color w:val="auto"/>
        </w:rPr>
        <w:t>David C. Lee,</w:t>
      </w:r>
    </w:p>
    <w:p>
      <w:pPr>
        <w:spacing w:after="0" w:line="2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Vice President, General Counsel and Secretary</w:t>
      </w:r>
    </w:p>
    <w:p>
      <w:pPr>
        <w:spacing w:after="0" w:line="200" w:lineRule="exact"/>
        <w:rPr>
          <w:sz w:val="20"/>
          <w:szCs w:val="20"/>
          <w:color w:val="auto"/>
        </w:rPr>
      </w:pPr>
    </w:p>
    <w:p>
      <w:pPr>
        <w:spacing w:after="0" w:line="29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240" w:top="553" w:right="4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380" w:type="dxa"/>
            <w:vAlign w:val="bottom"/>
            <w:gridSpan w:val="3"/>
          </w:tcPr>
          <w:p>
            <w:pPr>
              <w:jc w:val="center"/>
              <w:ind w:right="1040"/>
              <w:spacing w:after="0"/>
              <w:rPr>
                <w:sz w:val="20"/>
                <w:szCs w:val="20"/>
                <w:color w:val="auto"/>
              </w:rPr>
            </w:pPr>
            <w:r>
              <w:rPr>
                <w:rFonts w:ascii="Arial" w:cs="Arial" w:eastAsia="Arial" w:hAnsi="Arial"/>
                <w:sz w:val="18"/>
                <w:szCs w:val="18"/>
                <w:b w:val="1"/>
                <w:bCs w:val="1"/>
                <w:color w:val="auto"/>
              </w:rPr>
              <w:t>INDEX OF EXHIBITS</w:t>
            </w:r>
          </w:p>
        </w:tc>
        <w:tc>
          <w:tcPr>
            <w:tcW w:w="0" w:type="dxa"/>
            <w:vAlign w:val="bottom"/>
          </w:tcPr>
          <w:p>
            <w:pPr>
              <w:spacing w:after="0"/>
              <w:rPr>
                <w:sz w:val="1"/>
                <w:szCs w:val="1"/>
                <w:color w:val="auto"/>
              </w:rPr>
            </w:pPr>
          </w:p>
        </w:tc>
      </w:tr>
      <w:tr>
        <w:trPr>
          <w:trHeight w:val="524"/>
        </w:trPr>
        <w:tc>
          <w:tcPr>
            <w:tcW w:w="10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Exhibit</w:t>
            </w:r>
          </w:p>
        </w:tc>
        <w:tc>
          <w:tcPr>
            <w:tcW w:w="3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Description of Document</w:t>
            </w:r>
          </w:p>
        </w:tc>
        <w:tc>
          <w:tcPr>
            <w:tcW w:w="1780" w:type="dxa"/>
            <w:vAlign w:val="bottom"/>
            <w:tcBorders>
              <w:top w:val="single" w:sz="8" w:color="auto"/>
            </w:tcBorders>
            <w:vMerge w:val="restart"/>
          </w:tcPr>
          <w:p>
            <w:pPr>
              <w:spacing w:after="0"/>
              <w:rPr>
                <w:sz w:val="24"/>
                <w:szCs w:val="24"/>
                <w:color w:val="auto"/>
              </w:rPr>
            </w:pPr>
          </w:p>
        </w:tc>
        <w:tc>
          <w:tcPr>
            <w:tcW w:w="482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10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7"/>
              </w:rPr>
              <w:t>No.</w:t>
            </w:r>
          </w:p>
        </w:tc>
        <w:tc>
          <w:tcPr>
            <w:tcW w:w="3780" w:type="dxa"/>
            <w:vAlign w:val="bottom"/>
            <w:vMerge w:val="continue"/>
          </w:tcPr>
          <w:p>
            <w:pPr>
              <w:spacing w:after="0"/>
              <w:rPr>
                <w:sz w:val="16"/>
                <w:szCs w:val="16"/>
                <w:color w:val="auto"/>
              </w:rPr>
            </w:pPr>
          </w:p>
        </w:tc>
        <w:tc>
          <w:tcPr>
            <w:tcW w:w="1780" w:type="dxa"/>
            <w:vAlign w:val="bottom"/>
            <w:vMerge w:val="continue"/>
          </w:tcPr>
          <w:p>
            <w:pPr>
              <w:spacing w:after="0"/>
              <w:rPr>
                <w:sz w:val="16"/>
                <w:szCs w:val="16"/>
                <w:color w:val="auto"/>
              </w:rPr>
            </w:pPr>
          </w:p>
        </w:tc>
        <w:tc>
          <w:tcPr>
            <w:tcW w:w="48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8"/>
        </w:trPr>
        <w:tc>
          <w:tcPr>
            <w:tcW w:w="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6"/>
              </w:rPr>
              <w:t>104</w:t>
            </w:r>
          </w:p>
        </w:tc>
        <w:tc>
          <w:tcPr>
            <w:tcW w:w="340" w:type="dxa"/>
            <w:vAlign w:val="bottom"/>
          </w:tcPr>
          <w:p>
            <w:pPr>
              <w:spacing w:after="0"/>
              <w:rPr>
                <w:sz w:val="24"/>
                <w:szCs w:val="24"/>
                <w:color w:val="auto"/>
              </w:rPr>
            </w:pPr>
          </w:p>
        </w:tc>
        <w:tc>
          <w:tcPr>
            <w:tcW w:w="10380" w:type="dxa"/>
            <w:vAlign w:val="bottom"/>
            <w:tcBorders>
              <w:top w:val="single" w:sz="8" w:color="auto"/>
            </w:tcBorders>
            <w:gridSpan w:val="3"/>
          </w:tcPr>
          <w:p>
            <w:pPr>
              <w:ind w:left="40"/>
              <w:spacing w:after="0"/>
              <w:rPr>
                <w:sz w:val="20"/>
                <w:szCs w:val="20"/>
                <w:color w:val="auto"/>
              </w:rPr>
            </w:pPr>
            <w:r>
              <w:rPr>
                <w:rFonts w:ascii="Arial" w:cs="Arial" w:eastAsia="Arial" w:hAnsi="Arial"/>
                <w:sz w:val="18"/>
                <w:szCs w:val="18"/>
                <w:color w:val="auto"/>
              </w:rPr>
              <w:t>Cover Page Interactive Data File, formatted in Inline XBRL</w:t>
            </w:r>
          </w:p>
        </w:tc>
        <w:tc>
          <w:tcPr>
            <w:tcW w:w="0" w:type="dxa"/>
            <w:vAlign w:val="bottom"/>
          </w:tcPr>
          <w:p>
            <w:pPr>
              <w:spacing w:after="0"/>
              <w:rPr>
                <w:sz w:val="1"/>
                <w:szCs w:val="1"/>
                <w:color w:val="auto"/>
              </w:rPr>
            </w:pPr>
          </w:p>
        </w:tc>
      </w:tr>
      <w:tr>
        <w:trPr>
          <w:trHeight w:val="891"/>
        </w:trPr>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560" w:type="dxa"/>
            <w:vAlign w:val="bottom"/>
            <w:gridSpan w:val="2"/>
          </w:tcPr>
          <w:p>
            <w:pPr>
              <w:jc w:val="right"/>
              <w:ind w:right="840"/>
              <w:spacing w:after="0"/>
              <w:rPr>
                <w:sz w:val="20"/>
                <w:szCs w:val="20"/>
                <w:color w:val="auto"/>
              </w:rPr>
            </w:pPr>
            <w:r>
              <w:rPr>
                <w:rFonts w:ascii="Arial" w:cs="Arial" w:eastAsia="Arial" w:hAnsi="Arial"/>
                <w:sz w:val="18"/>
                <w:szCs w:val="18"/>
                <w:color w:val="auto"/>
              </w:rPr>
              <w:t>4</w:t>
            </w:r>
          </w:p>
        </w:tc>
        <w:tc>
          <w:tcPr>
            <w:tcW w:w="4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420"/>
      </w:cols>
      <w:pgMar w:left="240" w:top="5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2020-01-03T15:41:15Z</dcterms:created>
  <dcterms:modified xsi:type="dcterms:W3CDTF">2020-01-03T15:41:15Z</dcterms:modified>
</cp:coreProperties>
</file>