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182880</wp:posOffset>
            </wp:positionH>
            <wp:positionV relativeFrom="page">
              <wp:posOffset>228600</wp:posOffset>
            </wp:positionV>
            <wp:extent cx="754380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May 2, 2014</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Via E-mail</w:t>
      </w:r>
    </w:p>
    <w:p>
      <w:pPr>
        <w:spacing w:after="0"/>
        <w:rPr>
          <w:sz w:val="20"/>
          <w:szCs w:val="20"/>
          <w:color w:val="auto"/>
        </w:rPr>
      </w:pPr>
      <w:r>
        <w:rPr>
          <w:rFonts w:ascii="Times New Roman" w:cs="Times New Roman" w:eastAsia="Times New Roman" w:hAnsi="Times New Roman"/>
          <w:sz w:val="24"/>
          <w:szCs w:val="24"/>
          <w:color w:val="auto"/>
        </w:rPr>
        <w:t>Douglas F. Bauer</w:t>
      </w:r>
    </w:p>
    <w:p>
      <w:pPr>
        <w:spacing w:after="0"/>
        <w:rPr>
          <w:sz w:val="20"/>
          <w:szCs w:val="20"/>
          <w:color w:val="auto"/>
        </w:rPr>
      </w:pPr>
      <w:r>
        <w:rPr>
          <w:rFonts w:ascii="Times New Roman" w:cs="Times New Roman" w:eastAsia="Times New Roman" w:hAnsi="Times New Roman"/>
          <w:sz w:val="24"/>
          <w:szCs w:val="24"/>
          <w:color w:val="auto"/>
        </w:rPr>
        <w:t>Chief Executive Officer</w:t>
      </w:r>
    </w:p>
    <w:p>
      <w:pPr>
        <w:spacing w:after="0"/>
        <w:rPr>
          <w:sz w:val="20"/>
          <w:szCs w:val="20"/>
          <w:color w:val="auto"/>
        </w:rPr>
      </w:pPr>
      <w:r>
        <w:rPr>
          <w:rFonts w:ascii="Times New Roman" w:cs="Times New Roman" w:eastAsia="Times New Roman" w:hAnsi="Times New Roman"/>
          <w:sz w:val="24"/>
          <w:szCs w:val="24"/>
          <w:color w:val="auto"/>
        </w:rPr>
        <w:t>Tri Pointe Homes, Inc.</w:t>
      </w:r>
    </w:p>
    <w:p>
      <w:pPr>
        <w:spacing w:after="0"/>
        <w:rPr>
          <w:sz w:val="20"/>
          <w:szCs w:val="20"/>
          <w:color w:val="auto"/>
        </w:rPr>
      </w:pPr>
      <w:r>
        <w:rPr>
          <w:rFonts w:ascii="Times New Roman" w:cs="Times New Roman" w:eastAsia="Times New Roman" w:hAnsi="Times New Roman"/>
          <w:sz w:val="24"/>
          <w:szCs w:val="24"/>
          <w:color w:val="auto"/>
        </w:rPr>
        <w:t>19520 Jamboree Road, Suite 200</w:t>
      </w:r>
    </w:p>
    <w:p>
      <w:pPr>
        <w:spacing w:after="0"/>
        <w:rPr>
          <w:sz w:val="20"/>
          <w:szCs w:val="20"/>
          <w:color w:val="auto"/>
        </w:rPr>
      </w:pPr>
      <w:r>
        <w:rPr>
          <w:rFonts w:ascii="Times New Roman" w:cs="Times New Roman" w:eastAsia="Times New Roman" w:hAnsi="Times New Roman"/>
          <w:sz w:val="24"/>
          <w:szCs w:val="24"/>
          <w:color w:val="auto"/>
        </w:rPr>
        <w:t>Irvine, CA 92612</w:t>
      </w:r>
    </w:p>
    <w:p>
      <w:pPr>
        <w:spacing w:after="0" w:line="281"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r>
      <w:r>
        <w:rPr>
          <w:sz w:val="20"/>
          <w:szCs w:val="20"/>
          <w:color w:val="auto"/>
        </w:rPr>
        <w:tab/>
      </w:r>
      <w:r>
        <w:rPr>
          <w:rFonts w:ascii="Times New Roman" w:cs="Times New Roman" w:eastAsia="Times New Roman" w:hAnsi="Times New Roman"/>
          <w:sz w:val="24"/>
          <w:szCs w:val="24"/>
          <w:b w:val="1"/>
          <w:bCs w:val="1"/>
          <w:color w:val="auto"/>
        </w:rPr>
        <w:t>Tri Pointe Homes, Inc.</w:t>
      </w:r>
    </w:p>
    <w:p>
      <w:pPr>
        <w:ind w:left="1440"/>
        <w:spacing w:after="0"/>
        <w:rPr>
          <w:sz w:val="20"/>
          <w:szCs w:val="20"/>
          <w:color w:val="auto"/>
        </w:rPr>
      </w:pPr>
      <w:r>
        <w:rPr>
          <w:rFonts w:ascii="Times New Roman" w:cs="Times New Roman" w:eastAsia="Times New Roman" w:hAnsi="Times New Roman"/>
          <w:sz w:val="24"/>
          <w:szCs w:val="24"/>
          <w:b w:val="1"/>
          <w:bCs w:val="1"/>
          <w:color w:val="auto"/>
        </w:rPr>
        <w:t>Amendment No.1 to Preliminary Proxy Statement on Schedule PREM14A</w:t>
      </w:r>
    </w:p>
    <w:p>
      <w:pPr>
        <w:ind w:left="1440"/>
        <w:spacing w:after="0"/>
        <w:rPr>
          <w:sz w:val="20"/>
          <w:szCs w:val="20"/>
          <w:color w:val="auto"/>
        </w:rPr>
      </w:pPr>
      <w:r>
        <w:rPr>
          <w:rFonts w:ascii="Times New Roman" w:cs="Times New Roman" w:eastAsia="Times New Roman" w:hAnsi="Times New Roman"/>
          <w:sz w:val="24"/>
          <w:szCs w:val="24"/>
          <w:b w:val="1"/>
          <w:bCs w:val="1"/>
          <w:color w:val="auto"/>
        </w:rPr>
        <w:t>Response dated April 21, 2014</w:t>
      </w:r>
    </w:p>
    <w:p>
      <w:pPr>
        <w:ind w:left="1440"/>
        <w:spacing w:after="0"/>
        <w:rPr>
          <w:sz w:val="20"/>
          <w:szCs w:val="20"/>
          <w:color w:val="auto"/>
        </w:rPr>
      </w:pPr>
      <w:r>
        <w:rPr>
          <w:rFonts w:ascii="Times New Roman" w:cs="Times New Roman" w:eastAsia="Times New Roman" w:hAnsi="Times New Roman"/>
          <w:sz w:val="24"/>
          <w:szCs w:val="24"/>
          <w:b w:val="1"/>
          <w:bCs w:val="1"/>
          <w:color w:val="auto"/>
        </w:rPr>
        <w:t>File No. 001-35796</w:t>
      </w:r>
    </w:p>
    <w:p>
      <w:pPr>
        <w:spacing w:after="0" w:line="27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Bauer:</w:t>
      </w:r>
    </w:p>
    <w:p>
      <w:pPr>
        <w:spacing w:after="0" w:line="288" w:lineRule="exact"/>
        <w:rPr>
          <w:sz w:val="24"/>
          <w:szCs w:val="24"/>
          <w:color w:val="auto"/>
        </w:rPr>
      </w:pPr>
    </w:p>
    <w:p>
      <w:pPr>
        <w:ind w:right="580" w:firstLine="720"/>
        <w:spacing w:after="0" w:line="234" w:lineRule="auto"/>
        <w:rPr>
          <w:sz w:val="20"/>
          <w:szCs w:val="20"/>
          <w:color w:val="auto"/>
        </w:rPr>
      </w:pPr>
      <w:r>
        <w:rPr>
          <w:rFonts w:ascii="Times New Roman" w:cs="Times New Roman" w:eastAsia="Times New Roman" w:hAnsi="Times New Roman"/>
          <w:sz w:val="24"/>
          <w:szCs w:val="24"/>
          <w:color w:val="auto"/>
        </w:rPr>
        <w:t>We have reviewed your response letter dated April 21, 2014 and have the following comments.</w:t>
      </w:r>
    </w:p>
    <w:p>
      <w:pPr>
        <w:spacing w:after="0" w:line="24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Certain Financial Projections, page 151</w:t>
      </w:r>
    </w:p>
    <w:p>
      <w:pPr>
        <w:spacing w:after="0" w:line="253" w:lineRule="exact"/>
        <w:rPr>
          <w:sz w:val="24"/>
          <w:szCs w:val="24"/>
          <w:color w:val="auto"/>
        </w:rPr>
      </w:pPr>
    </w:p>
    <w:p>
      <w:pPr>
        <w:ind w:left="360" w:right="160" w:hanging="360"/>
        <w:spacing w:after="0" w:line="238" w:lineRule="auto"/>
        <w:tabs>
          <w:tab w:leader="none" w:pos="3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that, in response to comment two in our letter dated April 10, 2014, the proposed changes in your supplemental response state that TriPointe’s projections are based upon “verifiable historical data” supplied by management of Weyerhaeuser and WRECO; however, it is unclear to us whether all of the references to assumptions, including cost assumptions, were those supplied by management of Weyerhaeuser and WRECO and, if so, how these assumptions are categorized as verifiable historical data. Please advise.</w:t>
      </w:r>
    </w:p>
    <w:p>
      <w:pPr>
        <w:spacing w:after="0" w:line="289" w:lineRule="exact"/>
        <w:rPr>
          <w:rFonts w:ascii="Times New Roman" w:cs="Times New Roman" w:eastAsia="Times New Roman" w:hAnsi="Times New Roman"/>
          <w:sz w:val="24"/>
          <w:szCs w:val="24"/>
          <w:color w:val="auto"/>
        </w:rPr>
      </w:pPr>
    </w:p>
    <w:p>
      <w:pPr>
        <w:ind w:left="360" w:right="300" w:hanging="360"/>
        <w:spacing w:after="0" w:line="234" w:lineRule="auto"/>
        <w:tabs>
          <w:tab w:leader="none" w:pos="3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remove the statement “[r]eaders of this proxy statement are cautioned not to rely on the summary of TRI Pointe’s WRECO Projections set forth below.”</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2595880</wp:posOffset>
                </wp:positionH>
                <wp:positionV relativeFrom="paragraph">
                  <wp:posOffset>-72390</wp:posOffset>
                </wp:positionV>
                <wp:extent cx="38100" cy="127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 cy="12700"/>
                        </a:xfrm>
                        <a:prstGeom prst="rect">
                          <a:avLst/>
                        </a:prstGeom>
                        <a:solidFill>
                          <a:srgbClr val="000000"/>
                        </a:solidFill>
                      </wps:spPr>
                      <wps:bodyPr/>
                    </wps:wsp>
                  </a:graphicData>
                </a:graphic>
              </wp:anchor>
            </w:drawing>
          </mc:Choice>
          <mc:Fallback>
            <w:pict>
              <v:rect id="Shape 2" o:spid="_x0000_s1027" style="position:absolute;margin-left:204.4pt;margin-top:-5.6999pt;width:3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Douglas F. Bauer</w:t>
      </w:r>
    </w:p>
    <w:p>
      <w:pPr>
        <w:spacing w:after="0"/>
        <w:rPr>
          <w:sz w:val="20"/>
          <w:szCs w:val="20"/>
          <w:color w:val="auto"/>
        </w:rPr>
      </w:pPr>
      <w:r>
        <w:rPr>
          <w:rFonts w:ascii="Times New Roman" w:cs="Times New Roman" w:eastAsia="Times New Roman" w:hAnsi="Times New Roman"/>
          <w:sz w:val="24"/>
          <w:szCs w:val="24"/>
          <w:color w:val="auto"/>
        </w:rPr>
        <w:t>Tri Pointe Homes, Inc.</w:t>
      </w:r>
    </w:p>
    <w:p>
      <w:pPr>
        <w:spacing w:after="0"/>
        <w:rPr>
          <w:sz w:val="20"/>
          <w:szCs w:val="20"/>
          <w:color w:val="auto"/>
        </w:rPr>
      </w:pPr>
      <w:r>
        <w:rPr>
          <w:rFonts w:ascii="Times New Roman" w:cs="Times New Roman" w:eastAsia="Times New Roman" w:hAnsi="Times New Roman"/>
          <w:sz w:val="24"/>
          <w:szCs w:val="24"/>
          <w:color w:val="auto"/>
        </w:rPr>
        <w:t>May 2, 2014</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288" w:lineRule="exact"/>
        <w:rPr>
          <w:sz w:val="20"/>
          <w:szCs w:val="20"/>
          <w:color w:val="auto"/>
        </w:rPr>
      </w:pPr>
    </w:p>
    <w:p>
      <w:pPr>
        <w:ind w:left="80" w:right="40" w:firstLine="720"/>
        <w:spacing w:after="0" w:line="250" w:lineRule="auto"/>
        <w:rPr>
          <w:sz w:val="20"/>
          <w:szCs w:val="20"/>
          <w:color w:val="auto"/>
        </w:rPr>
      </w:pPr>
      <w:r>
        <w:rPr>
          <w:rFonts w:ascii="Times New Roman" w:cs="Times New Roman" w:eastAsia="Times New Roman" w:hAnsi="Times New Roman"/>
          <w:sz w:val="23"/>
          <w:szCs w:val="23"/>
          <w:color w:val="auto"/>
        </w:rPr>
        <w:t>You may contact Tracey Smith, Staff Accountant, at (202) 551-3736 or Terence O’Brien, Accounting Branch Chief, at (202) 551-3355 if you have questions regarding comments on the financial statements and related matters. Please contact Era Anagnosti, Staff Attorney, at (202) 551-3369 or Craig Slivka, Special Counsel, at (202) 551-3729 with any other questions.</w:t>
      </w:r>
    </w:p>
    <w:p>
      <w:pPr>
        <w:spacing w:after="0" w:line="26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Sincerely,</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 Craig Slivka, for</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Pamela Long</w:t>
      </w:r>
    </w:p>
    <w:p>
      <w:pPr>
        <w:spacing w:after="0" w:line="1"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Assistant Director</w:t>
      </w:r>
    </w:p>
    <w:p>
      <w:pPr>
        <w:spacing w:after="0" w:line="276" w:lineRule="exact"/>
        <w:rPr>
          <w:sz w:val="20"/>
          <w:szCs w:val="20"/>
          <w:color w:val="auto"/>
        </w:rPr>
      </w:pPr>
    </w:p>
    <w:p>
      <w:pPr>
        <w:ind w:left="480" w:hanging="400"/>
        <w:spacing w:after="0"/>
        <w:tabs>
          <w:tab w:leader="none" w:pos="4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u w:val="single" w:color="auto"/>
          <w:color w:val="auto"/>
        </w:rPr>
        <w:t>Via E-mail</w:t>
      </w:r>
    </w:p>
    <w:p>
      <w:pPr>
        <w:ind w:left="500"/>
        <w:spacing w:after="0"/>
        <w:rPr>
          <w:sz w:val="20"/>
          <w:szCs w:val="20"/>
          <w:color w:val="auto"/>
        </w:rPr>
      </w:pPr>
      <w:r>
        <w:rPr>
          <w:rFonts w:ascii="Times New Roman" w:cs="Times New Roman" w:eastAsia="Times New Roman" w:hAnsi="Times New Roman"/>
          <w:sz w:val="24"/>
          <w:szCs w:val="24"/>
          <w:color w:val="auto"/>
        </w:rPr>
        <w:t>Michael Flynn, Esq.</w:t>
      </w:r>
    </w:p>
    <w:p>
      <w:pPr>
        <w:ind w:left="500"/>
        <w:spacing w:after="0"/>
        <w:rPr>
          <w:sz w:val="20"/>
          <w:szCs w:val="20"/>
          <w:color w:val="auto"/>
        </w:rPr>
      </w:pPr>
      <w:r>
        <w:rPr>
          <w:rFonts w:ascii="Times New Roman" w:cs="Times New Roman" w:eastAsia="Times New Roman" w:hAnsi="Times New Roman"/>
          <w:sz w:val="24"/>
          <w:szCs w:val="24"/>
          <w:color w:val="auto"/>
        </w:rPr>
        <w:t>Brian J. Lane, Esq.</w:t>
      </w:r>
    </w:p>
    <w:p>
      <w:pPr>
        <w:ind w:left="500"/>
        <w:spacing w:after="0"/>
        <w:rPr>
          <w:sz w:val="20"/>
          <w:szCs w:val="20"/>
          <w:color w:val="auto"/>
        </w:rPr>
      </w:pPr>
      <w:r>
        <w:rPr>
          <w:rFonts w:ascii="Times New Roman" w:cs="Times New Roman" w:eastAsia="Times New Roman" w:hAnsi="Times New Roman"/>
          <w:sz w:val="24"/>
          <w:szCs w:val="24"/>
          <w:color w:val="auto"/>
        </w:rPr>
        <w:t>Keith P. Bishop, Esq.</w:t>
      </w:r>
    </w:p>
    <w:sectPr>
      <w:pgSz w:w="12240" w:h="15840" w:orient="portrait"/>
      <w:cols w:equalWidth="0" w:num="1">
        <w:col w:w="9440"/>
      </w:cols>
      <w:pgMar w:left="1360" w:top="62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lowerLetter"/>
      <w:start w:val="29"/>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2020-01-27T05:43:16Z</dcterms:created>
  <dcterms:modified xsi:type="dcterms:W3CDTF">2020-01-27T05:43:16Z</dcterms:modified>
</cp:coreProperties>
</file>