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213995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257175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3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80"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24" w:lineRule="exact"/>
        <w:rPr>
          <w:sz w:val="24"/>
          <w:szCs w:val="24"/>
          <w:color w:val="auto"/>
        </w:rPr>
      </w:pPr>
    </w:p>
    <w:p>
      <w:pPr>
        <w:ind w:left="460" w:right="460" w:hanging="452"/>
        <w:spacing w:after="0" w:line="237" w:lineRule="auto"/>
        <w:tabs>
          <w:tab w:leader="none" w:pos="460" w:val="left"/>
        </w:tabs>
        <w:numPr>
          <w:ilvl w:val="0"/>
          <w:numId w:val="1"/>
        </w:numPr>
        <w:rPr>
          <w:rFonts w:ascii="MS PGothic" w:cs="MS PGothic" w:eastAsia="MS PGothic" w:hAnsi="MS PGothic"/>
          <w:sz w:val="22"/>
          <w:szCs w:val="22"/>
          <w:color w:val="auto"/>
        </w:rPr>
      </w:pPr>
      <w:r>
        <w:rPr>
          <w:rFonts w:ascii="Arial" w:cs="Arial" w:eastAsia="Arial" w:hAnsi="Arial"/>
          <w:sz w:val="22"/>
          <w:szCs w:val="22"/>
          <w:b w:val="1"/>
          <w:bCs w:val="1"/>
          <w:color w:val="auto"/>
        </w:rPr>
        <w:t>QUARTERLY REPORT PURSUANT TO SECTION 13 OR 15(d) OF THE SECURITIES EXCHANGE ACT OF 1934</w:t>
      </w:r>
    </w:p>
    <w:p>
      <w:pPr>
        <w:spacing w:after="0" w:line="18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 the quarterly period ended March 31, 2014</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243" w:lineRule="exact"/>
        <w:rPr>
          <w:sz w:val="24"/>
          <w:szCs w:val="24"/>
          <w:color w:val="auto"/>
        </w:rPr>
      </w:pPr>
    </w:p>
    <w:p>
      <w:pPr>
        <w:ind w:left="460" w:right="460" w:hanging="452"/>
        <w:spacing w:after="0" w:line="256" w:lineRule="auto"/>
        <w:tabs>
          <w:tab w:leader="none" w:pos="460" w:val="left"/>
        </w:tabs>
        <w:numPr>
          <w:ilvl w:val="0"/>
          <w:numId w:val="2"/>
        </w:numPr>
        <w:rPr>
          <w:rFonts w:ascii="MS PGothic" w:cs="MS PGothic" w:eastAsia="MS PGothic" w:hAnsi="MS PGothic"/>
          <w:sz w:val="22"/>
          <w:szCs w:val="22"/>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172" w:lineRule="exact"/>
        <w:rPr>
          <w:sz w:val="24"/>
          <w:szCs w:val="24"/>
          <w:color w:val="auto"/>
        </w:rPr>
      </w:pPr>
    </w:p>
    <w:p>
      <w:pPr>
        <w:ind w:left="3500"/>
        <w:spacing w:after="0"/>
        <w:tabs>
          <w:tab w:leader="none" w:pos="68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3733800</wp:posOffset>
            </wp:positionH>
            <wp:positionV relativeFrom="paragraph">
              <wp:posOffset>-7620</wp:posOffset>
            </wp:positionV>
            <wp:extent cx="12954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95400" cy="8890"/>
                    </a:xfrm>
                    <a:prstGeom prst="rect">
                      <a:avLst/>
                    </a:prstGeom>
                    <a:noFill/>
                  </pic:spPr>
                </pic:pic>
              </a:graphicData>
            </a:graphic>
          </wp:anchor>
        </w:drawing>
      </w:r>
    </w:p>
    <w:p>
      <w:pPr>
        <w:spacing w:after="0" w:line="20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Number 1-35796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240665</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3126740</wp:posOffset>
            </wp:positionH>
            <wp:positionV relativeFrom="paragraph">
              <wp:posOffset>429260</wp:posOffset>
            </wp:positionV>
            <wp:extent cx="1012190" cy="3943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012190" cy="39433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0"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TRI Pointe Homes,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420"/>
          </w:cols>
          <w:pgMar w:left="240" w:top="230" w:right="239" w:bottom="373"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252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27-3201111</w:t>
      </w:r>
    </w:p>
    <w:p>
      <w:pPr>
        <w:spacing w:after="0" w:line="42" w:lineRule="exact"/>
        <w:rPr>
          <w:sz w:val="24"/>
          <w:szCs w:val="24"/>
          <w:color w:val="auto"/>
        </w:rPr>
      </w:pPr>
    </w:p>
    <w:p>
      <w:pPr>
        <w:sectPr>
          <w:pgSz w:w="11900" w:h="16838" w:orient="portrait"/>
          <w:cols w:equalWidth="0" w:num="2">
            <w:col w:w="7520" w:space="720"/>
            <w:col w:w="3180"/>
          </w:cols>
          <w:pgMar w:left="240" w:top="230" w:right="239" w:bottom="373" w:gutter="0" w:footer="0" w:header="0"/>
          <w:type w:val="continuous"/>
        </w:sectPr>
      </w:pPr>
    </w:p>
    <w:p>
      <w:pPr>
        <w:spacing w:after="0" w:line="12" w:lineRule="exact"/>
        <w:rPr>
          <w:sz w:val="24"/>
          <w:szCs w:val="24"/>
          <w:color w:val="auto"/>
        </w:rPr>
      </w:pPr>
    </w:p>
    <w:p>
      <w:pPr>
        <w:jc w:val="center"/>
        <w:ind w:right="1580"/>
        <w:spacing w:after="0"/>
        <w:rPr>
          <w:sz w:val="20"/>
          <w:szCs w:val="20"/>
          <w:color w:val="auto"/>
        </w:rPr>
      </w:pPr>
      <w:r>
        <w:rPr>
          <w:rFonts w:ascii="Arial" w:cs="Arial" w:eastAsia="Arial" w:hAnsi="Arial"/>
          <w:sz w:val="13"/>
          <w:szCs w:val="13"/>
          <w:b w:val="1"/>
          <w:bCs w:val="1"/>
          <w:color w:val="auto"/>
        </w:rPr>
        <w:t>(State or other Jurisdiction of</w:t>
      </w:r>
    </w:p>
    <w:p>
      <w:pPr>
        <w:jc w:val="center"/>
        <w:ind w:right="158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ind w:left="60"/>
        <w:spacing w:after="0"/>
        <w:rPr>
          <w:sz w:val="20"/>
          <w:szCs w:val="20"/>
          <w:color w:val="auto"/>
        </w:rPr>
      </w:pPr>
      <w:r>
        <w:rPr>
          <w:rFonts w:ascii="Arial" w:cs="Arial" w:eastAsia="Arial" w:hAnsi="Arial"/>
          <w:sz w:val="14"/>
          <w:szCs w:val="14"/>
          <w:b w:val="1"/>
          <w:bCs w:val="1"/>
          <w:color w:val="auto"/>
        </w:rPr>
        <w:t>(I.R.S. Employer</w:t>
      </w:r>
    </w:p>
    <w:p>
      <w:pPr>
        <w:spacing w:after="0"/>
        <w:rPr>
          <w:sz w:val="20"/>
          <w:szCs w:val="20"/>
          <w:color w:val="auto"/>
        </w:rPr>
      </w:pPr>
      <w:r>
        <w:rPr>
          <w:rFonts w:ascii="Arial" w:cs="Arial" w:eastAsia="Arial" w:hAnsi="Arial"/>
          <w:sz w:val="13"/>
          <w:szCs w:val="13"/>
          <w:b w:val="1"/>
          <w:bCs w:val="1"/>
          <w:color w:val="auto"/>
        </w:rPr>
        <w:t>Identification No.)</w:t>
      </w:r>
    </w:p>
    <w:p>
      <w:pPr>
        <w:spacing w:after="0" w:line="200" w:lineRule="exact"/>
        <w:rPr>
          <w:sz w:val="24"/>
          <w:szCs w:val="24"/>
          <w:color w:val="auto"/>
        </w:rPr>
      </w:pPr>
    </w:p>
    <w:p>
      <w:pPr>
        <w:sectPr>
          <w:pgSz w:w="11900" w:h="16838" w:orient="portrait"/>
          <w:cols w:equalWidth="0" w:num="2">
            <w:col w:w="7360" w:space="720"/>
            <w:col w:w="3340"/>
          </w:cols>
          <w:pgMar w:left="240" w:top="230" w:right="239" w:bottom="373" w:gutter="0" w:footer="0" w:header="0"/>
          <w:type w:val="continuous"/>
        </w:sectPr>
      </w:pPr>
    </w:p>
    <w:p>
      <w:pPr>
        <w:spacing w:after="0" w:line="1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19520 Jamboree Road, Suite 200</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Irvine, California 92612</w:t>
      </w:r>
    </w:p>
    <w:p>
      <w:pPr>
        <w:spacing w:after="0" w:line="2" w:lineRule="exact"/>
        <w:rPr>
          <w:sz w:val="24"/>
          <w:szCs w:val="24"/>
          <w:color w:val="auto"/>
        </w:rPr>
      </w:pPr>
    </w:p>
    <w:p>
      <w:pPr>
        <w:jc w:val="center"/>
        <w:ind w:right="-19"/>
        <w:spacing w:after="0"/>
        <w:rPr>
          <w:sz w:val="20"/>
          <w:szCs w:val="20"/>
          <w:color w:val="auto"/>
        </w:rPr>
      </w:pPr>
      <w:r>
        <w:rPr>
          <w:rFonts w:ascii="Arial" w:cs="Arial" w:eastAsia="Arial" w:hAnsi="Arial"/>
          <w:sz w:val="12"/>
          <w:szCs w:val="12"/>
          <w:b w:val="1"/>
          <w:bCs w:val="1"/>
          <w:color w:val="auto"/>
        </w:rPr>
        <w:t>(Address of principal executive offices) (Zip Code)</w:t>
      </w:r>
    </w:p>
    <w:p>
      <w:pPr>
        <w:sectPr>
          <w:pgSz w:w="11900" w:h="16838" w:orient="portrait"/>
          <w:cols w:equalWidth="0" w:num="1">
            <w:col w:w="11420"/>
          </w:cols>
          <w:pgMar w:left="240" w:top="230" w:right="239" w:bottom="373" w:gutter="0" w:footer="0" w:header="0"/>
          <w:type w:val="continuous"/>
        </w:sectPr>
      </w:pPr>
    </w:p>
    <w:p>
      <w:pPr>
        <w:spacing w:after="0" w:line="21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(949) 478-8600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240665</wp:posOffset>
            </wp:positionV>
            <wp:extent cx="151765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4" w:lineRule="exact"/>
        <w:rPr>
          <w:sz w:val="24"/>
          <w:szCs w:val="24"/>
          <w:color w:val="auto"/>
        </w:rPr>
      </w:pPr>
    </w:p>
    <w:p>
      <w:pPr>
        <w:ind w:right="240" w:firstLine="456"/>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4" w:lineRule="exact"/>
        <w:rPr>
          <w:sz w:val="24"/>
          <w:szCs w:val="24"/>
          <w:color w:val="auto"/>
        </w:rPr>
      </w:pPr>
    </w:p>
    <w:p>
      <w:pPr>
        <w:ind w:right="220" w:firstLine="456"/>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4" w:lineRule="exact"/>
        <w:rPr>
          <w:sz w:val="24"/>
          <w:szCs w:val="24"/>
          <w:color w:val="auto"/>
        </w:rPr>
      </w:pPr>
    </w:p>
    <w:p>
      <w:pPr>
        <w:ind w:left="460"/>
        <w:spacing w:after="0"/>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w:t>
      </w:r>
    </w:p>
    <w:p>
      <w:pPr>
        <w:spacing w:after="0" w:line="46" w:lineRule="exact"/>
        <w:rPr>
          <w:sz w:val="24"/>
          <w:szCs w:val="24"/>
          <w:color w:val="auto"/>
        </w:rPr>
      </w:pPr>
    </w:p>
    <w:p>
      <w:pPr>
        <w:spacing w:after="0"/>
        <w:rPr>
          <w:sz w:val="20"/>
          <w:szCs w:val="20"/>
          <w:color w:val="auto"/>
        </w:rPr>
      </w:pPr>
      <w:r>
        <w:rPr>
          <w:rFonts w:ascii="Arial" w:cs="Arial" w:eastAsia="Arial" w:hAnsi="Arial"/>
          <w:sz w:val="18"/>
          <w:szCs w:val="18"/>
          <w:color w:val="auto"/>
        </w:rPr>
        <w:t>See the definitions of “large accelerated filer,” “accelerated filer” and “smaller reporting company” in Rule 12b-2 of the Exchange Act.</w:t>
      </w:r>
    </w:p>
    <w:p>
      <w:pPr>
        <w:spacing w:after="0" w:line="205" w:lineRule="exact"/>
        <w:rPr>
          <w:sz w:val="24"/>
          <w:szCs w:val="24"/>
          <w:color w:val="auto"/>
        </w:rPr>
      </w:pPr>
    </w:p>
    <w:tbl>
      <w:tblPr>
        <w:tblLayout w:type="fixed"/>
        <w:tblInd w:w="0" w:type="dxa"/>
        <w:tblCellMar>
          <w:top w:w="0" w:type="dxa"/>
          <w:left w:w="0" w:type="dxa"/>
          <w:bottom w:w="0" w:type="dxa"/>
          <w:right w:w="0" w:type="dxa"/>
        </w:tblCellMar>
      </w:tblPr>
      <w:tr>
        <w:trPr>
          <w:trHeight w:val="283"/>
        </w:trPr>
        <w:tc>
          <w:tcPr>
            <w:tcW w:w="1780" w:type="dxa"/>
            <w:vAlign w:val="bottom"/>
          </w:tcPr>
          <w:p>
            <w:pPr>
              <w:spacing w:after="0"/>
              <w:rPr>
                <w:sz w:val="20"/>
                <w:szCs w:val="20"/>
                <w:color w:val="auto"/>
              </w:rPr>
            </w:pPr>
            <w:r>
              <w:rPr>
                <w:rFonts w:ascii="Arial" w:cs="Arial" w:eastAsia="Arial" w:hAnsi="Arial"/>
                <w:sz w:val="18"/>
                <w:szCs w:val="18"/>
                <w:color w:val="auto"/>
                <w:w w:val="98"/>
              </w:rPr>
              <w:t>Large accelerated filer</w:t>
            </w:r>
          </w:p>
        </w:tc>
        <w:tc>
          <w:tcPr>
            <w:tcW w:w="6940" w:type="dxa"/>
            <w:vAlign w:val="bottom"/>
          </w:tcPr>
          <w:p>
            <w:pPr>
              <w:ind w:left="140"/>
              <w:spacing w:after="0" w:line="181" w:lineRule="exact"/>
              <w:rPr>
                <w:sz w:val="20"/>
                <w:szCs w:val="20"/>
                <w:color w:val="auto"/>
              </w:rPr>
            </w:pPr>
            <w:r>
              <w:rPr>
                <w:rFonts w:ascii="MS PGothic" w:cs="MS PGothic" w:eastAsia="MS PGothic" w:hAnsi="MS PGothic"/>
                <w:sz w:val="18"/>
                <w:szCs w:val="18"/>
                <w:color w:val="auto"/>
              </w:rPr>
              <w:t>☐</w:t>
            </w:r>
          </w:p>
        </w:tc>
        <w:tc>
          <w:tcPr>
            <w:tcW w:w="2320" w:type="dxa"/>
            <w:vAlign w:val="bottom"/>
          </w:tcPr>
          <w:p>
            <w:pPr>
              <w:ind w:left="140"/>
              <w:spacing w:after="0"/>
              <w:rPr>
                <w:sz w:val="20"/>
                <w:szCs w:val="20"/>
                <w:color w:val="auto"/>
              </w:rPr>
            </w:pPr>
            <w:r>
              <w:rPr>
                <w:rFonts w:ascii="Arial" w:cs="Arial" w:eastAsia="Arial" w:hAnsi="Arial"/>
                <w:sz w:val="18"/>
                <w:szCs w:val="18"/>
                <w:color w:val="auto"/>
              </w:rPr>
              <w:t>Accelerated filer</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780" w:type="dxa"/>
            <w:vAlign w:val="bottom"/>
          </w:tcPr>
          <w:p>
            <w:pPr>
              <w:spacing w:after="0"/>
              <w:rPr>
                <w:sz w:val="20"/>
                <w:szCs w:val="20"/>
                <w:color w:val="auto"/>
              </w:rPr>
            </w:pPr>
            <w:r>
              <w:rPr>
                <w:rFonts w:ascii="Arial" w:cs="Arial" w:eastAsia="Arial" w:hAnsi="Arial"/>
                <w:sz w:val="18"/>
                <w:szCs w:val="18"/>
                <w:color w:val="auto"/>
              </w:rPr>
              <w:t>Non-accelerated filer</w:t>
            </w:r>
          </w:p>
        </w:tc>
        <w:tc>
          <w:tcPr>
            <w:tcW w:w="6940" w:type="dxa"/>
            <w:vAlign w:val="bottom"/>
          </w:tcPr>
          <w:p>
            <w:pPr>
              <w:ind w:left="1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(Do not check if a smaller reporting company)</w:t>
            </w:r>
          </w:p>
        </w:tc>
        <w:tc>
          <w:tcPr>
            <w:tcW w:w="2320" w:type="dxa"/>
            <w:vAlign w:val="bottom"/>
          </w:tcPr>
          <w:p>
            <w:pPr>
              <w:ind w:left="140"/>
              <w:spacing w:after="0"/>
              <w:rPr>
                <w:sz w:val="20"/>
                <w:szCs w:val="20"/>
                <w:color w:val="auto"/>
              </w:rPr>
            </w:pPr>
            <w:r>
              <w:rPr>
                <w:rFonts w:ascii="Arial" w:cs="Arial" w:eastAsia="Arial" w:hAnsi="Arial"/>
                <w:sz w:val="18"/>
                <w:szCs w:val="18"/>
                <w:color w:val="auto"/>
              </w:rPr>
              <w:t>Smaller reporting company</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432"/>
        </w:trPr>
        <w:tc>
          <w:tcPr>
            <w:tcW w:w="8720" w:type="dxa"/>
            <w:vAlign w:val="bottom"/>
            <w:gridSpan w:val="2"/>
          </w:tcPr>
          <w:p>
            <w:pPr>
              <w:ind w:left="460"/>
              <w:spacing w:after="0"/>
              <w:rPr>
                <w:sz w:val="20"/>
                <w:szCs w:val="20"/>
                <w:color w:val="auto"/>
              </w:rPr>
            </w:pPr>
            <w:r>
              <w:rPr>
                <w:rFonts w:ascii="Arial" w:cs="Arial" w:eastAsia="Arial" w:hAnsi="Arial"/>
                <w:sz w:val="18"/>
                <w:szCs w:val="18"/>
                <w:color w:val="auto"/>
                <w:w w:val="91"/>
              </w:rPr>
              <w:t>Indicate by check mark whether the registrant is a shell company (as defined in Rule 12b-2 of the Exchange Act).</w:t>
            </w:r>
          </w:p>
        </w:tc>
        <w:tc>
          <w:tcPr>
            <w:tcW w:w="2320" w:type="dxa"/>
            <w:vAlign w:val="bottom"/>
          </w:tcPr>
          <w:p>
            <w:pPr>
              <w:ind w:left="80"/>
              <w:spacing w:after="0" w:line="207" w:lineRule="exact"/>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tc>
        <w:tc>
          <w:tcPr>
            <w:tcW w:w="380" w:type="dxa"/>
            <w:vAlign w:val="bottom"/>
          </w:tcPr>
          <w:p>
            <w:pPr>
              <w:spacing w:after="0"/>
              <w:rPr>
                <w:sz w:val="24"/>
                <w:szCs w:val="24"/>
                <w:color w:val="auto"/>
              </w:rPr>
            </w:pPr>
          </w:p>
        </w:tc>
      </w:tr>
      <w:tr>
        <w:trPr>
          <w:trHeight w:val="412"/>
        </w:trPr>
        <w:tc>
          <w:tcPr>
            <w:tcW w:w="8720" w:type="dxa"/>
            <w:vAlign w:val="bottom"/>
            <w:gridSpan w:val="2"/>
          </w:tcPr>
          <w:p>
            <w:pPr>
              <w:ind w:left="460"/>
              <w:spacing w:after="0"/>
              <w:rPr>
                <w:sz w:val="20"/>
                <w:szCs w:val="20"/>
                <w:color w:val="auto"/>
              </w:rPr>
            </w:pPr>
            <w:r>
              <w:rPr>
                <w:rFonts w:ascii="Arial" w:cs="Arial" w:eastAsia="Arial" w:hAnsi="Arial"/>
                <w:sz w:val="18"/>
                <w:szCs w:val="18"/>
                <w:color w:val="auto"/>
              </w:rPr>
              <w:t>Registrant’s shares of common stock outstanding at April 29, 2014: 31,632,533</w:t>
            </w:r>
          </w:p>
        </w:tc>
        <w:tc>
          <w:tcPr>
            <w:tcW w:w="2320" w:type="dxa"/>
            <w:vAlign w:val="bottom"/>
          </w:tcPr>
          <w:p>
            <w:pPr>
              <w:spacing w:after="0"/>
              <w:rPr>
                <w:sz w:val="24"/>
                <w:szCs w:val="24"/>
                <w:color w:val="auto"/>
              </w:rPr>
            </w:pPr>
          </w:p>
        </w:tc>
        <w:tc>
          <w:tcPr>
            <w:tcW w:w="380" w:type="dxa"/>
            <w:vAlign w:val="bottom"/>
          </w:tcPr>
          <w:p>
            <w:pPr>
              <w:spacing w:after="0"/>
              <w:rPr>
                <w:sz w:val="24"/>
                <w:szCs w:val="24"/>
                <w:color w:val="auto"/>
              </w:rPr>
            </w:pPr>
          </w:p>
        </w:tc>
      </w:tr>
      <w:tr>
        <w:trPr>
          <w:trHeight w:val="230"/>
        </w:trPr>
        <w:tc>
          <w:tcPr>
            <w:tcW w:w="1780" w:type="dxa"/>
            <w:vAlign w:val="bottom"/>
            <w:tcBorders>
              <w:bottom w:val="single" w:sz="8" w:color="auto"/>
            </w:tcBorders>
          </w:tcPr>
          <w:p>
            <w:pPr>
              <w:spacing w:after="0"/>
              <w:rPr>
                <w:sz w:val="19"/>
                <w:szCs w:val="19"/>
                <w:color w:val="auto"/>
              </w:rPr>
            </w:pPr>
          </w:p>
        </w:tc>
        <w:tc>
          <w:tcPr>
            <w:tcW w:w="6940" w:type="dxa"/>
            <w:vAlign w:val="bottom"/>
            <w:tcBorders>
              <w:bottom w:val="single" w:sz="8" w:color="auto"/>
            </w:tcBorders>
          </w:tcPr>
          <w:p>
            <w:pPr>
              <w:spacing w:after="0"/>
              <w:rPr>
                <w:sz w:val="19"/>
                <w:szCs w:val="19"/>
                <w:color w:val="auto"/>
              </w:rPr>
            </w:pPr>
          </w:p>
        </w:tc>
        <w:tc>
          <w:tcPr>
            <w:tcW w:w="232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r>
      <w:tr>
        <w:trPr>
          <w:trHeight w:val="48"/>
        </w:trPr>
        <w:tc>
          <w:tcPr>
            <w:tcW w:w="1780" w:type="dxa"/>
            <w:vAlign w:val="bottom"/>
            <w:tcBorders>
              <w:bottom w:val="single" w:sz="8" w:color="auto"/>
            </w:tcBorders>
          </w:tcPr>
          <w:p>
            <w:pPr>
              <w:spacing w:after="0"/>
              <w:rPr>
                <w:sz w:val="4"/>
                <w:szCs w:val="4"/>
                <w:color w:val="auto"/>
              </w:rPr>
            </w:pPr>
          </w:p>
        </w:tc>
        <w:tc>
          <w:tcPr>
            <w:tcW w:w="6940" w:type="dxa"/>
            <w:vAlign w:val="bottom"/>
            <w:tcBorders>
              <w:bottom w:val="single" w:sz="8" w:color="auto"/>
            </w:tcBorders>
          </w:tcPr>
          <w:p>
            <w:pPr>
              <w:spacing w:after="0"/>
              <w:rPr>
                <w:sz w:val="4"/>
                <w:szCs w:val="4"/>
                <w:color w:val="auto"/>
              </w:rPr>
            </w:pPr>
          </w:p>
        </w:tc>
        <w:tc>
          <w:tcPr>
            <w:tcW w:w="232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r>
    </w:tbl>
    <w:p>
      <w:pPr>
        <w:sectPr>
          <w:pgSz w:w="11900" w:h="16838" w:orient="portrait"/>
          <w:cols w:equalWidth="0" w:num="1">
            <w:col w:w="11420"/>
          </w:cols>
          <w:pgMar w:left="240" w:top="230" w:right="239" w:bottom="373" w:gutter="0" w:footer="0" w:header="0"/>
          <w:type w:val="continuous"/>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TRI POINTE HOMES, INC.</w:t>
      </w:r>
    </w:p>
    <w:p>
      <w:pPr>
        <w:spacing w:after="0" w:line="27"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FORM 10-Q</w:t>
      </w:r>
    </w:p>
    <w:p>
      <w:pPr>
        <w:spacing w:after="0" w:line="9"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INDEX</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20" w:type="dxa"/>
            <w:vAlign w:val="bottom"/>
          </w:tcPr>
          <w:p>
            <w:pPr>
              <w:jc w:val="right"/>
              <w:ind w:right="33"/>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71"/>
        </w:trPr>
        <w:tc>
          <w:tcPr>
            <w:tcW w:w="3080" w:type="dxa"/>
            <w:vAlign w:val="bottom"/>
            <w:gridSpan w:val="7"/>
            <w:vMerge w:val="restart"/>
          </w:tcPr>
          <w:p>
            <w:pPr>
              <w:spacing w:after="0"/>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PART I. FINANCIAL INFORMATION</w:t>
              </w:r>
            </w:hyperlink>
          </w:p>
        </w:tc>
        <w:tc>
          <w:tcPr>
            <w:tcW w:w="7640" w:type="dxa"/>
            <w:vAlign w:val="bottom"/>
            <w:gridSpan w:val="9"/>
            <w:vMerge w:val="restart"/>
          </w:tcPr>
          <w:p>
            <w:pPr>
              <w:spacing w:after="0"/>
              <w:rPr>
                <w:sz w:val="14"/>
                <w:szCs w:val="14"/>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4"/>
              </w:rPr>
              <w:t>Number</w:t>
            </w:r>
          </w:p>
        </w:tc>
        <w:tc>
          <w:tcPr>
            <w:tcW w:w="0" w:type="dxa"/>
            <w:vAlign w:val="bottom"/>
          </w:tcPr>
          <w:p>
            <w:pPr>
              <w:spacing w:after="0"/>
              <w:rPr>
                <w:sz w:val="1"/>
                <w:szCs w:val="1"/>
                <w:color w:val="auto"/>
              </w:rPr>
            </w:pPr>
          </w:p>
        </w:tc>
      </w:tr>
      <w:tr>
        <w:trPr>
          <w:trHeight w:val="161"/>
        </w:trPr>
        <w:tc>
          <w:tcPr>
            <w:tcW w:w="3080" w:type="dxa"/>
            <w:vAlign w:val="bottom"/>
            <w:tcBorders>
              <w:bottom w:val="single" w:sz="8" w:color="0000EE"/>
            </w:tcBorders>
            <w:gridSpan w:val="7"/>
            <w:vMerge w:val="continue"/>
          </w:tcPr>
          <w:p>
            <w:pPr>
              <w:spacing w:after="0"/>
              <w:rPr>
                <w:sz w:val="13"/>
                <w:szCs w:val="13"/>
                <w:color w:val="auto"/>
              </w:rPr>
            </w:pPr>
          </w:p>
        </w:tc>
        <w:tc>
          <w:tcPr>
            <w:tcW w:w="7640" w:type="dxa"/>
            <w:vAlign w:val="bottom"/>
            <w:gridSpan w:val="9"/>
            <w:vMerge w:val="continue"/>
          </w:tcPr>
          <w:p>
            <w:pPr>
              <w:spacing w:after="0"/>
              <w:rPr>
                <w:sz w:val="13"/>
                <w:szCs w:val="13"/>
                <w:color w:val="auto"/>
              </w:rPr>
            </w:pPr>
          </w:p>
        </w:tc>
        <w:tc>
          <w:tcPr>
            <w:tcW w:w="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4"/>
        </w:trPr>
        <w:tc>
          <w:tcPr>
            <w:tcW w:w="1340" w:type="dxa"/>
            <w:vAlign w:val="bottom"/>
            <w:gridSpan w:val="2"/>
          </w:tcPr>
          <w:p>
            <w:pPr>
              <w:ind w:left="360"/>
              <w:spacing w:after="0"/>
              <w:rPr>
                <w:sz w:val="20"/>
                <w:szCs w:val="20"/>
                <w:color w:val="auto"/>
              </w:rPr>
            </w:pPr>
            <w:r>
              <w:rPr>
                <w:rFonts w:ascii="Arial" w:cs="Arial" w:eastAsia="Arial" w:hAnsi="Arial"/>
                <w:sz w:val="18"/>
                <w:szCs w:val="18"/>
                <w:color w:val="auto"/>
              </w:rPr>
              <w:t>Item 1.</w:t>
            </w:r>
          </w:p>
        </w:tc>
        <w:tc>
          <w:tcPr>
            <w:tcW w:w="9380" w:type="dxa"/>
            <w:vAlign w:val="bottom"/>
            <w:gridSpan w:val="14"/>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Financial Statements</w:t>
              </w:r>
            </w:hyperlink>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320" w:type="dxa"/>
            <w:vAlign w:val="bottom"/>
            <w:tcBorders>
              <w:bottom w:val="single" w:sz="8" w:color="0000EE"/>
            </w:tcBorders>
            <w:gridSpan w:val="9"/>
          </w:tcPr>
          <w:p>
            <w:pPr>
              <w:spacing w:after="0"/>
              <w:rPr>
                <w:rFonts w:ascii="Arial" w:cs="Arial" w:eastAsia="Arial" w:hAnsi="Arial"/>
                <w:sz w:val="18"/>
                <w:szCs w:val="18"/>
                <w:color w:val="0000EE"/>
                <w:w w:val="89"/>
              </w:rPr>
            </w:pPr>
            <w:hyperlink w:anchor="page3">
              <w:r>
                <w:rPr>
                  <w:rFonts w:ascii="Arial" w:cs="Arial" w:eastAsia="Arial" w:hAnsi="Arial"/>
                  <w:sz w:val="18"/>
                  <w:szCs w:val="18"/>
                  <w:color w:val="0000EE"/>
                  <w:w w:val="89"/>
                </w:rPr>
                <w:t>Consolidated Balance Sheets as of March 31, 2014 (unaudited) and December 31, 2013</w:t>
              </w:r>
            </w:hyperlink>
          </w:p>
        </w:tc>
        <w:tc>
          <w:tcPr>
            <w:tcW w:w="3060" w:type="dxa"/>
            <w:vAlign w:val="bottom"/>
            <w:gridSpan w:val="5"/>
          </w:tcPr>
          <w:p>
            <w:pPr>
              <w:spacing w:after="0"/>
              <w:rPr>
                <w:sz w:val="24"/>
                <w:szCs w:val="24"/>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304"/>
        </w:trPr>
        <w:tc>
          <w:tcPr>
            <w:tcW w:w="1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80" w:type="dxa"/>
            <w:vAlign w:val="bottom"/>
            <w:tcBorders>
              <w:bottom w:val="single" w:sz="8" w:color="0000EE"/>
            </w:tcBorders>
            <w:gridSpan w:val="11"/>
          </w:tcPr>
          <w:p>
            <w:pPr>
              <w:spacing w:after="0"/>
              <w:rPr>
                <w:rFonts w:ascii="Arial" w:cs="Arial" w:eastAsia="Arial" w:hAnsi="Arial"/>
                <w:sz w:val="18"/>
                <w:szCs w:val="18"/>
                <w:color w:val="0000EE"/>
                <w:w w:val="90"/>
              </w:rPr>
            </w:pPr>
            <w:hyperlink w:anchor="page4">
              <w:r>
                <w:rPr>
                  <w:rFonts w:ascii="Arial" w:cs="Arial" w:eastAsia="Arial" w:hAnsi="Arial"/>
                  <w:sz w:val="18"/>
                  <w:szCs w:val="18"/>
                  <w:color w:val="0000EE"/>
                  <w:w w:val="90"/>
                </w:rPr>
                <w:t>Consolidated Statements of Operations (unaudited) for the Three Months Ended March 31, 2014 and 2013</w:t>
              </w:r>
            </w:hyperlink>
          </w:p>
        </w:tc>
        <w:tc>
          <w:tcPr>
            <w:tcW w:w="1700" w:type="dxa"/>
            <w:vAlign w:val="bottom"/>
            <w:gridSpan w:val="3"/>
          </w:tcPr>
          <w:p>
            <w:pPr>
              <w:spacing w:after="0"/>
              <w:rPr>
                <w:sz w:val="24"/>
                <w:szCs w:val="24"/>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304"/>
        </w:trPr>
        <w:tc>
          <w:tcPr>
            <w:tcW w:w="1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380" w:type="dxa"/>
            <w:vAlign w:val="bottom"/>
            <w:gridSpan w:val="14"/>
          </w:tcPr>
          <w:p>
            <w:pPr>
              <w:spacing w:after="0"/>
              <w:rPr>
                <w:rFonts w:ascii="Arial" w:cs="Arial" w:eastAsia="Arial" w:hAnsi="Arial"/>
                <w:sz w:val="18"/>
                <w:szCs w:val="18"/>
                <w:color w:val="0000EE"/>
                <w:w w:val="98"/>
              </w:rPr>
            </w:pPr>
            <w:hyperlink w:anchor="page5">
              <w:r>
                <w:rPr>
                  <w:rFonts w:ascii="Arial" w:cs="Arial" w:eastAsia="Arial" w:hAnsi="Arial"/>
                  <w:sz w:val="18"/>
                  <w:szCs w:val="18"/>
                  <w:color w:val="0000EE"/>
                  <w:w w:val="98"/>
                </w:rPr>
                <w:t>Consolidated Statements of Comprehensive Income (unaudited) for the Three Months Ended March 31, 2014 and 2013</w:t>
              </w:r>
            </w:hyperlink>
          </w:p>
        </w:tc>
        <w:tc>
          <w:tcPr>
            <w:tcW w:w="520" w:type="dxa"/>
            <w:vAlign w:val="bottom"/>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304"/>
        </w:trPr>
        <w:tc>
          <w:tcPr>
            <w:tcW w:w="1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740" w:type="dxa"/>
            <w:vAlign w:val="bottom"/>
            <w:tcBorders>
              <w:top w:val="single" w:sz="8" w:color="0000EE"/>
              <w:bottom w:val="single" w:sz="8" w:color="0000EE"/>
            </w:tcBorders>
            <w:gridSpan w:val="12"/>
          </w:tcPr>
          <w:p>
            <w:pPr>
              <w:spacing w:after="0"/>
              <w:rPr>
                <w:rFonts w:ascii="Arial" w:cs="Arial" w:eastAsia="Arial" w:hAnsi="Arial"/>
                <w:sz w:val="18"/>
                <w:szCs w:val="18"/>
                <w:color w:val="0000EE"/>
                <w:w w:val="90"/>
              </w:rPr>
            </w:pPr>
            <w:hyperlink w:anchor="page6">
              <w:r>
                <w:rPr>
                  <w:rFonts w:ascii="Arial" w:cs="Arial" w:eastAsia="Arial" w:hAnsi="Arial"/>
                  <w:sz w:val="18"/>
                  <w:szCs w:val="18"/>
                  <w:color w:val="0000EE"/>
                  <w:w w:val="90"/>
                </w:rPr>
                <w:t>Consolidated Statements of Cash Flows (unaudited) for the Three Months Ended March 31, 2014 and 2013</w:t>
              </w:r>
            </w:hyperlink>
          </w:p>
        </w:tc>
        <w:tc>
          <w:tcPr>
            <w:tcW w:w="860" w:type="dxa"/>
            <w:vAlign w:val="bottom"/>
            <w:tcBorders>
              <w:top w:val="single" w:sz="8" w:color="0000EE"/>
            </w:tcBorders>
          </w:tcPr>
          <w:p>
            <w:pPr>
              <w:spacing w:after="0"/>
              <w:rPr>
                <w:sz w:val="24"/>
                <w:szCs w:val="24"/>
                <w:color w:val="auto"/>
              </w:rPr>
            </w:pPr>
          </w:p>
        </w:tc>
        <w:tc>
          <w:tcPr>
            <w:tcW w:w="780" w:type="dxa"/>
            <w:vAlign w:val="bottom"/>
          </w:tcPr>
          <w:p>
            <w:pPr>
              <w:spacing w:after="0"/>
              <w:rPr>
                <w:sz w:val="24"/>
                <w:szCs w:val="24"/>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304"/>
        </w:trPr>
        <w:tc>
          <w:tcPr>
            <w:tcW w:w="1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880" w:type="dxa"/>
            <w:vAlign w:val="bottom"/>
            <w:tcBorders>
              <w:bottom w:val="single" w:sz="8" w:color="0000EE"/>
            </w:tcBorders>
            <w:gridSpan w:val="8"/>
          </w:tcPr>
          <w:p>
            <w:pPr>
              <w:spacing w:after="0"/>
              <w:rPr>
                <w:rFonts w:ascii="Arial" w:cs="Arial" w:eastAsia="Arial" w:hAnsi="Arial"/>
                <w:sz w:val="18"/>
                <w:szCs w:val="18"/>
                <w:color w:val="0000EE"/>
                <w:w w:val="89"/>
              </w:rPr>
            </w:pPr>
            <w:hyperlink w:anchor="page7">
              <w:r>
                <w:rPr>
                  <w:rFonts w:ascii="Arial" w:cs="Arial" w:eastAsia="Arial" w:hAnsi="Arial"/>
                  <w:sz w:val="18"/>
                  <w:szCs w:val="18"/>
                  <w:color w:val="0000EE"/>
                  <w:w w:val="89"/>
                </w:rPr>
                <w:t>Condensed Notes to Consolidated Financial Statements (unaudited)</w:t>
              </w:r>
            </w:hyperlink>
          </w:p>
        </w:tc>
        <w:tc>
          <w:tcPr>
            <w:tcW w:w="4500" w:type="dxa"/>
            <w:vAlign w:val="bottom"/>
            <w:gridSpan w:val="6"/>
          </w:tcPr>
          <w:p>
            <w:pPr>
              <w:spacing w:after="0"/>
              <w:rPr>
                <w:sz w:val="24"/>
                <w:szCs w:val="24"/>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304"/>
        </w:trPr>
        <w:tc>
          <w:tcPr>
            <w:tcW w:w="1340" w:type="dxa"/>
            <w:vAlign w:val="bottom"/>
            <w:gridSpan w:val="2"/>
          </w:tcPr>
          <w:p>
            <w:pPr>
              <w:ind w:left="360"/>
              <w:spacing w:after="0"/>
              <w:rPr>
                <w:sz w:val="20"/>
                <w:szCs w:val="20"/>
                <w:color w:val="auto"/>
              </w:rPr>
            </w:pPr>
            <w:r>
              <w:rPr>
                <w:rFonts w:ascii="Arial" w:cs="Arial" w:eastAsia="Arial" w:hAnsi="Arial"/>
                <w:sz w:val="18"/>
                <w:szCs w:val="18"/>
                <w:color w:val="auto"/>
              </w:rPr>
              <w:t>Item 2.</w:t>
            </w:r>
          </w:p>
        </w:tc>
        <w:tc>
          <w:tcPr>
            <w:tcW w:w="9380" w:type="dxa"/>
            <w:vAlign w:val="bottom"/>
            <w:gridSpan w:val="14"/>
          </w:tcPr>
          <w:p>
            <w:pPr>
              <w:spacing w:after="0"/>
              <w:rPr>
                <w:rFonts w:ascii="Arial" w:cs="Arial" w:eastAsia="Arial" w:hAnsi="Arial"/>
                <w:sz w:val="18"/>
                <w:szCs w:val="18"/>
                <w:color w:val="0000EE"/>
              </w:rPr>
            </w:pPr>
            <w:hyperlink w:anchor="page18">
              <w:r>
                <w:rPr>
                  <w:rFonts w:ascii="Arial" w:cs="Arial" w:eastAsia="Arial" w:hAnsi="Arial"/>
                  <w:sz w:val="18"/>
                  <w:szCs w:val="18"/>
                  <w:color w:val="0000EE"/>
                </w:rPr>
                <w:t>Management’s Discussion and Analysis of Financial Condition and Results of Operations</w:t>
              </w:r>
            </w:hyperlink>
          </w:p>
        </w:tc>
        <w:tc>
          <w:tcPr>
            <w:tcW w:w="520" w:type="dxa"/>
            <w:vAlign w:val="bottom"/>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304"/>
        </w:trPr>
        <w:tc>
          <w:tcPr>
            <w:tcW w:w="1340" w:type="dxa"/>
            <w:vAlign w:val="bottom"/>
            <w:gridSpan w:val="2"/>
          </w:tcPr>
          <w:p>
            <w:pPr>
              <w:ind w:left="360"/>
              <w:spacing w:after="0"/>
              <w:rPr>
                <w:sz w:val="20"/>
                <w:szCs w:val="20"/>
                <w:color w:val="auto"/>
              </w:rPr>
            </w:pPr>
            <w:r>
              <w:rPr>
                <w:rFonts w:ascii="Arial" w:cs="Arial" w:eastAsia="Arial" w:hAnsi="Arial"/>
                <w:sz w:val="18"/>
                <w:szCs w:val="18"/>
                <w:color w:val="auto"/>
              </w:rPr>
              <w:t>Item 3.</w:t>
            </w:r>
          </w:p>
        </w:tc>
        <w:tc>
          <w:tcPr>
            <w:tcW w:w="6460" w:type="dxa"/>
            <w:vAlign w:val="bottom"/>
            <w:tcBorders>
              <w:top w:val="single" w:sz="8" w:color="0000EE"/>
            </w:tcBorders>
            <w:gridSpan w:val="10"/>
          </w:tcPr>
          <w:p>
            <w:pPr>
              <w:spacing w:after="0"/>
              <w:rPr>
                <w:rFonts w:ascii="Arial" w:cs="Arial" w:eastAsia="Arial" w:hAnsi="Arial"/>
                <w:sz w:val="18"/>
                <w:szCs w:val="18"/>
                <w:color w:val="0000EE"/>
              </w:rPr>
            </w:pPr>
            <w:hyperlink w:anchor="page29">
              <w:r>
                <w:rPr>
                  <w:rFonts w:ascii="Arial" w:cs="Arial" w:eastAsia="Arial" w:hAnsi="Arial"/>
                  <w:sz w:val="18"/>
                  <w:szCs w:val="18"/>
                  <w:color w:val="0000EE"/>
                </w:rPr>
                <w:t>Quantitative and Qualitative Disclosures About Market Risk</w:t>
              </w:r>
            </w:hyperlink>
          </w:p>
        </w:tc>
        <w:tc>
          <w:tcPr>
            <w:tcW w:w="2920" w:type="dxa"/>
            <w:vAlign w:val="bottom"/>
            <w:gridSpan w:val="4"/>
          </w:tcPr>
          <w:p>
            <w:pPr>
              <w:spacing w:after="0"/>
              <w:rPr>
                <w:sz w:val="24"/>
                <w:szCs w:val="24"/>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304"/>
        </w:trPr>
        <w:tc>
          <w:tcPr>
            <w:tcW w:w="1340" w:type="dxa"/>
            <w:vAlign w:val="bottom"/>
            <w:gridSpan w:val="2"/>
          </w:tcPr>
          <w:p>
            <w:pPr>
              <w:ind w:left="360"/>
              <w:spacing w:after="0"/>
              <w:rPr>
                <w:sz w:val="20"/>
                <w:szCs w:val="20"/>
                <w:color w:val="auto"/>
              </w:rPr>
            </w:pPr>
            <w:r>
              <w:rPr>
                <w:rFonts w:ascii="Arial" w:cs="Arial" w:eastAsia="Arial" w:hAnsi="Arial"/>
                <w:sz w:val="18"/>
                <w:szCs w:val="18"/>
                <w:color w:val="auto"/>
              </w:rPr>
              <w:t>Item 4.</w:t>
            </w:r>
          </w:p>
        </w:tc>
        <w:tc>
          <w:tcPr>
            <w:tcW w:w="1780" w:type="dxa"/>
            <w:vAlign w:val="bottom"/>
            <w:tcBorders>
              <w:top w:val="single" w:sz="8" w:color="0000EE"/>
              <w:bottom w:val="single" w:sz="8" w:color="0000EE"/>
            </w:tcBorders>
            <w:gridSpan w:val="6"/>
          </w:tcPr>
          <w:p>
            <w:pPr>
              <w:spacing w:after="0"/>
              <w:rPr>
                <w:rFonts w:ascii="Arial" w:cs="Arial" w:eastAsia="Arial" w:hAnsi="Arial"/>
                <w:sz w:val="18"/>
                <w:szCs w:val="18"/>
                <w:color w:val="0000EE"/>
                <w:w w:val="88"/>
              </w:rPr>
            </w:pPr>
            <w:hyperlink w:anchor="page29">
              <w:r>
                <w:rPr>
                  <w:rFonts w:ascii="Arial" w:cs="Arial" w:eastAsia="Arial" w:hAnsi="Arial"/>
                  <w:sz w:val="18"/>
                  <w:szCs w:val="18"/>
                  <w:color w:val="0000EE"/>
                  <w:w w:val="88"/>
                </w:rPr>
                <w:t>Controls and Procedures</w:t>
              </w:r>
            </w:hyperlink>
          </w:p>
        </w:tc>
        <w:tc>
          <w:tcPr>
            <w:tcW w:w="2580" w:type="dxa"/>
            <w:vAlign w:val="bottom"/>
            <w:tcBorders>
              <w:top w:val="single" w:sz="8" w:color="0000EE"/>
            </w:tcBorders>
          </w:tcPr>
          <w:p>
            <w:pPr>
              <w:spacing w:after="0"/>
              <w:rPr>
                <w:sz w:val="24"/>
                <w:szCs w:val="24"/>
                <w:color w:val="auto"/>
              </w:rPr>
            </w:pPr>
          </w:p>
        </w:tc>
        <w:tc>
          <w:tcPr>
            <w:tcW w:w="5020" w:type="dxa"/>
            <w:vAlign w:val="bottom"/>
            <w:gridSpan w:val="7"/>
          </w:tcPr>
          <w:p>
            <w:pPr>
              <w:spacing w:after="0"/>
              <w:rPr>
                <w:sz w:val="24"/>
                <w:szCs w:val="24"/>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304"/>
        </w:trPr>
        <w:tc>
          <w:tcPr>
            <w:tcW w:w="10720" w:type="dxa"/>
            <w:vAlign w:val="bottom"/>
            <w:gridSpan w:val="16"/>
          </w:tcPr>
          <w:p>
            <w:pPr>
              <w:spacing w:after="0"/>
              <w:rPr>
                <w:rFonts w:ascii="Arial" w:cs="Arial" w:eastAsia="Arial" w:hAnsi="Arial"/>
                <w:sz w:val="18"/>
                <w:szCs w:val="18"/>
                <w:b w:val="1"/>
                <w:bCs w:val="1"/>
                <w:color w:val="0000EE"/>
              </w:rPr>
            </w:pPr>
            <w:hyperlink w:anchor="page30">
              <w:r>
                <w:rPr>
                  <w:rFonts w:ascii="Arial" w:cs="Arial" w:eastAsia="Arial" w:hAnsi="Arial"/>
                  <w:sz w:val="18"/>
                  <w:szCs w:val="18"/>
                  <w:b w:val="1"/>
                  <w:bCs w:val="1"/>
                  <w:color w:val="0000EE"/>
                </w:rPr>
                <w:t>Part II. OTHER INFORMATION</w:t>
              </w:r>
            </w:hyperlink>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1340" w:type="dxa"/>
            <w:vAlign w:val="bottom"/>
            <w:tcBorders>
              <w:top w:val="single" w:sz="8" w:color="0000EE"/>
            </w:tcBorders>
            <w:gridSpan w:val="2"/>
          </w:tcPr>
          <w:p>
            <w:pPr>
              <w:ind w:left="360"/>
              <w:spacing w:after="0"/>
              <w:rPr>
                <w:sz w:val="20"/>
                <w:szCs w:val="20"/>
                <w:color w:val="auto"/>
              </w:rPr>
            </w:pPr>
            <w:r>
              <w:rPr>
                <w:rFonts w:ascii="Arial" w:cs="Arial" w:eastAsia="Arial" w:hAnsi="Arial"/>
                <w:sz w:val="18"/>
                <w:szCs w:val="18"/>
                <w:color w:val="auto"/>
              </w:rPr>
              <w:t>Item 1A.</w:t>
            </w:r>
          </w:p>
        </w:tc>
        <w:tc>
          <w:tcPr>
            <w:tcW w:w="1300" w:type="dxa"/>
            <w:vAlign w:val="bottom"/>
            <w:tcBorders>
              <w:top w:val="single" w:sz="8" w:color="0000EE"/>
            </w:tcBorders>
            <w:gridSpan w:val="3"/>
          </w:tcPr>
          <w:p>
            <w:pPr>
              <w:spacing w:after="0"/>
              <w:rPr>
                <w:rFonts w:ascii="Arial" w:cs="Arial" w:eastAsia="Arial" w:hAnsi="Arial"/>
                <w:sz w:val="18"/>
                <w:szCs w:val="18"/>
                <w:color w:val="0000EE"/>
              </w:rPr>
            </w:pPr>
            <w:hyperlink w:anchor="page30">
              <w:r>
                <w:rPr>
                  <w:rFonts w:ascii="Arial" w:cs="Arial" w:eastAsia="Arial" w:hAnsi="Arial"/>
                  <w:sz w:val="18"/>
                  <w:szCs w:val="18"/>
                  <w:color w:val="0000EE"/>
                </w:rPr>
                <w:t>Risk Factors</w:t>
              </w:r>
            </w:hyperlink>
          </w:p>
        </w:tc>
        <w:tc>
          <w:tcPr>
            <w:tcW w:w="8080" w:type="dxa"/>
            <w:vAlign w:val="bottom"/>
            <w:gridSpan w:val="11"/>
          </w:tcPr>
          <w:p>
            <w:pPr>
              <w:spacing w:after="0"/>
              <w:rPr>
                <w:sz w:val="24"/>
                <w:szCs w:val="24"/>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304"/>
        </w:trPr>
        <w:tc>
          <w:tcPr>
            <w:tcW w:w="1340" w:type="dxa"/>
            <w:vAlign w:val="bottom"/>
            <w:gridSpan w:val="2"/>
          </w:tcPr>
          <w:p>
            <w:pPr>
              <w:ind w:left="360"/>
              <w:spacing w:after="0"/>
              <w:rPr>
                <w:sz w:val="20"/>
                <w:szCs w:val="20"/>
                <w:color w:val="auto"/>
              </w:rPr>
            </w:pPr>
            <w:r>
              <w:rPr>
                <w:rFonts w:ascii="Arial" w:cs="Arial" w:eastAsia="Arial" w:hAnsi="Arial"/>
                <w:sz w:val="18"/>
                <w:szCs w:val="18"/>
                <w:color w:val="auto"/>
              </w:rPr>
              <w:t>Item 6.</w:t>
            </w:r>
          </w:p>
        </w:tc>
        <w:tc>
          <w:tcPr>
            <w:tcW w:w="900" w:type="dxa"/>
            <w:vAlign w:val="bottom"/>
            <w:tcBorders>
              <w:top w:val="single" w:sz="8" w:color="0000EE"/>
            </w:tcBorders>
            <w:gridSpan w:val="2"/>
          </w:tcPr>
          <w:p>
            <w:pPr>
              <w:spacing w:after="0"/>
              <w:rPr>
                <w:rFonts w:ascii="Arial" w:cs="Arial" w:eastAsia="Arial" w:hAnsi="Arial"/>
                <w:sz w:val="18"/>
                <w:szCs w:val="18"/>
                <w:color w:val="0000EE"/>
              </w:rPr>
            </w:pPr>
            <w:hyperlink w:anchor="page30">
              <w:r>
                <w:rPr>
                  <w:rFonts w:ascii="Arial" w:cs="Arial" w:eastAsia="Arial" w:hAnsi="Arial"/>
                  <w:sz w:val="18"/>
                  <w:szCs w:val="18"/>
                  <w:color w:val="0000EE"/>
                </w:rPr>
                <w:t>Exhibits</w:t>
              </w:r>
            </w:hyperlink>
          </w:p>
        </w:tc>
        <w:tc>
          <w:tcPr>
            <w:tcW w:w="8480" w:type="dxa"/>
            <w:vAlign w:val="bottom"/>
            <w:gridSpan w:val="12"/>
          </w:tcPr>
          <w:p>
            <w:pPr>
              <w:spacing w:after="0"/>
              <w:rPr>
                <w:sz w:val="24"/>
                <w:szCs w:val="24"/>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304"/>
        </w:trPr>
        <w:tc>
          <w:tcPr>
            <w:tcW w:w="1340" w:type="dxa"/>
            <w:vAlign w:val="bottom"/>
            <w:gridSpan w:val="2"/>
          </w:tcPr>
          <w:p>
            <w:pPr>
              <w:spacing w:after="0"/>
              <w:rPr>
                <w:rFonts w:ascii="Arial" w:cs="Arial" w:eastAsia="Arial" w:hAnsi="Arial"/>
                <w:sz w:val="18"/>
                <w:szCs w:val="18"/>
                <w:b w:val="1"/>
                <w:bCs w:val="1"/>
                <w:color w:val="0000EE"/>
              </w:rPr>
            </w:pPr>
            <w:hyperlink w:anchor="page31">
              <w:r>
                <w:rPr>
                  <w:rFonts w:ascii="Arial" w:cs="Arial" w:eastAsia="Arial" w:hAnsi="Arial"/>
                  <w:sz w:val="18"/>
                  <w:szCs w:val="18"/>
                  <w:b w:val="1"/>
                  <w:bCs w:val="1"/>
                  <w:color w:val="0000EE"/>
                </w:rPr>
                <w:t>SIGNATURES</w:t>
              </w:r>
            </w:hyperlink>
          </w:p>
        </w:tc>
        <w:tc>
          <w:tcPr>
            <w:tcW w:w="600" w:type="dxa"/>
            <w:vAlign w:val="bottom"/>
            <w:tcBorders>
              <w:top w:val="single" w:sz="8" w:color="0000EE"/>
            </w:tcBorders>
          </w:tcPr>
          <w:p>
            <w:pPr>
              <w:spacing w:after="0"/>
              <w:rPr>
                <w:sz w:val="24"/>
                <w:szCs w:val="24"/>
                <w:color w:val="auto"/>
              </w:rPr>
            </w:pPr>
          </w:p>
        </w:tc>
        <w:tc>
          <w:tcPr>
            <w:tcW w:w="3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385"/>
        </w:trPr>
        <w:tc>
          <w:tcPr>
            <w:tcW w:w="1160" w:type="dxa"/>
            <w:vAlign w:val="bottom"/>
            <w:tcBorders>
              <w:top w:val="single" w:sz="8" w:color="0000EE"/>
            </w:tcBorders>
          </w:tcPr>
          <w:p>
            <w:pPr>
              <w:spacing w:after="0"/>
              <w:rPr>
                <w:sz w:val="24"/>
                <w:szCs w:val="24"/>
                <w:color w:val="auto"/>
              </w:rPr>
            </w:pPr>
          </w:p>
        </w:tc>
        <w:tc>
          <w:tcPr>
            <w:tcW w:w="180" w:type="dxa"/>
            <w:vAlign w:val="bottom"/>
          </w:tcPr>
          <w:p>
            <w:pPr>
              <w:spacing w:after="0"/>
              <w:rPr>
                <w:sz w:val="24"/>
                <w:szCs w:val="24"/>
                <w:color w:val="auto"/>
              </w:rPr>
            </w:pPr>
          </w:p>
        </w:tc>
        <w:tc>
          <w:tcPr>
            <w:tcW w:w="4880" w:type="dxa"/>
            <w:vAlign w:val="bottom"/>
            <w:gridSpan w:val="8"/>
          </w:tcPr>
          <w:p>
            <w:pPr>
              <w:ind w:left="4220"/>
              <w:spacing w:after="0"/>
              <w:rPr>
                <w:sz w:val="20"/>
                <w:szCs w:val="20"/>
                <w:color w:val="auto"/>
              </w:rPr>
            </w:pPr>
            <w:r>
              <w:rPr>
                <w:rFonts w:ascii="Arial" w:cs="Arial" w:eastAsia="Arial" w:hAnsi="Arial"/>
                <w:sz w:val="18"/>
                <w:szCs w:val="18"/>
                <w:color w:val="auto"/>
              </w:rPr>
              <w:t>- 2 -</w:t>
            </w:r>
          </w:p>
        </w:tc>
        <w:tc>
          <w:tcPr>
            <w:tcW w:w="1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240" w:top="459" w:right="41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 FINANCIAL INFORMATION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13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TRI POINTE HOMES,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amounts)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340" w:type="dxa"/>
            <w:vAlign w:val="bottom"/>
          </w:tcPr>
          <w:p>
            <w:pPr>
              <w:spacing w:after="0"/>
              <w:rPr>
                <w:sz w:val="14"/>
                <w:szCs w:val="14"/>
                <w:color w:val="auto"/>
              </w:rPr>
            </w:pPr>
          </w:p>
        </w:tc>
        <w:tc>
          <w:tcPr>
            <w:tcW w:w="920" w:type="dxa"/>
            <w:vAlign w:val="bottom"/>
            <w:gridSpan w:val="3"/>
          </w:tcPr>
          <w:p>
            <w:pPr>
              <w:ind w:left="40"/>
              <w:spacing w:after="0"/>
              <w:rPr>
                <w:sz w:val="20"/>
                <w:szCs w:val="20"/>
                <w:color w:val="auto"/>
              </w:rPr>
            </w:pPr>
            <w:r>
              <w:rPr>
                <w:rFonts w:ascii="Arial" w:cs="Arial" w:eastAsia="Arial" w:hAnsi="Arial"/>
                <w:sz w:val="14"/>
                <w:szCs w:val="14"/>
                <w:b w:val="1"/>
                <w:bCs w:val="1"/>
                <w:color w:val="auto"/>
              </w:rPr>
              <w:t>March 31,</w:t>
            </w:r>
          </w:p>
        </w:tc>
        <w:tc>
          <w:tcPr>
            <w:tcW w:w="200" w:type="dxa"/>
            <w:vAlign w:val="bottom"/>
          </w:tcPr>
          <w:p>
            <w:pPr>
              <w:spacing w:after="0"/>
              <w:rPr>
                <w:sz w:val="14"/>
                <w:szCs w:val="14"/>
                <w:color w:val="auto"/>
              </w:rPr>
            </w:pPr>
          </w:p>
        </w:tc>
        <w:tc>
          <w:tcPr>
            <w:tcW w:w="940" w:type="dxa"/>
            <w:vAlign w:val="bottom"/>
            <w:gridSpan w:val="3"/>
          </w:tcPr>
          <w:p>
            <w:pPr>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93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111"/>
              <w:spacing w:after="0"/>
              <w:rPr>
                <w:sz w:val="20"/>
                <w:szCs w:val="20"/>
                <w:color w:val="auto"/>
              </w:rPr>
            </w:pPr>
            <w:r>
              <w:rPr>
                <w:rFonts w:ascii="Arial" w:cs="Arial" w:eastAsia="Arial" w:hAnsi="Arial"/>
                <w:sz w:val="14"/>
                <w:szCs w:val="14"/>
                <w:b w:val="1"/>
                <w:bCs w:val="1"/>
                <w:color w:val="auto"/>
              </w:rPr>
              <w:t>2014</w:t>
            </w: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71"/>
              <w:spacing w:after="0"/>
              <w:rPr>
                <w:sz w:val="20"/>
                <w:szCs w:val="20"/>
                <w:color w:val="auto"/>
              </w:rPr>
            </w:pPr>
            <w:r>
              <w:rPr>
                <w:rFonts w:ascii="Arial" w:cs="Arial" w:eastAsia="Arial" w:hAnsi="Arial"/>
                <w:sz w:val="14"/>
                <w:szCs w:val="14"/>
                <w:b w:val="1"/>
                <w:bCs w:val="1"/>
                <w:color w:val="auto"/>
              </w:rPr>
              <w:t>2013</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9340" w:type="dxa"/>
            <w:vAlign w:val="bottom"/>
          </w:tcPr>
          <w:p>
            <w:pPr>
              <w:spacing w:after="0"/>
              <w:rPr>
                <w:sz w:val="12"/>
                <w:szCs w:val="12"/>
                <w:color w:val="auto"/>
              </w:rPr>
            </w:pPr>
          </w:p>
        </w:tc>
        <w:tc>
          <w:tcPr>
            <w:tcW w:w="700" w:type="dxa"/>
            <w:vAlign w:val="bottom"/>
            <w:gridSpan w:val="2"/>
          </w:tcPr>
          <w:p>
            <w:pPr>
              <w:ind w:left="20"/>
              <w:spacing w:after="0" w:line="142" w:lineRule="exact"/>
              <w:rPr>
                <w:sz w:val="20"/>
                <w:szCs w:val="20"/>
                <w:color w:val="auto"/>
              </w:rPr>
            </w:pPr>
            <w:r>
              <w:rPr>
                <w:rFonts w:ascii="Arial" w:cs="Arial" w:eastAsia="Arial" w:hAnsi="Arial"/>
                <w:sz w:val="14"/>
                <w:szCs w:val="14"/>
                <w:color w:val="auto"/>
                <w:w w:val="93"/>
              </w:rPr>
              <w:t>(unaudited)</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32,046</w:t>
            </w:r>
          </w:p>
        </w:tc>
        <w:tc>
          <w:tcPr>
            <w:tcW w:w="38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35,261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shd w:val="clear" w:color="auto" w:fill="CCEEFF"/>
          </w:tcPr>
          <w:p>
            <w:pPr>
              <w:spacing w:after="0"/>
              <w:rPr>
                <w:sz w:val="20"/>
                <w:szCs w:val="20"/>
                <w:color w:val="auto"/>
              </w:rPr>
            </w:pPr>
            <w:r>
              <w:rPr>
                <w:rFonts w:ascii="Arial" w:cs="Arial" w:eastAsia="Arial" w:hAnsi="Arial"/>
                <w:sz w:val="18"/>
                <w:szCs w:val="18"/>
                <w:color w:val="auto"/>
              </w:rPr>
              <w:t>Real estate inventories</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9"/>
              </w:rPr>
              <w:t>484,483</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455,642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tcPr>
          <w:p>
            <w:pPr>
              <w:spacing w:after="0"/>
              <w:rPr>
                <w:sz w:val="20"/>
                <w:szCs w:val="20"/>
                <w:color w:val="auto"/>
              </w:rPr>
            </w:pPr>
            <w:r>
              <w:rPr>
                <w:rFonts w:ascii="Arial" w:cs="Arial" w:eastAsia="Arial" w:hAnsi="Arial"/>
                <w:sz w:val="18"/>
                <w:szCs w:val="18"/>
                <w:color w:val="auto"/>
              </w:rPr>
              <w:t>Contracts and accounts receivable</w:t>
            </w:r>
          </w:p>
        </w:tc>
        <w:tc>
          <w:tcPr>
            <w:tcW w:w="10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1,855</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1,697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shd w:val="clear" w:color="auto" w:fill="CCEEFF"/>
          </w:tcPr>
          <w:p>
            <w:pPr>
              <w:spacing w:after="0"/>
              <w:rPr>
                <w:sz w:val="20"/>
                <w:szCs w:val="20"/>
                <w:color w:val="auto"/>
              </w:rPr>
            </w:pPr>
            <w:r>
              <w:rPr>
                <w:rFonts w:ascii="Arial" w:cs="Arial" w:eastAsia="Arial" w:hAnsi="Arial"/>
                <w:sz w:val="18"/>
                <w:szCs w:val="18"/>
                <w:color w:val="auto"/>
              </w:rPr>
              <w:t>Deferred tax assets</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4,611</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4,611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340" w:type="dxa"/>
            <w:vAlign w:val="bottom"/>
          </w:tcPr>
          <w:p>
            <w:pPr>
              <w:spacing w:after="0"/>
              <w:rPr>
                <w:sz w:val="20"/>
                <w:szCs w:val="20"/>
                <w:color w:val="auto"/>
              </w:rPr>
            </w:pPr>
            <w:r>
              <w:rPr>
                <w:rFonts w:ascii="Arial" w:cs="Arial" w:eastAsia="Arial" w:hAnsi="Arial"/>
                <w:sz w:val="18"/>
                <w:szCs w:val="18"/>
                <w:color w:val="auto"/>
              </w:rPr>
              <w:t>Other assets</w:t>
            </w:r>
          </w:p>
        </w:tc>
        <w:tc>
          <w:tcPr>
            <w:tcW w:w="10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15,572</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8,824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Assets</w:t>
            </w:r>
          </w:p>
        </w:tc>
        <w:tc>
          <w:tcPr>
            <w:tcW w:w="100" w:type="dxa"/>
            <w:vAlign w:val="bottom"/>
            <w:shd w:val="clear" w:color="auto" w:fill="CCEEFF"/>
          </w:tcPr>
          <w:p>
            <w:pPr>
              <w:spacing w:after="0"/>
              <w:rPr>
                <w:sz w:val="20"/>
                <w:szCs w:val="20"/>
                <w:color w:val="auto"/>
              </w:rPr>
            </w:pPr>
            <w:r>
              <w:rPr>
                <w:rFonts w:ascii="Arial" w:cs="Arial" w:eastAsia="Arial" w:hAnsi="Arial"/>
                <w:sz w:val="18"/>
                <w:szCs w:val="18"/>
                <w:u w:val="single" w:color="auto"/>
                <w:color w:val="auto"/>
                <w:w w:val="79"/>
              </w:rPr>
              <w:t>$</w:t>
            </w: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9"/>
              </w:rPr>
              <w:t>538,567</w:t>
            </w:r>
          </w:p>
        </w:tc>
        <w:tc>
          <w:tcPr>
            <w:tcW w:w="3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506,035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936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Liabilities and Stockholders’ Equity</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936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shd w:val="clear" w:color="auto" w:fill="CCEEFF"/>
          </w:tcPr>
          <w:p>
            <w:pPr>
              <w:spacing w:after="0"/>
              <w:rPr>
                <w:sz w:val="20"/>
                <w:szCs w:val="20"/>
                <w:color w:val="auto"/>
              </w:rPr>
            </w:pPr>
            <w:r>
              <w:rPr>
                <w:rFonts w:ascii="Arial" w:cs="Arial" w:eastAsia="Arial" w:hAnsi="Arial"/>
                <w:sz w:val="18"/>
                <w:szCs w:val="18"/>
                <w:color w:val="auto"/>
              </w:rPr>
              <w:t>Accounts payable</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16,006</w:t>
            </w:r>
          </w:p>
        </w:tc>
        <w:tc>
          <w:tcPr>
            <w:tcW w:w="3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23,397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tcPr>
          <w:p>
            <w:pPr>
              <w:spacing w:after="0"/>
              <w:rPr>
                <w:sz w:val="20"/>
                <w:szCs w:val="20"/>
                <w:color w:val="auto"/>
              </w:rPr>
            </w:pPr>
            <w:r>
              <w:rPr>
                <w:rFonts w:ascii="Arial" w:cs="Arial" w:eastAsia="Arial" w:hAnsi="Arial"/>
                <w:sz w:val="18"/>
                <w:szCs w:val="18"/>
                <w:color w:val="auto"/>
              </w:rPr>
              <w:t>Accrued liabilities</w:t>
            </w:r>
          </w:p>
        </w:tc>
        <w:tc>
          <w:tcPr>
            <w:tcW w:w="10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18,761</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22,220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shd w:val="clear" w:color="auto" w:fill="CCEEFF"/>
          </w:tcPr>
          <w:p>
            <w:pPr>
              <w:spacing w:after="0"/>
              <w:rPr>
                <w:sz w:val="20"/>
                <w:szCs w:val="20"/>
                <w:color w:val="auto"/>
              </w:rPr>
            </w:pPr>
            <w:r>
              <w:rPr>
                <w:rFonts w:ascii="Arial" w:cs="Arial" w:eastAsia="Arial" w:hAnsi="Arial"/>
                <w:sz w:val="18"/>
                <w:szCs w:val="18"/>
                <w:color w:val="auto"/>
              </w:rPr>
              <w:t>Notes payable</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9"/>
              </w:rPr>
              <w:t>176,933</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138,112</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340" w:type="dxa"/>
            <w:vAlign w:val="bottom"/>
          </w:tcPr>
          <w:p>
            <w:pPr>
              <w:ind w:left="340"/>
              <w:spacing w:after="0"/>
              <w:rPr>
                <w:sz w:val="20"/>
                <w:szCs w:val="20"/>
                <w:color w:val="auto"/>
              </w:rPr>
            </w:pPr>
            <w:r>
              <w:rPr>
                <w:rFonts w:ascii="Arial" w:cs="Arial" w:eastAsia="Arial" w:hAnsi="Arial"/>
                <w:sz w:val="18"/>
                <w:szCs w:val="18"/>
                <w:color w:val="auto"/>
              </w:rPr>
              <w:t>Total Liabilities</w:t>
            </w:r>
          </w:p>
        </w:tc>
        <w:tc>
          <w:tcPr>
            <w:tcW w:w="10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211,700</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183,729</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shd w:val="clear" w:color="auto" w:fill="CCEEFF"/>
          </w:tcPr>
          <w:p>
            <w:pPr>
              <w:spacing w:after="0"/>
              <w:rPr>
                <w:sz w:val="20"/>
                <w:szCs w:val="20"/>
                <w:color w:val="auto"/>
              </w:rPr>
            </w:pPr>
            <w:r>
              <w:rPr>
                <w:rFonts w:ascii="Arial" w:cs="Arial" w:eastAsia="Arial" w:hAnsi="Arial"/>
                <w:sz w:val="18"/>
                <w:szCs w:val="18"/>
                <w:color w:val="auto"/>
              </w:rPr>
              <w:t>Stockholders’ Equity:</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9340" w:type="dxa"/>
            <w:vAlign w:val="bottom"/>
          </w:tcPr>
          <w:p>
            <w:pPr>
              <w:ind w:left="340"/>
              <w:spacing w:after="0" w:line="201" w:lineRule="exact"/>
              <w:rPr>
                <w:sz w:val="20"/>
                <w:szCs w:val="20"/>
                <w:color w:val="auto"/>
              </w:rPr>
            </w:pPr>
            <w:r>
              <w:rPr>
                <w:rFonts w:ascii="Arial" w:cs="Arial" w:eastAsia="Arial" w:hAnsi="Arial"/>
                <w:sz w:val="18"/>
                <w:szCs w:val="18"/>
                <w:color w:val="auto"/>
                <w:w w:val="99"/>
              </w:rPr>
              <w:t>Preferred stock, $0.01 par value, 50,000,000 shares authorized; no shares outstanding as of March 31, 2014 and</w:t>
            </w: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340" w:type="dxa"/>
            <w:vAlign w:val="bottom"/>
          </w:tcPr>
          <w:p>
            <w:pPr>
              <w:ind w:left="520"/>
              <w:spacing w:after="0"/>
              <w:rPr>
                <w:sz w:val="20"/>
                <w:szCs w:val="20"/>
                <w:color w:val="auto"/>
              </w:rPr>
            </w:pPr>
            <w:r>
              <w:rPr>
                <w:rFonts w:ascii="Arial" w:cs="Arial" w:eastAsia="Arial" w:hAnsi="Arial"/>
                <w:sz w:val="18"/>
                <w:szCs w:val="18"/>
                <w:color w:val="auto"/>
              </w:rPr>
              <w:t>December 31, 2013, respectively</w:t>
            </w:r>
          </w:p>
        </w:tc>
        <w:tc>
          <w:tcPr>
            <w:tcW w:w="100" w:type="dxa"/>
            <w:vAlign w:val="bottom"/>
          </w:tcPr>
          <w:p>
            <w:pPr>
              <w:spacing w:after="0"/>
              <w:rPr>
                <w:sz w:val="20"/>
                <w:szCs w:val="20"/>
                <w:color w:val="auto"/>
              </w:rPr>
            </w:pPr>
          </w:p>
        </w:tc>
        <w:tc>
          <w:tcPr>
            <w:tcW w:w="82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9340" w:type="dxa"/>
            <w:vAlign w:val="bottom"/>
            <w:shd w:val="clear" w:color="auto" w:fill="CCEEFF"/>
          </w:tcPr>
          <w:p>
            <w:pPr>
              <w:ind w:left="340"/>
              <w:spacing w:after="0" w:line="201" w:lineRule="exact"/>
              <w:rPr>
                <w:sz w:val="20"/>
                <w:szCs w:val="20"/>
                <w:color w:val="auto"/>
              </w:rPr>
            </w:pPr>
            <w:r>
              <w:rPr>
                <w:rFonts w:ascii="Arial" w:cs="Arial" w:eastAsia="Arial" w:hAnsi="Arial"/>
                <w:sz w:val="18"/>
                <w:szCs w:val="18"/>
                <w:color w:val="auto"/>
              </w:rPr>
              <w:t>Common stock, $0.01 par value, 500,000,000 shares authorized; 31,632,533 and 31,597,907 shares issued and</w:t>
            </w: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340" w:type="dxa"/>
            <w:vAlign w:val="bottom"/>
            <w:shd w:val="clear" w:color="auto" w:fill="CCEEFF"/>
          </w:tcPr>
          <w:p>
            <w:pPr>
              <w:ind w:left="520"/>
              <w:spacing w:after="0"/>
              <w:rPr>
                <w:sz w:val="20"/>
                <w:szCs w:val="20"/>
                <w:color w:val="auto"/>
              </w:rPr>
            </w:pPr>
            <w:r>
              <w:rPr>
                <w:rFonts w:ascii="Arial" w:cs="Arial" w:eastAsia="Arial" w:hAnsi="Arial"/>
                <w:sz w:val="18"/>
                <w:szCs w:val="18"/>
                <w:color w:val="auto"/>
              </w:rPr>
              <w:t>outstanding at March 31, 2014 and December 31, 2013, respectively</w:t>
            </w:r>
          </w:p>
        </w:tc>
        <w:tc>
          <w:tcPr>
            <w:tcW w:w="10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316</w:t>
            </w:r>
          </w:p>
        </w:tc>
        <w:tc>
          <w:tcPr>
            <w:tcW w:w="20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tcPr>
          <w:p>
            <w:pPr>
              <w:ind w:left="340"/>
              <w:spacing w:after="0"/>
              <w:rPr>
                <w:sz w:val="20"/>
                <w:szCs w:val="20"/>
                <w:color w:val="auto"/>
              </w:rPr>
            </w:pPr>
            <w:r>
              <w:rPr>
                <w:rFonts w:ascii="Arial" w:cs="Arial" w:eastAsia="Arial" w:hAnsi="Arial"/>
                <w:sz w:val="18"/>
                <w:szCs w:val="18"/>
                <w:color w:val="auto"/>
              </w:rPr>
              <w:t>Additional paid-in capital</w:t>
            </w:r>
          </w:p>
        </w:tc>
        <w:tc>
          <w:tcPr>
            <w:tcW w:w="10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w w:val="89"/>
              </w:rPr>
              <w:t>311,141</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8"/>
              </w:rPr>
              <w:t>310,878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Retained earnings</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15,410</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11,112</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340" w:type="dxa"/>
            <w:vAlign w:val="bottom"/>
          </w:tcPr>
          <w:p>
            <w:pPr>
              <w:ind w:left="700"/>
              <w:spacing w:after="0"/>
              <w:rPr>
                <w:sz w:val="20"/>
                <w:szCs w:val="20"/>
                <w:color w:val="auto"/>
              </w:rPr>
            </w:pPr>
            <w:r>
              <w:rPr>
                <w:rFonts w:ascii="Arial" w:cs="Arial" w:eastAsia="Arial" w:hAnsi="Arial"/>
                <w:sz w:val="18"/>
                <w:szCs w:val="18"/>
                <w:color w:val="auto"/>
              </w:rPr>
              <w:t>Total Stockholders’ Equity</w:t>
            </w:r>
          </w:p>
        </w:tc>
        <w:tc>
          <w:tcPr>
            <w:tcW w:w="10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326,867</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322,306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shd w:val="clear" w:color="auto" w:fill="CCEEFF"/>
          </w:tcPr>
          <w:p>
            <w:pPr>
              <w:ind w:left="700"/>
              <w:spacing w:after="0"/>
              <w:rPr>
                <w:sz w:val="20"/>
                <w:szCs w:val="20"/>
                <w:color w:val="auto"/>
              </w:rPr>
            </w:pPr>
            <w:r>
              <w:rPr>
                <w:rFonts w:ascii="Arial" w:cs="Arial" w:eastAsia="Arial" w:hAnsi="Arial"/>
                <w:sz w:val="18"/>
                <w:szCs w:val="18"/>
                <w:color w:val="auto"/>
              </w:rPr>
              <w:t>Total Liabilities and Stockholders’ Equity</w:t>
            </w:r>
          </w:p>
        </w:tc>
        <w:tc>
          <w:tcPr>
            <w:tcW w:w="100" w:type="dxa"/>
            <w:vAlign w:val="bottom"/>
            <w:shd w:val="clear" w:color="auto" w:fill="CCEEFF"/>
          </w:tcPr>
          <w:p>
            <w:pPr>
              <w:spacing w:after="0"/>
              <w:rPr>
                <w:sz w:val="20"/>
                <w:szCs w:val="20"/>
                <w:color w:val="auto"/>
              </w:rPr>
            </w:pPr>
            <w:r>
              <w:rPr>
                <w:rFonts w:ascii="Arial" w:cs="Arial" w:eastAsia="Arial" w:hAnsi="Arial"/>
                <w:sz w:val="18"/>
                <w:szCs w:val="18"/>
                <w:u w:val="single" w:color="auto"/>
                <w:color w:val="auto"/>
                <w:w w:val="79"/>
              </w:rPr>
              <w:t>$</w:t>
            </w: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9"/>
              </w:rPr>
              <w:t>538,567</w:t>
            </w:r>
          </w:p>
        </w:tc>
        <w:tc>
          <w:tcPr>
            <w:tcW w:w="3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506,035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condensed notes to the unaudited consolidated financial statements.</w:t>
      </w:r>
    </w:p>
    <w:p>
      <w:pPr>
        <w:spacing w:after="0" w:line="15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- 3-</w:t>
      </w:r>
    </w:p>
    <w:p>
      <w:pPr>
        <w:sectPr>
          <w:pgSz w:w="11900" w:h="16838" w:orient="portrait"/>
          <w:cols w:equalWidth="0" w:num="1">
            <w:col w:w="11420"/>
          </w:cols>
          <w:pgMar w:left="240" w:top="459" w:right="2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TRI POINTE HOMES,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(dollars in thousands, except per share amounts)</w:t>
      </w:r>
    </w:p>
    <w:p>
      <w:pPr>
        <w:spacing w:after="0" w:line="229" w:lineRule="exact"/>
        <w:rPr>
          <w:sz w:val="20"/>
          <w:szCs w:val="20"/>
          <w:color w:val="auto"/>
        </w:rPr>
      </w:pPr>
    </w:p>
    <w:p>
      <w:pPr>
        <w:jc w:val="center"/>
        <w:ind w:left="8760"/>
        <w:spacing w:after="0"/>
        <w:rPr>
          <w:sz w:val="20"/>
          <w:szCs w:val="20"/>
          <w:color w:val="auto"/>
        </w:rPr>
      </w:pPr>
      <w:r>
        <w:rPr>
          <w:rFonts w:ascii="Arial" w:cs="Arial" w:eastAsia="Arial" w:hAnsi="Arial"/>
          <w:sz w:val="14"/>
          <w:szCs w:val="14"/>
          <w:b w:val="1"/>
          <w:bCs w:val="1"/>
          <w:color w:val="auto"/>
        </w:rPr>
        <w:t>Three Months Ended</w:t>
      </w:r>
    </w:p>
    <w:p>
      <w:pPr>
        <w:jc w:val="center"/>
        <w:ind w:left="8760"/>
        <w:spacing w:after="0" w:line="236" w:lineRule="auto"/>
        <w:rPr>
          <w:sz w:val="20"/>
          <w:szCs w:val="20"/>
          <w:color w:val="auto"/>
        </w:rPr>
      </w:pPr>
      <w:r>
        <w:rPr>
          <w:rFonts w:ascii="Arial" w:cs="Arial" w:eastAsia="Arial" w:hAnsi="Arial"/>
          <w:sz w:val="14"/>
          <w:szCs w:val="14"/>
          <w:b w:val="1"/>
          <w:bCs w:val="1"/>
          <w:color w:val="auto"/>
        </w:rPr>
        <w:t>March 31,</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6020" w:type="dxa"/>
            <w:vAlign w:val="bottom"/>
            <w:tcBorders>
              <w:bottom w:val="single" w:sz="8" w:color="CCEEFF"/>
            </w:tcBorders>
          </w:tcPr>
          <w:p>
            <w:pPr>
              <w:spacing w:after="0"/>
              <w:rPr>
                <w:sz w:val="12"/>
                <w:szCs w:val="12"/>
                <w:color w:val="auto"/>
              </w:rPr>
            </w:pPr>
          </w:p>
        </w:tc>
        <w:tc>
          <w:tcPr>
            <w:tcW w:w="282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31"/>
              <w:spacing w:after="0" w:line="142" w:lineRule="exact"/>
              <w:rPr>
                <w:sz w:val="20"/>
                <w:szCs w:val="20"/>
                <w:color w:val="auto"/>
              </w:rPr>
            </w:pPr>
            <w:r>
              <w:rPr>
                <w:rFonts w:ascii="Arial" w:cs="Arial" w:eastAsia="Arial" w:hAnsi="Arial"/>
                <w:sz w:val="14"/>
                <w:szCs w:val="14"/>
                <w:b w:val="1"/>
                <w:bCs w:val="1"/>
                <w:color w:val="auto"/>
              </w:rPr>
              <w:t>2014</w:t>
            </w:r>
          </w:p>
        </w:tc>
        <w:tc>
          <w:tcPr>
            <w:tcW w:w="340" w:type="dxa"/>
            <w:vAlign w:val="bottom"/>
            <w:tcBorders>
              <w:top w:val="single" w:sz="8" w:color="auto"/>
              <w:bottom w:val="single" w:sz="8" w:color="CCEEFF"/>
            </w:tcBorders>
          </w:tcPr>
          <w:p>
            <w:pPr>
              <w:spacing w:after="0"/>
              <w:rPr>
                <w:sz w:val="12"/>
                <w:szCs w:val="12"/>
                <w:color w:val="auto"/>
              </w:rPr>
            </w:pPr>
          </w:p>
        </w:tc>
        <w:tc>
          <w:tcPr>
            <w:tcW w:w="28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31"/>
              <w:spacing w:after="0" w:line="142" w:lineRule="exact"/>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12"/>
                <w:szCs w:val="12"/>
                <w:color w:val="auto"/>
              </w:rPr>
            </w:pPr>
          </w:p>
        </w:tc>
      </w:tr>
      <w:tr>
        <w:trPr>
          <w:trHeight w:val="196"/>
        </w:trPr>
        <w:tc>
          <w:tcPr>
            <w:tcW w:w="20" w:type="dxa"/>
            <w:vAlign w:val="bottom"/>
          </w:tcPr>
          <w:p>
            <w:pPr>
              <w:spacing w:after="0"/>
              <w:rPr>
                <w:sz w:val="17"/>
                <w:szCs w:val="17"/>
                <w:color w:val="auto"/>
              </w:rPr>
            </w:pPr>
          </w:p>
        </w:tc>
        <w:tc>
          <w:tcPr>
            <w:tcW w:w="602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Revenues:</w:t>
            </w:r>
          </w:p>
        </w:tc>
        <w:tc>
          <w:tcPr>
            <w:tcW w:w="28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340"/>
              <w:spacing w:after="0"/>
              <w:rPr>
                <w:sz w:val="20"/>
                <w:szCs w:val="20"/>
                <w:color w:val="auto"/>
              </w:rPr>
            </w:pPr>
            <w:r>
              <w:rPr>
                <w:rFonts w:ascii="Arial" w:cs="Arial" w:eastAsia="Arial" w:hAnsi="Arial"/>
                <w:sz w:val="18"/>
                <w:szCs w:val="18"/>
                <w:color w:val="auto"/>
              </w:rPr>
              <w:t>Home sales</w:t>
            </w:r>
          </w:p>
        </w:tc>
        <w:tc>
          <w:tcPr>
            <w:tcW w:w="29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340"/>
              <w:spacing w:after="0"/>
              <w:rPr>
                <w:sz w:val="20"/>
                <w:szCs w:val="20"/>
                <w:color w:val="auto"/>
              </w:rPr>
            </w:pPr>
            <w:r>
              <w:rPr>
                <w:rFonts w:ascii="Arial" w:cs="Arial" w:eastAsia="Arial" w:hAnsi="Arial"/>
                <w:sz w:val="18"/>
                <w:szCs w:val="18"/>
                <w:color w:val="auto"/>
              </w:rPr>
              <w:t>72,812</w:t>
            </w:r>
          </w:p>
        </w:tc>
        <w:tc>
          <w:tcPr>
            <w:tcW w:w="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23,857</w:t>
            </w: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Fee building</w:t>
            </w:r>
          </w:p>
        </w:tc>
        <w:tc>
          <w:tcPr>
            <w:tcW w:w="2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4,031</w:t>
            </w:r>
          </w:p>
        </w:tc>
      </w:tr>
      <w:tr>
        <w:trPr>
          <w:trHeight w:val="230"/>
        </w:trPr>
        <w:tc>
          <w:tcPr>
            <w:tcW w:w="20" w:type="dxa"/>
            <w:vAlign w:val="bottom"/>
          </w:tcPr>
          <w:p>
            <w:pPr>
              <w:spacing w:after="0"/>
              <w:rPr>
                <w:sz w:val="20"/>
                <w:szCs w:val="20"/>
                <w:color w:val="auto"/>
              </w:rPr>
            </w:pPr>
          </w:p>
        </w:tc>
        <w:tc>
          <w:tcPr>
            <w:tcW w:w="6020" w:type="dxa"/>
            <w:vAlign w:val="bottom"/>
          </w:tcPr>
          <w:p>
            <w:pPr>
              <w:ind w:left="700"/>
              <w:spacing w:after="0"/>
              <w:rPr>
                <w:sz w:val="20"/>
                <w:szCs w:val="20"/>
                <w:color w:val="auto"/>
              </w:rPr>
            </w:pPr>
            <w:r>
              <w:rPr>
                <w:rFonts w:ascii="Arial" w:cs="Arial" w:eastAsia="Arial" w:hAnsi="Arial"/>
                <w:sz w:val="18"/>
                <w:szCs w:val="18"/>
                <w:color w:val="auto"/>
              </w:rPr>
              <w:t>Total revenues</w:t>
            </w:r>
          </w:p>
        </w:tc>
        <w:tc>
          <w:tcPr>
            <w:tcW w:w="28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72,812</w:t>
            </w:r>
          </w:p>
        </w:tc>
        <w:tc>
          <w:tcPr>
            <w:tcW w:w="3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27,888</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color w:val="auto"/>
              </w:rPr>
              <w:t>Expenses:</w:t>
            </w:r>
          </w:p>
        </w:tc>
        <w:tc>
          <w:tcPr>
            <w:tcW w:w="2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340"/>
              <w:spacing w:after="0"/>
              <w:rPr>
                <w:sz w:val="20"/>
                <w:szCs w:val="20"/>
                <w:color w:val="auto"/>
              </w:rPr>
            </w:pPr>
            <w:r>
              <w:rPr>
                <w:rFonts w:ascii="Arial" w:cs="Arial" w:eastAsia="Arial" w:hAnsi="Arial"/>
                <w:sz w:val="18"/>
                <w:szCs w:val="18"/>
                <w:color w:val="auto"/>
              </w:rPr>
              <w:t>Cost of home sales</w:t>
            </w:r>
          </w:p>
        </w:tc>
        <w:tc>
          <w:tcPr>
            <w:tcW w:w="2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340"/>
              <w:spacing w:after="0"/>
              <w:rPr>
                <w:sz w:val="20"/>
                <w:szCs w:val="20"/>
                <w:color w:val="auto"/>
              </w:rPr>
            </w:pPr>
            <w:r>
              <w:rPr>
                <w:rFonts w:ascii="Arial" w:cs="Arial" w:eastAsia="Arial" w:hAnsi="Arial"/>
                <w:sz w:val="18"/>
                <w:szCs w:val="18"/>
                <w:color w:val="auto"/>
              </w:rPr>
              <w:t>56,432</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19,449</w:t>
            </w: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Fee building</w:t>
            </w:r>
          </w:p>
        </w:tc>
        <w:tc>
          <w:tcPr>
            <w:tcW w:w="2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3,625</w:t>
            </w:r>
          </w:p>
        </w:tc>
      </w:tr>
      <w:tr>
        <w:trPr>
          <w:trHeight w:val="216"/>
        </w:trPr>
        <w:tc>
          <w:tcPr>
            <w:tcW w:w="20" w:type="dxa"/>
            <w:vAlign w:val="bottom"/>
          </w:tcPr>
          <w:p>
            <w:pPr>
              <w:spacing w:after="0"/>
              <w:rPr>
                <w:sz w:val="18"/>
                <w:szCs w:val="18"/>
                <w:color w:val="auto"/>
              </w:rPr>
            </w:pPr>
          </w:p>
        </w:tc>
        <w:tc>
          <w:tcPr>
            <w:tcW w:w="6020" w:type="dxa"/>
            <w:vAlign w:val="bottom"/>
          </w:tcPr>
          <w:p>
            <w:pPr>
              <w:ind w:left="340"/>
              <w:spacing w:after="0"/>
              <w:rPr>
                <w:sz w:val="20"/>
                <w:szCs w:val="20"/>
                <w:color w:val="auto"/>
              </w:rPr>
            </w:pPr>
            <w:r>
              <w:rPr>
                <w:rFonts w:ascii="Arial" w:cs="Arial" w:eastAsia="Arial" w:hAnsi="Arial"/>
                <w:sz w:val="18"/>
                <w:szCs w:val="18"/>
                <w:color w:val="auto"/>
              </w:rPr>
              <w:t>Sales and marketing</w:t>
            </w:r>
          </w:p>
        </w:tc>
        <w:tc>
          <w:tcPr>
            <w:tcW w:w="2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340"/>
              <w:spacing w:after="0"/>
              <w:rPr>
                <w:sz w:val="20"/>
                <w:szCs w:val="20"/>
                <w:color w:val="auto"/>
              </w:rPr>
            </w:pPr>
            <w:r>
              <w:rPr>
                <w:rFonts w:ascii="Arial" w:cs="Arial" w:eastAsia="Arial" w:hAnsi="Arial"/>
                <w:sz w:val="18"/>
                <w:szCs w:val="18"/>
                <w:color w:val="auto"/>
              </w:rPr>
              <w:t>2,486</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1,330</w:t>
            </w: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General and administrative</w:t>
            </w:r>
          </w:p>
        </w:tc>
        <w:tc>
          <w:tcPr>
            <w:tcW w:w="2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5,892</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3,313</w:t>
            </w:r>
          </w:p>
        </w:tc>
      </w:tr>
      <w:tr>
        <w:trPr>
          <w:trHeight w:val="230"/>
        </w:trPr>
        <w:tc>
          <w:tcPr>
            <w:tcW w:w="20" w:type="dxa"/>
            <w:vAlign w:val="bottom"/>
          </w:tcPr>
          <w:p>
            <w:pPr>
              <w:spacing w:after="0"/>
              <w:rPr>
                <w:sz w:val="20"/>
                <w:szCs w:val="20"/>
                <w:color w:val="auto"/>
              </w:rPr>
            </w:pPr>
          </w:p>
        </w:tc>
        <w:tc>
          <w:tcPr>
            <w:tcW w:w="6020" w:type="dxa"/>
            <w:vAlign w:val="bottom"/>
          </w:tcPr>
          <w:p>
            <w:pPr>
              <w:ind w:left="700"/>
              <w:spacing w:after="0"/>
              <w:rPr>
                <w:sz w:val="20"/>
                <w:szCs w:val="20"/>
                <w:color w:val="auto"/>
              </w:rPr>
            </w:pPr>
            <w:r>
              <w:rPr>
                <w:rFonts w:ascii="Arial" w:cs="Arial" w:eastAsia="Arial" w:hAnsi="Arial"/>
                <w:sz w:val="18"/>
                <w:szCs w:val="18"/>
                <w:color w:val="auto"/>
              </w:rPr>
              <w:t>Total expenses</w:t>
            </w:r>
          </w:p>
        </w:tc>
        <w:tc>
          <w:tcPr>
            <w:tcW w:w="28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64,810</w:t>
            </w:r>
          </w:p>
        </w:tc>
        <w:tc>
          <w:tcPr>
            <w:tcW w:w="3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27,717</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color w:val="auto"/>
              </w:rPr>
              <w:t>Income from operations</w:t>
            </w:r>
          </w:p>
        </w:tc>
        <w:tc>
          <w:tcPr>
            <w:tcW w:w="2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8,002</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171</w:t>
            </w:r>
          </w:p>
        </w:tc>
      </w:tr>
      <w:tr>
        <w:trPr>
          <w:trHeight w:val="216"/>
        </w:trPr>
        <w:tc>
          <w:tcPr>
            <w:tcW w:w="20" w:type="dxa"/>
            <w:vAlign w:val="bottom"/>
          </w:tcPr>
          <w:p>
            <w:pPr>
              <w:spacing w:after="0"/>
              <w:rPr>
                <w:sz w:val="18"/>
                <w:szCs w:val="18"/>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Transaction expenses (Note 1)</w:t>
            </w:r>
          </w:p>
        </w:tc>
        <w:tc>
          <w:tcPr>
            <w:tcW w:w="2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80"/>
              <w:spacing w:after="0"/>
              <w:rPr>
                <w:sz w:val="20"/>
                <w:szCs w:val="20"/>
                <w:color w:val="auto"/>
              </w:rPr>
            </w:pPr>
            <w:r>
              <w:rPr>
                <w:rFonts w:ascii="Arial" w:cs="Arial" w:eastAsia="Arial" w:hAnsi="Arial"/>
                <w:sz w:val="18"/>
                <w:szCs w:val="18"/>
                <w:color w:val="auto"/>
              </w:rPr>
              <w:t>(548)</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color w:val="auto"/>
              </w:rPr>
              <w:t>Other income (expense), net</w:t>
            </w:r>
          </w:p>
        </w:tc>
        <w:tc>
          <w:tcPr>
            <w:tcW w:w="2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(9)</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172</w:t>
            </w:r>
          </w:p>
        </w:tc>
      </w:tr>
      <w:tr>
        <w:trPr>
          <w:trHeight w:val="223"/>
        </w:trPr>
        <w:tc>
          <w:tcPr>
            <w:tcW w:w="6040" w:type="dxa"/>
            <w:vAlign w:val="bottom"/>
            <w:gridSpan w:val="2"/>
          </w:tcPr>
          <w:p>
            <w:pPr>
              <w:spacing w:after="0"/>
              <w:rPr>
                <w:sz w:val="20"/>
                <w:szCs w:val="20"/>
                <w:color w:val="auto"/>
              </w:rPr>
            </w:pPr>
            <w:r>
              <w:rPr>
                <w:rFonts w:ascii="Arial" w:cs="Arial" w:eastAsia="Arial" w:hAnsi="Arial"/>
                <w:sz w:val="18"/>
                <w:szCs w:val="18"/>
                <w:color w:val="auto"/>
              </w:rPr>
              <w:t>Income before income taxes</w:t>
            </w:r>
          </w:p>
        </w:tc>
        <w:tc>
          <w:tcPr>
            <w:tcW w:w="28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7,445</w:t>
            </w:r>
          </w:p>
        </w:tc>
        <w:tc>
          <w:tcPr>
            <w:tcW w:w="3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343</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color w:val="auto"/>
              </w:rPr>
              <w:t>Provision for income taxes</w:t>
            </w:r>
          </w:p>
        </w:tc>
        <w:tc>
          <w:tcPr>
            <w:tcW w:w="2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(3,147)</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(73)</w:t>
            </w:r>
          </w:p>
        </w:tc>
      </w:tr>
      <w:tr>
        <w:trPr>
          <w:trHeight w:val="223"/>
        </w:trPr>
        <w:tc>
          <w:tcPr>
            <w:tcW w:w="604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28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4,298</w:t>
            </w:r>
          </w:p>
        </w:tc>
        <w:tc>
          <w:tcPr>
            <w:tcW w:w="3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270</w:t>
            </w:r>
          </w:p>
        </w:tc>
        <w:tc>
          <w:tcPr>
            <w:tcW w:w="10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color w:val="auto"/>
              </w:rPr>
              <w:t>Earnings per share (Note 2)</w:t>
            </w:r>
          </w:p>
        </w:tc>
        <w:tc>
          <w:tcPr>
            <w:tcW w:w="2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340"/>
              <w:spacing w:after="0"/>
              <w:rPr>
                <w:sz w:val="20"/>
                <w:szCs w:val="20"/>
                <w:color w:val="auto"/>
              </w:rPr>
            </w:pPr>
            <w:r>
              <w:rPr>
                <w:rFonts w:ascii="Arial" w:cs="Arial" w:eastAsia="Arial" w:hAnsi="Arial"/>
                <w:sz w:val="18"/>
                <w:szCs w:val="18"/>
                <w:color w:val="auto"/>
              </w:rPr>
              <w:t>Basic</w:t>
            </w:r>
          </w:p>
        </w:tc>
        <w:tc>
          <w:tcPr>
            <w:tcW w:w="29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340"/>
              <w:spacing w:after="0"/>
              <w:rPr>
                <w:sz w:val="20"/>
                <w:szCs w:val="20"/>
                <w:color w:val="auto"/>
              </w:rPr>
            </w:pPr>
            <w:r>
              <w:rPr>
                <w:rFonts w:ascii="Arial" w:cs="Arial" w:eastAsia="Arial" w:hAnsi="Arial"/>
                <w:sz w:val="18"/>
                <w:szCs w:val="18"/>
                <w:color w:val="auto"/>
              </w:rPr>
              <w:t>0.14</w:t>
            </w:r>
          </w:p>
        </w:tc>
        <w:tc>
          <w:tcPr>
            <w:tcW w:w="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0.01</w:t>
            </w: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Diluted</w:t>
            </w:r>
          </w:p>
        </w:tc>
        <w:tc>
          <w:tcPr>
            <w:tcW w:w="2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0.14</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0.01</w:t>
            </w:r>
          </w:p>
        </w:tc>
      </w:tr>
      <w:tr>
        <w:trPr>
          <w:trHeight w:val="216"/>
        </w:trPr>
        <w:tc>
          <w:tcPr>
            <w:tcW w:w="20" w:type="dxa"/>
            <w:vAlign w:val="bottom"/>
          </w:tcPr>
          <w:p>
            <w:pPr>
              <w:spacing w:after="0"/>
              <w:rPr>
                <w:sz w:val="18"/>
                <w:szCs w:val="18"/>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Weighted average number of shares (Note 2)</w:t>
            </w:r>
          </w:p>
        </w:tc>
        <w:tc>
          <w:tcPr>
            <w:tcW w:w="2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Basic</w:t>
            </w:r>
          </w:p>
        </w:tc>
        <w:tc>
          <w:tcPr>
            <w:tcW w:w="2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8"/>
              </w:rPr>
              <w:t>31,613,274</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28,264,574</w:t>
            </w:r>
          </w:p>
        </w:tc>
      </w:tr>
      <w:tr>
        <w:trPr>
          <w:trHeight w:val="230"/>
        </w:trPr>
        <w:tc>
          <w:tcPr>
            <w:tcW w:w="20" w:type="dxa"/>
            <w:vAlign w:val="bottom"/>
          </w:tcPr>
          <w:p>
            <w:pPr>
              <w:spacing w:after="0"/>
              <w:rPr>
                <w:sz w:val="20"/>
                <w:szCs w:val="20"/>
                <w:color w:val="auto"/>
              </w:rPr>
            </w:pPr>
          </w:p>
        </w:tc>
        <w:tc>
          <w:tcPr>
            <w:tcW w:w="6020" w:type="dxa"/>
            <w:vAlign w:val="bottom"/>
          </w:tcPr>
          <w:p>
            <w:pPr>
              <w:ind w:left="340"/>
              <w:spacing w:after="0"/>
              <w:rPr>
                <w:sz w:val="20"/>
                <w:szCs w:val="20"/>
                <w:color w:val="auto"/>
              </w:rPr>
            </w:pPr>
            <w:r>
              <w:rPr>
                <w:rFonts w:ascii="Arial" w:cs="Arial" w:eastAsia="Arial" w:hAnsi="Arial"/>
                <w:sz w:val="18"/>
                <w:szCs w:val="18"/>
                <w:color w:val="auto"/>
              </w:rPr>
              <w:t>Diluted</w:t>
            </w:r>
          </w:p>
        </w:tc>
        <w:tc>
          <w:tcPr>
            <w:tcW w:w="2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60" w:type="dxa"/>
            <w:vAlign w:val="bottom"/>
            <w:gridSpan w:val="2"/>
          </w:tcPr>
          <w:p>
            <w:pPr>
              <w:jc w:val="right"/>
              <w:ind w:right="340"/>
              <w:spacing w:after="0"/>
              <w:rPr>
                <w:sz w:val="20"/>
                <w:szCs w:val="20"/>
                <w:color w:val="auto"/>
              </w:rPr>
            </w:pPr>
            <w:r>
              <w:rPr>
                <w:rFonts w:ascii="Arial" w:cs="Arial" w:eastAsia="Arial" w:hAnsi="Arial"/>
                <w:sz w:val="18"/>
                <w:szCs w:val="18"/>
                <w:color w:val="auto"/>
                <w:w w:val="88"/>
              </w:rPr>
              <w:t>31,643,070</w:t>
            </w: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28,274,188</w:t>
            </w:r>
          </w:p>
        </w:tc>
      </w:tr>
    </w:tbl>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condensed notes to the unaudited consolidated financial statements.</w:t>
      </w:r>
    </w:p>
    <w:p>
      <w:pPr>
        <w:spacing w:after="0" w:line="158" w:lineRule="exact"/>
        <w:rPr>
          <w:sz w:val="20"/>
          <w:szCs w:val="20"/>
          <w:color w:val="auto"/>
        </w:rPr>
      </w:pPr>
    </w:p>
    <w:p>
      <w:pPr>
        <w:ind w:left="5560"/>
        <w:spacing w:after="0"/>
        <w:rPr>
          <w:sz w:val="20"/>
          <w:szCs w:val="20"/>
          <w:color w:val="auto"/>
        </w:rPr>
      </w:pPr>
      <w:r>
        <w:rPr>
          <w:rFonts w:ascii="Arial" w:cs="Arial" w:eastAsia="Arial" w:hAnsi="Arial"/>
          <w:sz w:val="18"/>
          <w:szCs w:val="18"/>
          <w:color w:val="auto"/>
        </w:rPr>
        <w:t>- 4 -</w:t>
      </w:r>
    </w:p>
    <w:p>
      <w:pPr>
        <w:sectPr>
          <w:pgSz w:w="11900" w:h="16838" w:orient="portrait"/>
          <w:cols w:equalWidth="0" w:num="1">
            <w:col w:w="11420"/>
          </w:cols>
          <w:pgMar w:left="240" w:top="459" w:right="2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TRI POINTE HOMES,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20" w:type="dxa"/>
            <w:vAlign w:val="bottom"/>
            <w:gridSpan w:val="6"/>
          </w:tcPr>
          <w:p>
            <w:pPr>
              <w:spacing w:after="0"/>
              <w:rPr>
                <w:sz w:val="20"/>
                <w:szCs w:val="20"/>
                <w:color w:val="auto"/>
              </w:rPr>
            </w:pPr>
            <w:r>
              <w:rPr>
                <w:rFonts w:ascii="Arial" w:cs="Arial" w:eastAsia="Arial" w:hAnsi="Arial"/>
                <w:sz w:val="14"/>
                <w:szCs w:val="14"/>
                <w:b w:val="1"/>
                <w:bCs w:val="1"/>
                <w:color w:val="auto"/>
              </w:rPr>
              <w:t>Three Months Ended</w:t>
            </w:r>
          </w:p>
        </w:tc>
      </w:tr>
      <w:tr>
        <w:trPr>
          <w:trHeight w:val="171"/>
        </w:trPr>
        <w:tc>
          <w:tcPr>
            <w:tcW w:w="20" w:type="dxa"/>
            <w:vAlign w:val="bottom"/>
          </w:tcPr>
          <w:p>
            <w:pPr>
              <w:spacing w:after="0"/>
              <w:rPr>
                <w:sz w:val="14"/>
                <w:szCs w:val="14"/>
                <w:color w:val="auto"/>
              </w:rPr>
            </w:pPr>
          </w:p>
        </w:tc>
        <w:tc>
          <w:tcPr>
            <w:tcW w:w="97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gridSpan w:val="4"/>
          </w:tcPr>
          <w:p>
            <w:pPr>
              <w:ind w:left="340"/>
              <w:spacing w:after="0"/>
              <w:rPr>
                <w:sz w:val="20"/>
                <w:szCs w:val="20"/>
                <w:color w:val="auto"/>
              </w:rPr>
            </w:pPr>
            <w:r>
              <w:rPr>
                <w:rFonts w:ascii="Arial" w:cs="Arial" w:eastAsia="Arial" w:hAnsi="Arial"/>
                <w:sz w:val="14"/>
                <w:szCs w:val="14"/>
                <w:b w:val="1"/>
                <w:bCs w:val="1"/>
                <w:color w:val="auto"/>
              </w:rPr>
              <w:t>March 31,</w:t>
            </w:r>
          </w:p>
        </w:tc>
        <w:tc>
          <w:tcPr>
            <w:tcW w:w="3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97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ind w:left="60"/>
              <w:spacing w:after="0" w:line="142" w:lineRule="exact"/>
              <w:rPr>
                <w:sz w:val="20"/>
                <w:szCs w:val="20"/>
                <w:color w:val="auto"/>
              </w:rPr>
            </w:pPr>
            <w:r>
              <w:rPr>
                <w:rFonts w:ascii="Arial" w:cs="Arial" w:eastAsia="Arial" w:hAnsi="Arial"/>
                <w:sz w:val="14"/>
                <w:szCs w:val="14"/>
                <w:b w:val="1"/>
                <w:bCs w:val="1"/>
                <w:color w:val="auto"/>
              </w:rPr>
              <w:t>2014</w:t>
            </w:r>
          </w:p>
        </w:tc>
        <w:tc>
          <w:tcPr>
            <w:tcW w:w="220" w:type="dxa"/>
            <w:vAlign w:val="bottom"/>
            <w:tcBorders>
              <w:bottom w:val="single" w:sz="8" w:color="CCEEFF"/>
            </w:tcBorders>
          </w:tcPr>
          <w:p>
            <w:pPr>
              <w:spacing w:after="0"/>
              <w:rPr>
                <w:sz w:val="12"/>
                <w:szCs w:val="12"/>
                <w:color w:val="auto"/>
              </w:rPr>
            </w:pPr>
          </w:p>
        </w:tc>
        <w:tc>
          <w:tcPr>
            <w:tcW w:w="22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jc w:val="right"/>
              <w:ind w:right="13"/>
              <w:spacing w:after="0" w:line="142" w:lineRule="exact"/>
              <w:rPr>
                <w:sz w:val="20"/>
                <w:szCs w:val="20"/>
                <w:color w:val="auto"/>
              </w:rPr>
            </w:pPr>
            <w:r>
              <w:rPr>
                <w:rFonts w:ascii="Arial" w:cs="Arial" w:eastAsia="Arial" w:hAnsi="Arial"/>
                <w:sz w:val="14"/>
                <w:szCs w:val="14"/>
                <w:b w:val="1"/>
                <w:bCs w:val="1"/>
                <w:color w:val="auto"/>
                <w:w w:val="83"/>
              </w:rPr>
              <w:t>2013</w:t>
            </w:r>
          </w:p>
        </w:tc>
        <w:tc>
          <w:tcPr>
            <w:tcW w:w="100" w:type="dxa"/>
            <w:vAlign w:val="bottom"/>
            <w:tcBorders>
              <w:bottom w:val="single" w:sz="8" w:color="CCEEFF"/>
            </w:tcBorders>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978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ind w:left="100"/>
              <w:spacing w:after="0"/>
              <w:rPr>
                <w:sz w:val="20"/>
                <w:szCs w:val="20"/>
                <w:color w:val="auto"/>
              </w:rPr>
            </w:pPr>
            <w:r>
              <w:rPr>
                <w:rFonts w:ascii="Arial" w:cs="Arial" w:eastAsia="Arial" w:hAnsi="Arial"/>
                <w:sz w:val="18"/>
                <w:szCs w:val="18"/>
                <w:color w:val="auto"/>
                <w:w w:val="84"/>
              </w:rPr>
              <w:t>4,298</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270</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9780" w:type="dxa"/>
            <w:vAlign w:val="bottom"/>
          </w:tcPr>
          <w:p>
            <w:pPr>
              <w:spacing w:after="0"/>
              <w:rPr>
                <w:sz w:val="20"/>
                <w:szCs w:val="20"/>
                <w:color w:val="auto"/>
              </w:rPr>
            </w:pPr>
            <w:r>
              <w:rPr>
                <w:rFonts w:ascii="Arial" w:cs="Arial" w:eastAsia="Arial" w:hAnsi="Arial"/>
                <w:sz w:val="18"/>
                <w:szCs w:val="18"/>
                <w:color w:val="auto"/>
              </w:rPr>
              <w:t>Other comprehensive income:</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97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Unrealized gain on marketable securities available for sale:</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9780" w:type="dxa"/>
            <w:vAlign w:val="bottom"/>
          </w:tcPr>
          <w:p>
            <w:pPr>
              <w:ind w:left="700"/>
              <w:spacing w:after="0"/>
              <w:rPr>
                <w:sz w:val="20"/>
                <w:szCs w:val="20"/>
                <w:color w:val="auto"/>
              </w:rPr>
            </w:pPr>
            <w:r>
              <w:rPr>
                <w:rFonts w:ascii="Arial" w:cs="Arial" w:eastAsia="Arial" w:hAnsi="Arial"/>
                <w:sz w:val="18"/>
                <w:szCs w:val="18"/>
                <w:color w:val="auto"/>
              </w:rPr>
              <w:t>Unrealized holding gain arising during the period</w:t>
            </w:r>
          </w:p>
        </w:tc>
        <w:tc>
          <w:tcPr>
            <w:tcW w:w="100" w:type="dxa"/>
            <w:vAlign w:val="bottom"/>
          </w:tcPr>
          <w:p>
            <w:pPr>
              <w:spacing w:after="0"/>
              <w:rPr>
                <w:sz w:val="18"/>
                <w:szCs w:val="18"/>
                <w:color w:val="auto"/>
              </w:rPr>
            </w:pPr>
          </w:p>
        </w:tc>
        <w:tc>
          <w:tcPr>
            <w:tcW w:w="720" w:type="dxa"/>
            <w:vAlign w:val="bottom"/>
            <w:gridSpan w:val="2"/>
          </w:tcPr>
          <w:p>
            <w:pPr>
              <w:ind w:left="24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gridSpan w:val="2"/>
          </w:tcPr>
          <w:p>
            <w:pPr>
              <w:jc w:val="right"/>
              <w:ind w:right="100"/>
              <w:spacing w:after="0"/>
              <w:rPr>
                <w:sz w:val="20"/>
                <w:szCs w:val="20"/>
                <w:color w:val="auto"/>
              </w:rPr>
            </w:pPr>
            <w:r>
              <w:rPr>
                <w:rFonts w:ascii="Arial" w:cs="Arial" w:eastAsia="Arial" w:hAnsi="Arial"/>
                <w:sz w:val="18"/>
                <w:szCs w:val="18"/>
                <w:color w:val="auto"/>
              </w:rPr>
              <w:t>101</w:t>
            </w:r>
          </w:p>
        </w:tc>
      </w:tr>
      <w:tr>
        <w:trPr>
          <w:trHeight w:val="216"/>
        </w:trPr>
        <w:tc>
          <w:tcPr>
            <w:tcW w:w="20" w:type="dxa"/>
            <w:vAlign w:val="bottom"/>
          </w:tcPr>
          <w:p>
            <w:pPr>
              <w:spacing w:after="0"/>
              <w:rPr>
                <w:sz w:val="18"/>
                <w:szCs w:val="18"/>
                <w:color w:val="auto"/>
              </w:rPr>
            </w:pPr>
          </w:p>
        </w:tc>
        <w:tc>
          <w:tcPr>
            <w:tcW w:w="9780" w:type="dxa"/>
            <w:vAlign w:val="bottom"/>
            <w:shd w:val="clear" w:color="auto" w:fill="CCEEFF"/>
          </w:tcPr>
          <w:p>
            <w:pPr>
              <w:ind w:left="700"/>
              <w:spacing w:after="0"/>
              <w:rPr>
                <w:sz w:val="20"/>
                <w:szCs w:val="20"/>
                <w:color w:val="auto"/>
              </w:rPr>
            </w:pPr>
            <w:r>
              <w:rPr>
                <w:rFonts w:ascii="Arial" w:cs="Arial" w:eastAsia="Arial" w:hAnsi="Arial"/>
                <w:sz w:val="18"/>
                <w:szCs w:val="18"/>
                <w:color w:val="auto"/>
              </w:rPr>
              <w:t>Reclassification adjustment for gains included in net income</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(40)</w:t>
            </w:r>
          </w:p>
        </w:tc>
      </w:tr>
      <w:tr>
        <w:trPr>
          <w:trHeight w:val="230"/>
        </w:trPr>
        <w:tc>
          <w:tcPr>
            <w:tcW w:w="20" w:type="dxa"/>
            <w:vAlign w:val="bottom"/>
          </w:tcPr>
          <w:p>
            <w:pPr>
              <w:spacing w:after="0"/>
              <w:rPr>
                <w:sz w:val="20"/>
                <w:szCs w:val="20"/>
                <w:color w:val="auto"/>
              </w:rPr>
            </w:pPr>
          </w:p>
        </w:tc>
        <w:tc>
          <w:tcPr>
            <w:tcW w:w="9780" w:type="dxa"/>
            <w:vAlign w:val="bottom"/>
          </w:tcPr>
          <w:p>
            <w:pPr>
              <w:ind w:left="340"/>
              <w:spacing w:after="0"/>
              <w:rPr>
                <w:sz w:val="20"/>
                <w:szCs w:val="20"/>
                <w:color w:val="auto"/>
              </w:rPr>
            </w:pPr>
            <w:r>
              <w:rPr>
                <w:rFonts w:ascii="Arial" w:cs="Arial" w:eastAsia="Arial" w:hAnsi="Arial"/>
                <w:sz w:val="18"/>
                <w:szCs w:val="18"/>
                <w:color w:val="auto"/>
              </w:rPr>
              <w:t>Unrealized gain on marketable securities, net</w:t>
            </w:r>
          </w:p>
        </w:tc>
        <w:tc>
          <w:tcPr>
            <w:tcW w:w="100" w:type="dxa"/>
            <w:vAlign w:val="bottom"/>
            <w:tcBorders>
              <w:top w:val="single" w:sz="8" w:color="auto"/>
              <w:bottom w:val="single" w:sz="8" w:color="auto"/>
            </w:tcBorders>
          </w:tcPr>
          <w:p>
            <w:pPr>
              <w:spacing w:after="0"/>
              <w:rPr>
                <w:sz w:val="20"/>
                <w:szCs w:val="20"/>
                <w:color w:val="auto"/>
              </w:rPr>
            </w:pPr>
          </w:p>
        </w:tc>
        <w:tc>
          <w:tcPr>
            <w:tcW w:w="500" w:type="dxa"/>
            <w:vAlign w:val="bottom"/>
            <w:tcBorders>
              <w:top w:val="single" w:sz="8" w:color="auto"/>
              <w:bottom w:val="single" w:sz="8" w:color="auto"/>
            </w:tcBorders>
          </w:tcPr>
          <w:p>
            <w:pPr>
              <w:ind w:left="24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61</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978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4,298</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331</w:t>
            </w:r>
          </w:p>
        </w:tc>
      </w:tr>
      <w:tr>
        <w:trPr>
          <w:trHeight w:val="20"/>
        </w:trPr>
        <w:tc>
          <w:tcPr>
            <w:tcW w:w="20" w:type="dxa"/>
            <w:vAlign w:val="bottom"/>
          </w:tcPr>
          <w:p>
            <w:pPr>
              <w:spacing w:after="0" w:line="20" w:lineRule="exact"/>
              <w:rPr>
                <w:sz w:val="1"/>
                <w:szCs w:val="1"/>
                <w:color w:val="auto"/>
              </w:rPr>
            </w:pPr>
          </w:p>
        </w:tc>
        <w:tc>
          <w:tcPr>
            <w:tcW w:w="97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condensed notes to the unaudited consolidated financial statements.</w:t>
      </w:r>
    </w:p>
    <w:p>
      <w:pPr>
        <w:spacing w:after="0" w:line="158" w:lineRule="exact"/>
        <w:rPr>
          <w:sz w:val="20"/>
          <w:szCs w:val="20"/>
          <w:color w:val="auto"/>
        </w:rPr>
      </w:pPr>
    </w:p>
    <w:p>
      <w:pPr>
        <w:ind w:left="5560"/>
        <w:spacing w:after="0"/>
        <w:rPr>
          <w:sz w:val="20"/>
          <w:szCs w:val="20"/>
          <w:color w:val="auto"/>
        </w:rPr>
      </w:pPr>
      <w:r>
        <w:rPr>
          <w:rFonts w:ascii="Arial" w:cs="Arial" w:eastAsia="Arial" w:hAnsi="Arial"/>
          <w:sz w:val="18"/>
          <w:szCs w:val="18"/>
          <w:color w:val="auto"/>
        </w:rPr>
        <w:t>- 5 -</w:t>
      </w:r>
    </w:p>
    <w:p>
      <w:pPr>
        <w:sectPr>
          <w:pgSz w:w="11900" w:h="16838" w:orient="portrait"/>
          <w:cols w:equalWidth="0" w:num="1">
            <w:col w:w="11420"/>
          </w:cols>
          <w:pgMar w:left="240" w:top="459" w:right="2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TRI POINTE HOMES,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229" w:lineRule="exact"/>
        <w:rPr>
          <w:sz w:val="20"/>
          <w:szCs w:val="20"/>
          <w:color w:val="auto"/>
        </w:rPr>
      </w:pPr>
    </w:p>
    <w:p>
      <w:pPr>
        <w:jc w:val="center"/>
        <w:ind w:left="9340"/>
        <w:spacing w:after="0"/>
        <w:rPr>
          <w:sz w:val="20"/>
          <w:szCs w:val="20"/>
          <w:color w:val="auto"/>
        </w:rPr>
      </w:pPr>
      <w:r>
        <w:rPr>
          <w:rFonts w:ascii="Arial" w:cs="Arial" w:eastAsia="Arial" w:hAnsi="Arial"/>
          <w:sz w:val="14"/>
          <w:szCs w:val="14"/>
          <w:b w:val="1"/>
          <w:bCs w:val="1"/>
          <w:color w:val="auto"/>
        </w:rPr>
        <w:t>Three Months Ended</w:t>
      </w:r>
    </w:p>
    <w:p>
      <w:pPr>
        <w:jc w:val="center"/>
        <w:ind w:left="9340"/>
        <w:spacing w:after="0" w:line="236" w:lineRule="auto"/>
        <w:rPr>
          <w:sz w:val="20"/>
          <w:szCs w:val="20"/>
          <w:color w:val="auto"/>
        </w:rPr>
      </w:pPr>
      <w:r>
        <w:rPr>
          <w:rFonts w:ascii="Arial" w:cs="Arial" w:eastAsia="Arial" w:hAnsi="Arial"/>
          <w:sz w:val="14"/>
          <w:szCs w:val="14"/>
          <w:b w:val="1"/>
          <w:bCs w:val="1"/>
          <w:color w:val="auto"/>
        </w:rPr>
        <w:t>March 31,</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942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2014</w:t>
            </w:r>
          </w:p>
        </w:tc>
        <w:tc>
          <w:tcPr>
            <w:tcW w:w="20" w:type="dxa"/>
            <w:vAlign w:val="bottom"/>
            <w:tcBorders>
              <w:top w:val="single" w:sz="8" w:color="auto"/>
              <w:bottom w:val="single" w:sz="8" w:color="CCEEFF"/>
            </w:tcBorders>
          </w:tcPr>
          <w:p>
            <w:pPr>
              <w:spacing w:after="0"/>
              <w:rPr>
                <w:sz w:val="12"/>
                <w:szCs w:val="12"/>
                <w:color w:val="auto"/>
              </w:rPr>
            </w:pPr>
          </w:p>
        </w:tc>
        <w:tc>
          <w:tcPr>
            <w:tcW w:w="40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151"/>
              <w:spacing w:after="0" w:line="142" w:lineRule="exact"/>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942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Cash flows from operating activities</w:t>
            </w: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tcPr>
          <w:p>
            <w:pPr>
              <w:spacing w:after="0"/>
              <w:rPr>
                <w:sz w:val="20"/>
                <w:szCs w:val="20"/>
                <w:color w:val="auto"/>
              </w:rPr>
            </w:pPr>
            <w:r>
              <w:rPr>
                <w:rFonts w:ascii="Arial" w:cs="Arial" w:eastAsia="Arial" w:hAnsi="Arial"/>
                <w:sz w:val="18"/>
                <w:szCs w:val="18"/>
                <w:color w:val="auto"/>
              </w:rPr>
              <w:t>Net income</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4,298</w:t>
            </w:r>
          </w:p>
        </w:tc>
        <w:tc>
          <w:tcPr>
            <w:tcW w:w="4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270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used in operating activities:</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tcPr>
          <w:p>
            <w:pPr>
              <w:ind w:left="700"/>
              <w:spacing w:after="0"/>
              <w:rPr>
                <w:sz w:val="20"/>
                <w:szCs w:val="20"/>
                <w:color w:val="auto"/>
              </w:rPr>
            </w:pPr>
            <w:r>
              <w:rPr>
                <w:rFonts w:ascii="Arial" w:cs="Arial" w:eastAsia="Arial" w:hAnsi="Arial"/>
                <w:sz w:val="18"/>
                <w:szCs w:val="18"/>
                <w:color w:val="auto"/>
              </w:rPr>
              <w:t>Depreciation and amortization</w:t>
            </w:r>
          </w:p>
        </w:tc>
        <w:tc>
          <w:tcPr>
            <w:tcW w:w="100" w:type="dxa"/>
            <w:vAlign w:val="bottom"/>
          </w:tcPr>
          <w:p>
            <w:pPr>
              <w:spacing w:after="0"/>
              <w:rPr>
                <w:sz w:val="18"/>
                <w:szCs w:val="18"/>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71</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shd w:val="clear" w:color="auto" w:fill="CCEEFF"/>
          </w:tcPr>
          <w:p>
            <w:pPr>
              <w:ind w:left="700"/>
              <w:spacing w:after="0"/>
              <w:rPr>
                <w:sz w:val="20"/>
                <w:szCs w:val="20"/>
                <w:color w:val="auto"/>
              </w:rPr>
            </w:pPr>
            <w:r>
              <w:rPr>
                <w:rFonts w:ascii="Arial" w:cs="Arial" w:eastAsia="Arial" w:hAnsi="Arial"/>
                <w:sz w:val="18"/>
                <w:szCs w:val="18"/>
                <w:color w:val="auto"/>
              </w:rPr>
              <w:t>Amortization of stock-based compensation</w:t>
            </w: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566</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tcPr>
          <w:p>
            <w:pPr>
              <w:ind w:left="700"/>
              <w:spacing w:after="0"/>
              <w:rPr>
                <w:sz w:val="20"/>
                <w:szCs w:val="20"/>
                <w:color w:val="auto"/>
              </w:rPr>
            </w:pPr>
            <w:r>
              <w:rPr>
                <w:rFonts w:ascii="Arial" w:cs="Arial" w:eastAsia="Arial" w:hAnsi="Arial"/>
                <w:sz w:val="18"/>
                <w:szCs w:val="18"/>
                <w:color w:val="auto"/>
              </w:rPr>
              <w:t>Gain on sale of marketable securities</w:t>
            </w:r>
          </w:p>
        </w:tc>
        <w:tc>
          <w:tcPr>
            <w:tcW w:w="100" w:type="dxa"/>
            <w:vAlign w:val="bottom"/>
          </w:tcPr>
          <w:p>
            <w:pPr>
              <w:spacing w:after="0"/>
              <w:rPr>
                <w:sz w:val="18"/>
                <w:szCs w:val="18"/>
                <w:color w:val="auto"/>
              </w:rPr>
            </w:pPr>
          </w:p>
        </w:tc>
        <w:tc>
          <w:tcPr>
            <w:tcW w:w="1020" w:type="dxa"/>
            <w:vAlign w:val="bottom"/>
            <w:gridSpan w:val="3"/>
          </w:tcPr>
          <w:p>
            <w:pPr>
              <w:jc w:val="right"/>
              <w:ind w:right="5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Changes in operating assets and liabilities:</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tcPr>
          <w:p>
            <w:pPr>
              <w:ind w:left="700"/>
              <w:spacing w:after="0"/>
              <w:rPr>
                <w:sz w:val="20"/>
                <w:szCs w:val="20"/>
                <w:color w:val="auto"/>
              </w:rPr>
            </w:pPr>
            <w:r>
              <w:rPr>
                <w:rFonts w:ascii="Arial" w:cs="Arial" w:eastAsia="Arial" w:hAnsi="Arial"/>
                <w:sz w:val="18"/>
                <w:szCs w:val="18"/>
                <w:color w:val="auto"/>
              </w:rPr>
              <w:t>Real estate inventories</w:t>
            </w:r>
          </w:p>
        </w:tc>
        <w:tc>
          <w:tcPr>
            <w:tcW w:w="100" w:type="dxa"/>
            <w:vAlign w:val="bottom"/>
          </w:tcPr>
          <w:p>
            <w:pPr>
              <w:spacing w:after="0"/>
              <w:rPr>
                <w:sz w:val="18"/>
                <w:szCs w:val="18"/>
                <w:color w:val="auto"/>
              </w:rPr>
            </w:pPr>
          </w:p>
        </w:tc>
        <w:tc>
          <w:tcPr>
            <w:tcW w:w="1020" w:type="dxa"/>
            <w:vAlign w:val="bottom"/>
            <w:gridSpan w:val="3"/>
          </w:tcPr>
          <w:p>
            <w:pPr>
              <w:jc w:val="right"/>
              <w:ind w:right="360"/>
              <w:spacing w:after="0"/>
              <w:rPr>
                <w:sz w:val="20"/>
                <w:szCs w:val="20"/>
                <w:color w:val="auto"/>
              </w:rPr>
            </w:pPr>
            <w:r>
              <w:rPr>
                <w:rFonts w:ascii="Arial" w:cs="Arial" w:eastAsia="Arial" w:hAnsi="Arial"/>
                <w:sz w:val="18"/>
                <w:szCs w:val="18"/>
                <w:color w:val="auto"/>
                <w:w w:val="95"/>
              </w:rPr>
              <w:t>(28,841)</w:t>
            </w: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(51,079)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shd w:val="clear" w:color="auto" w:fill="CCEEFF"/>
          </w:tcPr>
          <w:p>
            <w:pPr>
              <w:ind w:left="700"/>
              <w:spacing w:after="0"/>
              <w:rPr>
                <w:sz w:val="20"/>
                <w:szCs w:val="20"/>
                <w:color w:val="auto"/>
              </w:rPr>
            </w:pPr>
            <w:r>
              <w:rPr>
                <w:rFonts w:ascii="Arial" w:cs="Arial" w:eastAsia="Arial" w:hAnsi="Arial"/>
                <w:sz w:val="18"/>
                <w:szCs w:val="18"/>
                <w:color w:val="auto"/>
              </w:rPr>
              <w:t>Contracts and accounts receivable</w:t>
            </w:r>
          </w:p>
        </w:tc>
        <w:tc>
          <w:tcPr>
            <w:tcW w:w="10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(158)</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tcPr>
          <w:p>
            <w:pPr>
              <w:ind w:left="700"/>
              <w:spacing w:after="0"/>
              <w:rPr>
                <w:sz w:val="20"/>
                <w:szCs w:val="20"/>
                <w:color w:val="auto"/>
              </w:rPr>
            </w:pPr>
            <w:r>
              <w:rPr>
                <w:rFonts w:ascii="Arial" w:cs="Arial" w:eastAsia="Arial" w:hAnsi="Arial"/>
                <w:sz w:val="18"/>
                <w:szCs w:val="18"/>
                <w:color w:val="auto"/>
              </w:rPr>
              <w:t>Other assets</w:t>
            </w:r>
          </w:p>
        </w:tc>
        <w:tc>
          <w:tcPr>
            <w:tcW w:w="100" w:type="dxa"/>
            <w:vAlign w:val="bottom"/>
          </w:tcPr>
          <w:p>
            <w:pPr>
              <w:spacing w:after="0"/>
              <w:rPr>
                <w:sz w:val="18"/>
                <w:szCs w:val="18"/>
                <w:color w:val="auto"/>
              </w:rPr>
            </w:pPr>
          </w:p>
        </w:tc>
        <w:tc>
          <w:tcPr>
            <w:tcW w:w="1020" w:type="dxa"/>
            <w:vAlign w:val="bottom"/>
            <w:gridSpan w:val="3"/>
          </w:tcPr>
          <w:p>
            <w:pPr>
              <w:jc w:val="right"/>
              <w:ind w:right="360"/>
              <w:spacing w:after="0"/>
              <w:rPr>
                <w:sz w:val="20"/>
                <w:szCs w:val="20"/>
                <w:color w:val="auto"/>
              </w:rPr>
            </w:pPr>
            <w:r>
              <w:rPr>
                <w:rFonts w:ascii="Arial" w:cs="Arial" w:eastAsia="Arial" w:hAnsi="Arial"/>
                <w:sz w:val="18"/>
                <w:szCs w:val="18"/>
                <w:color w:val="auto"/>
              </w:rPr>
              <w:t>(6,716)</w:t>
            </w: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1,127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shd w:val="clear" w:color="auto" w:fill="CCEEFF"/>
          </w:tcPr>
          <w:p>
            <w:pPr>
              <w:ind w:left="700"/>
              <w:spacing w:after="0"/>
              <w:rPr>
                <w:sz w:val="20"/>
                <w:szCs w:val="20"/>
                <w:color w:val="auto"/>
              </w:rPr>
            </w:pPr>
            <w:r>
              <w:rPr>
                <w:rFonts w:ascii="Arial" w:cs="Arial" w:eastAsia="Arial" w:hAnsi="Arial"/>
                <w:sz w:val="18"/>
                <w:szCs w:val="18"/>
                <w:color w:val="auto"/>
              </w:rPr>
              <w:t>Accounts payable</w:t>
            </w:r>
          </w:p>
        </w:tc>
        <w:tc>
          <w:tcPr>
            <w:tcW w:w="10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(7,391)</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tcPr>
          <w:p>
            <w:pPr>
              <w:ind w:left="700"/>
              <w:spacing w:after="0"/>
              <w:rPr>
                <w:sz w:val="20"/>
                <w:szCs w:val="20"/>
                <w:color w:val="auto"/>
              </w:rPr>
            </w:pPr>
            <w:r>
              <w:rPr>
                <w:rFonts w:ascii="Arial" w:cs="Arial" w:eastAsia="Arial" w:hAnsi="Arial"/>
                <w:sz w:val="18"/>
                <w:szCs w:val="18"/>
                <w:color w:val="auto"/>
              </w:rPr>
              <w:t>Accrued liabilities</w:t>
            </w:r>
          </w:p>
        </w:tc>
        <w:tc>
          <w:tcPr>
            <w:tcW w:w="100" w:type="dxa"/>
            <w:vAlign w:val="bottom"/>
          </w:tcPr>
          <w:p>
            <w:pPr>
              <w:spacing w:after="0"/>
              <w:rPr>
                <w:sz w:val="18"/>
                <w:szCs w:val="18"/>
                <w:color w:val="auto"/>
              </w:rPr>
            </w:pPr>
          </w:p>
        </w:tc>
        <w:tc>
          <w:tcPr>
            <w:tcW w:w="1020" w:type="dxa"/>
            <w:vAlign w:val="bottom"/>
            <w:gridSpan w:val="3"/>
          </w:tcPr>
          <w:p>
            <w:pPr>
              <w:jc w:val="right"/>
              <w:ind w:right="360"/>
              <w:spacing w:after="0"/>
              <w:rPr>
                <w:sz w:val="20"/>
                <w:szCs w:val="20"/>
                <w:color w:val="auto"/>
              </w:rPr>
            </w:pPr>
            <w:r>
              <w:rPr>
                <w:rFonts w:ascii="Arial" w:cs="Arial" w:eastAsia="Arial" w:hAnsi="Arial"/>
                <w:sz w:val="18"/>
                <w:szCs w:val="18"/>
                <w:color w:val="auto"/>
              </w:rPr>
              <w:t>(3,459)</w:t>
            </w: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94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942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operating activities</w:t>
            </w:r>
          </w:p>
        </w:tc>
        <w:tc>
          <w:tcPr>
            <w:tcW w:w="10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w w:val="95"/>
              </w:rPr>
              <w:t>(41,630)</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(47,416)</w:t>
            </w:r>
          </w:p>
        </w:tc>
        <w:tc>
          <w:tcPr>
            <w:tcW w:w="0" w:type="dxa"/>
            <w:vAlign w:val="bottom"/>
          </w:tcPr>
          <w:p>
            <w:pPr>
              <w:spacing w:after="0"/>
              <w:rPr>
                <w:sz w:val="1"/>
                <w:szCs w:val="1"/>
                <w:color w:val="auto"/>
              </w:rPr>
            </w:pPr>
          </w:p>
        </w:tc>
      </w:tr>
      <w:tr>
        <w:trPr>
          <w:trHeight w:val="223"/>
        </w:trPr>
        <w:tc>
          <w:tcPr>
            <w:tcW w:w="9440" w:type="dxa"/>
            <w:vAlign w:val="bottom"/>
            <w:gridSpan w:val="2"/>
          </w:tcPr>
          <w:p>
            <w:pPr>
              <w:spacing w:after="0"/>
              <w:rPr>
                <w:sz w:val="20"/>
                <w:szCs w:val="20"/>
                <w:color w:val="auto"/>
              </w:rPr>
            </w:pPr>
            <w:r>
              <w:rPr>
                <w:rFonts w:ascii="Arial" w:cs="Arial" w:eastAsia="Arial" w:hAnsi="Arial"/>
                <w:sz w:val="18"/>
                <w:szCs w:val="18"/>
                <w:b w:val="1"/>
                <w:bCs w:val="1"/>
                <w:color w:val="auto"/>
              </w:rPr>
              <w:t>Cash flows from investing activities</w:t>
            </w: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shd w:val="clear" w:color="auto" w:fill="CCEEFF"/>
          </w:tcPr>
          <w:p>
            <w:pPr>
              <w:spacing w:after="0"/>
              <w:rPr>
                <w:sz w:val="20"/>
                <w:szCs w:val="20"/>
                <w:color w:val="auto"/>
              </w:rPr>
            </w:pPr>
            <w:r>
              <w:rPr>
                <w:rFonts w:ascii="Arial" w:cs="Arial" w:eastAsia="Arial" w:hAnsi="Arial"/>
                <w:sz w:val="18"/>
                <w:szCs w:val="18"/>
                <w:color w:val="auto"/>
              </w:rPr>
              <w:t>Purchases of furniture and equipment</w:t>
            </w:r>
          </w:p>
        </w:tc>
        <w:tc>
          <w:tcPr>
            <w:tcW w:w="10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(103)</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tcPr>
          <w:p>
            <w:pPr>
              <w:spacing w:after="0"/>
              <w:rPr>
                <w:sz w:val="20"/>
                <w:szCs w:val="20"/>
                <w:color w:val="auto"/>
              </w:rPr>
            </w:pPr>
            <w:r>
              <w:rPr>
                <w:rFonts w:ascii="Arial" w:cs="Arial" w:eastAsia="Arial" w:hAnsi="Arial"/>
                <w:sz w:val="18"/>
                <w:szCs w:val="18"/>
                <w:color w:val="auto"/>
              </w:rPr>
              <w:t>Purchases of marketable securities</w:t>
            </w:r>
          </w:p>
        </w:tc>
        <w:tc>
          <w:tcPr>
            <w:tcW w:w="100" w:type="dxa"/>
            <w:vAlign w:val="bottom"/>
          </w:tcPr>
          <w:p>
            <w:pPr>
              <w:spacing w:after="0"/>
              <w:rPr>
                <w:sz w:val="18"/>
                <w:szCs w:val="18"/>
                <w:color w:val="auto"/>
              </w:rPr>
            </w:pPr>
          </w:p>
        </w:tc>
        <w:tc>
          <w:tcPr>
            <w:tcW w:w="1020" w:type="dxa"/>
            <w:vAlign w:val="bottom"/>
            <w:gridSpan w:val="3"/>
          </w:tcPr>
          <w:p>
            <w:pPr>
              <w:jc w:val="right"/>
              <w:ind w:right="5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w w:val="90"/>
              </w:rPr>
              <w:t>(125,000)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shd w:val="clear" w:color="auto" w:fill="CCEEFF"/>
          </w:tcPr>
          <w:p>
            <w:pPr>
              <w:spacing w:after="0"/>
              <w:rPr>
                <w:sz w:val="20"/>
                <w:szCs w:val="20"/>
                <w:color w:val="auto"/>
              </w:rPr>
            </w:pPr>
            <w:r>
              <w:rPr>
                <w:rFonts w:ascii="Arial" w:cs="Arial" w:eastAsia="Arial" w:hAnsi="Arial"/>
                <w:sz w:val="18"/>
                <w:szCs w:val="18"/>
                <w:color w:val="auto"/>
              </w:rPr>
              <w:t>Sales of marketable securities</w:t>
            </w:r>
          </w:p>
        </w:tc>
        <w:tc>
          <w:tcPr>
            <w:tcW w:w="10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65,000</w:t>
            </w:r>
          </w:p>
        </w:tc>
        <w:tc>
          <w:tcPr>
            <w:tcW w:w="0" w:type="dxa"/>
            <w:vAlign w:val="bottom"/>
          </w:tcPr>
          <w:p>
            <w:pPr>
              <w:spacing w:after="0"/>
              <w:rPr>
                <w:sz w:val="1"/>
                <w:szCs w:val="1"/>
                <w:color w:val="auto"/>
              </w:rPr>
            </w:pPr>
          </w:p>
        </w:tc>
      </w:tr>
      <w:tr>
        <w:trPr>
          <w:trHeight w:val="230"/>
        </w:trPr>
        <w:tc>
          <w:tcPr>
            <w:tcW w:w="9440" w:type="dxa"/>
            <w:vAlign w:val="bottom"/>
            <w:gridSpan w:val="2"/>
          </w:tcPr>
          <w:p>
            <w:pPr>
              <w:spacing w:after="0"/>
              <w:rPr>
                <w:sz w:val="20"/>
                <w:szCs w:val="20"/>
                <w:color w:val="auto"/>
              </w:rPr>
            </w:pPr>
            <w:r>
              <w:rPr>
                <w:rFonts w:ascii="Arial" w:cs="Arial" w:eastAsia="Arial" w:hAnsi="Arial"/>
                <w:sz w:val="18"/>
                <w:szCs w:val="18"/>
                <w:color w:val="auto"/>
              </w:rPr>
              <w:t>Net cash used in investing activities</w:t>
            </w:r>
          </w:p>
        </w:tc>
        <w:tc>
          <w:tcPr>
            <w:tcW w:w="10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(103)</w:t>
            </w:r>
          </w:p>
        </w:tc>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(60,129)</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tcPr>
          <w:p>
            <w:pPr>
              <w:spacing w:after="0"/>
              <w:rPr>
                <w:sz w:val="20"/>
                <w:szCs w:val="20"/>
                <w:color w:val="auto"/>
              </w:rPr>
            </w:pPr>
            <w:r>
              <w:rPr>
                <w:rFonts w:ascii="Arial" w:cs="Arial" w:eastAsia="Arial" w:hAnsi="Arial"/>
                <w:sz w:val="18"/>
                <w:szCs w:val="18"/>
                <w:color w:val="auto"/>
              </w:rPr>
              <w:t>Borrowings from notes payable</w:t>
            </w:r>
          </w:p>
        </w:tc>
        <w:tc>
          <w:tcPr>
            <w:tcW w:w="100" w:type="dxa"/>
            <w:vAlign w:val="bottom"/>
          </w:tcPr>
          <w:p>
            <w:pPr>
              <w:spacing w:after="0"/>
              <w:rPr>
                <w:sz w:val="18"/>
                <w:szCs w:val="18"/>
                <w:color w:val="auto"/>
              </w:rPr>
            </w:pP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w w:val="89"/>
              </w:rPr>
              <w:t>105,671</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24,575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shd w:val="clear" w:color="auto" w:fill="CCEEFF"/>
          </w:tcPr>
          <w:p>
            <w:pPr>
              <w:spacing w:after="0"/>
              <w:rPr>
                <w:sz w:val="20"/>
                <w:szCs w:val="20"/>
                <w:color w:val="auto"/>
              </w:rPr>
            </w:pPr>
            <w:r>
              <w:rPr>
                <w:rFonts w:ascii="Arial" w:cs="Arial" w:eastAsia="Arial" w:hAnsi="Arial"/>
                <w:sz w:val="18"/>
                <w:szCs w:val="18"/>
                <w:color w:val="auto"/>
              </w:rPr>
              <w:t>Repayments of notes payable</w:t>
            </w:r>
          </w:p>
        </w:tc>
        <w:tc>
          <w:tcPr>
            <w:tcW w:w="10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w w:val="95"/>
              </w:rPr>
              <w:t>(66,850)</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(21,047)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tcPr>
          <w:p>
            <w:pPr>
              <w:spacing w:after="0"/>
              <w:rPr>
                <w:sz w:val="20"/>
                <w:szCs w:val="20"/>
                <w:color w:val="auto"/>
              </w:rPr>
            </w:pPr>
            <w:r>
              <w:rPr>
                <w:rFonts w:ascii="Arial" w:cs="Arial" w:eastAsia="Arial" w:hAnsi="Arial"/>
                <w:sz w:val="18"/>
                <w:szCs w:val="18"/>
                <w:color w:val="auto"/>
              </w:rPr>
              <w:t>Minimum tax withholding paid on behalf of employees for stock awards</w:t>
            </w:r>
          </w:p>
        </w:tc>
        <w:tc>
          <w:tcPr>
            <w:tcW w:w="100" w:type="dxa"/>
            <w:vAlign w:val="bottom"/>
          </w:tcPr>
          <w:p>
            <w:pPr>
              <w:spacing w:after="0"/>
              <w:rPr>
                <w:sz w:val="18"/>
                <w:szCs w:val="18"/>
                <w:color w:val="auto"/>
              </w:rPr>
            </w:pPr>
          </w:p>
        </w:tc>
        <w:tc>
          <w:tcPr>
            <w:tcW w:w="1020" w:type="dxa"/>
            <w:vAlign w:val="bottom"/>
            <w:gridSpan w:val="3"/>
          </w:tcPr>
          <w:p>
            <w:pPr>
              <w:jc w:val="right"/>
              <w:ind w:right="360"/>
              <w:spacing w:after="0"/>
              <w:rPr>
                <w:sz w:val="20"/>
                <w:szCs w:val="20"/>
                <w:color w:val="auto"/>
              </w:rPr>
            </w:pPr>
            <w:r>
              <w:rPr>
                <w:rFonts w:ascii="Arial" w:cs="Arial" w:eastAsia="Arial" w:hAnsi="Arial"/>
                <w:sz w:val="18"/>
                <w:szCs w:val="18"/>
                <w:color w:val="auto"/>
              </w:rPr>
              <w:t>(303)</w:t>
            </w:r>
          </w:p>
        </w:tc>
        <w:tc>
          <w:tcPr>
            <w:tcW w:w="100" w:type="dxa"/>
            <w:vAlign w:val="bottom"/>
          </w:tcPr>
          <w:p>
            <w:pPr>
              <w:spacing w:after="0"/>
              <w:rPr>
                <w:sz w:val="18"/>
                <w:szCs w:val="18"/>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shd w:val="clear" w:color="auto" w:fill="CCEEFF"/>
          </w:tcPr>
          <w:p>
            <w:pPr>
              <w:spacing w:after="0"/>
              <w:rPr>
                <w:sz w:val="20"/>
                <w:szCs w:val="20"/>
                <w:color w:val="auto"/>
              </w:rPr>
            </w:pPr>
            <w:r>
              <w:rPr>
                <w:rFonts w:ascii="Arial" w:cs="Arial" w:eastAsia="Arial" w:hAnsi="Arial"/>
                <w:sz w:val="18"/>
                <w:szCs w:val="18"/>
                <w:color w:val="auto"/>
              </w:rPr>
              <w:t>Net proceeds from issuance of common stock</w:t>
            </w:r>
          </w:p>
        </w:tc>
        <w:tc>
          <w:tcPr>
            <w:tcW w:w="10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155,408</w:t>
            </w:r>
          </w:p>
        </w:tc>
        <w:tc>
          <w:tcPr>
            <w:tcW w:w="0" w:type="dxa"/>
            <w:vAlign w:val="bottom"/>
          </w:tcPr>
          <w:p>
            <w:pPr>
              <w:spacing w:after="0"/>
              <w:rPr>
                <w:sz w:val="1"/>
                <w:szCs w:val="1"/>
                <w:color w:val="auto"/>
              </w:rPr>
            </w:pPr>
          </w:p>
        </w:tc>
      </w:tr>
      <w:tr>
        <w:trPr>
          <w:trHeight w:val="230"/>
        </w:trPr>
        <w:tc>
          <w:tcPr>
            <w:tcW w:w="9440" w:type="dxa"/>
            <w:vAlign w:val="bottom"/>
            <w:gridSpan w:val="2"/>
          </w:tcPr>
          <w:p>
            <w:pPr>
              <w:spacing w:after="0"/>
              <w:rPr>
                <w:sz w:val="20"/>
                <w:szCs w:val="20"/>
                <w:color w:val="auto"/>
              </w:rPr>
            </w:pPr>
            <w:r>
              <w:rPr>
                <w:rFonts w:ascii="Arial" w:cs="Arial" w:eastAsia="Arial" w:hAnsi="Arial"/>
                <w:sz w:val="18"/>
                <w:szCs w:val="18"/>
                <w:color w:val="auto"/>
              </w:rPr>
              <w:t>Net cash provided by financing activities</w:t>
            </w:r>
          </w:p>
        </w:tc>
        <w:tc>
          <w:tcPr>
            <w:tcW w:w="10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38,518</w:t>
            </w:r>
          </w:p>
        </w:tc>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158,936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shd w:val="clear" w:color="auto" w:fill="CCEEFF"/>
          </w:tcPr>
          <w:p>
            <w:pPr>
              <w:spacing w:after="0"/>
              <w:rPr>
                <w:sz w:val="20"/>
                <w:szCs w:val="20"/>
                <w:color w:val="auto"/>
              </w:rPr>
            </w:pPr>
            <w:r>
              <w:rPr>
                <w:rFonts w:ascii="Arial" w:cs="Arial" w:eastAsia="Arial" w:hAnsi="Arial"/>
                <w:sz w:val="18"/>
                <w:szCs w:val="18"/>
                <w:color w:val="auto"/>
              </w:rPr>
              <w:t>Net increase (decrease) in cash and cash equivalents</w:t>
            </w:r>
          </w:p>
        </w:tc>
        <w:tc>
          <w:tcPr>
            <w:tcW w:w="100" w:type="dxa"/>
            <w:vAlign w:val="bottom"/>
            <w:shd w:val="clear" w:color="auto" w:fill="CCEEFF"/>
          </w:tcPr>
          <w:p>
            <w:pPr>
              <w:spacing w:after="0"/>
              <w:rPr>
                <w:sz w:val="18"/>
                <w:szCs w:val="18"/>
                <w:color w:val="auto"/>
              </w:rPr>
            </w:pPr>
          </w:p>
        </w:tc>
        <w:tc>
          <w:tcPr>
            <w:tcW w:w="102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(3,215)</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51,391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420" w:type="dxa"/>
            <w:vAlign w:val="bottom"/>
          </w:tcPr>
          <w:p>
            <w:pPr>
              <w:spacing w:after="0"/>
              <w:rPr>
                <w:sz w:val="20"/>
                <w:szCs w:val="20"/>
                <w:color w:val="auto"/>
              </w:rPr>
            </w:pPr>
            <w:r>
              <w:rPr>
                <w:rFonts w:ascii="Arial" w:cs="Arial" w:eastAsia="Arial" w:hAnsi="Arial"/>
                <w:sz w:val="18"/>
                <w:szCs w:val="18"/>
                <w:color w:val="auto"/>
              </w:rPr>
              <w:t>Cash and cash equivalents – beginning of period</w:t>
            </w:r>
          </w:p>
        </w:tc>
        <w:tc>
          <w:tcPr>
            <w:tcW w:w="10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35,261</w:t>
            </w:r>
          </w:p>
        </w:tc>
        <w:tc>
          <w:tcPr>
            <w:tcW w:w="420" w:type="dxa"/>
            <w:vAlign w:val="bottom"/>
            <w:gridSpan w:val="2"/>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19,824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 end of period</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32,046</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71,215</w:t>
            </w:r>
          </w:p>
        </w:tc>
        <w:tc>
          <w:tcPr>
            <w:tcW w:w="0" w:type="dxa"/>
            <w:vAlign w:val="bottom"/>
          </w:tcPr>
          <w:p>
            <w:pPr>
              <w:spacing w:after="0"/>
              <w:rPr>
                <w:sz w:val="1"/>
                <w:szCs w:val="1"/>
                <w:color w:val="auto"/>
              </w:rPr>
            </w:pPr>
          </w:p>
        </w:tc>
      </w:tr>
      <w:tr>
        <w:trPr>
          <w:trHeight w:val="20"/>
        </w:trPr>
        <w:tc>
          <w:tcPr>
            <w:tcW w:w="94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Supplemental disclosure of cash flow information</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944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420" w:type="dxa"/>
            <w:vAlign w:val="bottom"/>
            <w:shd w:val="clear" w:color="auto" w:fill="CCEEFF"/>
          </w:tcPr>
          <w:p>
            <w:pPr>
              <w:spacing w:after="0"/>
              <w:rPr>
                <w:sz w:val="20"/>
                <w:szCs w:val="20"/>
                <w:color w:val="auto"/>
              </w:rPr>
            </w:pPr>
            <w:r>
              <w:rPr>
                <w:rFonts w:ascii="Arial" w:cs="Arial" w:eastAsia="Arial" w:hAnsi="Arial"/>
                <w:sz w:val="18"/>
                <w:szCs w:val="18"/>
                <w:color w:val="auto"/>
              </w:rPr>
              <w:t>Interest paid, net of amounts capitalized</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9440" w:type="dxa"/>
            <w:vAlign w:val="bottom"/>
            <w:gridSpan w:val="2"/>
            <w:vMerge w:val="restart"/>
          </w:tcPr>
          <w:p>
            <w:pPr>
              <w:spacing w:after="0"/>
              <w:rPr>
                <w:sz w:val="20"/>
                <w:szCs w:val="20"/>
                <w:color w:val="auto"/>
              </w:rPr>
            </w:pPr>
            <w:r>
              <w:rPr>
                <w:rFonts w:ascii="Arial" w:cs="Arial" w:eastAsia="Arial" w:hAnsi="Arial"/>
                <w:sz w:val="18"/>
                <w:szCs w:val="18"/>
                <w:color w:val="auto"/>
              </w:rPr>
              <w:t>Income taxes paid</w:t>
            </w:r>
          </w:p>
        </w:tc>
        <w:tc>
          <w:tcPr>
            <w:tcW w:w="10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9440" w:type="dxa"/>
            <w:vAlign w:val="bottom"/>
            <w:gridSpan w:val="2"/>
            <w:vMerge w:val="continue"/>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7,800</w:t>
            </w:r>
          </w:p>
        </w:tc>
        <w:tc>
          <w:tcPr>
            <w:tcW w:w="20" w:type="dxa"/>
            <w:vAlign w:val="bottom"/>
            <w:tcBorders>
              <w:bottom w:val="single" w:sz="8" w:color="auto"/>
            </w:tcBorders>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4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condensed notes to the unaudited consolidated financial statements.</w:t>
      </w:r>
    </w:p>
    <w:p>
      <w:pPr>
        <w:spacing w:after="0" w:line="158" w:lineRule="exact"/>
        <w:rPr>
          <w:sz w:val="20"/>
          <w:szCs w:val="20"/>
          <w:color w:val="auto"/>
        </w:rPr>
      </w:pPr>
    </w:p>
    <w:p>
      <w:pPr>
        <w:ind w:left="5560"/>
        <w:spacing w:after="0"/>
        <w:rPr>
          <w:sz w:val="20"/>
          <w:szCs w:val="20"/>
          <w:color w:val="auto"/>
        </w:rPr>
      </w:pPr>
      <w:r>
        <w:rPr>
          <w:rFonts w:ascii="Arial" w:cs="Arial" w:eastAsia="Arial" w:hAnsi="Arial"/>
          <w:sz w:val="18"/>
          <w:szCs w:val="18"/>
          <w:color w:val="auto"/>
        </w:rPr>
        <w:t>- 6 -</w:t>
      </w:r>
    </w:p>
    <w:p>
      <w:pPr>
        <w:sectPr>
          <w:pgSz w:w="11900" w:h="16838" w:orient="portrait"/>
          <w:cols w:equalWidth="0" w:num="1">
            <w:col w:w="11420"/>
          </w:cols>
          <w:pgMar w:left="240" w:top="459" w:right="2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TRI POINTE HOMES, INC.</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CONDENSED NOTES TO CONSOLIDATED FINANCIAL STATEMENTS</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99" w:lineRule="exact"/>
        <w:rPr>
          <w:sz w:val="20"/>
          <w:szCs w:val="20"/>
          <w:color w:val="auto"/>
        </w:rPr>
      </w:pPr>
    </w:p>
    <w:p>
      <w:pPr>
        <w:ind w:right="8200" w:firstLine="8"/>
        <w:spacing w:after="0" w:line="378" w:lineRule="auto"/>
        <w:tabs>
          <w:tab w:leader="none" w:pos="18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Organization and Basis of Presentation Organization</w:t>
      </w:r>
    </w:p>
    <w:p>
      <w:pPr>
        <w:ind w:right="40" w:firstLine="456"/>
        <w:spacing w:after="0" w:line="286" w:lineRule="auto"/>
        <w:rPr>
          <w:sz w:val="20"/>
          <w:szCs w:val="20"/>
          <w:color w:val="auto"/>
        </w:rPr>
      </w:pPr>
      <w:r>
        <w:rPr>
          <w:rFonts w:ascii="Arial" w:cs="Arial" w:eastAsia="Arial" w:hAnsi="Arial"/>
          <w:sz w:val="17"/>
          <w:szCs w:val="17"/>
          <w:color w:val="auto"/>
        </w:rPr>
        <w:t>TRI Pointe Homes, Inc. is engaged in the design, construction and sale of innovative single-family homes in major metropolitan areas located throughout California and Colorado. The majority of our revenues and profits are generated in California. In January 2013, the Company completed its initial public offering (“IPO”) in which it issued and sold 10,000,000 shares of common stock at the public offering price of $17.00 per share.</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WRECO Transactions</w:t>
      </w:r>
    </w:p>
    <w:p>
      <w:pPr>
        <w:spacing w:after="0" w:line="121" w:lineRule="exact"/>
        <w:rPr>
          <w:sz w:val="20"/>
          <w:szCs w:val="20"/>
          <w:color w:val="auto"/>
        </w:rPr>
      </w:pPr>
    </w:p>
    <w:p>
      <w:pPr>
        <w:ind w:right="60" w:firstLine="456"/>
        <w:spacing w:after="0" w:line="269" w:lineRule="auto"/>
        <w:rPr>
          <w:sz w:val="20"/>
          <w:szCs w:val="20"/>
          <w:color w:val="auto"/>
        </w:rPr>
      </w:pPr>
      <w:r>
        <w:rPr>
          <w:rFonts w:ascii="Arial" w:cs="Arial" w:eastAsia="Arial" w:hAnsi="Arial"/>
          <w:sz w:val="17"/>
          <w:szCs w:val="17"/>
          <w:color w:val="auto"/>
        </w:rPr>
        <w:t>On November 4, 2013, the Company announced that its board of directors approved a transaction agreement with Weyerhaeuser Company, a Washington corporation (“Weyerhaeuser”), pursuant to which Weyerhaeuser Real Estate Company (“WRECO”), a Washington corporation and an indirect wholly owned subsidiary of Weyerhaeuser, will combine with Topaz Acquisition, Inc., a Washington corporation and a wholly owned subsidiary of TRI Pointe, (“Merger Sub”) in a transaction valued at approximately $2.7 billion as of that date (the “Transaction Agreement”). Pursuant to the Transaction Agreement, Weyerhaeuser will distribute all the shares of common stock of WRECO (the “WRECO Common Shares”) to its shareholders (i) on a pro rata basis, (ii) in an exchange offer, or (iii) in a combination thereof (the “Distribution”). Weyerhaeuser will determine which approach it will take to consummate the Distribution prior to closing the transaction and no decision has been made at this time. Immediately following the Distribution, Merger Sub will merge with and into WRECO (the “Merger”), with WRECO surviving the Merger and becoming a wholly owned subsidiary of the Company. We expect to issue 129,700,000 shares of our common stock in the Merger, excluding shares to be issued for equity awards held by WRECO employees that are being assumed by us. As a result of the WRECO Transactions, the Company has incurred due diligence and other related transaction expenses of $548,000 during the three months ended March 31, 2014.</w:t>
      </w:r>
    </w:p>
    <w:p>
      <w:pPr>
        <w:spacing w:after="0" w:line="183"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In order to complete the Merger and the related transactions, (i) WRECO will incur new indebtedness of $800 million or more in the form of (a) debt securities, (b) senior unsecured bridge loans, or (c) a combination thereof; (ii) WRECO will make a cash payment of approximately $739 million, subject to adjustment, to Weyerhaeuser NR Company, the current direct parent of WRECO and a subsidiary of Weyerhaeuser, which cash will be retained by Weyerhaeuser and its subsidiaries (other than WRECO and its subsidiaries); and (iii) Weyerhaeuser will cause certain assets relating to Weyerhaeuser’s real estate business to be transferred to, and certain liabilities relating to Weyerhaeuser’s real estate business to be assumed by, WRECO and its subsidiaries and cause certain assets of WRECO that will be excluded from the transaction to be transferred to, and certain liabilities that will be excluded from the transaction to be assumed by, Weyerhaeuser and its subsidiaries (other than WRECO and its subsidiaries).</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pacing w:after="0" w:line="121" w:lineRule="exact"/>
        <w:rPr>
          <w:sz w:val="20"/>
          <w:szCs w:val="20"/>
          <w:color w:val="auto"/>
        </w:rPr>
      </w:pPr>
    </w:p>
    <w:p>
      <w:pPr>
        <w:jc w:val="both"/>
        <w:ind w:right="120" w:firstLine="456"/>
        <w:spacing w:after="0" w:line="279" w:lineRule="auto"/>
        <w:rPr>
          <w:sz w:val="20"/>
          <w:szCs w:val="20"/>
          <w:color w:val="auto"/>
        </w:rPr>
      </w:pPr>
      <w:r>
        <w:rPr>
          <w:rFonts w:ascii="Arial" w:cs="Arial" w:eastAsia="Arial" w:hAnsi="Arial"/>
          <w:sz w:val="17"/>
          <w:szCs w:val="17"/>
          <w:color w:val="auto"/>
        </w:rPr>
        <w:t>The accompanying financial statements have been prepared in accordance with U.S. generally accepted accounting principles (“GAAP”) as contained within the Financial Accounting Standards Board (“FASB”) Accounting Standards Codification (“ASC”) for interim financial information and the rules and regulations of the Securities and Exchange Commission (“SEC”). Accordingly, certain information and footnote disclosures normally included in the annual financial statements prepared in accordance with GAAP have been condensed or omitted.</w:t>
      </w:r>
    </w:p>
    <w:p>
      <w:pPr>
        <w:spacing w:after="0" w:line="171" w:lineRule="exact"/>
        <w:rPr>
          <w:sz w:val="20"/>
          <w:szCs w:val="20"/>
          <w:color w:val="auto"/>
        </w:rPr>
      </w:pPr>
    </w:p>
    <w:p>
      <w:pPr>
        <w:ind w:right="100" w:firstLine="456"/>
        <w:spacing w:after="0" w:line="272" w:lineRule="auto"/>
        <w:rPr>
          <w:sz w:val="20"/>
          <w:szCs w:val="20"/>
          <w:color w:val="auto"/>
        </w:rPr>
      </w:pPr>
      <w:r>
        <w:rPr>
          <w:rFonts w:ascii="Arial" w:cs="Arial" w:eastAsia="Arial" w:hAnsi="Arial"/>
          <w:sz w:val="17"/>
          <w:szCs w:val="17"/>
          <w:color w:val="auto"/>
        </w:rPr>
        <w:t>In our opinion, the accompanying unaudited consolidated financial statements contain all adjustments (consisting only of normal recurring accruals) necessary to present fairly our consolidated financial position as of March 31, 2014, the results of our consolidated operations for the three months ended March 31, 2014 and 2013, and our consolidated cash flows for the three months ended March 31, 2014 and 2013. The results of our consolidated operations for the three months ended March 31, 2014 are not necessarily indicative of the results to be expected for the full year due to seasonal variations in operating results and other factors. The consolidated balance sheet at December 31, 2013 has been taken from the audited consolidated financial statements as of that date. These unaudited consolidated financial statements should be read in conjunction with the audited consolidated financial statements for the year ended December 31, 2013, which are contained in our annual report on Form 10-K for that period.</w:t>
      </w:r>
    </w:p>
    <w:p>
      <w:pPr>
        <w:spacing w:after="0" w:line="11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- 7 -</w:t>
      </w:r>
    </w:p>
    <w:p>
      <w:pPr>
        <w:sectPr>
          <w:pgSz w:w="11900" w:h="16838" w:orient="portrait"/>
          <w:cols w:equalWidth="0" w:num="1">
            <w:col w:w="11400"/>
          </w:cols>
          <w:pgMar w:left="240" w:top="459" w:right="25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200" w:firstLine="456"/>
        <w:spacing w:after="0" w:line="264" w:lineRule="auto"/>
        <w:rPr>
          <w:sz w:val="20"/>
          <w:szCs w:val="20"/>
          <w:color w:val="auto"/>
        </w:rPr>
      </w:pPr>
      <w:r>
        <w:rPr>
          <w:rFonts w:ascii="Arial" w:cs="Arial" w:eastAsia="Arial" w:hAnsi="Arial"/>
          <w:sz w:val="18"/>
          <w:szCs w:val="18"/>
          <w:color w:val="auto"/>
        </w:rPr>
        <w:t>The consolidated financial statements include the accounts of the Company and its wholly owned subsidiaries. All significant intercompany accounts have been eliminated upon consolidation. Certain prior period amounts have been reclassified to conform to current period presentation. Subsequent events have been evaluated through the date the financial statements were issued.</w:t>
      </w:r>
    </w:p>
    <w:p>
      <w:pPr>
        <w:spacing w:after="0" w:line="181" w:lineRule="exact"/>
        <w:rPr>
          <w:sz w:val="20"/>
          <w:szCs w:val="20"/>
          <w:color w:val="auto"/>
        </w:rPr>
      </w:pPr>
    </w:p>
    <w:p>
      <w:pPr>
        <w:ind w:right="840" w:firstLine="456"/>
        <w:spacing w:after="0" w:line="277" w:lineRule="auto"/>
        <w:rPr>
          <w:sz w:val="20"/>
          <w:szCs w:val="20"/>
          <w:color w:val="auto"/>
        </w:rPr>
      </w:pPr>
      <w:r>
        <w:rPr>
          <w:rFonts w:ascii="Arial" w:cs="Arial" w:eastAsia="Arial" w:hAnsi="Arial"/>
          <w:sz w:val="18"/>
          <w:szCs w:val="18"/>
          <w:color w:val="auto"/>
        </w:rPr>
        <w:t>Unless the context otherwise requires, the terms “we”, “us”, “our” and “the Company” refer to TRI Pointe Homes, Inc. (and its consolidated subsidiaries).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121" w:lineRule="exact"/>
        <w:rPr>
          <w:sz w:val="20"/>
          <w:szCs w:val="20"/>
          <w:color w:val="auto"/>
        </w:rPr>
      </w:pPr>
    </w:p>
    <w:p>
      <w:pPr>
        <w:ind w:right="420" w:firstLine="456"/>
        <w:spacing w:after="0" w:line="264" w:lineRule="auto"/>
        <w:rPr>
          <w:sz w:val="20"/>
          <w:szCs w:val="20"/>
          <w:color w:val="auto"/>
        </w:rPr>
      </w:pPr>
      <w:r>
        <w:rPr>
          <w:rFonts w:ascii="Arial" w:cs="Arial" w:eastAsia="Arial" w:hAnsi="Arial"/>
          <w:sz w:val="18"/>
          <w:szCs w:val="18"/>
          <w:color w:val="auto"/>
        </w:rPr>
        <w:t>The preparation of the Company’s consolidated financial statements in conformity with GAAP requires management to make estimates and assumptions that affect the reported amounts of assets and liabilities and disclosure of commitments and contingencies. Accordingly, actual results could differ materially from these estimates.</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121" w:lineRule="exact"/>
        <w:rPr>
          <w:sz w:val="20"/>
          <w:szCs w:val="20"/>
          <w:color w:val="auto"/>
        </w:rPr>
      </w:pPr>
    </w:p>
    <w:p>
      <w:pPr>
        <w:ind w:right="20" w:firstLine="456"/>
        <w:spacing w:after="0" w:line="272" w:lineRule="auto"/>
        <w:rPr>
          <w:sz w:val="20"/>
          <w:szCs w:val="20"/>
          <w:color w:val="auto"/>
        </w:rPr>
      </w:pPr>
      <w:r>
        <w:rPr>
          <w:rFonts w:ascii="Arial" w:cs="Arial" w:eastAsia="Arial" w:hAnsi="Arial"/>
          <w:sz w:val="17"/>
          <w:szCs w:val="17"/>
          <w:color w:val="auto"/>
        </w:rPr>
        <w:t xml:space="preserve">In April 2014, the FASB issued amendments to Accounting Standards Update 2014-08 (ASU 2014-08), </w:t>
      </w:r>
      <w:r>
        <w:rPr>
          <w:rFonts w:ascii="Arial" w:cs="Arial" w:eastAsia="Arial" w:hAnsi="Arial"/>
          <w:sz w:val="17"/>
          <w:szCs w:val="17"/>
          <w:i w:val="1"/>
          <w:iCs w:val="1"/>
          <w:color w:val="auto"/>
        </w:rPr>
        <w:t>Reporting Discontinued Operations and</w:t>
      </w:r>
      <w:r>
        <w:rPr>
          <w:rFonts w:ascii="Arial" w:cs="Arial" w:eastAsia="Arial" w:hAnsi="Arial"/>
          <w:sz w:val="17"/>
          <w:szCs w:val="17"/>
          <w:color w:val="auto"/>
        </w:rPr>
        <w:t xml:space="preserve"> </w:t>
      </w:r>
      <w:r>
        <w:rPr>
          <w:rFonts w:ascii="Arial" w:cs="Arial" w:eastAsia="Arial" w:hAnsi="Arial"/>
          <w:sz w:val="17"/>
          <w:szCs w:val="17"/>
          <w:i w:val="1"/>
          <w:iCs w:val="1"/>
          <w:color w:val="auto"/>
        </w:rPr>
        <w:t>Disclosures of Disposals of Components of an Entity</w:t>
      </w:r>
      <w:r>
        <w:rPr>
          <w:rFonts w:ascii="Arial" w:cs="Arial" w:eastAsia="Arial" w:hAnsi="Arial"/>
          <w:sz w:val="17"/>
          <w:szCs w:val="17"/>
          <w:color w:val="auto"/>
        </w:rPr>
        <w:t>. The update requires that a disposal representing a strategic shift that has (or will have) a major effect on</w:t>
      </w:r>
      <w:r>
        <w:rPr>
          <w:rFonts w:ascii="Arial" w:cs="Arial" w:eastAsia="Arial" w:hAnsi="Arial"/>
          <w:sz w:val="17"/>
          <w:szCs w:val="17"/>
          <w:i w:val="1"/>
          <w:iCs w:val="1"/>
          <w:color w:val="auto"/>
        </w:rPr>
        <w:t xml:space="preserve"> </w:t>
      </w:r>
      <w:r>
        <w:rPr>
          <w:rFonts w:ascii="Arial" w:cs="Arial" w:eastAsia="Arial" w:hAnsi="Arial"/>
          <w:sz w:val="17"/>
          <w:szCs w:val="17"/>
          <w:color w:val="auto"/>
        </w:rPr>
        <w:t>an entity’s financial results or a business activity classified as held for sale should be reported as discontinued operations. The amendments also expand the disclosure requirements for discontinued operations and add new disclosures for individually significant dispositions that do not qualify as discontinued operations. The amendments are effective prospectively for fiscal years, and interim reporting periods within those years, beginning after December 15, 2014 (early adoption is permitted only for disposals that have not been previously reported). The implementation of the amended guidance is not expected to have a material impact on our consolidated financial position or results of operations.</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Earnings Per Share</w:t>
      </w:r>
    </w:p>
    <w:p>
      <w:pPr>
        <w:spacing w:after="0" w:line="121" w:lineRule="exact"/>
        <w:rPr>
          <w:sz w:val="20"/>
          <w:szCs w:val="20"/>
          <w:color w:val="auto"/>
        </w:rPr>
      </w:pPr>
    </w:p>
    <w:p>
      <w:pPr>
        <w:ind w:right="220" w:firstLine="456"/>
        <w:spacing w:after="0" w:line="277" w:lineRule="auto"/>
        <w:rPr>
          <w:sz w:val="20"/>
          <w:szCs w:val="20"/>
          <w:color w:val="auto"/>
        </w:rPr>
      </w:pPr>
      <w:r>
        <w:rPr>
          <w:rFonts w:ascii="Arial" w:cs="Arial" w:eastAsia="Arial" w:hAnsi="Arial"/>
          <w:sz w:val="18"/>
          <w:szCs w:val="18"/>
          <w:color w:val="auto"/>
        </w:rPr>
        <w:t>The following table sets forth the components used in the computation of basic and diluted earnings per share (dollars in thousands, except share and per share amounts):</w:t>
      </w:r>
    </w:p>
    <w:p>
      <w:pPr>
        <w:spacing w:after="0" w:line="189" w:lineRule="exact"/>
        <w:rPr>
          <w:sz w:val="20"/>
          <w:szCs w:val="20"/>
          <w:color w:val="auto"/>
        </w:rPr>
      </w:pPr>
    </w:p>
    <w:p>
      <w:pPr>
        <w:jc w:val="center"/>
        <w:ind w:left="8620"/>
        <w:spacing w:after="0"/>
        <w:rPr>
          <w:sz w:val="20"/>
          <w:szCs w:val="20"/>
          <w:color w:val="auto"/>
        </w:rPr>
      </w:pPr>
      <w:r>
        <w:rPr>
          <w:rFonts w:ascii="Arial" w:cs="Arial" w:eastAsia="Arial" w:hAnsi="Arial"/>
          <w:sz w:val="14"/>
          <w:szCs w:val="14"/>
          <w:b w:val="1"/>
          <w:bCs w:val="1"/>
          <w:color w:val="auto"/>
        </w:rPr>
        <w:t>Three Months Ended</w:t>
      </w:r>
    </w:p>
    <w:p>
      <w:pPr>
        <w:jc w:val="center"/>
        <w:ind w:left="8620"/>
        <w:spacing w:after="0" w:line="236" w:lineRule="auto"/>
        <w:rPr>
          <w:sz w:val="20"/>
          <w:szCs w:val="20"/>
          <w:color w:val="auto"/>
        </w:rPr>
      </w:pPr>
      <w:r>
        <w:rPr>
          <w:rFonts w:ascii="Arial" w:cs="Arial" w:eastAsia="Arial" w:hAnsi="Arial"/>
          <w:sz w:val="14"/>
          <w:szCs w:val="14"/>
          <w:b w:val="1"/>
          <w:bCs w:val="1"/>
          <w:color w:val="auto"/>
        </w:rPr>
        <w:t>March 31,</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6160" w:type="dxa"/>
            <w:vAlign w:val="bottom"/>
            <w:tcBorders>
              <w:bottom w:val="single" w:sz="8" w:color="CCEEFF"/>
            </w:tcBorders>
          </w:tcPr>
          <w:p>
            <w:pPr>
              <w:spacing w:after="0"/>
              <w:rPr>
                <w:sz w:val="12"/>
                <w:szCs w:val="12"/>
                <w:color w:val="auto"/>
              </w:rPr>
            </w:pPr>
          </w:p>
        </w:tc>
        <w:tc>
          <w:tcPr>
            <w:tcW w:w="254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33"/>
              <w:spacing w:after="0" w:line="142" w:lineRule="exact"/>
              <w:rPr>
                <w:sz w:val="20"/>
                <w:szCs w:val="20"/>
                <w:color w:val="auto"/>
              </w:rPr>
            </w:pPr>
            <w:r>
              <w:rPr>
                <w:rFonts w:ascii="Arial" w:cs="Arial" w:eastAsia="Arial" w:hAnsi="Arial"/>
                <w:sz w:val="14"/>
                <w:szCs w:val="14"/>
                <w:b w:val="1"/>
                <w:bCs w:val="1"/>
                <w:color w:val="auto"/>
              </w:rPr>
              <w:t>2014</w:t>
            </w:r>
          </w:p>
        </w:tc>
        <w:tc>
          <w:tcPr>
            <w:tcW w:w="80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13"/>
              <w:spacing w:after="0" w:line="142" w:lineRule="exact"/>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616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Numerator:</w:t>
            </w:r>
          </w:p>
        </w:tc>
        <w:tc>
          <w:tcPr>
            <w:tcW w:w="2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160" w:type="dxa"/>
            <w:vAlign w:val="bottom"/>
          </w:tcPr>
          <w:p>
            <w:pPr>
              <w:ind w:left="360"/>
              <w:spacing w:after="0"/>
              <w:rPr>
                <w:sz w:val="20"/>
                <w:szCs w:val="20"/>
                <w:color w:val="auto"/>
              </w:rPr>
            </w:pPr>
            <w:r>
              <w:rPr>
                <w:rFonts w:ascii="Arial" w:cs="Arial" w:eastAsia="Arial" w:hAnsi="Arial"/>
                <w:sz w:val="18"/>
                <w:szCs w:val="18"/>
                <w:color w:val="auto"/>
              </w:rPr>
              <w:t>Net income</w:t>
            </w:r>
          </w:p>
        </w:tc>
        <w:tc>
          <w:tcPr>
            <w:tcW w:w="2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620" w:type="dxa"/>
            <w:vAlign w:val="bottom"/>
            <w:gridSpan w:val="2"/>
          </w:tcPr>
          <w:p>
            <w:pPr>
              <w:jc w:val="right"/>
              <w:ind w:right="800"/>
              <w:spacing w:after="0"/>
              <w:rPr>
                <w:sz w:val="20"/>
                <w:szCs w:val="20"/>
                <w:color w:val="auto"/>
              </w:rPr>
            </w:pPr>
            <w:r>
              <w:rPr>
                <w:rFonts w:ascii="Arial" w:cs="Arial" w:eastAsia="Arial" w:hAnsi="Arial"/>
                <w:sz w:val="18"/>
                <w:szCs w:val="18"/>
                <w:color w:val="auto"/>
              </w:rPr>
              <w:t>4,298</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270</w:t>
            </w:r>
          </w:p>
        </w:tc>
        <w:tc>
          <w:tcPr>
            <w:tcW w:w="0" w:type="dxa"/>
            <w:vAlign w:val="bottom"/>
          </w:tcPr>
          <w:p>
            <w:pPr>
              <w:spacing w:after="0"/>
              <w:rPr>
                <w:sz w:val="1"/>
                <w:szCs w:val="1"/>
                <w:color w:val="auto"/>
              </w:rPr>
            </w:pPr>
          </w:p>
        </w:tc>
      </w:tr>
      <w:tr>
        <w:trPr>
          <w:trHeight w:val="20"/>
        </w:trPr>
        <w:tc>
          <w:tcPr>
            <w:tcW w:w="6160" w:type="dxa"/>
            <w:vAlign w:val="bottom"/>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160" w:type="dxa"/>
            <w:vAlign w:val="bottom"/>
            <w:shd w:val="clear" w:color="auto" w:fill="CCEEFF"/>
          </w:tcPr>
          <w:p>
            <w:pPr>
              <w:spacing w:after="0"/>
              <w:rPr>
                <w:sz w:val="20"/>
                <w:szCs w:val="20"/>
                <w:color w:val="auto"/>
              </w:rPr>
            </w:pPr>
            <w:r>
              <w:rPr>
                <w:rFonts w:ascii="Arial" w:cs="Arial" w:eastAsia="Arial" w:hAnsi="Arial"/>
                <w:sz w:val="18"/>
                <w:szCs w:val="18"/>
                <w:color w:val="auto"/>
              </w:rPr>
              <w:t>Denominator:</w:t>
            </w:r>
          </w:p>
        </w:tc>
        <w:tc>
          <w:tcPr>
            <w:tcW w:w="2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60" w:type="dxa"/>
            <w:vAlign w:val="bottom"/>
          </w:tcPr>
          <w:p>
            <w:pPr>
              <w:ind w:left="360"/>
              <w:spacing w:after="0"/>
              <w:rPr>
                <w:sz w:val="20"/>
                <w:szCs w:val="20"/>
                <w:color w:val="auto"/>
              </w:rPr>
            </w:pPr>
            <w:r>
              <w:rPr>
                <w:rFonts w:ascii="Arial" w:cs="Arial" w:eastAsia="Arial" w:hAnsi="Arial"/>
                <w:sz w:val="18"/>
                <w:szCs w:val="18"/>
                <w:color w:val="auto"/>
              </w:rPr>
              <w:t>Basic weighted-average shares outstanding</w:t>
            </w:r>
          </w:p>
        </w:tc>
        <w:tc>
          <w:tcPr>
            <w:tcW w:w="2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20" w:type="dxa"/>
            <w:vAlign w:val="bottom"/>
            <w:gridSpan w:val="2"/>
          </w:tcPr>
          <w:p>
            <w:pPr>
              <w:jc w:val="right"/>
              <w:ind w:right="800"/>
              <w:spacing w:after="0"/>
              <w:rPr>
                <w:sz w:val="20"/>
                <w:szCs w:val="20"/>
                <w:color w:val="auto"/>
              </w:rPr>
            </w:pPr>
            <w:r>
              <w:rPr>
                <w:rFonts w:ascii="Arial" w:cs="Arial" w:eastAsia="Arial" w:hAnsi="Arial"/>
                <w:sz w:val="18"/>
                <w:szCs w:val="18"/>
                <w:color w:val="auto"/>
                <w:w w:val="88"/>
              </w:rPr>
              <w:t>31,613,274</w:t>
            </w:r>
          </w:p>
        </w:tc>
        <w:tc>
          <w:tcPr>
            <w:tcW w:w="10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w w:val="86"/>
              </w:rPr>
              <w:t>28,264,574</w:t>
            </w:r>
          </w:p>
        </w:tc>
        <w:tc>
          <w:tcPr>
            <w:tcW w:w="0" w:type="dxa"/>
            <w:vAlign w:val="bottom"/>
          </w:tcPr>
          <w:p>
            <w:pPr>
              <w:spacing w:after="0"/>
              <w:rPr>
                <w:sz w:val="1"/>
                <w:szCs w:val="1"/>
                <w:color w:val="auto"/>
              </w:rPr>
            </w:pPr>
          </w:p>
        </w:tc>
      </w:tr>
      <w:tr>
        <w:trPr>
          <w:trHeight w:val="216"/>
        </w:trPr>
        <w:tc>
          <w:tcPr>
            <w:tcW w:w="61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Effect of dilutive shares:</w:t>
            </w:r>
          </w:p>
        </w:tc>
        <w:tc>
          <w:tcPr>
            <w:tcW w:w="2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6160" w:type="dxa"/>
            <w:vAlign w:val="bottom"/>
          </w:tcPr>
          <w:p>
            <w:pPr>
              <w:ind w:left="720"/>
              <w:spacing w:after="0"/>
              <w:rPr>
                <w:sz w:val="20"/>
                <w:szCs w:val="20"/>
                <w:color w:val="auto"/>
              </w:rPr>
            </w:pPr>
            <w:r>
              <w:rPr>
                <w:rFonts w:ascii="Arial" w:cs="Arial" w:eastAsia="Arial" w:hAnsi="Arial"/>
                <w:sz w:val="18"/>
                <w:szCs w:val="18"/>
                <w:color w:val="auto"/>
              </w:rPr>
              <w:t>Unvested restricted stock units</w:t>
            </w:r>
            <w:r>
              <w:rPr>
                <w:rFonts w:ascii="Arial" w:cs="Arial" w:eastAsia="Arial" w:hAnsi="Arial"/>
                <w:sz w:val="15"/>
                <w:szCs w:val="15"/>
                <w:color w:val="auto"/>
              </w:rPr>
              <w:t>(1)</w:t>
            </w:r>
          </w:p>
        </w:tc>
        <w:tc>
          <w:tcPr>
            <w:tcW w:w="25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29,796</w:t>
            </w:r>
          </w:p>
        </w:tc>
        <w:tc>
          <w:tcPr>
            <w:tcW w:w="8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9,614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1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Diluted weighted-average shares outstanding</w:t>
            </w:r>
          </w:p>
        </w:tc>
        <w:tc>
          <w:tcPr>
            <w:tcW w:w="2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31,643,070</w:t>
            </w: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28,274,188</w:t>
            </w:r>
          </w:p>
        </w:tc>
        <w:tc>
          <w:tcPr>
            <w:tcW w:w="0" w:type="dxa"/>
            <w:vAlign w:val="bottom"/>
          </w:tcPr>
          <w:p>
            <w:pPr>
              <w:spacing w:after="0"/>
              <w:rPr>
                <w:sz w:val="1"/>
                <w:szCs w:val="1"/>
                <w:color w:val="auto"/>
              </w:rPr>
            </w:pPr>
          </w:p>
        </w:tc>
      </w:tr>
      <w:tr>
        <w:trPr>
          <w:trHeight w:val="20"/>
        </w:trPr>
        <w:tc>
          <w:tcPr>
            <w:tcW w:w="6160" w:type="dxa"/>
            <w:vAlign w:val="bottom"/>
            <w:vMerge w:val="restart"/>
          </w:tcPr>
          <w:p>
            <w:pPr>
              <w:spacing w:after="0"/>
              <w:rPr>
                <w:sz w:val="20"/>
                <w:szCs w:val="20"/>
                <w:color w:val="auto"/>
              </w:rPr>
            </w:pPr>
            <w:r>
              <w:rPr>
                <w:rFonts w:ascii="Arial" w:cs="Arial" w:eastAsia="Arial" w:hAnsi="Arial"/>
                <w:sz w:val="18"/>
                <w:szCs w:val="18"/>
                <w:color w:val="auto"/>
              </w:rPr>
              <w:t>Basic earnings per share</w:t>
            </w:r>
            <w:r>
              <w:rPr>
                <w:rFonts w:ascii="Arial" w:cs="Arial" w:eastAsia="Arial" w:hAnsi="Arial"/>
                <w:sz w:val="15"/>
                <w:szCs w:val="15"/>
                <w:color w:val="auto"/>
              </w:rPr>
              <w:t>(2)</w:t>
            </w:r>
          </w:p>
        </w:tc>
        <w:tc>
          <w:tcPr>
            <w:tcW w:w="2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160" w:type="dxa"/>
            <w:vAlign w:val="bottom"/>
            <w:vMerge w:val="continue"/>
          </w:tcPr>
          <w:p>
            <w:pPr>
              <w:spacing w:after="0"/>
              <w:rPr>
                <w:sz w:val="18"/>
                <w:szCs w:val="18"/>
                <w:color w:val="auto"/>
              </w:rPr>
            </w:pPr>
          </w:p>
        </w:tc>
        <w:tc>
          <w:tcPr>
            <w:tcW w:w="254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0.14</w:t>
            </w:r>
          </w:p>
        </w:tc>
        <w:tc>
          <w:tcPr>
            <w:tcW w:w="80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160" w:type="dxa"/>
            <w:vAlign w:val="bottom"/>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160" w:type="dxa"/>
            <w:vAlign w:val="bottom"/>
            <w:shd w:val="clear" w:color="auto" w:fill="CCEEFF"/>
          </w:tcPr>
          <w:p>
            <w:pPr>
              <w:spacing w:after="0"/>
              <w:rPr>
                <w:sz w:val="20"/>
                <w:szCs w:val="20"/>
                <w:color w:val="auto"/>
              </w:rPr>
            </w:pPr>
            <w:r>
              <w:rPr>
                <w:rFonts w:ascii="Arial" w:cs="Arial" w:eastAsia="Arial" w:hAnsi="Arial"/>
                <w:sz w:val="18"/>
                <w:szCs w:val="18"/>
                <w:color w:val="auto"/>
              </w:rPr>
              <w:t>Diluted earnings per share</w:t>
            </w:r>
            <w:r>
              <w:rPr>
                <w:rFonts w:ascii="Arial" w:cs="Arial" w:eastAsia="Arial" w:hAnsi="Arial"/>
                <w:sz w:val="15"/>
                <w:szCs w:val="15"/>
                <w:color w:val="auto"/>
              </w:rPr>
              <w:t>(1)</w:t>
            </w:r>
          </w:p>
        </w:tc>
        <w:tc>
          <w:tcPr>
            <w:tcW w:w="2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20" w:type="dxa"/>
            <w:vAlign w:val="bottom"/>
            <w:gridSpan w:val="2"/>
            <w:shd w:val="clear" w:color="auto" w:fill="CCEEFF"/>
          </w:tcPr>
          <w:p>
            <w:pPr>
              <w:jc w:val="right"/>
              <w:ind w:right="800"/>
              <w:spacing w:after="0"/>
              <w:rPr>
                <w:sz w:val="20"/>
                <w:szCs w:val="20"/>
                <w:color w:val="auto"/>
              </w:rPr>
            </w:pPr>
            <w:r>
              <w:rPr>
                <w:rFonts w:ascii="Arial" w:cs="Arial" w:eastAsia="Arial" w:hAnsi="Arial"/>
                <w:sz w:val="18"/>
                <w:szCs w:val="18"/>
                <w:color w:val="auto"/>
              </w:rPr>
              <w:t>0.14</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0.01</w:t>
            </w:r>
          </w:p>
        </w:tc>
        <w:tc>
          <w:tcPr>
            <w:tcW w:w="0" w:type="dxa"/>
            <w:vAlign w:val="bottom"/>
          </w:tcPr>
          <w:p>
            <w:pPr>
              <w:spacing w:after="0"/>
              <w:rPr>
                <w:sz w:val="1"/>
                <w:szCs w:val="1"/>
                <w:color w:val="auto"/>
              </w:rPr>
            </w:pPr>
          </w:p>
        </w:tc>
      </w:tr>
      <w:tr>
        <w:trPr>
          <w:trHeight w:val="20"/>
        </w:trPr>
        <w:tc>
          <w:tcPr>
            <w:tcW w:w="6160" w:type="dxa"/>
            <w:vAlign w:val="bottom"/>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460" w:right="180" w:hanging="452"/>
        <w:spacing w:after="0" w:line="258" w:lineRule="auto"/>
        <w:tabs>
          <w:tab w:leader="none" w:pos="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For the three months ended March 31, 2014 and 2013, no stock options were included in the diluted income per share calculation as the effect of their inclusion would be antidilutive.</w:t>
      </w:r>
    </w:p>
    <w:p>
      <w:pPr>
        <w:spacing w:after="0" w:line="1" w:lineRule="exact"/>
        <w:rPr>
          <w:rFonts w:ascii="Arial" w:cs="Arial" w:eastAsia="Arial" w:hAnsi="Arial"/>
          <w:sz w:val="18"/>
          <w:szCs w:val="18"/>
          <w:color w:val="auto"/>
        </w:rPr>
      </w:pPr>
    </w:p>
    <w:p>
      <w:pPr>
        <w:ind w:left="460" w:right="220" w:hanging="452"/>
        <w:spacing w:after="0" w:line="295" w:lineRule="auto"/>
        <w:tabs>
          <w:tab w:leader="none" w:pos="460" w:val="left"/>
        </w:tabs>
        <w:numPr>
          <w:ilvl w:val="0"/>
          <w:numId w:val="4"/>
        </w:numPr>
        <w:rPr>
          <w:rFonts w:ascii="Arial" w:cs="Arial" w:eastAsia="Arial" w:hAnsi="Arial"/>
          <w:sz w:val="16"/>
          <w:szCs w:val="16"/>
          <w:color w:val="auto"/>
        </w:rPr>
      </w:pPr>
      <w:r>
        <w:rPr>
          <w:rFonts w:ascii="Arial" w:cs="Arial" w:eastAsia="Arial" w:hAnsi="Arial"/>
          <w:sz w:val="16"/>
          <w:szCs w:val="16"/>
          <w:color w:val="auto"/>
        </w:rPr>
        <w:t>On January 30, 2013 the Company completed its initial public offering (“IPO”) in which it issued and sold 10 million shares of common stock at the public offering price of $17.00 per share. Basic and diluted income (loss) per share for the three months ended March 31, 2013 give effect to the conversion of the Company’s members’ equity into common stock on January 30, 2013 as though the conversion had occurred as of the beginning of the reporting period or the original date of issuance, if later. The number of shares converted was based on the actual IPO price of $17.00 per share.</w:t>
      </w:r>
    </w:p>
    <w:p>
      <w:pPr>
        <w:spacing w:after="0" w:line="93" w:lineRule="exact"/>
        <w:rPr>
          <w:rFonts w:ascii="Arial" w:cs="Arial" w:eastAsia="Arial" w:hAnsi="Arial"/>
          <w:sz w:val="16"/>
          <w:szCs w:val="16"/>
          <w:color w:val="auto"/>
        </w:rPr>
      </w:pPr>
    </w:p>
    <w:p>
      <w:pPr>
        <w:ind w:left="5660" w:hanging="96"/>
        <w:spacing w:after="0"/>
        <w:tabs>
          <w:tab w:leader="none" w:pos="5660" w:val="left"/>
        </w:tabs>
        <w:numPr>
          <w:ilvl w:val="1"/>
          <w:numId w:val="4"/>
        </w:numPr>
        <w:rPr>
          <w:rFonts w:ascii="Arial" w:cs="Arial" w:eastAsia="Arial" w:hAnsi="Arial"/>
          <w:sz w:val="18"/>
          <w:szCs w:val="18"/>
          <w:color w:val="auto"/>
        </w:rPr>
      </w:pPr>
      <w:r>
        <w:rPr>
          <w:rFonts w:ascii="Arial" w:cs="Arial" w:eastAsia="Arial" w:hAnsi="Arial"/>
          <w:sz w:val="18"/>
          <w:szCs w:val="18"/>
          <w:color w:val="auto"/>
        </w:rPr>
        <w:t>8 -</w:t>
      </w:r>
    </w:p>
    <w:p>
      <w:pPr>
        <w:sectPr>
          <w:pgSz w:w="11900" w:h="16838" w:orient="portrait"/>
          <w:cols w:equalWidth="0" w:num="1">
            <w:col w:w="11420"/>
          </w:cols>
          <w:pgMar w:left="240" w:top="459" w:right="2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Real Estate Inventories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Real estate inventories consisted of the following (in thousands):</w:t>
      </w:r>
    </w:p>
    <w:p>
      <w:pPr>
        <w:spacing w:after="0" w:line="231"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64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b w:val="1"/>
                <w:bCs w:val="1"/>
                <w:color w:val="auto"/>
                <w:w w:val="95"/>
              </w:rPr>
              <w:t>March 31,</w:t>
            </w:r>
          </w:p>
        </w:tc>
        <w:tc>
          <w:tcPr>
            <w:tcW w:w="1520" w:type="dxa"/>
            <w:vAlign w:val="bottom"/>
            <w:gridSpan w:val="4"/>
          </w:tcPr>
          <w:p>
            <w:pPr>
              <w:ind w:left="58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646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b w:val="1"/>
                <w:bCs w:val="1"/>
                <w:color w:val="auto"/>
              </w:rPr>
              <w:t>2014</w:t>
            </w:r>
          </w:p>
        </w:tc>
        <w:tc>
          <w:tcPr>
            <w:tcW w:w="58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14"/>
                <w:szCs w:val="14"/>
                <w:color w:val="auto"/>
              </w:rPr>
            </w:pPr>
          </w:p>
        </w:tc>
      </w:tr>
      <w:tr>
        <w:trPr>
          <w:trHeight w:val="196"/>
        </w:trPr>
        <w:tc>
          <w:tcPr>
            <w:tcW w:w="646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Inventories owned:</w:t>
            </w: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6460" w:type="dxa"/>
            <w:vAlign w:val="bottom"/>
          </w:tcPr>
          <w:p>
            <w:pPr>
              <w:ind w:left="360"/>
              <w:spacing w:after="0"/>
              <w:rPr>
                <w:sz w:val="20"/>
                <w:szCs w:val="20"/>
                <w:color w:val="auto"/>
              </w:rPr>
            </w:pPr>
            <w:r>
              <w:rPr>
                <w:rFonts w:ascii="Arial" w:cs="Arial" w:eastAsia="Arial" w:hAnsi="Arial"/>
                <w:sz w:val="18"/>
                <w:szCs w:val="18"/>
                <w:color w:val="auto"/>
              </w:rPr>
              <w:t>Deposits and pre-acquisition costs</w:t>
            </w: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23,176</w:t>
            </w:r>
          </w:p>
        </w:tc>
        <w:tc>
          <w:tcPr>
            <w:tcW w:w="740" w:type="dxa"/>
            <w:vAlign w:val="bottom"/>
            <w:gridSpan w:val="2"/>
          </w:tcPr>
          <w:p>
            <w:pPr>
              <w:ind w:left="58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19,714</w:t>
            </w:r>
          </w:p>
        </w:tc>
        <w:tc>
          <w:tcPr>
            <w:tcW w:w="100" w:type="dxa"/>
            <w:vAlign w:val="bottom"/>
          </w:tcPr>
          <w:p>
            <w:pPr>
              <w:spacing w:after="0"/>
              <w:rPr>
                <w:sz w:val="18"/>
                <w:szCs w:val="18"/>
                <w:color w:val="auto"/>
              </w:rPr>
            </w:pPr>
          </w:p>
        </w:tc>
      </w:tr>
      <w:tr>
        <w:trPr>
          <w:trHeight w:val="216"/>
        </w:trPr>
        <w:tc>
          <w:tcPr>
            <w:tcW w:w="64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Land under development</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334,851</w:t>
            </w: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326,209</w:t>
            </w:r>
          </w:p>
        </w:tc>
        <w:tc>
          <w:tcPr>
            <w:tcW w:w="100" w:type="dxa"/>
            <w:vAlign w:val="bottom"/>
            <w:shd w:val="clear" w:color="auto" w:fill="CCEEFF"/>
          </w:tcPr>
          <w:p>
            <w:pPr>
              <w:spacing w:after="0"/>
              <w:rPr>
                <w:sz w:val="18"/>
                <w:szCs w:val="18"/>
                <w:color w:val="auto"/>
              </w:rPr>
            </w:pPr>
          </w:p>
        </w:tc>
      </w:tr>
      <w:tr>
        <w:trPr>
          <w:trHeight w:val="216"/>
        </w:trPr>
        <w:tc>
          <w:tcPr>
            <w:tcW w:w="6460" w:type="dxa"/>
            <w:vAlign w:val="bottom"/>
          </w:tcPr>
          <w:p>
            <w:pPr>
              <w:ind w:left="360"/>
              <w:spacing w:after="0"/>
              <w:rPr>
                <w:sz w:val="20"/>
                <w:szCs w:val="20"/>
                <w:color w:val="auto"/>
              </w:rPr>
            </w:pPr>
            <w:r>
              <w:rPr>
                <w:rFonts w:ascii="Arial" w:cs="Arial" w:eastAsia="Arial" w:hAnsi="Arial"/>
                <w:sz w:val="18"/>
                <w:szCs w:val="18"/>
                <w:color w:val="auto"/>
              </w:rPr>
              <w:t>Homes completed or under construction</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109,385</w:t>
            </w: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92,901</w:t>
            </w:r>
          </w:p>
        </w:tc>
        <w:tc>
          <w:tcPr>
            <w:tcW w:w="100" w:type="dxa"/>
            <w:vAlign w:val="bottom"/>
          </w:tcPr>
          <w:p>
            <w:pPr>
              <w:spacing w:after="0"/>
              <w:rPr>
                <w:sz w:val="18"/>
                <w:szCs w:val="18"/>
                <w:color w:val="auto"/>
              </w:rPr>
            </w:pPr>
          </w:p>
        </w:tc>
      </w:tr>
      <w:tr>
        <w:trPr>
          <w:trHeight w:val="216"/>
        </w:trPr>
        <w:tc>
          <w:tcPr>
            <w:tcW w:w="64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Model homes</w:t>
            </w:r>
          </w:p>
        </w:tc>
        <w:tc>
          <w:tcPr>
            <w:tcW w:w="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17,071</w:t>
            </w:r>
          </w:p>
        </w:tc>
        <w:tc>
          <w:tcPr>
            <w:tcW w:w="5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16,818</w:t>
            </w:r>
          </w:p>
        </w:tc>
        <w:tc>
          <w:tcPr>
            <w:tcW w:w="100" w:type="dxa"/>
            <w:vAlign w:val="bottom"/>
            <w:shd w:val="clear" w:color="auto" w:fill="CCEEFF"/>
          </w:tcPr>
          <w:p>
            <w:pPr>
              <w:spacing w:after="0"/>
              <w:rPr>
                <w:sz w:val="18"/>
                <w:szCs w:val="18"/>
                <w:color w:val="auto"/>
              </w:rPr>
            </w:pPr>
          </w:p>
        </w:tc>
      </w:tr>
      <w:tr>
        <w:trPr>
          <w:trHeight w:val="223"/>
        </w:trPr>
        <w:tc>
          <w:tcPr>
            <w:tcW w:w="646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484,483</w:t>
            </w:r>
          </w:p>
        </w:tc>
        <w:tc>
          <w:tcPr>
            <w:tcW w:w="580" w:type="dxa"/>
            <w:vAlign w:val="bottom"/>
          </w:tcPr>
          <w:p>
            <w:pPr>
              <w:spacing w:after="0"/>
              <w:rPr>
                <w:sz w:val="19"/>
                <w:szCs w:val="19"/>
                <w:color w:val="auto"/>
              </w:rPr>
            </w:pPr>
          </w:p>
        </w:tc>
        <w:tc>
          <w:tcPr>
            <w:tcW w:w="1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455,642</w:t>
            </w:r>
          </w:p>
        </w:tc>
        <w:tc>
          <w:tcPr>
            <w:tcW w:w="100" w:type="dxa"/>
            <w:vAlign w:val="bottom"/>
          </w:tcPr>
          <w:p>
            <w:pPr>
              <w:spacing w:after="0"/>
              <w:rPr>
                <w:sz w:val="19"/>
                <w:szCs w:val="19"/>
                <w:color w:val="auto"/>
              </w:rPr>
            </w:pPr>
          </w:p>
        </w:tc>
      </w:tr>
      <w:tr>
        <w:trPr>
          <w:trHeight w:val="20"/>
        </w:trPr>
        <w:tc>
          <w:tcPr>
            <w:tcW w:w="6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15"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Model homes, homes completed, and homes under construction include all costs associated with home construction, including land, development, indirect, permits, and vertical construction. Land under development includes costs incurred during site development such as land, development, indirect, and permits. Land is classified as held for future development if no significant development has occurred.</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Interest incurred, capitalized and expensed were as follows (in thousands):</w:t>
      </w:r>
    </w:p>
    <w:p>
      <w:pPr>
        <w:spacing w:after="0" w:line="244" w:lineRule="exact"/>
        <w:rPr>
          <w:sz w:val="20"/>
          <w:szCs w:val="20"/>
          <w:color w:val="auto"/>
        </w:rPr>
      </w:pPr>
    </w:p>
    <w:p>
      <w:pPr>
        <w:jc w:val="center"/>
        <w:ind w:left="6800"/>
        <w:spacing w:after="0"/>
        <w:rPr>
          <w:sz w:val="20"/>
          <w:szCs w:val="20"/>
          <w:color w:val="auto"/>
        </w:rPr>
      </w:pPr>
      <w:r>
        <w:rPr>
          <w:rFonts w:ascii="Arial" w:cs="Arial" w:eastAsia="Arial" w:hAnsi="Arial"/>
          <w:sz w:val="14"/>
          <w:szCs w:val="14"/>
          <w:b w:val="1"/>
          <w:bCs w:val="1"/>
          <w:color w:val="auto"/>
        </w:rPr>
        <w:t>Three Months Ended</w:t>
      </w:r>
    </w:p>
    <w:p>
      <w:pPr>
        <w:jc w:val="center"/>
        <w:ind w:left="6800"/>
        <w:spacing w:after="0" w:line="236" w:lineRule="auto"/>
        <w:rPr>
          <w:sz w:val="20"/>
          <w:szCs w:val="20"/>
          <w:color w:val="auto"/>
        </w:rPr>
      </w:pPr>
      <w:r>
        <w:rPr>
          <w:rFonts w:ascii="Arial" w:cs="Arial" w:eastAsia="Arial" w:hAnsi="Arial"/>
          <w:sz w:val="14"/>
          <w:szCs w:val="14"/>
          <w:b w:val="1"/>
          <w:bCs w:val="1"/>
          <w:color w:val="auto"/>
        </w:rPr>
        <w:t>March 31,</w:t>
      </w:r>
    </w:p>
    <w:p>
      <w:pPr>
        <w:spacing w:after="0" w:line="1" w:lineRule="exact"/>
        <w:rPr>
          <w:sz w:val="20"/>
          <w:szCs w:val="20"/>
          <w:color w:val="auto"/>
        </w:rPr>
      </w:pPr>
    </w:p>
    <w:tbl>
      <w:tblPr>
        <w:tblLayout w:type="fixed"/>
        <w:tblInd w:w="138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6400" w:type="dxa"/>
            <w:vAlign w:val="bottom"/>
            <w:tcBorders>
              <w:bottom w:val="single" w:sz="8" w:color="CCEEFF"/>
            </w:tcBorders>
          </w:tcPr>
          <w:p>
            <w:pPr>
              <w:spacing w:after="0"/>
              <w:rPr>
                <w:sz w:val="12"/>
                <w:szCs w:val="12"/>
                <w:color w:val="auto"/>
              </w:rPr>
            </w:pPr>
          </w:p>
        </w:tc>
        <w:tc>
          <w:tcPr>
            <w:tcW w:w="48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w w:val="96"/>
              </w:rPr>
              <w:t>2014</w:t>
            </w:r>
          </w:p>
        </w:tc>
        <w:tc>
          <w:tcPr>
            <w:tcW w:w="320" w:type="dxa"/>
            <w:vAlign w:val="bottom"/>
            <w:tcBorders>
              <w:top w:val="single" w:sz="8" w:color="auto"/>
              <w:bottom w:val="single" w:sz="8" w:color="CCEEFF"/>
            </w:tcBorders>
          </w:tcPr>
          <w:p>
            <w:pPr>
              <w:spacing w:after="0"/>
              <w:rPr>
                <w:sz w:val="12"/>
                <w:szCs w:val="12"/>
                <w:color w:val="auto"/>
              </w:rPr>
            </w:pPr>
          </w:p>
        </w:tc>
        <w:tc>
          <w:tcPr>
            <w:tcW w:w="26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w w:val="89"/>
              </w:rPr>
              <w:t>2013</w:t>
            </w:r>
          </w:p>
        </w:tc>
        <w:tc>
          <w:tcPr>
            <w:tcW w:w="1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400" w:type="dxa"/>
            <w:vAlign w:val="bottom"/>
            <w:shd w:val="clear" w:color="auto" w:fill="CCEEFF"/>
          </w:tcPr>
          <w:p>
            <w:pPr>
              <w:spacing w:after="0"/>
              <w:rPr>
                <w:sz w:val="20"/>
                <w:szCs w:val="20"/>
                <w:color w:val="auto"/>
              </w:rPr>
            </w:pPr>
            <w:r>
              <w:rPr>
                <w:rFonts w:ascii="Arial" w:cs="Arial" w:eastAsia="Arial" w:hAnsi="Arial"/>
                <w:sz w:val="18"/>
                <w:szCs w:val="18"/>
                <w:color w:val="auto"/>
              </w:rPr>
              <w:t>Interest incurred</w:t>
            </w: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1,236</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400" w:type="dxa"/>
            <w:vAlign w:val="bottom"/>
          </w:tcPr>
          <w:p>
            <w:pPr>
              <w:spacing w:after="0"/>
              <w:rPr>
                <w:sz w:val="20"/>
                <w:szCs w:val="20"/>
                <w:color w:val="auto"/>
              </w:rPr>
            </w:pPr>
            <w:r>
              <w:rPr>
                <w:rFonts w:ascii="Arial" w:cs="Arial" w:eastAsia="Arial" w:hAnsi="Arial"/>
                <w:sz w:val="18"/>
                <w:szCs w:val="18"/>
                <w:color w:val="auto"/>
              </w:rPr>
              <w:t>Interest capitalized</w:t>
            </w:r>
          </w:p>
        </w:tc>
        <w:tc>
          <w:tcPr>
            <w:tcW w:w="4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gridSpan w:val="2"/>
          </w:tcPr>
          <w:p>
            <w:pPr>
              <w:jc w:val="right"/>
              <w:ind w:right="280"/>
              <w:spacing w:after="0"/>
              <w:rPr>
                <w:sz w:val="20"/>
                <w:szCs w:val="20"/>
                <w:color w:val="auto"/>
              </w:rPr>
            </w:pPr>
            <w:r>
              <w:rPr>
                <w:rFonts w:ascii="Arial" w:cs="Arial" w:eastAsia="Arial" w:hAnsi="Arial"/>
                <w:sz w:val="18"/>
                <w:szCs w:val="18"/>
                <w:color w:val="auto"/>
                <w:w w:val="87"/>
              </w:rPr>
              <w:t>(1,236)</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rPr>
              <w:t>(734)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expensed</w:t>
            </w:r>
          </w:p>
        </w:tc>
        <w:tc>
          <w:tcPr>
            <w:tcW w:w="48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420" w:type="dxa"/>
            <w:vAlign w:val="bottom"/>
            <w:gridSpan w:val="2"/>
            <w:vMerge w:val="restart"/>
          </w:tcPr>
          <w:p>
            <w:pPr>
              <w:spacing w:after="0"/>
              <w:rPr>
                <w:sz w:val="20"/>
                <w:szCs w:val="20"/>
                <w:color w:val="auto"/>
              </w:rPr>
            </w:pPr>
            <w:r>
              <w:rPr>
                <w:rFonts w:ascii="Arial" w:cs="Arial" w:eastAsia="Arial" w:hAnsi="Arial"/>
                <w:sz w:val="18"/>
                <w:szCs w:val="18"/>
                <w:color w:val="auto"/>
              </w:rPr>
              <w:t>Capitalized interest in beginning inventory</w:t>
            </w:r>
          </w:p>
        </w:tc>
        <w:tc>
          <w:tcPr>
            <w:tcW w:w="58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420" w:type="dxa"/>
            <w:vAlign w:val="bottom"/>
            <w:gridSpan w:val="2"/>
            <w:vMerge w:val="continue"/>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7"/>
              </w:rPr>
              <w:t>2,264</w:t>
            </w: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4"/>
              </w:rPr>
              <w:t>1,364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Interest capitalized as a cost of inventory</w:t>
            </w: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1,236</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400" w:type="dxa"/>
            <w:vAlign w:val="bottom"/>
          </w:tcPr>
          <w:p>
            <w:pPr>
              <w:ind w:left="340"/>
              <w:spacing w:after="0"/>
              <w:rPr>
                <w:sz w:val="20"/>
                <w:szCs w:val="20"/>
                <w:color w:val="auto"/>
              </w:rPr>
            </w:pPr>
            <w:r>
              <w:rPr>
                <w:rFonts w:ascii="Arial" w:cs="Arial" w:eastAsia="Arial" w:hAnsi="Arial"/>
                <w:sz w:val="18"/>
                <w:szCs w:val="18"/>
                <w:color w:val="auto"/>
                <w:w w:val="98"/>
              </w:rPr>
              <w:t>Interest previously capitalized as a cost of inventory, included in cost of sales</w:t>
            </w:r>
          </w:p>
        </w:tc>
        <w:tc>
          <w:tcPr>
            <w:tcW w:w="4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gridSpan w:val="2"/>
          </w:tcPr>
          <w:p>
            <w:pPr>
              <w:jc w:val="right"/>
              <w:ind w:right="280"/>
              <w:spacing w:after="0"/>
              <w:rPr>
                <w:sz w:val="20"/>
                <w:szCs w:val="20"/>
                <w:color w:val="auto"/>
              </w:rPr>
            </w:pPr>
            <w:r>
              <w:rPr>
                <w:rFonts w:ascii="Arial" w:cs="Arial" w:eastAsia="Arial" w:hAnsi="Arial"/>
                <w:sz w:val="18"/>
                <w:szCs w:val="18"/>
                <w:color w:val="auto"/>
              </w:rPr>
              <w:t>(422)</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rPr>
              <w:t>(256)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00" w:type="dxa"/>
            <w:vAlign w:val="bottom"/>
            <w:shd w:val="clear" w:color="auto" w:fill="CCEEFF"/>
          </w:tcPr>
          <w:p>
            <w:pPr>
              <w:spacing w:after="0"/>
              <w:rPr>
                <w:sz w:val="20"/>
                <w:szCs w:val="20"/>
                <w:color w:val="auto"/>
              </w:rPr>
            </w:pPr>
            <w:r>
              <w:rPr>
                <w:rFonts w:ascii="Arial" w:cs="Arial" w:eastAsia="Arial" w:hAnsi="Arial"/>
                <w:sz w:val="18"/>
                <w:szCs w:val="18"/>
                <w:color w:val="auto"/>
              </w:rPr>
              <w:t>Capitalized interest in ending inventory</w:t>
            </w:r>
          </w:p>
        </w:tc>
        <w:tc>
          <w:tcPr>
            <w:tcW w:w="48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3,078</w:t>
            </w: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1,842</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4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right="200" w:firstLine="456"/>
        <w:spacing w:after="0" w:line="277" w:lineRule="auto"/>
        <w:rPr>
          <w:sz w:val="20"/>
          <w:szCs w:val="20"/>
          <w:color w:val="auto"/>
        </w:rPr>
      </w:pPr>
      <w:r>
        <w:rPr>
          <w:rFonts w:ascii="Arial" w:cs="Arial" w:eastAsia="Arial" w:hAnsi="Arial"/>
          <w:sz w:val="18"/>
          <w:szCs w:val="18"/>
          <w:color w:val="auto"/>
        </w:rPr>
        <w:t>Interest is capitalized to real estate inventory during development and other qualifying activities. Interest that is capitalized to real estate inventory is included in cost of sales as related units are closed.</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Other Assets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Other Assets consisted of the following (in thousands):</w:t>
      </w:r>
    </w:p>
    <w:p>
      <w:pPr>
        <w:spacing w:after="0" w:line="231"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2800" w:type="dxa"/>
            <w:vAlign w:val="bottom"/>
          </w:tcPr>
          <w:p>
            <w:pPr>
              <w:spacing w:after="0"/>
              <w:rPr>
                <w:sz w:val="14"/>
                <w:szCs w:val="14"/>
                <w:color w:val="auto"/>
              </w:rPr>
            </w:pPr>
          </w:p>
        </w:tc>
        <w:tc>
          <w:tcPr>
            <w:tcW w:w="4300" w:type="dxa"/>
            <w:vAlign w:val="bottom"/>
            <w:gridSpan w:val="3"/>
          </w:tcPr>
          <w:p>
            <w:pPr>
              <w:ind w:left="3660"/>
              <w:spacing w:after="0"/>
              <w:rPr>
                <w:sz w:val="20"/>
                <w:szCs w:val="20"/>
                <w:color w:val="auto"/>
              </w:rPr>
            </w:pPr>
            <w:r>
              <w:rPr>
                <w:rFonts w:ascii="Arial" w:cs="Arial" w:eastAsia="Arial" w:hAnsi="Arial"/>
                <w:sz w:val="14"/>
                <w:szCs w:val="14"/>
                <w:b w:val="1"/>
                <w:bCs w:val="1"/>
                <w:color w:val="auto"/>
                <w:w w:val="95"/>
              </w:rPr>
              <w:t>March 31,</w:t>
            </w:r>
          </w:p>
        </w:tc>
        <w:tc>
          <w:tcPr>
            <w:tcW w:w="1580" w:type="dxa"/>
            <w:vAlign w:val="bottom"/>
            <w:gridSpan w:val="4"/>
          </w:tcPr>
          <w:p>
            <w:pPr>
              <w:ind w:left="64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2800" w:type="dxa"/>
            <w:vAlign w:val="bottom"/>
            <w:tcBorders>
              <w:bottom w:val="single" w:sz="8" w:color="CCEEFF"/>
            </w:tcBorders>
          </w:tcPr>
          <w:p>
            <w:pPr>
              <w:spacing w:after="0"/>
              <w:rPr>
                <w:sz w:val="14"/>
                <w:szCs w:val="14"/>
                <w:color w:val="auto"/>
              </w:rPr>
            </w:pPr>
          </w:p>
        </w:tc>
        <w:tc>
          <w:tcPr>
            <w:tcW w:w="366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94"/>
              <w:spacing w:after="0"/>
              <w:rPr>
                <w:sz w:val="20"/>
                <w:szCs w:val="20"/>
                <w:color w:val="auto"/>
              </w:rPr>
            </w:pPr>
            <w:r>
              <w:rPr>
                <w:rFonts w:ascii="Arial" w:cs="Arial" w:eastAsia="Arial" w:hAnsi="Arial"/>
                <w:sz w:val="14"/>
                <w:szCs w:val="14"/>
                <w:b w:val="1"/>
                <w:bCs w:val="1"/>
                <w:color w:val="auto"/>
              </w:rPr>
              <w:t>2014</w:t>
            </w:r>
          </w:p>
        </w:tc>
        <w:tc>
          <w:tcPr>
            <w:tcW w:w="64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94"/>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Deferred loan costs</w:t>
            </w:r>
          </w:p>
        </w:tc>
        <w:tc>
          <w:tcPr>
            <w:tcW w:w="3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624</w:t>
            </w: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0" w:type="dxa"/>
            <w:vAlign w:val="bottom"/>
          </w:tcPr>
          <w:p>
            <w:pPr>
              <w:spacing w:after="0"/>
              <w:rPr>
                <w:sz w:val="20"/>
                <w:szCs w:val="20"/>
                <w:color w:val="auto"/>
              </w:rPr>
            </w:pPr>
            <w:r>
              <w:rPr>
                <w:rFonts w:ascii="Arial" w:cs="Arial" w:eastAsia="Arial" w:hAnsi="Arial"/>
                <w:sz w:val="18"/>
                <w:szCs w:val="18"/>
                <w:color w:val="auto"/>
              </w:rPr>
              <w:t>Prepaids</w:t>
            </w:r>
          </w:p>
        </w:tc>
        <w:tc>
          <w:tcPr>
            <w:tcW w:w="3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w w:val="90"/>
              </w:rPr>
              <w:t>11,159</w:t>
            </w:r>
          </w:p>
        </w:tc>
        <w:tc>
          <w:tcPr>
            <w:tcW w:w="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5,631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Other assets</w:t>
            </w:r>
          </w:p>
        </w:tc>
        <w:tc>
          <w:tcPr>
            <w:tcW w:w="36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3,789</w:t>
            </w:r>
          </w:p>
        </w:tc>
        <w:tc>
          <w:tcPr>
            <w:tcW w:w="64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2,489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800" w:type="dxa"/>
            <w:vAlign w:val="bottom"/>
          </w:tcPr>
          <w:p>
            <w:pPr>
              <w:spacing w:after="0"/>
              <w:rPr>
                <w:sz w:val="19"/>
                <w:szCs w:val="19"/>
                <w:color w:val="auto"/>
              </w:rPr>
            </w:pPr>
          </w:p>
        </w:tc>
        <w:tc>
          <w:tcPr>
            <w:tcW w:w="3660" w:type="dxa"/>
            <w:vAlign w:val="bottom"/>
          </w:tcPr>
          <w:p>
            <w:pPr>
              <w:spacing w:after="0"/>
              <w:rPr>
                <w:sz w:val="19"/>
                <w:szCs w:val="19"/>
                <w:color w:val="auto"/>
              </w:rPr>
            </w:pPr>
          </w:p>
        </w:tc>
        <w:tc>
          <w:tcPr>
            <w:tcW w:w="10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0"/>
              </w:rPr>
              <w:t>15,572</w:t>
            </w:r>
          </w:p>
        </w:tc>
        <w:tc>
          <w:tcPr>
            <w:tcW w:w="640" w:type="dxa"/>
            <w:vAlign w:val="bottom"/>
          </w:tcPr>
          <w:p>
            <w:pPr>
              <w:spacing w:after="0"/>
              <w:rPr>
                <w:sz w:val="19"/>
                <w:szCs w:val="19"/>
                <w:color w:val="auto"/>
              </w:rPr>
            </w:pPr>
          </w:p>
        </w:tc>
        <w:tc>
          <w:tcPr>
            <w:tcW w:w="1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8,824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800" w:type="dxa"/>
            <w:vAlign w:val="bottom"/>
          </w:tcPr>
          <w:p>
            <w:pPr>
              <w:spacing w:after="0" w:line="20" w:lineRule="exact"/>
              <w:rPr>
                <w:sz w:val="1"/>
                <w:szCs w:val="1"/>
                <w:color w:val="auto"/>
              </w:rPr>
            </w:pPr>
          </w:p>
        </w:tc>
        <w:tc>
          <w:tcPr>
            <w:tcW w:w="3660" w:type="dxa"/>
            <w:vAlign w:val="bottom"/>
            <w:vMerge w:val="restart"/>
          </w:tcPr>
          <w:p>
            <w:pPr>
              <w:jc w:val="right"/>
              <w:ind w:right="1899"/>
              <w:spacing w:after="0"/>
              <w:rPr>
                <w:sz w:val="20"/>
                <w:szCs w:val="20"/>
                <w:color w:val="auto"/>
              </w:rPr>
            </w:pPr>
            <w:r>
              <w:rPr>
                <w:rFonts w:ascii="Arial" w:cs="Arial" w:eastAsia="Arial" w:hAnsi="Arial"/>
                <w:sz w:val="18"/>
                <w:szCs w:val="18"/>
                <w:color w:val="auto"/>
              </w:rPr>
              <w:t>- 9 -</w:t>
            </w: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800" w:type="dxa"/>
            <w:vAlign w:val="bottom"/>
          </w:tcPr>
          <w:p>
            <w:pPr>
              <w:spacing w:after="0"/>
              <w:rPr>
                <w:sz w:val="24"/>
                <w:szCs w:val="24"/>
                <w:color w:val="auto"/>
              </w:rPr>
            </w:pPr>
          </w:p>
        </w:tc>
        <w:tc>
          <w:tcPr>
            <w:tcW w:w="366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60"/>
          </w:cols>
          <w:pgMar w:left="240" w:top="459" w:right="29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Notes Payable</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Notes payable consisted of the following (in thousands):</w:t>
      </w:r>
    </w:p>
    <w:p>
      <w:pPr>
        <w:spacing w:after="0" w:line="231"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64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b w:val="1"/>
                <w:bCs w:val="1"/>
                <w:color w:val="auto"/>
                <w:w w:val="95"/>
              </w:rPr>
              <w:t>March 31,</w:t>
            </w:r>
          </w:p>
        </w:tc>
        <w:tc>
          <w:tcPr>
            <w:tcW w:w="1520" w:type="dxa"/>
            <w:vAlign w:val="bottom"/>
            <w:gridSpan w:val="4"/>
          </w:tcPr>
          <w:p>
            <w:pPr>
              <w:ind w:left="58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6460" w:type="dxa"/>
            <w:vAlign w:val="bottom"/>
          </w:tcPr>
          <w:p>
            <w:pPr>
              <w:spacing w:after="0"/>
              <w:rPr>
                <w:sz w:val="14"/>
                <w:szCs w:val="14"/>
                <w:color w:val="auto"/>
              </w:rPr>
            </w:pPr>
          </w:p>
        </w:tc>
        <w:tc>
          <w:tcPr>
            <w:tcW w:w="700" w:type="dxa"/>
            <w:vAlign w:val="bottom"/>
            <w:gridSpan w:val="2"/>
          </w:tcPr>
          <w:p>
            <w:pPr>
              <w:jc w:val="right"/>
              <w:ind w:right="116"/>
              <w:spacing w:after="0"/>
              <w:rPr>
                <w:sz w:val="20"/>
                <w:szCs w:val="20"/>
                <w:color w:val="auto"/>
              </w:rPr>
            </w:pPr>
            <w:r>
              <w:rPr>
                <w:rFonts w:ascii="Arial" w:cs="Arial" w:eastAsia="Arial" w:hAnsi="Arial"/>
                <w:sz w:val="14"/>
                <w:szCs w:val="14"/>
                <w:b w:val="1"/>
                <w:bCs w:val="1"/>
                <w:color w:val="auto"/>
              </w:rPr>
              <w:t>2014</w:t>
            </w:r>
          </w:p>
        </w:tc>
        <w:tc>
          <w:tcPr>
            <w:tcW w:w="5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Pr>
          <w:p>
            <w:pPr>
              <w:jc w:val="right"/>
              <w:ind w:right="194"/>
              <w:spacing w:after="0"/>
              <w:rPr>
                <w:sz w:val="20"/>
                <w:szCs w:val="20"/>
                <w:color w:val="auto"/>
              </w:rPr>
            </w:pPr>
            <w:r>
              <w:rPr>
                <w:rFonts w:ascii="Arial" w:cs="Arial" w:eastAsia="Arial" w:hAnsi="Arial"/>
                <w:sz w:val="14"/>
                <w:szCs w:val="14"/>
                <w:b w:val="1"/>
                <w:bCs w:val="1"/>
                <w:color w:val="auto"/>
              </w:rPr>
              <w:t>2013</w:t>
            </w:r>
          </w:p>
        </w:tc>
        <w:tc>
          <w:tcPr>
            <w:tcW w:w="100" w:type="dxa"/>
            <w:vAlign w:val="bottom"/>
          </w:tcPr>
          <w:p>
            <w:pPr>
              <w:spacing w:after="0"/>
              <w:rPr>
                <w:sz w:val="14"/>
                <w:szCs w:val="14"/>
                <w:color w:val="auto"/>
              </w:rPr>
            </w:pPr>
          </w:p>
        </w:tc>
      </w:tr>
      <w:tr>
        <w:trPr>
          <w:trHeight w:val="210"/>
        </w:trPr>
        <w:tc>
          <w:tcPr>
            <w:tcW w:w="64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Revolving credit facilities</w:t>
            </w:r>
          </w:p>
        </w:tc>
        <w:tc>
          <w:tcPr>
            <w:tcW w:w="2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$150,615</w:t>
            </w:r>
          </w:p>
        </w:tc>
        <w:tc>
          <w:tcPr>
            <w:tcW w:w="58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90,689</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6460" w:type="dxa"/>
            <w:vAlign w:val="bottom"/>
          </w:tcPr>
          <w:p>
            <w:pPr>
              <w:spacing w:after="0"/>
              <w:rPr>
                <w:sz w:val="20"/>
                <w:szCs w:val="20"/>
                <w:color w:val="auto"/>
              </w:rPr>
            </w:pPr>
            <w:r>
              <w:rPr>
                <w:rFonts w:ascii="Arial" w:cs="Arial" w:eastAsia="Arial" w:hAnsi="Arial"/>
                <w:sz w:val="18"/>
                <w:szCs w:val="18"/>
                <w:color w:val="auto"/>
              </w:rPr>
              <w:t>Acquisition and development loans</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15,554</w:t>
            </w:r>
          </w:p>
        </w:tc>
        <w:tc>
          <w:tcPr>
            <w:tcW w:w="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31,591</w:t>
            </w:r>
          </w:p>
        </w:tc>
        <w:tc>
          <w:tcPr>
            <w:tcW w:w="100" w:type="dxa"/>
            <w:vAlign w:val="bottom"/>
          </w:tcPr>
          <w:p>
            <w:pPr>
              <w:spacing w:after="0"/>
              <w:rPr>
                <w:sz w:val="18"/>
                <w:szCs w:val="18"/>
                <w:color w:val="auto"/>
              </w:rPr>
            </w:pPr>
          </w:p>
        </w:tc>
      </w:tr>
      <w:tr>
        <w:trPr>
          <w:trHeight w:val="216"/>
        </w:trPr>
        <w:tc>
          <w:tcPr>
            <w:tcW w:w="6460" w:type="dxa"/>
            <w:vAlign w:val="bottom"/>
            <w:shd w:val="clear" w:color="auto" w:fill="CCEEFF"/>
          </w:tcPr>
          <w:p>
            <w:pPr>
              <w:spacing w:after="0"/>
              <w:rPr>
                <w:sz w:val="20"/>
                <w:szCs w:val="20"/>
                <w:color w:val="auto"/>
              </w:rPr>
            </w:pPr>
            <w:r>
              <w:rPr>
                <w:rFonts w:ascii="Arial" w:cs="Arial" w:eastAsia="Arial" w:hAnsi="Arial"/>
                <w:sz w:val="18"/>
                <w:szCs w:val="18"/>
                <w:color w:val="auto"/>
              </w:rPr>
              <w:t>Construction loans</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10,764</w:t>
            </w:r>
          </w:p>
        </w:tc>
        <w:tc>
          <w:tcPr>
            <w:tcW w:w="5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15,832</w:t>
            </w:r>
          </w:p>
        </w:tc>
        <w:tc>
          <w:tcPr>
            <w:tcW w:w="100" w:type="dxa"/>
            <w:vAlign w:val="bottom"/>
            <w:shd w:val="clear" w:color="auto" w:fill="CCEEFF"/>
          </w:tcPr>
          <w:p>
            <w:pPr>
              <w:spacing w:after="0"/>
              <w:rPr>
                <w:sz w:val="18"/>
                <w:szCs w:val="18"/>
                <w:color w:val="auto"/>
              </w:rPr>
            </w:pPr>
          </w:p>
        </w:tc>
      </w:tr>
      <w:tr>
        <w:trPr>
          <w:trHeight w:val="223"/>
        </w:trPr>
        <w:tc>
          <w:tcPr>
            <w:tcW w:w="646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176,933</w:t>
            </w:r>
          </w:p>
        </w:tc>
        <w:tc>
          <w:tcPr>
            <w:tcW w:w="58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138,112</w:t>
            </w:r>
          </w:p>
        </w:tc>
        <w:tc>
          <w:tcPr>
            <w:tcW w:w="100" w:type="dxa"/>
            <w:vAlign w:val="bottom"/>
          </w:tcPr>
          <w:p>
            <w:pPr>
              <w:spacing w:after="0"/>
              <w:rPr>
                <w:sz w:val="19"/>
                <w:szCs w:val="19"/>
                <w:color w:val="auto"/>
              </w:rPr>
            </w:pPr>
          </w:p>
        </w:tc>
      </w:tr>
      <w:tr>
        <w:trPr>
          <w:trHeight w:val="20"/>
        </w:trPr>
        <w:tc>
          <w:tcPr>
            <w:tcW w:w="6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323"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Secured Revolving Credit Facilities</w:t>
      </w:r>
    </w:p>
    <w:p>
      <w:pPr>
        <w:spacing w:after="0" w:line="117" w:lineRule="exact"/>
        <w:rPr>
          <w:sz w:val="20"/>
          <w:szCs w:val="20"/>
          <w:color w:val="auto"/>
        </w:rPr>
      </w:pPr>
    </w:p>
    <w:p>
      <w:pPr>
        <w:ind w:right="40" w:firstLine="456"/>
        <w:spacing w:after="0" w:line="271" w:lineRule="auto"/>
        <w:rPr>
          <w:sz w:val="20"/>
          <w:szCs w:val="20"/>
          <w:color w:val="auto"/>
        </w:rPr>
      </w:pPr>
      <w:r>
        <w:rPr>
          <w:rFonts w:ascii="Arial" w:cs="Arial" w:eastAsia="Arial" w:hAnsi="Arial"/>
          <w:sz w:val="17"/>
          <w:szCs w:val="17"/>
          <w:color w:val="auto"/>
        </w:rPr>
        <w:t>The Company has two secured revolving credit facilities, one with a maximum loan commitment of $50 million (“$50 million revolving credit facility”) and another with a maximum loan commitment of $175 million (“$175 million revolving credit facility”). In March 2014, we entered into a modification agreement to increase the commitment amount under our $50 million revolving credit facility from $30 million to $50 million and to extend the initial maturity date to April 2015 and the final maturity date to April 2016, subject to specified conditions. Interest rates charged under the $50 million revolving credit facility include applicable LIBOR and prime rate pricing options, subject to a minimum interest rate floor. As of March 31, 2014, the outstanding balance under the $50 million revolving credit facility was $30.4 million with an interest rate of 3.75% per annum and $10.1 million of availability after considering the borrowing base provisions and outstanding letters of credit. As of December 31, 2013, the outstanding balance was $9.1 million with an interest rate of 3.75% per annum and $20.2 million of availability.</w:t>
      </w:r>
    </w:p>
    <w:p>
      <w:pPr>
        <w:spacing w:after="0" w:line="179"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The $175 million revolving credit facility is a three-year revolving credit facility with a maturity date of July 2016 and the potential for a one-year extension of the term of the loan, subject to specified conditions and payment of an extension fee. Interest rates charged under the $175 million revolving credit facility are based on applicable LIBOR plus a margin, ranging from 250 to 370 basis points depending on our leverage ratio. As of March 31, 2014, the outstanding balance was $120.2 million with an interest rate of 2.69% per annum and $44.2 million of availability after considering the borrowing base provisions and outstanding letters of credit. As of December 31, 2013, the outstanding balance was $81.5 million with an interest rate of 2.92% per annum and $42.2 million of availability.</w:t>
      </w:r>
    </w:p>
    <w:p>
      <w:pPr>
        <w:spacing w:after="0" w:line="193" w:lineRule="exact"/>
        <w:rPr>
          <w:sz w:val="20"/>
          <w:szCs w:val="20"/>
          <w:color w:val="auto"/>
        </w:rPr>
      </w:pPr>
    </w:p>
    <w:p>
      <w:pPr>
        <w:ind w:right="180" w:firstLine="456"/>
        <w:spacing w:after="0" w:line="264" w:lineRule="auto"/>
        <w:rPr>
          <w:sz w:val="20"/>
          <w:szCs w:val="20"/>
          <w:color w:val="auto"/>
        </w:rPr>
      </w:pPr>
      <w:r>
        <w:rPr>
          <w:rFonts w:ascii="Arial" w:cs="Arial" w:eastAsia="Arial" w:hAnsi="Arial"/>
          <w:sz w:val="18"/>
          <w:szCs w:val="18"/>
          <w:color w:val="auto"/>
        </w:rPr>
        <w:t>The Company may borrow under both facilities in the ordinary course of business to fund its operations, including its land development and homebuilding activities. The amount the Company may borrow is subject to applicable borrowing base provisions and concentration limitations, as defined therein, which may also limit the amount available or outstanding under the facility.</w:t>
      </w:r>
    </w:p>
    <w:p>
      <w:pPr>
        <w:spacing w:after="0" w:line="28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Secured Acquisition and Development and Construction Loans</w:t>
      </w:r>
    </w:p>
    <w:p>
      <w:pPr>
        <w:spacing w:after="0" w:line="117" w:lineRule="exact"/>
        <w:rPr>
          <w:sz w:val="20"/>
          <w:szCs w:val="20"/>
          <w:color w:val="auto"/>
        </w:rPr>
      </w:pPr>
    </w:p>
    <w:p>
      <w:pPr>
        <w:ind w:right="60" w:firstLine="456"/>
        <w:spacing w:after="0" w:line="279" w:lineRule="auto"/>
        <w:rPr>
          <w:sz w:val="20"/>
          <w:szCs w:val="20"/>
          <w:color w:val="auto"/>
        </w:rPr>
      </w:pPr>
      <w:r>
        <w:rPr>
          <w:rFonts w:ascii="Arial" w:cs="Arial" w:eastAsia="Arial" w:hAnsi="Arial"/>
          <w:sz w:val="17"/>
          <w:szCs w:val="17"/>
          <w:color w:val="auto"/>
        </w:rPr>
        <w:t>The Company enters into secured acquisition and development loan agreements to purchase and develop land parcels. In addition, the Company enters into secured construction loan agreements for the construction of its model and production homes. The acquisition and development loans will be repaid as lots are released from the loans based upon a specific release price, as defined in each respective loan agreement. The construction loans will be repaid with proceeds from home closings based upon a specific release price, as defined in each respective loan agreement.</w:t>
      </w:r>
    </w:p>
    <w:p>
      <w:pPr>
        <w:spacing w:after="0" w:line="171" w:lineRule="exact"/>
        <w:rPr>
          <w:sz w:val="20"/>
          <w:szCs w:val="20"/>
          <w:color w:val="auto"/>
        </w:rPr>
      </w:pPr>
    </w:p>
    <w:p>
      <w:pPr>
        <w:ind w:right="80" w:firstLine="456"/>
        <w:spacing w:after="0" w:line="257" w:lineRule="auto"/>
        <w:rPr>
          <w:sz w:val="20"/>
          <w:szCs w:val="20"/>
          <w:color w:val="auto"/>
        </w:rPr>
      </w:pPr>
      <w:r>
        <w:rPr>
          <w:rFonts w:ascii="Arial" w:cs="Arial" w:eastAsia="Arial" w:hAnsi="Arial"/>
          <w:sz w:val="18"/>
          <w:szCs w:val="18"/>
          <w:color w:val="auto"/>
        </w:rPr>
        <w:t>As of March 31, 2014, the Company had $22.3 million of aggregate acquisition and development loan commitments and $36.8 million of aggregate construction loan commitments, of which $15.6 million and $10.8 million was outstanding, respectively. The loans have maturity dates ranging from December 2014 and August 2016 including the six month extensions which are at our election (subject to certain conditions) and bear interest at a rate based on applicable LIBOR or Prime Rate pricing options plus an applicable margin, with certain loans containing a minimum interest rate floor of 4.0%. As of March 31, 2014, the weighted average interest rate was 3.6% per annum.</w:t>
      </w:r>
    </w:p>
    <w:p>
      <w:pPr>
        <w:spacing w:after="0" w:line="188"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As of December 31, 2013, the Company had $43.2 million of aggregate acquisition and development loan commitments and $22.4 million of aggregate construction loan commitments, of which $31.6 million and $15.8 million was outstanding, respectively. The loans have maturity dates ranging from July 2014 and January 2016, including the six month extensions which are at our election (subject to certain conditions) and bear interest at a rate based on applicable LIBOR or Prime Rate pricing options plus an applicable margin, with certain loans containing a minimum interest rate floor of 4.0%. As of December 31, 2013, the weighted average interest rate was 3.5% per annum.</w:t>
      </w:r>
    </w:p>
    <w:p>
      <w:pPr>
        <w:spacing w:after="0" w:line="12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- 10 -</w:t>
      </w:r>
    </w:p>
    <w:p>
      <w:pPr>
        <w:sectPr>
          <w:pgSz w:w="11900" w:h="16838" w:orient="portrait"/>
          <w:cols w:equalWidth="0" w:num="1">
            <w:col w:w="11380"/>
          </w:cols>
          <w:pgMar w:left="240" w:top="459" w:right="27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firstLine="456"/>
        <w:spacing w:after="0" w:line="279" w:lineRule="auto"/>
        <w:rPr>
          <w:sz w:val="20"/>
          <w:szCs w:val="20"/>
          <w:color w:val="auto"/>
        </w:rPr>
      </w:pPr>
      <w:r>
        <w:rPr>
          <w:rFonts w:ascii="Arial" w:cs="Arial" w:eastAsia="Arial" w:hAnsi="Arial"/>
          <w:sz w:val="17"/>
          <w:szCs w:val="17"/>
          <w:color w:val="auto"/>
        </w:rPr>
        <w:t>During the three months ended March 31, 2014 and 2013, the Company incurred interest of $1.2 million and $734,000, respectively, related to all notes payable outstanding during the period. Included in interest incurred was amortization of deferred financing costs of $80,000 and $0 for the three months ended March 31, 2014 and 2013, respectfully. Accrued interest payable at March 31, 2014 and 2013 amounted to $433,000 and $246,000, respectfully. All interest incurred during the three months ended March 31, 2014 and 2013 was capitalized to real estate inventories.</w:t>
      </w:r>
    </w:p>
    <w:p>
      <w:pPr>
        <w:spacing w:after="0" w:line="171"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Under the revolving credit facilities and construction notes payable, the Company is required to comply with certain financial covenants, including but not limited to (i) a minimum tangible net worth; (ii) a maximum total liabilities to tangible net worth ratio; (iii) a minimum liquidity amount; (iv) maximum fixed charge coverage ratio; and (v) maximum land assets to tangible net worth ratio. The Company was in compliance with all financial covenants as of March 31, 2014 and December 31, 2013.</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Fair Value Disclosures</w:t>
      </w:r>
    </w:p>
    <w:p>
      <w:pPr>
        <w:spacing w:after="0" w:line="121" w:lineRule="exact"/>
        <w:rPr>
          <w:sz w:val="20"/>
          <w:szCs w:val="20"/>
          <w:color w:val="auto"/>
        </w:rPr>
      </w:pPr>
    </w:p>
    <w:p>
      <w:pPr>
        <w:ind w:right="160" w:firstLine="456"/>
        <w:spacing w:after="0" w:line="264" w:lineRule="auto"/>
        <w:rPr>
          <w:sz w:val="20"/>
          <w:szCs w:val="20"/>
          <w:color w:val="auto"/>
        </w:rPr>
      </w:pPr>
      <w:r>
        <w:rPr>
          <w:rFonts w:ascii="Arial" w:cs="Arial" w:eastAsia="Arial" w:hAnsi="Arial"/>
          <w:sz w:val="18"/>
          <w:szCs w:val="18"/>
          <w:color w:val="auto"/>
        </w:rPr>
        <w:t xml:space="preserve">ASC 820, </w:t>
      </w:r>
      <w:r>
        <w:rPr>
          <w:rFonts w:ascii="Arial" w:cs="Arial" w:eastAsia="Arial" w:hAnsi="Arial"/>
          <w:sz w:val="18"/>
          <w:szCs w:val="18"/>
          <w:i w:val="1"/>
          <w:iCs w:val="1"/>
          <w:color w:val="auto"/>
        </w:rPr>
        <w:t>Fair Value Measurements and Disclosures</w:t>
      </w:r>
      <w:r>
        <w:rPr>
          <w:rFonts w:ascii="Arial" w:cs="Arial" w:eastAsia="Arial" w:hAnsi="Arial"/>
          <w:sz w:val="18"/>
          <w:szCs w:val="18"/>
          <w:color w:val="auto"/>
        </w:rPr>
        <w:t>, defines fair value as the price that would be received for selling an asset or paid to transfer a liability in an orderly transaction between market participants at measurement date and requires assets and liabilities carried at fair value to be classified and disclosed in the following three categories:</w:t>
      </w:r>
    </w:p>
    <w:p>
      <w:pPr>
        <w:spacing w:after="0" w:line="87" w:lineRule="exact"/>
        <w:rPr>
          <w:sz w:val="20"/>
          <w:szCs w:val="20"/>
          <w:color w:val="auto"/>
        </w:rPr>
      </w:pPr>
    </w:p>
    <w:p>
      <w:pPr>
        <w:ind w:left="900" w:hanging="325"/>
        <w:spacing w:after="0"/>
        <w:tabs>
          <w:tab w:leader="none" w:pos="900" w:val="left"/>
        </w:tabs>
        <w:numPr>
          <w:ilvl w:val="0"/>
          <w:numId w:val="5"/>
        </w:numPr>
        <w:rPr>
          <w:rFonts w:ascii="Arial" w:cs="Arial" w:eastAsia="Arial" w:hAnsi="Arial"/>
          <w:sz w:val="18"/>
          <w:szCs w:val="18"/>
          <w:color w:val="auto"/>
        </w:rPr>
      </w:pPr>
      <w:r>
        <w:rPr>
          <w:rFonts w:ascii="Arial" w:cs="Arial" w:eastAsia="Arial" w:hAnsi="Arial"/>
          <w:sz w:val="18"/>
          <w:szCs w:val="18"/>
          <w:color w:val="auto"/>
        </w:rPr>
        <w:t>Level 1—Quoted prices for identical instruments in active markets</w:t>
      </w:r>
    </w:p>
    <w:p>
      <w:pPr>
        <w:spacing w:after="0" w:line="130" w:lineRule="exact"/>
        <w:rPr>
          <w:rFonts w:ascii="Arial" w:cs="Arial" w:eastAsia="Arial" w:hAnsi="Arial"/>
          <w:sz w:val="18"/>
          <w:szCs w:val="18"/>
          <w:color w:val="auto"/>
        </w:rPr>
      </w:pPr>
    </w:p>
    <w:p>
      <w:pPr>
        <w:jc w:val="both"/>
        <w:ind w:left="900" w:right="180" w:hanging="325"/>
        <w:spacing w:after="0" w:line="342" w:lineRule="auto"/>
        <w:tabs>
          <w:tab w:leader="none" w:pos="900" w:val="left"/>
        </w:tabs>
        <w:numPr>
          <w:ilvl w:val="0"/>
          <w:numId w:val="5"/>
        </w:numPr>
        <w:rPr>
          <w:rFonts w:ascii="Arial" w:cs="Arial" w:eastAsia="Arial" w:hAnsi="Arial"/>
          <w:sz w:val="16"/>
          <w:szCs w:val="16"/>
          <w:color w:val="auto"/>
        </w:rPr>
      </w:pPr>
      <w:r>
        <w:rPr>
          <w:rFonts w:ascii="Arial" w:cs="Arial" w:eastAsia="Arial" w:hAnsi="Arial"/>
          <w:sz w:val="16"/>
          <w:szCs w:val="16"/>
          <w:color w:val="auto"/>
        </w:rPr>
        <w:t>Level 2—Quoted prices for similar instruments in active markets; quoted prices for identical or similar instruments in markets that are inactive; and model-derived valuations in which all significant inputs and significant value drivers are observable in active markets at measurement date</w:t>
      </w:r>
    </w:p>
    <w:p>
      <w:pPr>
        <w:spacing w:after="0" w:line="29" w:lineRule="exact"/>
        <w:rPr>
          <w:rFonts w:ascii="Arial" w:cs="Arial" w:eastAsia="Arial" w:hAnsi="Arial"/>
          <w:sz w:val="16"/>
          <w:szCs w:val="16"/>
          <w:color w:val="auto"/>
        </w:rPr>
      </w:pPr>
    </w:p>
    <w:p>
      <w:pPr>
        <w:ind w:left="900" w:right="20" w:hanging="325"/>
        <w:spacing w:after="0" w:line="277" w:lineRule="auto"/>
        <w:tabs>
          <w:tab w:leader="none" w:pos="900" w:val="left"/>
        </w:tabs>
        <w:numPr>
          <w:ilvl w:val="0"/>
          <w:numId w:val="5"/>
        </w:numPr>
        <w:rPr>
          <w:rFonts w:ascii="Arial" w:cs="Arial" w:eastAsia="Arial" w:hAnsi="Arial"/>
          <w:sz w:val="18"/>
          <w:szCs w:val="18"/>
          <w:color w:val="auto"/>
        </w:rPr>
      </w:pPr>
      <w:r>
        <w:rPr>
          <w:rFonts w:ascii="Arial" w:cs="Arial" w:eastAsia="Arial" w:hAnsi="Arial"/>
          <w:sz w:val="18"/>
          <w:szCs w:val="18"/>
          <w:color w:val="auto"/>
        </w:rPr>
        <w:t>Level 3—Valuations derived from techniques where one or more significant inputs or significant value drivers are unobservable in active markets at measurement date</w:t>
      </w:r>
    </w:p>
    <w:p>
      <w:pPr>
        <w:spacing w:after="0" w:line="170" w:lineRule="exact"/>
        <w:rPr>
          <w:sz w:val="20"/>
          <w:szCs w:val="20"/>
          <w:color w:val="auto"/>
        </w:rPr>
      </w:pPr>
    </w:p>
    <w:p>
      <w:pPr>
        <w:ind w:right="180" w:firstLine="456"/>
        <w:spacing w:after="0" w:line="312" w:lineRule="auto"/>
        <w:rPr>
          <w:sz w:val="20"/>
          <w:szCs w:val="20"/>
          <w:color w:val="auto"/>
        </w:rPr>
      </w:pPr>
      <w:r>
        <w:rPr>
          <w:rFonts w:ascii="Arial" w:cs="Arial" w:eastAsia="Arial" w:hAnsi="Arial"/>
          <w:sz w:val="16"/>
          <w:szCs w:val="16"/>
          <w:color w:val="auto"/>
        </w:rPr>
        <w:t>Nonfinancial assets and liabilities include items such as inventory and long lived assets that are measured at fair value when acquired and resulting from impairment, if deemed necessary. During the three months ended March 31, 2014 and the year ended December 31, 2013, the Company did not record any fair value adjustments to those financial and nonfinancial assets and liabilities measured at fair value on a nonrecurring basis.</w:t>
      </w:r>
    </w:p>
    <w:p>
      <w:pPr>
        <w:spacing w:after="0" w:line="147" w:lineRule="exact"/>
        <w:rPr>
          <w:sz w:val="20"/>
          <w:szCs w:val="20"/>
          <w:color w:val="auto"/>
        </w:rPr>
      </w:pPr>
    </w:p>
    <w:p>
      <w:pPr>
        <w:ind w:right="120" w:firstLine="456"/>
        <w:spacing w:after="0" w:line="264" w:lineRule="auto"/>
        <w:rPr>
          <w:sz w:val="20"/>
          <w:szCs w:val="20"/>
          <w:color w:val="auto"/>
        </w:rPr>
      </w:pPr>
      <w:r>
        <w:rPr>
          <w:rFonts w:ascii="Arial" w:cs="Arial" w:eastAsia="Arial" w:hAnsi="Arial"/>
          <w:sz w:val="18"/>
          <w:szCs w:val="18"/>
          <w:color w:val="auto"/>
        </w:rPr>
        <w:t>Financial instruments as of March 31, 2014 and December 31, 2013 were comprised of secured revolving credit facilities, which provide financing for several real estate projects; secured acquisition and development loan agreements to purchase and develop land parcels, and; secured construction loan agreements for the construction of our model and production homes.</w:t>
      </w:r>
    </w:p>
    <w:p>
      <w:pPr>
        <w:spacing w:after="0" w:line="181" w:lineRule="exact"/>
        <w:rPr>
          <w:sz w:val="20"/>
          <w:szCs w:val="20"/>
          <w:color w:val="auto"/>
        </w:rPr>
      </w:pPr>
    </w:p>
    <w:p>
      <w:pPr>
        <w:ind w:right="120" w:firstLine="456"/>
        <w:spacing w:after="0" w:line="277" w:lineRule="auto"/>
        <w:rPr>
          <w:sz w:val="20"/>
          <w:szCs w:val="20"/>
          <w:color w:val="auto"/>
        </w:rPr>
      </w:pPr>
      <w:r>
        <w:rPr>
          <w:rFonts w:ascii="Arial" w:cs="Arial" w:eastAsia="Arial" w:hAnsi="Arial"/>
          <w:sz w:val="18"/>
          <w:szCs w:val="18"/>
          <w:color w:val="auto"/>
        </w:rPr>
        <w:t xml:space="preserve">At March 31, 2014 and December 31, 2013, as required by ASC 820, </w:t>
      </w:r>
      <w:r>
        <w:rPr>
          <w:rFonts w:ascii="Arial" w:cs="Arial" w:eastAsia="Arial" w:hAnsi="Arial"/>
          <w:sz w:val="18"/>
          <w:szCs w:val="18"/>
          <w:i w:val="1"/>
          <w:iCs w:val="1"/>
          <w:color w:val="auto"/>
        </w:rPr>
        <w:t>Financial Instruments</w:t>
      </w:r>
      <w:r>
        <w:rPr>
          <w:rFonts w:ascii="Arial" w:cs="Arial" w:eastAsia="Arial" w:hAnsi="Arial"/>
          <w:sz w:val="18"/>
          <w:szCs w:val="18"/>
          <w:color w:val="auto"/>
        </w:rPr>
        <w:t>, the following presents net book values and estimated fair values of notes payable (in thousands):</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720" w:type="dxa"/>
            <w:vAlign w:val="bottom"/>
          </w:tcPr>
          <w:p>
            <w:pPr>
              <w:spacing w:after="0"/>
              <w:rPr>
                <w:sz w:val="14"/>
                <w:szCs w:val="14"/>
                <w:color w:val="auto"/>
              </w:rPr>
            </w:pPr>
          </w:p>
        </w:tc>
        <w:tc>
          <w:tcPr>
            <w:tcW w:w="940" w:type="dxa"/>
            <w:vAlign w:val="bottom"/>
            <w:gridSpan w:val="2"/>
            <w:vMerge w:val="restart"/>
          </w:tcPr>
          <w:p>
            <w:pPr>
              <w:jc w:val="right"/>
              <w:ind w:right="300"/>
              <w:spacing w:after="0"/>
              <w:rPr>
                <w:sz w:val="20"/>
                <w:szCs w:val="20"/>
                <w:color w:val="auto"/>
              </w:rPr>
            </w:pPr>
            <w:r>
              <w:rPr>
                <w:rFonts w:ascii="Arial" w:cs="Arial" w:eastAsia="Arial" w:hAnsi="Arial"/>
                <w:sz w:val="14"/>
                <w:szCs w:val="14"/>
                <w:b w:val="1"/>
                <w:bCs w:val="1"/>
                <w:color w:val="auto"/>
                <w:w w:val="95"/>
              </w:rPr>
              <w:t>Hierarchy</w:t>
            </w:r>
          </w:p>
        </w:tc>
        <w:tc>
          <w:tcPr>
            <w:tcW w:w="1840" w:type="dxa"/>
            <w:vAlign w:val="bottom"/>
            <w:gridSpan w:val="5"/>
          </w:tcPr>
          <w:p>
            <w:pPr>
              <w:ind w:left="380"/>
              <w:spacing w:after="0"/>
              <w:rPr>
                <w:sz w:val="20"/>
                <w:szCs w:val="20"/>
                <w:color w:val="auto"/>
              </w:rPr>
            </w:pPr>
            <w:r>
              <w:rPr>
                <w:rFonts w:ascii="Arial" w:cs="Arial" w:eastAsia="Arial" w:hAnsi="Arial"/>
                <w:sz w:val="14"/>
                <w:szCs w:val="14"/>
                <w:b w:val="1"/>
                <w:bCs w:val="1"/>
                <w:color w:val="auto"/>
              </w:rPr>
              <w:t>March 31, 2014</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60" w:type="dxa"/>
            <w:vAlign w:val="bottom"/>
            <w:gridSpan w:val="5"/>
          </w:tcPr>
          <w:p>
            <w:pPr>
              <w:jc w:val="right"/>
              <w:ind w:right="340"/>
              <w:spacing w:after="0"/>
              <w:rPr>
                <w:sz w:val="20"/>
                <w:szCs w:val="20"/>
                <w:color w:val="auto"/>
              </w:rPr>
            </w:pPr>
            <w:r>
              <w:rPr>
                <w:rFonts w:ascii="Arial" w:cs="Arial" w:eastAsia="Arial" w:hAnsi="Arial"/>
                <w:sz w:val="14"/>
                <w:szCs w:val="14"/>
                <w:b w:val="1"/>
                <w:bCs w:val="1"/>
                <w:color w:val="auto"/>
              </w:rPr>
              <w:t>December 31, 2013</w:t>
            </w:r>
          </w:p>
        </w:tc>
        <w:tc>
          <w:tcPr>
            <w:tcW w:w="0" w:type="dxa"/>
            <w:vAlign w:val="bottom"/>
          </w:tcPr>
          <w:p>
            <w:pPr>
              <w:spacing w:after="0"/>
              <w:rPr>
                <w:sz w:val="1"/>
                <w:szCs w:val="1"/>
                <w:color w:val="auto"/>
              </w:rPr>
            </w:pPr>
          </w:p>
        </w:tc>
      </w:tr>
      <w:tr>
        <w:trPr>
          <w:trHeight w:val="142"/>
        </w:trPr>
        <w:tc>
          <w:tcPr>
            <w:tcW w:w="672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840" w:type="dxa"/>
            <w:vAlign w:val="bottom"/>
            <w:tcBorders>
              <w:top w:val="single" w:sz="8" w:color="auto"/>
            </w:tcBorders>
            <w:gridSpan w:val="2"/>
          </w:tcPr>
          <w:p>
            <w:pPr>
              <w:ind w:left="220"/>
              <w:spacing w:after="0" w:line="142" w:lineRule="exact"/>
              <w:rPr>
                <w:sz w:val="20"/>
                <w:szCs w:val="20"/>
                <w:color w:val="auto"/>
              </w:rPr>
            </w:pPr>
            <w:r>
              <w:rPr>
                <w:rFonts w:ascii="Arial" w:cs="Arial" w:eastAsia="Arial" w:hAnsi="Arial"/>
                <w:sz w:val="14"/>
                <w:szCs w:val="14"/>
                <w:b w:val="1"/>
                <w:bCs w:val="1"/>
                <w:color w:val="auto"/>
              </w:rPr>
              <w:t>Cost</w:t>
            </w:r>
          </w:p>
        </w:tc>
        <w:tc>
          <w:tcPr>
            <w:tcW w:w="16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8"/>
              </w:rPr>
              <w:t>Fair Value</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900" w:type="dxa"/>
            <w:vAlign w:val="bottom"/>
            <w:tcBorders>
              <w:top w:val="single" w:sz="8" w:color="auto"/>
            </w:tcBorders>
            <w:gridSpan w:val="2"/>
          </w:tcPr>
          <w:p>
            <w:pPr>
              <w:ind w:left="100"/>
              <w:spacing w:after="0" w:line="142" w:lineRule="exact"/>
              <w:rPr>
                <w:sz w:val="20"/>
                <w:szCs w:val="20"/>
                <w:color w:val="auto"/>
              </w:rPr>
            </w:pPr>
            <w:r>
              <w:rPr>
                <w:rFonts w:ascii="Arial" w:cs="Arial" w:eastAsia="Arial" w:hAnsi="Arial"/>
                <w:sz w:val="14"/>
                <w:szCs w:val="14"/>
                <w:b w:val="1"/>
                <w:bCs w:val="1"/>
                <w:color w:val="auto"/>
              </w:rPr>
              <w:t>Cost</w:t>
            </w:r>
          </w:p>
        </w:tc>
        <w:tc>
          <w:tcPr>
            <w:tcW w:w="660" w:type="dxa"/>
            <w:vAlign w:val="bottom"/>
            <w:tcBorders>
              <w:top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95"/>
              </w:rPr>
              <w:t>Fair Value</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672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Notes payable</w:t>
            </w:r>
          </w:p>
        </w:tc>
        <w:tc>
          <w:tcPr>
            <w:tcW w:w="640" w:type="dxa"/>
            <w:vAlign w:val="bottom"/>
            <w:tcBorders>
              <w:top w:val="single" w:sz="8" w:color="auto"/>
            </w:tcBorders>
            <w:shd w:val="clear" w:color="auto" w:fill="CCEEFF"/>
          </w:tcPr>
          <w:p>
            <w:pPr>
              <w:spacing w:after="0"/>
              <w:rPr>
                <w:sz w:val="17"/>
                <w:szCs w:val="17"/>
                <w:color w:val="auto"/>
              </w:rPr>
            </w:pPr>
          </w:p>
        </w:tc>
        <w:tc>
          <w:tcPr>
            <w:tcW w:w="300" w:type="dxa"/>
            <w:vAlign w:val="bottom"/>
            <w:tcBorders>
              <w:top w:val="single" w:sz="8" w:color="CCEEFF"/>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3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720" w:type="dxa"/>
            <w:vAlign w:val="bottom"/>
          </w:tcPr>
          <w:p>
            <w:pPr>
              <w:ind w:left="360"/>
              <w:spacing w:after="0"/>
              <w:rPr>
                <w:sz w:val="20"/>
                <w:szCs w:val="20"/>
                <w:color w:val="auto"/>
              </w:rPr>
            </w:pPr>
            <w:r>
              <w:rPr>
                <w:rFonts w:ascii="Arial" w:cs="Arial" w:eastAsia="Arial" w:hAnsi="Arial"/>
                <w:sz w:val="18"/>
                <w:szCs w:val="18"/>
                <w:color w:val="auto"/>
              </w:rPr>
              <w:t>Revolving credit facilities</w:t>
            </w:r>
          </w:p>
        </w:tc>
        <w:tc>
          <w:tcPr>
            <w:tcW w:w="940" w:type="dxa"/>
            <w:vAlign w:val="bottom"/>
            <w:gridSpan w:val="2"/>
          </w:tcPr>
          <w:p>
            <w:pPr>
              <w:jc w:val="right"/>
              <w:ind w:right="300"/>
              <w:spacing w:after="0"/>
              <w:rPr>
                <w:sz w:val="20"/>
                <w:szCs w:val="20"/>
                <w:color w:val="auto"/>
              </w:rPr>
            </w:pPr>
            <w:r>
              <w:rPr>
                <w:rFonts w:ascii="Arial" w:cs="Arial" w:eastAsia="Arial" w:hAnsi="Arial"/>
                <w:sz w:val="18"/>
                <w:szCs w:val="18"/>
                <w:color w:val="auto"/>
              </w:rPr>
              <w:t>Level 3</w:t>
            </w: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w w:val="90"/>
              </w:rPr>
              <w:t>$150,615</w:t>
            </w:r>
          </w:p>
        </w:tc>
        <w:tc>
          <w:tcPr>
            <w:tcW w:w="1000" w:type="dxa"/>
            <w:vAlign w:val="bottom"/>
            <w:gridSpan w:val="3"/>
          </w:tcPr>
          <w:p>
            <w:pPr>
              <w:jc w:val="right"/>
              <w:ind w:right="140"/>
              <w:spacing w:after="0"/>
              <w:rPr>
                <w:sz w:val="20"/>
                <w:szCs w:val="20"/>
                <w:color w:val="auto"/>
              </w:rPr>
            </w:pPr>
            <w:r>
              <w:rPr>
                <w:rFonts w:ascii="Arial" w:cs="Arial" w:eastAsia="Arial" w:hAnsi="Arial"/>
                <w:sz w:val="18"/>
                <w:szCs w:val="18"/>
                <w:color w:val="auto"/>
              </w:rPr>
              <w:t>$150,615</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320"/>
              <w:spacing w:after="0"/>
              <w:rPr>
                <w:sz w:val="20"/>
                <w:szCs w:val="20"/>
                <w:color w:val="auto"/>
              </w:rPr>
            </w:pPr>
            <w:r>
              <w:rPr>
                <w:rFonts w:ascii="Arial" w:cs="Arial" w:eastAsia="Arial" w:hAnsi="Arial"/>
                <w:sz w:val="18"/>
                <w:szCs w:val="18"/>
                <w:color w:val="auto"/>
              </w:rPr>
              <w:t>90,689</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90,689</w:t>
            </w:r>
          </w:p>
        </w:tc>
        <w:tc>
          <w:tcPr>
            <w:tcW w:w="0" w:type="dxa"/>
            <w:vAlign w:val="bottom"/>
          </w:tcPr>
          <w:p>
            <w:pPr>
              <w:spacing w:after="0"/>
              <w:rPr>
                <w:sz w:val="1"/>
                <w:szCs w:val="1"/>
                <w:color w:val="auto"/>
              </w:rPr>
            </w:pPr>
          </w:p>
        </w:tc>
      </w:tr>
      <w:tr>
        <w:trPr>
          <w:trHeight w:val="216"/>
        </w:trPr>
        <w:tc>
          <w:tcPr>
            <w:tcW w:w="67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Acquisition and development loans</w:t>
            </w:r>
          </w:p>
        </w:tc>
        <w:tc>
          <w:tcPr>
            <w:tcW w:w="9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Level 3</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15,554</w:t>
            </w:r>
          </w:p>
        </w:tc>
        <w:tc>
          <w:tcPr>
            <w:tcW w:w="100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15,554</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31,591</w:t>
            </w:r>
          </w:p>
        </w:tc>
        <w:tc>
          <w:tcPr>
            <w:tcW w:w="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31,591</w:t>
            </w:r>
          </w:p>
        </w:tc>
        <w:tc>
          <w:tcPr>
            <w:tcW w:w="0" w:type="dxa"/>
            <w:vAlign w:val="bottom"/>
          </w:tcPr>
          <w:p>
            <w:pPr>
              <w:spacing w:after="0"/>
              <w:rPr>
                <w:sz w:val="1"/>
                <w:szCs w:val="1"/>
                <w:color w:val="auto"/>
              </w:rPr>
            </w:pPr>
          </w:p>
        </w:tc>
      </w:tr>
      <w:tr>
        <w:trPr>
          <w:trHeight w:val="216"/>
        </w:trPr>
        <w:tc>
          <w:tcPr>
            <w:tcW w:w="6720" w:type="dxa"/>
            <w:vAlign w:val="bottom"/>
          </w:tcPr>
          <w:p>
            <w:pPr>
              <w:ind w:left="360"/>
              <w:spacing w:after="0"/>
              <w:rPr>
                <w:sz w:val="20"/>
                <w:szCs w:val="20"/>
                <w:color w:val="auto"/>
              </w:rPr>
            </w:pPr>
            <w:r>
              <w:rPr>
                <w:rFonts w:ascii="Arial" w:cs="Arial" w:eastAsia="Arial" w:hAnsi="Arial"/>
                <w:sz w:val="18"/>
                <w:szCs w:val="18"/>
                <w:color w:val="auto"/>
              </w:rPr>
              <w:t>Construction loans</w:t>
            </w:r>
          </w:p>
        </w:tc>
        <w:tc>
          <w:tcPr>
            <w:tcW w:w="940" w:type="dxa"/>
            <w:vAlign w:val="bottom"/>
            <w:gridSpan w:val="2"/>
          </w:tcPr>
          <w:p>
            <w:pPr>
              <w:jc w:val="right"/>
              <w:ind w:right="300"/>
              <w:spacing w:after="0"/>
              <w:rPr>
                <w:sz w:val="20"/>
                <w:szCs w:val="20"/>
                <w:color w:val="auto"/>
              </w:rPr>
            </w:pPr>
            <w:r>
              <w:rPr>
                <w:rFonts w:ascii="Arial" w:cs="Arial" w:eastAsia="Arial" w:hAnsi="Arial"/>
                <w:sz w:val="18"/>
                <w:szCs w:val="18"/>
                <w:color w:val="auto"/>
              </w:rPr>
              <w:t>Level 3</w:t>
            </w:r>
          </w:p>
        </w:tc>
        <w:tc>
          <w:tcPr>
            <w:tcW w:w="700" w:type="dxa"/>
            <w:vAlign w:val="bottom"/>
          </w:tcPr>
          <w:p>
            <w:pPr>
              <w:jc w:val="right"/>
              <w:spacing w:after="0"/>
              <w:rPr>
                <w:sz w:val="20"/>
                <w:szCs w:val="20"/>
                <w:color w:val="auto"/>
              </w:rPr>
            </w:pPr>
            <w:r>
              <w:rPr>
                <w:rFonts w:ascii="Arial" w:cs="Arial" w:eastAsia="Arial" w:hAnsi="Arial"/>
                <w:sz w:val="18"/>
                <w:szCs w:val="18"/>
                <w:color w:val="auto"/>
              </w:rPr>
              <w:t>10,764</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10,764</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15,832</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15,832</w:t>
            </w:r>
          </w:p>
        </w:tc>
        <w:tc>
          <w:tcPr>
            <w:tcW w:w="0" w:type="dxa"/>
            <w:vAlign w:val="bottom"/>
          </w:tcPr>
          <w:p>
            <w:pPr>
              <w:spacing w:after="0"/>
              <w:rPr>
                <w:sz w:val="1"/>
                <w:szCs w:val="1"/>
                <w:color w:val="auto"/>
              </w:rPr>
            </w:pPr>
          </w:p>
        </w:tc>
      </w:tr>
      <w:tr>
        <w:trPr>
          <w:trHeight w:val="27"/>
        </w:trPr>
        <w:tc>
          <w:tcPr>
            <w:tcW w:w="6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0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720" w:type="dxa"/>
            <w:vAlign w:val="bottom"/>
            <w:shd w:val="clear" w:color="auto" w:fill="CCEEFF"/>
          </w:tcPr>
          <w:p>
            <w:pPr>
              <w:ind w:left="720"/>
              <w:spacing w:after="0"/>
              <w:rPr>
                <w:sz w:val="20"/>
                <w:szCs w:val="20"/>
                <w:color w:val="auto"/>
              </w:rPr>
            </w:pPr>
            <w:r>
              <w:rPr>
                <w:rFonts w:ascii="Arial" w:cs="Arial" w:eastAsia="Arial" w:hAnsi="Arial"/>
                <w:sz w:val="18"/>
                <w:szCs w:val="18"/>
                <w:color w:val="auto"/>
              </w:rPr>
              <w:t>Total notes payable</w:t>
            </w:r>
          </w:p>
        </w:tc>
        <w:tc>
          <w:tcPr>
            <w:tcW w:w="6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176,933</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176,933</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138,112</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20"/>
                <w:szCs w:val="20"/>
                <w:color w:val="auto"/>
              </w:rPr>
            </w:pPr>
            <w:r>
              <w:rPr>
                <w:rFonts w:ascii="Arial" w:cs="Arial" w:eastAsia="Arial" w:hAnsi="Arial"/>
                <w:sz w:val="15"/>
                <w:szCs w:val="15"/>
                <w:u w:val="single" w:color="auto"/>
                <w:color w:val="auto"/>
                <w:w w:val="71"/>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138,112</w:t>
            </w:r>
          </w:p>
        </w:tc>
        <w:tc>
          <w:tcPr>
            <w:tcW w:w="0" w:type="dxa"/>
            <w:vAlign w:val="bottom"/>
          </w:tcPr>
          <w:p>
            <w:pPr>
              <w:spacing w:after="0"/>
              <w:rPr>
                <w:sz w:val="1"/>
                <w:szCs w:val="1"/>
                <w:color w:val="auto"/>
              </w:rPr>
            </w:pPr>
          </w:p>
        </w:tc>
      </w:tr>
      <w:tr>
        <w:trPr>
          <w:trHeight w:val="20"/>
        </w:trPr>
        <w:tc>
          <w:tcPr>
            <w:tcW w:w="67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Estimated fair values of the outstanding revolving credit facilities, acquisition and development loans, and construction loans at March 31, 2014 and December 31, 2013 were based on cash flow models discounted at market interest rates that considered underlying risks of the debt. Due to the short term nature of the revolving credit facilities, acquisition and development loans and construction loans, book value approximated fair value at March 31, 2014 and December 31, 2013.</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- 11 -</w:t>
      </w:r>
    </w:p>
    <w:p>
      <w:pPr>
        <w:sectPr>
          <w:pgSz w:w="11900" w:h="16838" w:orient="portrait"/>
          <w:cols w:equalWidth="0" w:num="1">
            <w:col w:w="11420"/>
          </w:cols>
          <w:pgMar w:left="240" w:top="459" w:right="2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right="8660" w:hanging="452"/>
        <w:spacing w:after="0" w:line="425" w:lineRule="auto"/>
        <w:tabs>
          <w:tab w:leader="none" w:pos="184" w:val="left"/>
        </w:tabs>
        <w:numPr>
          <w:ilvl w:val="0"/>
          <w:numId w:val="6"/>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Commitments and Contingencies </w:t>
      </w:r>
      <w:r>
        <w:rPr>
          <w:rFonts w:ascii="Arial" w:cs="Arial" w:eastAsia="Arial" w:hAnsi="Arial"/>
          <w:sz w:val="16"/>
          <w:szCs w:val="16"/>
          <w:b w:val="1"/>
          <w:bCs w:val="1"/>
          <w:i w:val="1"/>
          <w:iCs w:val="1"/>
          <w:color w:val="auto"/>
        </w:rPr>
        <w:t>Legal Matters</w:t>
      </w:r>
    </w:p>
    <w:p>
      <w:pPr>
        <w:spacing w:after="0" w:line="1"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Lawsuits, claims and proceedings have been or may be instituted or asserted against us in the normal course of business, including actions brought on behalf of various classes of claimants. We are also subject to local, state and federal laws and regulations related to land development activities, house construction standards, sales practices, employment practices and environmental protection. As a result, we are subject to periodic examinations or inquiry by agencies administering these laws and regulations.</w:t>
      </w:r>
    </w:p>
    <w:p>
      <w:pPr>
        <w:spacing w:after="0" w:line="18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We record a reserve for potential legal claims and regulatory matters when they are probable of occurring and a potential loss is reasonably estimable.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We accrue for these matters based on facts and circumstances specific to each matter and revise these estimates when necessary.</w:t>
      </w:r>
    </w:p>
    <w:p>
      <w:pPr>
        <w:spacing w:after="0" w:line="211"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In view of the inherent difficulty of predicting outcomes of legal claims and related contingencies, we generally cannot predict their ultimate resolution, related timing or eventual loss. If our evaluations indicate loss contingencies that could be material are not probable, but are reasonably possible, we will disclose their nature with an estimate of possible range of losses or a statement that such loss is not reasonably estimable. At March 31, 2014, the Company did not have any accruals for asserted or unasserted matters.</w:t>
      </w:r>
    </w:p>
    <w:p>
      <w:pPr>
        <w:spacing w:after="0" w:line="295"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Warranty</w:t>
      </w:r>
    </w:p>
    <w:p>
      <w:pPr>
        <w:spacing w:after="0" w:line="117"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The Company currently provides a limited one year warranty covering workmanship and materials. In addition, our limited warranty (generally ranging from a minimum of two years up to the period covered by the applicable statute of repose) covers certain defined construction defects. The limited warranty covering construction defects is transferable to subsequent buyers not under direct contract with us and requires that homebuyers agree to the definitions and procedures set forth in the warranty, including the submission of unresolved construction-related disputes to binding arbitration. We reserve up to 1.0% of the sales price of each home to cover our estimated costs of self-insured retentions and deductible amounts under our general liability insurance policy and estimated costs for claims that may not be covered by applicable insurance or indemnities from our subcontractors. We believe that our reserves are adequate to cover the ultimate resolution of our potential liabilities associated with known and anticipated warranty and construction defect related claims and litigation.</w:t>
      </w:r>
    </w:p>
    <w:p>
      <w:pPr>
        <w:spacing w:after="0" w:line="192" w:lineRule="exact"/>
        <w:rPr>
          <w:sz w:val="20"/>
          <w:szCs w:val="20"/>
          <w:color w:val="auto"/>
        </w:rPr>
      </w:pPr>
    </w:p>
    <w:p>
      <w:pPr>
        <w:ind w:firstLine="456"/>
        <w:spacing w:after="0" w:line="312" w:lineRule="auto"/>
        <w:rPr>
          <w:sz w:val="20"/>
          <w:szCs w:val="20"/>
          <w:color w:val="auto"/>
        </w:rPr>
      </w:pPr>
      <w:r>
        <w:rPr>
          <w:rFonts w:ascii="Arial" w:cs="Arial" w:eastAsia="Arial" w:hAnsi="Arial"/>
          <w:sz w:val="16"/>
          <w:szCs w:val="16"/>
          <w:color w:val="auto"/>
        </w:rPr>
        <w:t>We subcontract our homebuilding work to subcontractors who generally provide us with an indemnity and a certificate of insurance prior to receiving payments for their work and, therefore, claims relating to workmanship and materials are generally the primary responsibility of our subcontractors. However, such indemnity is significantly limited with respect to certain subcontractors that are added to our general liability insurance policy.</w:t>
      </w:r>
    </w:p>
    <w:p>
      <w:pPr>
        <w:spacing w:after="0" w:line="147" w:lineRule="exact"/>
        <w:rPr>
          <w:sz w:val="20"/>
          <w:szCs w:val="20"/>
          <w:color w:val="auto"/>
        </w:rPr>
      </w:pPr>
    </w:p>
    <w:p>
      <w:pPr>
        <w:ind w:right="100" w:firstLine="456"/>
        <w:spacing w:after="0" w:line="279" w:lineRule="auto"/>
        <w:rPr>
          <w:sz w:val="20"/>
          <w:szCs w:val="20"/>
          <w:color w:val="auto"/>
        </w:rPr>
      </w:pPr>
      <w:r>
        <w:rPr>
          <w:rFonts w:ascii="Arial" w:cs="Arial" w:eastAsia="Arial" w:hAnsi="Arial"/>
          <w:sz w:val="17"/>
          <w:szCs w:val="17"/>
          <w:color w:val="auto"/>
        </w:rPr>
        <w:t>There can be no assurance, however, that the terms and limitations of the limited warranty will be effective against claims made by homebuyers, that we will be able to renew our insurance coverage or renew it at reasonable rates, that we will not be liable for damages, the cost of repairs, and/or the expense of litigation surrounding possible construction defects, soil subsidence or building related claims or that claims will not arise out of uninsurable events or circumstances not covered by insurance and not subject to effective indemnification agreements with our subcontractors.</w:t>
      </w:r>
    </w:p>
    <w:p>
      <w:pPr>
        <w:spacing w:after="0" w:line="171" w:lineRule="exact"/>
        <w:rPr>
          <w:sz w:val="20"/>
          <w:szCs w:val="20"/>
          <w:color w:val="auto"/>
        </w:rPr>
      </w:pPr>
    </w:p>
    <w:p>
      <w:pPr>
        <w:jc w:val="both"/>
        <w:ind w:right="100" w:firstLine="456"/>
        <w:spacing w:after="0" w:line="279" w:lineRule="auto"/>
        <w:rPr>
          <w:sz w:val="20"/>
          <w:szCs w:val="20"/>
          <w:color w:val="auto"/>
        </w:rPr>
      </w:pPr>
      <w:r>
        <w:rPr>
          <w:rFonts w:ascii="Arial" w:cs="Arial" w:eastAsia="Arial" w:hAnsi="Arial"/>
          <w:sz w:val="17"/>
          <w:szCs w:val="17"/>
          <w:color w:val="auto"/>
        </w:rPr>
        <w:t>Estimated future direct warranty costs are accrued in accrued liabilities on the balance sheet and charged to cost of sales in the period when the related homebuilding revenues are recognized. Amounts accrued are based upon historical experience rates. We also consider historical experience of our peers due to our limited history related to home sales. Indirect warranty overhead salaries and related costs are charged to the reserve in the period incurred. We assess the adequacy of our warranty accrual on a quarterly basis and adjust the amounts recorded if necessary.</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- 12 -</w:t>
      </w:r>
    </w:p>
    <w:p>
      <w:pPr>
        <w:sectPr>
          <w:pgSz w:w="11900" w:h="16838" w:orient="portrait"/>
          <w:cols w:equalWidth="0" w:num="1">
            <w:col w:w="11400"/>
          </w:cols>
          <w:pgMar w:left="240" w:top="459" w:right="25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Warranty reserves consisted of the following (in thousands):</w:t>
      </w:r>
    </w:p>
    <w:p>
      <w:pPr>
        <w:spacing w:after="0" w:line="244" w:lineRule="exact"/>
        <w:rPr>
          <w:sz w:val="20"/>
          <w:szCs w:val="20"/>
          <w:color w:val="auto"/>
        </w:rPr>
      </w:pPr>
    </w:p>
    <w:p>
      <w:pPr>
        <w:jc w:val="center"/>
        <w:ind w:left="6800"/>
        <w:spacing w:after="0"/>
        <w:rPr>
          <w:sz w:val="20"/>
          <w:szCs w:val="20"/>
          <w:color w:val="auto"/>
        </w:rPr>
      </w:pPr>
      <w:r>
        <w:rPr>
          <w:rFonts w:ascii="Arial" w:cs="Arial" w:eastAsia="Arial" w:hAnsi="Arial"/>
          <w:sz w:val="14"/>
          <w:szCs w:val="14"/>
          <w:b w:val="1"/>
          <w:bCs w:val="1"/>
          <w:color w:val="auto"/>
        </w:rPr>
        <w:t>Three Months Ended</w:t>
      </w:r>
    </w:p>
    <w:p>
      <w:pPr>
        <w:jc w:val="center"/>
        <w:ind w:left="6800"/>
        <w:spacing w:after="0" w:line="236" w:lineRule="auto"/>
        <w:rPr>
          <w:sz w:val="20"/>
          <w:szCs w:val="20"/>
          <w:color w:val="auto"/>
        </w:rPr>
      </w:pPr>
      <w:r>
        <w:rPr>
          <w:rFonts w:ascii="Arial" w:cs="Arial" w:eastAsia="Arial" w:hAnsi="Arial"/>
          <w:sz w:val="14"/>
          <w:szCs w:val="14"/>
          <w:b w:val="1"/>
          <w:bCs w:val="1"/>
          <w:color w:val="auto"/>
        </w:rPr>
        <w:t>March 31,</w:t>
      </w:r>
    </w:p>
    <w:p>
      <w:pPr>
        <w:spacing w:after="0" w:line="1" w:lineRule="exact"/>
        <w:rPr>
          <w:sz w:val="20"/>
          <w:szCs w:val="20"/>
          <w:color w:val="auto"/>
        </w:rPr>
      </w:pPr>
    </w:p>
    <w:tbl>
      <w:tblPr>
        <w:tblLayout w:type="fixed"/>
        <w:tblInd w:w="1380" w:type="dxa"/>
        <w:tblCellMar>
          <w:top w:w="0" w:type="dxa"/>
          <w:left w:w="0" w:type="dxa"/>
          <w:bottom w:w="0" w:type="dxa"/>
          <w:right w:w="0" w:type="dxa"/>
        </w:tblCellMar>
      </w:tblPr>
      <w:tr>
        <w:trPr>
          <w:trHeight w:val="142"/>
        </w:trPr>
        <w:tc>
          <w:tcPr>
            <w:tcW w:w="690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56"/>
              <w:spacing w:after="0" w:line="142" w:lineRule="exact"/>
              <w:rPr>
                <w:sz w:val="20"/>
                <w:szCs w:val="20"/>
                <w:color w:val="auto"/>
              </w:rPr>
            </w:pPr>
            <w:r>
              <w:rPr>
                <w:rFonts w:ascii="Arial" w:cs="Arial" w:eastAsia="Arial" w:hAnsi="Arial"/>
                <w:sz w:val="14"/>
                <w:szCs w:val="14"/>
                <w:b w:val="1"/>
                <w:bCs w:val="1"/>
                <w:color w:val="auto"/>
              </w:rPr>
              <w:t>2014</w:t>
            </w:r>
          </w:p>
        </w:tc>
        <w:tc>
          <w:tcPr>
            <w:tcW w:w="280" w:type="dxa"/>
            <w:vAlign w:val="bottom"/>
            <w:tcBorders>
              <w:top w:val="single" w:sz="8" w:color="auto"/>
              <w:bottom w:val="single" w:sz="8" w:color="CCEEFF"/>
            </w:tcBorders>
          </w:tcPr>
          <w:p>
            <w:pPr>
              <w:spacing w:after="0"/>
              <w:rPr>
                <w:sz w:val="12"/>
                <w:szCs w:val="12"/>
                <w:color w:val="auto"/>
              </w:rPr>
            </w:pPr>
          </w:p>
        </w:tc>
        <w:tc>
          <w:tcPr>
            <w:tcW w:w="24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ind w:right="54"/>
              <w:spacing w:after="0" w:line="142" w:lineRule="exact"/>
              <w:rPr>
                <w:sz w:val="20"/>
                <w:szCs w:val="20"/>
                <w:color w:val="auto"/>
              </w:rPr>
            </w:pPr>
            <w:r>
              <w:rPr>
                <w:rFonts w:ascii="Arial" w:cs="Arial" w:eastAsia="Arial" w:hAnsi="Arial"/>
                <w:sz w:val="14"/>
                <w:szCs w:val="14"/>
                <w:b w:val="1"/>
                <w:bCs w:val="1"/>
                <w:color w:val="auto"/>
                <w:w w:val="96"/>
              </w:rPr>
              <w:t>2013</w:t>
            </w:r>
          </w:p>
        </w:tc>
        <w:tc>
          <w:tcPr>
            <w:tcW w:w="120" w:type="dxa"/>
            <w:vAlign w:val="bottom"/>
            <w:tcBorders>
              <w:bottom w:val="single" w:sz="8" w:color="CCEEFF"/>
            </w:tcBorders>
          </w:tcPr>
          <w:p>
            <w:pPr>
              <w:spacing w:after="0"/>
              <w:rPr>
                <w:sz w:val="12"/>
                <w:szCs w:val="12"/>
                <w:color w:val="auto"/>
              </w:rPr>
            </w:pPr>
          </w:p>
        </w:tc>
      </w:tr>
      <w:tr>
        <w:trPr>
          <w:trHeight w:val="210"/>
        </w:trPr>
        <w:tc>
          <w:tcPr>
            <w:tcW w:w="6900" w:type="dxa"/>
            <w:vAlign w:val="bottom"/>
            <w:shd w:val="clear" w:color="auto" w:fill="CCEEFF"/>
          </w:tcPr>
          <w:p>
            <w:pPr>
              <w:spacing w:after="0"/>
              <w:rPr>
                <w:sz w:val="20"/>
                <w:szCs w:val="20"/>
                <w:color w:val="auto"/>
              </w:rPr>
            </w:pPr>
            <w:r>
              <w:rPr>
                <w:rFonts w:ascii="Arial" w:cs="Arial" w:eastAsia="Arial" w:hAnsi="Arial"/>
                <w:sz w:val="18"/>
                <w:szCs w:val="18"/>
                <w:color w:val="auto"/>
              </w:rPr>
              <w:t>Warranty reserves, beginning of period</w:t>
            </w:r>
          </w:p>
        </w:tc>
        <w:tc>
          <w:tcPr>
            <w:tcW w:w="2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$ 3,338</w:t>
            </w: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1,593</w:t>
            </w:r>
          </w:p>
        </w:tc>
        <w:tc>
          <w:tcPr>
            <w:tcW w:w="120" w:type="dxa"/>
            <w:vAlign w:val="bottom"/>
            <w:shd w:val="clear" w:color="auto" w:fill="CCEEFF"/>
          </w:tcPr>
          <w:p>
            <w:pPr>
              <w:spacing w:after="0"/>
              <w:rPr>
                <w:sz w:val="18"/>
                <w:szCs w:val="18"/>
                <w:color w:val="auto"/>
              </w:rPr>
            </w:pPr>
          </w:p>
        </w:tc>
      </w:tr>
      <w:tr>
        <w:trPr>
          <w:trHeight w:val="216"/>
        </w:trPr>
        <w:tc>
          <w:tcPr>
            <w:tcW w:w="6900" w:type="dxa"/>
            <w:vAlign w:val="bottom"/>
          </w:tcPr>
          <w:p>
            <w:pPr>
              <w:ind w:left="360"/>
              <w:spacing w:after="0"/>
              <w:rPr>
                <w:sz w:val="20"/>
                <w:szCs w:val="20"/>
                <w:color w:val="auto"/>
              </w:rPr>
            </w:pPr>
            <w:r>
              <w:rPr>
                <w:rFonts w:ascii="Arial" w:cs="Arial" w:eastAsia="Arial" w:hAnsi="Arial"/>
                <w:sz w:val="18"/>
                <w:szCs w:val="18"/>
                <w:color w:val="auto"/>
              </w:rPr>
              <w:t>Warranty reserves accrued</w:t>
            </w: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727</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107</w:t>
            </w:r>
          </w:p>
        </w:tc>
        <w:tc>
          <w:tcPr>
            <w:tcW w:w="120" w:type="dxa"/>
            <w:vAlign w:val="bottom"/>
          </w:tcPr>
          <w:p>
            <w:pPr>
              <w:spacing w:after="0"/>
              <w:rPr>
                <w:sz w:val="18"/>
                <w:szCs w:val="18"/>
                <w:color w:val="auto"/>
              </w:rPr>
            </w:pPr>
          </w:p>
        </w:tc>
      </w:tr>
      <w:tr>
        <w:trPr>
          <w:trHeight w:val="216"/>
        </w:trPr>
        <w:tc>
          <w:tcPr>
            <w:tcW w:w="69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Warranty expenditures</w:t>
            </w:r>
          </w:p>
        </w:tc>
        <w:tc>
          <w:tcPr>
            <w:tcW w:w="8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(429)</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(125)</w:t>
            </w:r>
          </w:p>
        </w:tc>
      </w:tr>
      <w:tr>
        <w:trPr>
          <w:trHeight w:val="223"/>
        </w:trPr>
        <w:tc>
          <w:tcPr>
            <w:tcW w:w="6900" w:type="dxa"/>
            <w:vAlign w:val="bottom"/>
          </w:tcPr>
          <w:p>
            <w:pPr>
              <w:spacing w:after="0"/>
              <w:rPr>
                <w:sz w:val="20"/>
                <w:szCs w:val="20"/>
                <w:color w:val="auto"/>
              </w:rPr>
            </w:pPr>
            <w:r>
              <w:rPr>
                <w:rFonts w:ascii="Arial" w:cs="Arial" w:eastAsia="Arial" w:hAnsi="Arial"/>
                <w:sz w:val="18"/>
                <w:szCs w:val="18"/>
                <w:color w:val="auto"/>
              </w:rPr>
              <w:t>Warranty reserves, end of period</w:t>
            </w:r>
          </w:p>
        </w:tc>
        <w:tc>
          <w:tcPr>
            <w:tcW w:w="20" w:type="dxa"/>
            <w:vAlign w:val="bottom"/>
            <w:tcBorders>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$ 3,636</w:t>
            </w: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7"/>
              </w:rPr>
              <w:t>1,575</w:t>
            </w:r>
          </w:p>
        </w:tc>
        <w:tc>
          <w:tcPr>
            <w:tcW w:w="120" w:type="dxa"/>
            <w:vAlign w:val="bottom"/>
          </w:tcPr>
          <w:p>
            <w:pPr>
              <w:spacing w:after="0"/>
              <w:rPr>
                <w:sz w:val="19"/>
                <w:szCs w:val="19"/>
                <w:color w:val="auto"/>
              </w:rPr>
            </w:pPr>
          </w:p>
        </w:tc>
      </w:tr>
      <w:tr>
        <w:trPr>
          <w:trHeight w:val="20"/>
        </w:trPr>
        <w:tc>
          <w:tcPr>
            <w:tcW w:w="6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323"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Performance Bonds</w:t>
      </w:r>
    </w:p>
    <w:p>
      <w:pPr>
        <w:spacing w:after="0" w:line="117"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We obtain surety bonds in the normal course of business to ensure completion of certain infrastructure improvements of our projects. As of March 31, 2014 and December 31, 2013, the Company had outstanding surety bonds totaling $47.6 million and $41.4 million, respectively. The beneficiaries of the bonds are various municipalities. In the unlikely event that any such surety bond issued by a third party is called because the required improvements are not completed, the Company could be obligated to reimburse the issuer of the bond.</w:t>
      </w:r>
    </w:p>
    <w:p>
      <w:pPr>
        <w:spacing w:after="0" w:line="295"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Purchase Obligations</w:t>
      </w:r>
    </w:p>
    <w:p>
      <w:pPr>
        <w:spacing w:after="0" w:line="117" w:lineRule="exact"/>
        <w:rPr>
          <w:sz w:val="20"/>
          <w:szCs w:val="20"/>
          <w:color w:val="auto"/>
        </w:rPr>
      </w:pPr>
    </w:p>
    <w:p>
      <w:pPr>
        <w:ind w:right="80" w:firstLine="456"/>
        <w:spacing w:after="0" w:line="269" w:lineRule="auto"/>
        <w:rPr>
          <w:sz w:val="20"/>
          <w:szCs w:val="20"/>
          <w:color w:val="auto"/>
        </w:rPr>
      </w:pPr>
      <w:r>
        <w:rPr>
          <w:rFonts w:ascii="Arial" w:cs="Arial" w:eastAsia="Arial" w:hAnsi="Arial"/>
          <w:sz w:val="17"/>
          <w:szCs w:val="17"/>
          <w:color w:val="auto"/>
        </w:rPr>
        <w:t>In the ordinary course of business, we enter into land option contracts in order to procure lots for the construction of our homes. We are subject to customary obligations associated with entering into contracts for the purchase of land and improved lots. These purchase contracts typically require a cash deposit and the purchase of properties under these contracts is generally contingent upon satisfaction of certain requirements by the sellers, including obtaining applicable property and development entitlements. We also utilize option contracts with land sellers as a method of acquiring land in staged takedowns, to help us manage the financial and market risk associated with land holdings, and to reduce the use of funds from our corporate financing sources. Option contracts generally require a non-refundable deposit for the right to acquire lots over a specified period of time at pre-determined prices. We generally have the right at our discretion to terminate our obligations under both purchase contracts and option contracts by forfeiting our cash deposit with no further financial responsibility to the land seller. As of March 31, 2014, we had $18.9 million of non-refundable cash deposits pertaining to land option contracts and purchase contracts for 963 lots with an aggregate remaining purchase price of approximately $241.4 million (net of deposits). As of December 31, 2013, we had $19.7 million of non-refundable cash deposits pertaining to land option contracts and purchase contracts for 1,184 lots with an aggregate remaining purchase price of approximately $262.1 million (net of deposits).</w:t>
      </w:r>
    </w:p>
    <w:p>
      <w:pPr>
        <w:spacing w:after="0" w:line="183" w:lineRule="exact"/>
        <w:rPr>
          <w:sz w:val="20"/>
          <w:szCs w:val="20"/>
          <w:color w:val="auto"/>
        </w:rPr>
      </w:pPr>
    </w:p>
    <w:p>
      <w:pPr>
        <w:ind w:right="20" w:firstLine="456"/>
        <w:spacing w:after="0" w:line="312" w:lineRule="auto"/>
        <w:rPr>
          <w:sz w:val="20"/>
          <w:szCs w:val="20"/>
          <w:color w:val="auto"/>
        </w:rPr>
      </w:pPr>
      <w:r>
        <w:rPr>
          <w:rFonts w:ascii="Arial" w:cs="Arial" w:eastAsia="Arial" w:hAnsi="Arial"/>
          <w:sz w:val="16"/>
          <w:szCs w:val="16"/>
          <w:color w:val="auto"/>
        </w:rPr>
        <w:t>Our utilization of land option contracts is dependent on, among other things, the availability of land sellers willing to enter into option takedown arrangements, the availability of capital to financial intermediaries to finance the development of optioned lots, general housing market conditions, and local market dynamics. Options may be more difficult to procure from land sellers in strong housing markets and are more prevalent in certain geographic regions.</w:t>
      </w:r>
    </w:p>
    <w:p>
      <w:pPr>
        <w:spacing w:after="0" w:line="14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 xml:space="preserve">We analyze each of our land option contracts under the provisions of ASC 810, </w:t>
      </w:r>
      <w:r>
        <w:rPr>
          <w:rFonts w:ascii="Arial" w:cs="Arial" w:eastAsia="Arial" w:hAnsi="Arial"/>
          <w:sz w:val="16"/>
          <w:szCs w:val="16"/>
          <w:i w:val="1"/>
          <w:iCs w:val="1"/>
          <w:color w:val="auto"/>
        </w:rPr>
        <w:t>Consolidation</w:t>
      </w:r>
      <w:r>
        <w:rPr>
          <w:rFonts w:ascii="Arial" w:cs="Arial" w:eastAsia="Arial" w:hAnsi="Arial"/>
          <w:sz w:val="16"/>
          <w:szCs w:val="16"/>
          <w:color w:val="auto"/>
        </w:rPr>
        <w:t xml:space="preserve"> (“ASC 810”). Under ASC 810, a non-refundable deposit paid to an entity is deemed to be a variable interest that will absorb some or all of the entity’s expected losses if they occur. Our land purchase and lot option deposits generally represent our maximum exposure to the land seller if we elect not to purchase the optioned property. In some instances, we may also expend funds for due diligence, development and construction activities with respect to optioned land prior to takedown. Such costs are classified as inventories owned, which we would have to write off should we not exercise the option. Therefore, whenever we enter into a land option or purchase contract with an entity and make a non-refundable deposit, a variable interest entity (“VIE”) may have been created for financial reporting purposes. As of March 31, 2014 and December 31, 2013, the Company was not required to consolidate any VIEs nor did the Company write off any costs that had been capitalized under lot option contracts. In accordance with ASC 810, we perform ongoing reassessments of whether we are the primary beneficiary of a VIE.</w:t>
      </w:r>
    </w:p>
    <w:p>
      <w:pPr>
        <w:spacing w:after="0" w:line="9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- 13 -</w:t>
      </w:r>
    </w:p>
    <w:p>
      <w:pPr>
        <w:sectPr>
          <w:pgSz w:w="11900" w:h="16838" w:orient="portrait"/>
          <w:cols w:equalWidth="0" w:num="1">
            <w:col w:w="11360"/>
          </w:cols>
          <w:pgMar w:left="240" w:top="459" w:right="29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right="7120" w:hanging="452"/>
        <w:spacing w:after="0" w:line="378" w:lineRule="auto"/>
        <w:tabs>
          <w:tab w:leader="none" w:pos="184"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Stockholders’ Equity and Stock-Based Compensation </w:t>
      </w:r>
      <w:r>
        <w:rPr>
          <w:rFonts w:ascii="Arial" w:cs="Arial" w:eastAsia="Arial" w:hAnsi="Arial"/>
          <w:sz w:val="18"/>
          <w:szCs w:val="18"/>
          <w:b w:val="1"/>
          <w:bCs w:val="1"/>
          <w:i w:val="1"/>
          <w:iCs w:val="1"/>
          <w:color w:val="auto"/>
        </w:rPr>
        <w:t>Stockholders’ Equity</w:t>
      </w:r>
    </w:p>
    <w:p>
      <w:pPr>
        <w:ind w:left="460"/>
        <w:spacing w:after="0"/>
        <w:rPr>
          <w:rFonts w:ascii="Arial" w:cs="Arial" w:eastAsia="Arial" w:hAnsi="Arial"/>
          <w:sz w:val="18"/>
          <w:szCs w:val="18"/>
          <w:b w:val="1"/>
          <w:bCs w:val="1"/>
          <w:color w:val="auto"/>
        </w:rPr>
      </w:pPr>
      <w:r>
        <w:rPr>
          <w:rFonts w:ascii="Arial" w:cs="Arial" w:eastAsia="Arial" w:hAnsi="Arial"/>
          <w:sz w:val="18"/>
          <w:szCs w:val="18"/>
          <w:color w:val="auto"/>
        </w:rPr>
        <w:t>A summary of changes in our stockholders’ equity is presented below (in thousands, except share amounts):</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60" w:type="dxa"/>
            <w:vAlign w:val="bottom"/>
          </w:tcPr>
          <w:p>
            <w:pPr>
              <w:spacing w:after="0"/>
              <w:rPr>
                <w:sz w:val="14"/>
                <w:szCs w:val="14"/>
                <w:color w:val="auto"/>
              </w:rPr>
            </w:pPr>
          </w:p>
        </w:tc>
        <w:tc>
          <w:tcPr>
            <w:tcW w:w="43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880" w:type="dxa"/>
            <w:vAlign w:val="bottom"/>
            <w:tcBorders>
              <w:bottom w:val="single" w:sz="8" w:color="auto"/>
            </w:tcBorders>
            <w:gridSpan w:val="10"/>
          </w:tcPr>
          <w:p>
            <w:pPr>
              <w:ind w:left="100"/>
              <w:spacing w:after="0"/>
              <w:rPr>
                <w:sz w:val="20"/>
                <w:szCs w:val="20"/>
                <w:color w:val="auto"/>
              </w:rPr>
            </w:pPr>
            <w:r>
              <w:rPr>
                <w:rFonts w:ascii="Arial" w:cs="Arial" w:eastAsia="Arial" w:hAnsi="Arial"/>
                <w:sz w:val="14"/>
                <w:szCs w:val="14"/>
                <w:b w:val="1"/>
                <w:bCs w:val="1"/>
                <w:color w:val="auto"/>
              </w:rPr>
              <w:t>Three Months Ended March 31, 2013</w:t>
            </w:r>
          </w:p>
        </w:tc>
        <w:tc>
          <w:tcPr>
            <w:tcW w:w="3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60" w:type="dxa"/>
            <w:vAlign w:val="bottom"/>
          </w:tcPr>
          <w:p>
            <w:pPr>
              <w:spacing w:after="0"/>
              <w:rPr>
                <w:sz w:val="10"/>
                <w:szCs w:val="10"/>
                <w:color w:val="auto"/>
              </w:rPr>
            </w:pPr>
          </w:p>
        </w:tc>
        <w:tc>
          <w:tcPr>
            <w:tcW w:w="43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Additional</w:t>
            </w:r>
          </w:p>
        </w:tc>
        <w:tc>
          <w:tcPr>
            <w:tcW w:w="1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180" w:type="dxa"/>
            <w:vAlign w:val="bottom"/>
            <w:gridSpan w:val="4"/>
          </w:tcPr>
          <w:p>
            <w:pPr>
              <w:jc w:val="center"/>
              <w:ind w:right="200"/>
              <w:spacing w:after="0" w:line="119" w:lineRule="exact"/>
              <w:rPr>
                <w:sz w:val="20"/>
                <w:szCs w:val="20"/>
                <w:color w:val="auto"/>
              </w:rPr>
            </w:pPr>
            <w:r>
              <w:rPr>
                <w:rFonts w:ascii="Arial" w:cs="Arial" w:eastAsia="Arial" w:hAnsi="Arial"/>
                <w:sz w:val="13"/>
                <w:szCs w:val="13"/>
                <w:b w:val="1"/>
                <w:bCs w:val="1"/>
                <w:color w:val="auto"/>
              </w:rPr>
              <w:t>Accumulated</w:t>
            </w:r>
          </w:p>
        </w:tc>
        <w:tc>
          <w:tcPr>
            <w:tcW w:w="140" w:type="dxa"/>
            <w:vAlign w:val="bottom"/>
          </w:tcPr>
          <w:p>
            <w:pPr>
              <w:spacing w:after="0"/>
              <w:rPr>
                <w:sz w:val="10"/>
                <w:szCs w:val="10"/>
                <w:color w:val="auto"/>
              </w:rPr>
            </w:pPr>
          </w:p>
        </w:tc>
        <w:tc>
          <w:tcPr>
            <w:tcW w:w="900" w:type="dxa"/>
            <w:vAlign w:val="bottom"/>
            <w:gridSpan w:val="3"/>
            <w:vMerge w:val="restart"/>
          </w:tcPr>
          <w:p>
            <w:pPr>
              <w:jc w:val="center"/>
              <w:ind w:right="340"/>
              <w:spacing w:after="0"/>
              <w:rPr>
                <w:sz w:val="20"/>
                <w:szCs w:val="20"/>
                <w:color w:val="auto"/>
              </w:rPr>
            </w:pPr>
            <w:r>
              <w:rPr>
                <w:rFonts w:ascii="Arial" w:cs="Arial" w:eastAsia="Arial" w:hAnsi="Arial"/>
                <w:sz w:val="14"/>
                <w:szCs w:val="14"/>
                <w:b w:val="1"/>
                <w:bCs w:val="1"/>
                <w:color w:val="auto"/>
                <w:w w:val="95"/>
              </w:rPr>
              <w:t>Total</w:t>
            </w:r>
          </w:p>
        </w:tc>
        <w:tc>
          <w:tcPr>
            <w:tcW w:w="3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460" w:type="dxa"/>
            <w:vAlign w:val="bottom"/>
          </w:tcPr>
          <w:p>
            <w:pPr>
              <w:spacing w:after="0"/>
              <w:rPr>
                <w:sz w:val="12"/>
                <w:szCs w:val="12"/>
                <w:color w:val="auto"/>
              </w:rPr>
            </w:pPr>
          </w:p>
        </w:tc>
        <w:tc>
          <w:tcPr>
            <w:tcW w:w="4340" w:type="dxa"/>
            <w:vAlign w:val="bottom"/>
          </w:tcPr>
          <w:p>
            <w:pPr>
              <w:spacing w:after="0"/>
              <w:rPr>
                <w:sz w:val="12"/>
                <w:szCs w:val="12"/>
                <w:color w:val="auto"/>
              </w:rPr>
            </w:pPr>
          </w:p>
        </w:tc>
        <w:tc>
          <w:tcPr>
            <w:tcW w:w="6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Common</w:t>
            </w:r>
          </w:p>
        </w:tc>
        <w:tc>
          <w:tcPr>
            <w:tcW w:w="100" w:type="dxa"/>
            <w:vAlign w:val="bottom"/>
          </w:tcPr>
          <w:p>
            <w:pPr>
              <w:spacing w:after="0"/>
              <w:rPr>
                <w:sz w:val="12"/>
                <w:szCs w:val="12"/>
                <w:color w:val="auto"/>
              </w:rPr>
            </w:pPr>
          </w:p>
        </w:tc>
        <w:tc>
          <w:tcPr>
            <w:tcW w:w="80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4"/>
            <w:vMerge w:val="restart"/>
          </w:tcPr>
          <w:p>
            <w:pPr>
              <w:spacing w:after="0"/>
              <w:rPr>
                <w:sz w:val="20"/>
                <w:szCs w:val="20"/>
                <w:color w:val="auto"/>
              </w:rPr>
            </w:pPr>
            <w:r>
              <w:rPr>
                <w:rFonts w:ascii="Arial" w:cs="Arial" w:eastAsia="Arial" w:hAnsi="Arial"/>
                <w:sz w:val="14"/>
                <w:szCs w:val="14"/>
                <w:b w:val="1"/>
                <w:bCs w:val="1"/>
                <w:color w:val="auto"/>
              </w:rPr>
              <w:t>Accumulated</w:t>
            </w: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80" w:type="dxa"/>
            <w:vAlign w:val="bottom"/>
            <w:gridSpan w:val="2"/>
          </w:tcPr>
          <w:p>
            <w:pPr>
              <w:jc w:val="center"/>
              <w:ind w:right="500"/>
              <w:spacing w:after="0" w:line="149" w:lineRule="exact"/>
              <w:rPr>
                <w:sz w:val="20"/>
                <w:szCs w:val="20"/>
                <w:color w:val="auto"/>
              </w:rPr>
            </w:pPr>
            <w:r>
              <w:rPr>
                <w:rFonts w:ascii="Arial" w:cs="Arial" w:eastAsia="Arial" w:hAnsi="Arial"/>
                <w:sz w:val="14"/>
                <w:szCs w:val="14"/>
                <w:b w:val="1"/>
                <w:bCs w:val="1"/>
                <w:color w:val="auto"/>
              </w:rPr>
              <w:t>Other</w:t>
            </w:r>
          </w:p>
        </w:tc>
        <w:tc>
          <w:tcPr>
            <w:tcW w:w="140" w:type="dxa"/>
            <w:vAlign w:val="bottom"/>
          </w:tcPr>
          <w:p>
            <w:pPr>
              <w:spacing w:after="0"/>
              <w:rPr>
                <w:sz w:val="12"/>
                <w:szCs w:val="12"/>
                <w:color w:val="auto"/>
              </w:rPr>
            </w:pPr>
          </w:p>
        </w:tc>
        <w:tc>
          <w:tcPr>
            <w:tcW w:w="900" w:type="dxa"/>
            <w:vAlign w:val="bottom"/>
            <w:gridSpan w:val="3"/>
            <w:vMerge w:val="continue"/>
          </w:tcPr>
          <w:p>
            <w:pPr>
              <w:spacing w:after="0"/>
              <w:rPr>
                <w:sz w:val="12"/>
                <w:szCs w:val="12"/>
                <w:color w:val="auto"/>
              </w:rPr>
            </w:pPr>
          </w:p>
        </w:tc>
        <w:tc>
          <w:tcPr>
            <w:tcW w:w="820" w:type="dxa"/>
            <w:vAlign w:val="bottom"/>
            <w:gridSpan w:val="4"/>
            <w:vMerge w:val="restart"/>
          </w:tcPr>
          <w:p>
            <w:pPr>
              <w:jc w:val="center"/>
              <w:ind w:right="60"/>
              <w:spacing w:after="0"/>
              <w:rPr>
                <w:sz w:val="20"/>
                <w:szCs w:val="20"/>
                <w:color w:val="auto"/>
              </w:rPr>
            </w:pPr>
            <w:r>
              <w:rPr>
                <w:rFonts w:ascii="Arial" w:cs="Arial" w:eastAsia="Arial" w:hAnsi="Arial"/>
                <w:sz w:val="14"/>
                <w:szCs w:val="14"/>
                <w:b w:val="1"/>
                <w:bCs w:val="1"/>
                <w:color w:val="auto"/>
                <w:w w:val="97"/>
              </w:rPr>
              <w:t>Members’</w:t>
            </w:r>
          </w:p>
        </w:tc>
        <w:tc>
          <w:tcPr>
            <w:tcW w:w="120" w:type="dxa"/>
            <w:vAlign w:val="bottom"/>
          </w:tcPr>
          <w:p>
            <w:pPr>
              <w:spacing w:after="0"/>
              <w:rPr>
                <w:sz w:val="12"/>
                <w:szCs w:val="12"/>
                <w:color w:val="auto"/>
              </w:rPr>
            </w:pPr>
          </w:p>
        </w:tc>
        <w:tc>
          <w:tcPr>
            <w:tcW w:w="780" w:type="dxa"/>
            <w:vAlign w:val="bottom"/>
            <w:gridSpan w:val="4"/>
            <w:vMerge w:val="restart"/>
          </w:tcPr>
          <w:p>
            <w:pPr>
              <w:jc w:val="right"/>
              <w:ind w:right="28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9"/>
        </w:trPr>
        <w:tc>
          <w:tcPr>
            <w:tcW w:w="460" w:type="dxa"/>
            <w:vAlign w:val="bottom"/>
          </w:tcPr>
          <w:p>
            <w:pPr>
              <w:spacing w:after="0"/>
              <w:rPr>
                <w:sz w:val="12"/>
                <w:szCs w:val="12"/>
                <w:color w:val="auto"/>
              </w:rPr>
            </w:pPr>
          </w:p>
        </w:tc>
        <w:tc>
          <w:tcPr>
            <w:tcW w:w="4340" w:type="dxa"/>
            <w:vAlign w:val="bottom"/>
          </w:tcPr>
          <w:p>
            <w:pPr>
              <w:spacing w:after="0"/>
              <w:rPr>
                <w:sz w:val="12"/>
                <w:szCs w:val="12"/>
                <w:color w:val="auto"/>
              </w:rPr>
            </w:pPr>
          </w:p>
        </w:tc>
        <w:tc>
          <w:tcPr>
            <w:tcW w:w="68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Paid-in</w:t>
            </w:r>
          </w:p>
        </w:tc>
        <w:tc>
          <w:tcPr>
            <w:tcW w:w="100" w:type="dxa"/>
            <w:vAlign w:val="bottom"/>
          </w:tcPr>
          <w:p>
            <w:pPr>
              <w:spacing w:after="0"/>
              <w:rPr>
                <w:sz w:val="12"/>
                <w:szCs w:val="12"/>
                <w:color w:val="auto"/>
              </w:rPr>
            </w:pPr>
          </w:p>
        </w:tc>
        <w:tc>
          <w:tcPr>
            <w:tcW w:w="1000" w:type="dxa"/>
            <w:vAlign w:val="bottom"/>
            <w:gridSpan w:val="4"/>
            <w:vMerge w:val="continue"/>
          </w:tcPr>
          <w:p>
            <w:pPr>
              <w:spacing w:after="0"/>
              <w:rPr>
                <w:sz w:val="12"/>
                <w:szCs w:val="12"/>
                <w:color w:val="auto"/>
              </w:rPr>
            </w:pPr>
          </w:p>
        </w:tc>
        <w:tc>
          <w:tcPr>
            <w:tcW w:w="1180" w:type="dxa"/>
            <w:vAlign w:val="bottom"/>
            <w:gridSpan w:val="4"/>
          </w:tcPr>
          <w:p>
            <w:pPr>
              <w:jc w:val="center"/>
              <w:ind w:right="200"/>
              <w:spacing w:after="0" w:line="149" w:lineRule="exact"/>
              <w:rPr>
                <w:sz w:val="20"/>
                <w:szCs w:val="20"/>
                <w:color w:val="auto"/>
              </w:rPr>
            </w:pPr>
            <w:r>
              <w:rPr>
                <w:rFonts w:ascii="Arial" w:cs="Arial" w:eastAsia="Arial" w:hAnsi="Arial"/>
                <w:sz w:val="14"/>
                <w:szCs w:val="14"/>
                <w:b w:val="1"/>
                <w:bCs w:val="1"/>
                <w:color w:val="auto"/>
                <w:w w:val="89"/>
              </w:rPr>
              <w:t>Comprehensive</w:t>
            </w:r>
          </w:p>
        </w:tc>
        <w:tc>
          <w:tcPr>
            <w:tcW w:w="1040" w:type="dxa"/>
            <w:vAlign w:val="bottom"/>
            <w:gridSpan w:val="4"/>
          </w:tcPr>
          <w:p>
            <w:pPr>
              <w:spacing w:after="0" w:line="149" w:lineRule="exact"/>
              <w:rPr>
                <w:sz w:val="20"/>
                <w:szCs w:val="20"/>
                <w:color w:val="auto"/>
              </w:rPr>
            </w:pPr>
            <w:r>
              <w:rPr>
                <w:rFonts w:ascii="Arial" w:cs="Arial" w:eastAsia="Arial" w:hAnsi="Arial"/>
                <w:sz w:val="14"/>
                <w:szCs w:val="14"/>
                <w:b w:val="1"/>
                <w:bCs w:val="1"/>
                <w:color w:val="auto"/>
              </w:rPr>
              <w:t>Stockholders’</w:t>
            </w:r>
          </w:p>
        </w:tc>
        <w:tc>
          <w:tcPr>
            <w:tcW w:w="820" w:type="dxa"/>
            <w:vAlign w:val="bottom"/>
            <w:gridSpan w:val="4"/>
            <w:vMerge w:val="continue"/>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gridSpan w:val="4"/>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460" w:type="dxa"/>
            <w:vAlign w:val="bottom"/>
          </w:tcPr>
          <w:p>
            <w:pPr>
              <w:spacing w:after="0"/>
              <w:rPr>
                <w:sz w:val="14"/>
                <w:szCs w:val="14"/>
                <w:color w:val="auto"/>
              </w:rPr>
            </w:pPr>
          </w:p>
        </w:tc>
        <w:tc>
          <w:tcPr>
            <w:tcW w:w="4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gridSpan w:val="2"/>
          </w:tcPr>
          <w:p>
            <w:pPr>
              <w:ind w:left="20"/>
              <w:spacing w:after="0"/>
              <w:rPr>
                <w:sz w:val="20"/>
                <w:szCs w:val="20"/>
                <w:color w:val="auto"/>
              </w:rPr>
            </w:pPr>
            <w:r>
              <w:rPr>
                <w:rFonts w:ascii="Arial" w:cs="Arial" w:eastAsia="Arial" w:hAnsi="Arial"/>
                <w:sz w:val="14"/>
                <w:szCs w:val="14"/>
                <w:b w:val="1"/>
                <w:bCs w:val="1"/>
                <w:color w:val="auto"/>
              </w:rPr>
              <w:t>Stock</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tcPr>
          <w:p>
            <w:pPr>
              <w:ind w:left="20"/>
              <w:spacing w:after="0"/>
              <w:rPr>
                <w:sz w:val="20"/>
                <w:szCs w:val="20"/>
                <w:color w:val="auto"/>
              </w:rPr>
            </w:pPr>
            <w:r>
              <w:rPr>
                <w:rFonts w:ascii="Arial" w:cs="Arial" w:eastAsia="Arial" w:hAnsi="Arial"/>
                <w:sz w:val="14"/>
                <w:szCs w:val="14"/>
                <w:b w:val="1"/>
                <w:bCs w:val="1"/>
                <w:color w:val="auto"/>
              </w:rPr>
              <w:t>Capital</w:t>
            </w:r>
          </w:p>
        </w:tc>
        <w:tc>
          <w:tcPr>
            <w:tcW w:w="100" w:type="dxa"/>
            <w:vAlign w:val="bottom"/>
          </w:tcPr>
          <w:p>
            <w:pPr>
              <w:spacing w:after="0"/>
              <w:rPr>
                <w:sz w:val="14"/>
                <w:szCs w:val="14"/>
                <w:color w:val="auto"/>
              </w:rPr>
            </w:pPr>
          </w:p>
        </w:tc>
        <w:tc>
          <w:tcPr>
            <w:tcW w:w="1000" w:type="dxa"/>
            <w:vAlign w:val="bottom"/>
            <w:gridSpan w:val="4"/>
          </w:tcPr>
          <w:p>
            <w:pPr>
              <w:ind w:left="200"/>
              <w:spacing w:after="0"/>
              <w:rPr>
                <w:sz w:val="20"/>
                <w:szCs w:val="20"/>
                <w:color w:val="auto"/>
              </w:rPr>
            </w:pPr>
            <w:r>
              <w:rPr>
                <w:rFonts w:ascii="Arial" w:cs="Arial" w:eastAsia="Arial" w:hAnsi="Arial"/>
                <w:sz w:val="14"/>
                <w:szCs w:val="14"/>
                <w:b w:val="1"/>
                <w:bCs w:val="1"/>
                <w:color w:val="auto"/>
              </w:rPr>
              <w:t>Deficit</w:t>
            </w:r>
          </w:p>
        </w:tc>
        <w:tc>
          <w:tcPr>
            <w:tcW w:w="120" w:type="dxa"/>
            <w:vAlign w:val="bottom"/>
          </w:tcPr>
          <w:p>
            <w:pPr>
              <w:spacing w:after="0"/>
              <w:rPr>
                <w:sz w:val="14"/>
                <w:szCs w:val="14"/>
                <w:color w:val="auto"/>
              </w:rPr>
            </w:pPr>
          </w:p>
        </w:tc>
        <w:tc>
          <w:tcPr>
            <w:tcW w:w="1060" w:type="dxa"/>
            <w:vAlign w:val="bottom"/>
            <w:gridSpan w:val="3"/>
          </w:tcPr>
          <w:p>
            <w:pPr>
              <w:jc w:val="center"/>
              <w:ind w:right="320"/>
              <w:spacing w:after="0"/>
              <w:rPr>
                <w:sz w:val="20"/>
                <w:szCs w:val="20"/>
                <w:color w:val="auto"/>
              </w:rPr>
            </w:pPr>
            <w:r>
              <w:rPr>
                <w:rFonts w:ascii="Arial" w:cs="Arial" w:eastAsia="Arial" w:hAnsi="Arial"/>
                <w:sz w:val="14"/>
                <w:szCs w:val="14"/>
                <w:b w:val="1"/>
                <w:bCs w:val="1"/>
                <w:color w:val="auto"/>
                <w:w w:val="93"/>
              </w:rPr>
              <w:t>Income</w:t>
            </w:r>
          </w:p>
        </w:tc>
        <w:tc>
          <w:tcPr>
            <w:tcW w:w="140" w:type="dxa"/>
            <w:vAlign w:val="bottom"/>
          </w:tcPr>
          <w:p>
            <w:pPr>
              <w:spacing w:after="0"/>
              <w:rPr>
                <w:sz w:val="14"/>
                <w:szCs w:val="14"/>
                <w:color w:val="auto"/>
              </w:rPr>
            </w:pPr>
          </w:p>
        </w:tc>
        <w:tc>
          <w:tcPr>
            <w:tcW w:w="900" w:type="dxa"/>
            <w:vAlign w:val="bottom"/>
            <w:gridSpan w:val="3"/>
          </w:tcPr>
          <w:p>
            <w:pPr>
              <w:jc w:val="center"/>
              <w:ind w:right="360"/>
              <w:spacing w:after="0"/>
              <w:rPr>
                <w:sz w:val="20"/>
                <w:szCs w:val="20"/>
                <w:color w:val="auto"/>
              </w:rPr>
            </w:pPr>
            <w:r>
              <w:rPr>
                <w:rFonts w:ascii="Arial" w:cs="Arial" w:eastAsia="Arial" w:hAnsi="Arial"/>
                <w:sz w:val="14"/>
                <w:szCs w:val="14"/>
                <w:b w:val="1"/>
                <w:bCs w:val="1"/>
                <w:color w:val="auto"/>
                <w:w w:val="98"/>
              </w:rPr>
              <w:t>Equity</w:t>
            </w:r>
          </w:p>
        </w:tc>
        <w:tc>
          <w:tcPr>
            <w:tcW w:w="820" w:type="dxa"/>
            <w:vAlign w:val="bottom"/>
            <w:gridSpan w:val="4"/>
          </w:tcPr>
          <w:p>
            <w:pPr>
              <w:jc w:val="center"/>
              <w:ind w:right="80"/>
              <w:spacing w:after="0"/>
              <w:rPr>
                <w:sz w:val="20"/>
                <w:szCs w:val="20"/>
                <w:color w:val="auto"/>
              </w:rPr>
            </w:pPr>
            <w:r>
              <w:rPr>
                <w:rFonts w:ascii="Arial" w:cs="Arial" w:eastAsia="Arial" w:hAnsi="Arial"/>
                <w:sz w:val="14"/>
                <w:szCs w:val="14"/>
                <w:b w:val="1"/>
                <w:bCs w:val="1"/>
                <w:color w:val="auto"/>
                <w:w w:val="98"/>
              </w:rPr>
              <w:t>Equity</w:t>
            </w:r>
          </w:p>
        </w:tc>
        <w:tc>
          <w:tcPr>
            <w:tcW w:w="120" w:type="dxa"/>
            <w:vAlign w:val="bottom"/>
          </w:tcPr>
          <w:p>
            <w:pPr>
              <w:spacing w:after="0"/>
              <w:rPr>
                <w:sz w:val="14"/>
                <w:szCs w:val="14"/>
                <w:color w:val="auto"/>
              </w:rPr>
            </w:pPr>
          </w:p>
        </w:tc>
        <w:tc>
          <w:tcPr>
            <w:tcW w:w="780" w:type="dxa"/>
            <w:vAlign w:val="bottom"/>
            <w:gridSpan w:val="4"/>
          </w:tcPr>
          <w:p>
            <w:pPr>
              <w:jc w:val="right"/>
              <w:ind w:right="240"/>
              <w:spacing w:after="0"/>
              <w:rPr>
                <w:sz w:val="20"/>
                <w:szCs w:val="20"/>
                <w:color w:val="auto"/>
              </w:rPr>
            </w:pPr>
            <w:r>
              <w:rPr>
                <w:rFonts w:ascii="Arial" w:cs="Arial" w:eastAsia="Arial" w:hAnsi="Arial"/>
                <w:sz w:val="14"/>
                <w:szCs w:val="14"/>
                <w:b w:val="1"/>
                <w:bCs w:val="1"/>
                <w:color w:val="auto"/>
              </w:rPr>
              <w:t>Equity</w:t>
            </w:r>
          </w:p>
        </w:tc>
        <w:tc>
          <w:tcPr>
            <w:tcW w:w="0" w:type="dxa"/>
            <w:vAlign w:val="bottom"/>
          </w:tcPr>
          <w:p>
            <w:pPr>
              <w:spacing w:after="0"/>
              <w:rPr>
                <w:sz w:val="1"/>
                <w:szCs w:val="1"/>
                <w:color w:val="auto"/>
              </w:rPr>
            </w:pPr>
          </w:p>
        </w:tc>
      </w:tr>
      <w:tr>
        <w:trPr>
          <w:trHeight w:val="210"/>
        </w:trPr>
        <w:tc>
          <w:tcPr>
            <w:tcW w:w="480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Balance at December 31, 2012</w:t>
            </w: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tcBorders>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8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right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2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4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right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18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tcBorders>
            <w:gridSpan w:val="3"/>
            <w:shd w:val="clear" w:color="auto" w:fill="CCEEFF"/>
          </w:tcPr>
          <w:p>
            <w:pPr>
              <w:spacing w:after="0"/>
              <w:rPr>
                <w:sz w:val="20"/>
                <w:szCs w:val="20"/>
                <w:color w:val="auto"/>
              </w:rPr>
            </w:pPr>
            <w:r>
              <w:rPr>
                <w:rFonts w:ascii="Arial" w:cs="Arial" w:eastAsia="Arial" w:hAnsi="Arial"/>
                <w:sz w:val="18"/>
                <w:szCs w:val="18"/>
                <w:color w:val="auto"/>
                <w:w w:val="89"/>
              </w:rPr>
              <w:t>$ 149,153</w:t>
            </w:r>
          </w:p>
        </w:tc>
        <w:tc>
          <w:tcPr>
            <w:tcW w:w="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w w:val="87"/>
              </w:rPr>
              <w:t>$149,153</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00" w:type="dxa"/>
            <w:vAlign w:val="bottom"/>
            <w:gridSpan w:val="2"/>
          </w:tcPr>
          <w:p>
            <w:pPr>
              <w:ind w:left="360"/>
              <w:spacing w:after="0"/>
              <w:rPr>
                <w:sz w:val="20"/>
                <w:szCs w:val="20"/>
                <w:color w:val="auto"/>
              </w:rPr>
            </w:pPr>
            <w:r>
              <w:rPr>
                <w:rFonts w:ascii="Arial" w:cs="Arial" w:eastAsia="Arial" w:hAnsi="Arial"/>
                <w:sz w:val="18"/>
                <w:szCs w:val="18"/>
                <w:color w:val="auto"/>
              </w:rPr>
              <w:t>Net income</w:t>
            </w:r>
          </w:p>
        </w:tc>
        <w:tc>
          <w:tcPr>
            <w:tcW w:w="100" w:type="dxa"/>
            <w:vAlign w:val="bottom"/>
          </w:tcPr>
          <w:p>
            <w:pPr>
              <w:spacing w:after="0"/>
              <w:rPr>
                <w:sz w:val="18"/>
                <w:szCs w:val="18"/>
                <w:color w:val="auto"/>
              </w:rPr>
            </w:pPr>
          </w:p>
        </w:tc>
        <w:tc>
          <w:tcPr>
            <w:tcW w:w="58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ind w:left="220"/>
              <w:spacing w:after="0"/>
              <w:rPr>
                <w:sz w:val="20"/>
                <w:szCs w:val="20"/>
                <w:color w:val="auto"/>
              </w:rPr>
            </w:pPr>
            <w:r>
              <w:rPr>
                <w:rFonts w:ascii="Arial" w:cs="Arial" w:eastAsia="Arial" w:hAnsi="Arial"/>
                <w:sz w:val="18"/>
                <w:szCs w:val="18"/>
                <w:color w:val="auto"/>
              </w:rPr>
              <w:t>270</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270</w:t>
            </w:r>
          </w:p>
        </w:tc>
        <w:tc>
          <w:tcPr>
            <w:tcW w:w="1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8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900" w:type="dxa"/>
            <w:vAlign w:val="bottom"/>
            <w:gridSpan w:val="5"/>
          </w:tcPr>
          <w:p>
            <w:pPr>
              <w:jc w:val="right"/>
              <w:ind w:right="100"/>
              <w:spacing w:after="0"/>
              <w:rPr>
                <w:sz w:val="20"/>
                <w:szCs w:val="20"/>
                <w:color w:val="auto"/>
              </w:rPr>
            </w:pPr>
            <w:r>
              <w:rPr>
                <w:rFonts w:ascii="Arial" w:cs="Arial" w:eastAsia="Arial" w:hAnsi="Arial"/>
                <w:sz w:val="18"/>
                <w:szCs w:val="18"/>
                <w:color w:val="auto"/>
              </w:rPr>
              <w:t>270</w:t>
            </w:r>
          </w:p>
        </w:tc>
        <w:tc>
          <w:tcPr>
            <w:tcW w:w="0" w:type="dxa"/>
            <w:vAlign w:val="bottom"/>
          </w:tcPr>
          <w:p>
            <w:pPr>
              <w:spacing w:after="0"/>
              <w:rPr>
                <w:sz w:val="1"/>
                <w:szCs w:val="1"/>
                <w:color w:val="auto"/>
              </w:rPr>
            </w:pPr>
          </w:p>
        </w:tc>
      </w:tr>
      <w:tr>
        <w:trPr>
          <w:trHeight w:val="216"/>
        </w:trPr>
        <w:tc>
          <w:tcPr>
            <w:tcW w:w="480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Unrealized gain on available-for-sale-investments</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6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61</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61</w:t>
            </w:r>
          </w:p>
        </w:tc>
        <w:tc>
          <w:tcPr>
            <w:tcW w:w="1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8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80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61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60" w:type="dxa"/>
            <w:vAlign w:val="bottom"/>
          </w:tcPr>
          <w:p>
            <w:pPr>
              <w:spacing w:after="0"/>
              <w:rPr>
                <w:sz w:val="19"/>
                <w:szCs w:val="19"/>
                <w:color w:val="auto"/>
              </w:rPr>
            </w:pPr>
          </w:p>
        </w:tc>
        <w:tc>
          <w:tcPr>
            <w:tcW w:w="4340" w:type="dxa"/>
            <w:vAlign w:val="bottom"/>
          </w:tcPr>
          <w:p>
            <w:pPr>
              <w:ind w:left="260"/>
              <w:spacing w:after="0"/>
              <w:rPr>
                <w:sz w:val="20"/>
                <w:szCs w:val="20"/>
                <w:color w:val="auto"/>
              </w:rPr>
            </w:pPr>
            <w:r>
              <w:rPr>
                <w:rFonts w:ascii="Arial" w:cs="Arial" w:eastAsia="Arial" w:hAnsi="Arial"/>
                <w:sz w:val="18"/>
                <w:szCs w:val="18"/>
                <w:color w:val="auto"/>
              </w:rPr>
              <w:t>Total comprehensive income</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331</w:t>
            </w:r>
          </w:p>
        </w:tc>
        <w:tc>
          <w:tcPr>
            <w:tcW w:w="1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color w:val="auto"/>
              </w:rPr>
              <w:t>331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80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Conversion of members’ equity into common stock</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216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153,199</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(4,262)</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72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149,153</w:t>
            </w:r>
          </w:p>
        </w:tc>
        <w:tc>
          <w:tcPr>
            <w:tcW w:w="180" w:type="dxa"/>
            <w:vAlign w:val="bottom"/>
            <w:shd w:val="clear" w:color="auto" w:fill="CCEEFF"/>
          </w:tcPr>
          <w:p>
            <w:pPr>
              <w:spacing w:after="0"/>
              <w:rPr>
                <w:sz w:val="18"/>
                <w:szCs w:val="18"/>
                <w:color w:val="auto"/>
              </w:rPr>
            </w:pPr>
          </w:p>
        </w:tc>
        <w:tc>
          <w:tcPr>
            <w:tcW w:w="82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(149,153)</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800" w:type="dxa"/>
            <w:vAlign w:val="bottom"/>
            <w:gridSpan w:val="2"/>
          </w:tcPr>
          <w:p>
            <w:pPr>
              <w:ind w:left="360"/>
              <w:spacing w:after="0"/>
              <w:rPr>
                <w:sz w:val="20"/>
                <w:szCs w:val="20"/>
                <w:color w:val="auto"/>
              </w:rPr>
            </w:pPr>
            <w:r>
              <w:rPr>
                <w:rFonts w:ascii="Arial" w:cs="Arial" w:eastAsia="Arial" w:hAnsi="Arial"/>
                <w:sz w:val="18"/>
                <w:szCs w:val="18"/>
                <w:color w:val="auto"/>
              </w:rPr>
              <w:t>Issuance of common stock, net of issuance costs</w:t>
            </w:r>
          </w:p>
        </w:tc>
        <w:tc>
          <w:tcPr>
            <w:tcW w:w="100" w:type="dxa"/>
            <w:vAlign w:val="bottom"/>
          </w:tcPr>
          <w:p>
            <w:pPr>
              <w:spacing w:after="0"/>
              <w:rPr>
                <w:sz w:val="18"/>
                <w:szCs w:val="18"/>
                <w:color w:val="auto"/>
              </w:rPr>
            </w:pPr>
          </w:p>
        </w:tc>
        <w:tc>
          <w:tcPr>
            <w:tcW w:w="580" w:type="dxa"/>
            <w:vAlign w:val="bottom"/>
            <w:gridSpan w:val="2"/>
          </w:tcPr>
          <w:p>
            <w:pPr>
              <w:ind w:left="220"/>
              <w:spacing w:after="0"/>
              <w:rPr>
                <w:sz w:val="20"/>
                <w:szCs w:val="20"/>
                <w:color w:val="auto"/>
              </w:rPr>
            </w:pPr>
            <w:r>
              <w:rPr>
                <w:rFonts w:ascii="Arial" w:cs="Arial" w:eastAsia="Arial" w:hAnsi="Arial"/>
                <w:sz w:val="18"/>
                <w:szCs w:val="18"/>
                <w:color w:val="auto"/>
              </w:rPr>
              <w:t>100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155,308</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155,408</w:t>
            </w:r>
          </w:p>
        </w:tc>
        <w:tc>
          <w:tcPr>
            <w:tcW w:w="1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8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800" w:type="dxa"/>
            <w:vAlign w:val="bottom"/>
            <w:gridSpan w:val="4"/>
          </w:tcPr>
          <w:p>
            <w:pPr>
              <w:jc w:val="right"/>
              <w:spacing w:after="0"/>
              <w:rPr>
                <w:sz w:val="20"/>
                <w:szCs w:val="20"/>
                <w:color w:val="auto"/>
              </w:rPr>
            </w:pPr>
            <w:r>
              <w:rPr>
                <w:rFonts w:ascii="Arial" w:cs="Arial" w:eastAsia="Arial" w:hAnsi="Arial"/>
                <w:sz w:val="18"/>
                <w:szCs w:val="18"/>
                <w:color w:val="auto"/>
              </w:rPr>
              <w:t>155,408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0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Stock-based compensation expense</w:t>
            </w: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327</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72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327</w:t>
            </w:r>
          </w:p>
        </w:tc>
        <w:tc>
          <w:tcPr>
            <w:tcW w:w="1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8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90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327</w:t>
            </w:r>
          </w:p>
        </w:tc>
        <w:tc>
          <w:tcPr>
            <w:tcW w:w="0" w:type="dxa"/>
            <w:vAlign w:val="bottom"/>
          </w:tcPr>
          <w:p>
            <w:pPr>
              <w:spacing w:after="0"/>
              <w:rPr>
                <w:sz w:val="1"/>
                <w:szCs w:val="1"/>
                <w:color w:val="auto"/>
              </w:rPr>
            </w:pPr>
          </w:p>
        </w:tc>
      </w:tr>
      <w:tr>
        <w:trPr>
          <w:trHeight w:val="223"/>
        </w:trPr>
        <w:tc>
          <w:tcPr>
            <w:tcW w:w="4800" w:type="dxa"/>
            <w:vAlign w:val="bottom"/>
            <w:gridSpan w:val="2"/>
          </w:tcPr>
          <w:p>
            <w:pPr>
              <w:spacing w:after="0"/>
              <w:rPr>
                <w:sz w:val="20"/>
                <w:szCs w:val="20"/>
                <w:color w:val="auto"/>
              </w:rPr>
            </w:pPr>
            <w:r>
              <w:rPr>
                <w:rFonts w:ascii="Arial" w:cs="Arial" w:eastAsia="Arial" w:hAnsi="Arial"/>
                <w:sz w:val="18"/>
                <w:szCs w:val="18"/>
                <w:color w:val="auto"/>
              </w:rPr>
              <w:t>Balance at March 31, 2013</w:t>
            </w: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8"/>
                <w:szCs w:val="18"/>
                <w:color w:val="auto"/>
                <w:w w:val="79"/>
              </w:rPr>
              <w:t>316</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u w:val="single" w:color="auto"/>
                <w:color w:val="auto"/>
                <w:w w:val="7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308,834</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auto"/>
              <w:bottom w:val="single" w:sz="8" w:color="auto"/>
            </w:tcBorders>
          </w:tcPr>
          <w:p>
            <w:pPr>
              <w:spacing w:after="0"/>
              <w:rPr>
                <w:sz w:val="19"/>
                <w:szCs w:val="19"/>
                <w:color w:val="auto"/>
              </w:rPr>
            </w:pPr>
          </w:p>
        </w:tc>
        <w:tc>
          <w:tcPr>
            <w:tcW w:w="48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color w:val="auto"/>
                <w:w w:val="86"/>
              </w:rPr>
              <w:t>(3,992</w:t>
            </w:r>
          </w:p>
        </w:tc>
        <w:tc>
          <w:tcPr>
            <w:tcW w:w="180" w:type="dxa"/>
            <w:vAlign w:val="bottom"/>
          </w:tcPr>
          <w:p>
            <w:pPr>
              <w:jc w:val="right"/>
              <w:ind w:right="40"/>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61</w:t>
            </w:r>
          </w:p>
        </w:tc>
        <w:tc>
          <w:tcPr>
            <w:tcW w:w="20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305,219</w:t>
            </w:r>
          </w:p>
        </w:tc>
        <w:tc>
          <w:tcPr>
            <w:tcW w:w="180" w:type="dxa"/>
            <w:vAlign w:val="bottom"/>
          </w:tcPr>
          <w:p>
            <w:pPr>
              <w:spacing w:after="0"/>
              <w:rPr>
                <w:sz w:val="19"/>
                <w:szCs w:val="19"/>
                <w:color w:val="auto"/>
              </w:rPr>
            </w:pPr>
          </w:p>
        </w:tc>
        <w:tc>
          <w:tcPr>
            <w:tcW w:w="3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140" w:type="dxa"/>
            <w:vAlign w:val="bottom"/>
            <w:tcBorders>
              <w:top w:val="single" w:sz="8" w:color="auto"/>
              <w:bottom w:val="single" w:sz="8" w:color="auto"/>
            </w:tcBorders>
          </w:tcPr>
          <w:p>
            <w:pPr>
              <w:spacing w:after="0"/>
              <w:rPr>
                <w:sz w:val="19"/>
                <w:szCs w:val="19"/>
                <w:color w:val="auto"/>
              </w:rPr>
            </w:pPr>
          </w:p>
        </w:tc>
        <w:tc>
          <w:tcPr>
            <w:tcW w:w="30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305,219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6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Borders>
              <w:bottom w:val="single" w:sz="8" w:color="auto"/>
            </w:tcBorders>
            <w:gridSpan w:val="2"/>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6"/>
        </w:trPr>
        <w:tc>
          <w:tcPr>
            <w:tcW w:w="460" w:type="dxa"/>
            <w:vAlign w:val="bottom"/>
          </w:tcPr>
          <w:p>
            <w:pPr>
              <w:spacing w:after="0"/>
              <w:rPr>
                <w:sz w:val="24"/>
                <w:szCs w:val="24"/>
                <w:color w:val="auto"/>
              </w:rPr>
            </w:pPr>
          </w:p>
        </w:tc>
        <w:tc>
          <w:tcPr>
            <w:tcW w:w="4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gridSpan w:val="9"/>
          </w:tcPr>
          <w:p>
            <w:pPr>
              <w:ind w:left="40"/>
              <w:spacing w:after="0"/>
              <w:rPr>
                <w:sz w:val="20"/>
                <w:szCs w:val="20"/>
                <w:color w:val="auto"/>
              </w:rPr>
            </w:pPr>
            <w:r>
              <w:rPr>
                <w:rFonts w:ascii="Arial" w:cs="Arial" w:eastAsia="Arial" w:hAnsi="Arial"/>
                <w:sz w:val="14"/>
                <w:szCs w:val="14"/>
                <w:b w:val="1"/>
                <w:bCs w:val="1"/>
                <w:color w:val="auto"/>
              </w:rPr>
              <w:t>Three Months Ended March 31, 2014</w:t>
            </w:r>
          </w:p>
        </w:tc>
        <w:tc>
          <w:tcPr>
            <w:tcW w:w="3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460" w:type="dxa"/>
            <w:vAlign w:val="bottom"/>
          </w:tcPr>
          <w:p>
            <w:pPr>
              <w:spacing w:after="0"/>
              <w:rPr>
                <w:sz w:val="10"/>
                <w:szCs w:val="10"/>
                <w:color w:val="auto"/>
              </w:rPr>
            </w:pPr>
          </w:p>
        </w:tc>
        <w:tc>
          <w:tcPr>
            <w:tcW w:w="43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7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Common</w:t>
            </w: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880" w:type="dxa"/>
            <w:vAlign w:val="bottom"/>
            <w:gridSpan w:val="2"/>
          </w:tcPr>
          <w:p>
            <w:pPr>
              <w:jc w:val="right"/>
              <w:ind w:right="220"/>
              <w:spacing w:after="0" w:line="119" w:lineRule="exact"/>
              <w:rPr>
                <w:sz w:val="20"/>
                <w:szCs w:val="20"/>
                <w:color w:val="auto"/>
              </w:rPr>
            </w:pPr>
            <w:r>
              <w:rPr>
                <w:rFonts w:ascii="Arial" w:cs="Arial" w:eastAsia="Arial" w:hAnsi="Arial"/>
                <w:sz w:val="13"/>
                <w:szCs w:val="13"/>
                <w:b w:val="1"/>
                <w:bCs w:val="1"/>
                <w:color w:val="auto"/>
              </w:rPr>
              <w:t>Additional</w:t>
            </w: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6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Retained</w:t>
            </w:r>
          </w:p>
        </w:tc>
        <w:tc>
          <w:tcPr>
            <w:tcW w:w="3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20" w:type="dxa"/>
            <w:vAlign w:val="bottom"/>
            <w:gridSpan w:val="4"/>
          </w:tcPr>
          <w:p>
            <w:pPr>
              <w:jc w:val="center"/>
              <w:ind w:right="57"/>
              <w:spacing w:after="0" w:line="119" w:lineRule="exact"/>
              <w:rPr>
                <w:sz w:val="20"/>
                <w:szCs w:val="20"/>
                <w:color w:val="auto"/>
              </w:rPr>
            </w:pPr>
            <w:r>
              <w:rPr>
                <w:rFonts w:ascii="Arial" w:cs="Arial" w:eastAsia="Arial" w:hAnsi="Arial"/>
                <w:sz w:val="13"/>
                <w:szCs w:val="13"/>
                <w:b w:val="1"/>
                <w:bCs w:val="1"/>
                <w:color w:val="auto"/>
                <w:w w:val="96"/>
              </w:rPr>
              <w:t>Total</w:t>
            </w:r>
          </w:p>
        </w:tc>
        <w:tc>
          <w:tcPr>
            <w:tcW w:w="560" w:type="dxa"/>
            <w:vAlign w:val="bottom"/>
            <w:gridSpan w:val="3"/>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460" w:type="dxa"/>
            <w:vAlign w:val="bottom"/>
          </w:tcPr>
          <w:p>
            <w:pPr>
              <w:spacing w:after="0"/>
              <w:rPr>
                <w:sz w:val="12"/>
                <w:szCs w:val="12"/>
                <w:color w:val="auto"/>
              </w:rPr>
            </w:pPr>
          </w:p>
        </w:tc>
        <w:tc>
          <w:tcPr>
            <w:tcW w:w="4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6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80" w:type="dxa"/>
            <w:vAlign w:val="bottom"/>
            <w:gridSpan w:val="2"/>
          </w:tcPr>
          <w:p>
            <w:pPr>
              <w:jc w:val="right"/>
              <w:ind w:right="320"/>
              <w:spacing w:after="0" w:line="149" w:lineRule="exact"/>
              <w:rPr>
                <w:sz w:val="20"/>
                <w:szCs w:val="20"/>
                <w:color w:val="auto"/>
              </w:rPr>
            </w:pPr>
            <w:r>
              <w:rPr>
                <w:rFonts w:ascii="Arial" w:cs="Arial" w:eastAsia="Arial" w:hAnsi="Arial"/>
                <w:sz w:val="14"/>
                <w:szCs w:val="14"/>
                <w:b w:val="1"/>
                <w:bCs w:val="1"/>
                <w:color w:val="auto"/>
              </w:rPr>
              <w:t>Paid-in</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gridSpan w:val="2"/>
            <w:vMerge w:val="continue"/>
          </w:tcPr>
          <w:p>
            <w:pPr>
              <w:spacing w:after="0"/>
              <w:rPr>
                <w:sz w:val="12"/>
                <w:szCs w:val="12"/>
                <w:color w:val="auto"/>
              </w:rPr>
            </w:pPr>
          </w:p>
        </w:tc>
        <w:tc>
          <w:tcPr>
            <w:tcW w:w="300" w:type="dxa"/>
            <w:vAlign w:val="bottom"/>
          </w:tcPr>
          <w:p>
            <w:pPr>
              <w:spacing w:after="0"/>
              <w:rPr>
                <w:sz w:val="12"/>
                <w:szCs w:val="12"/>
                <w:color w:val="auto"/>
              </w:rPr>
            </w:pPr>
          </w:p>
        </w:tc>
        <w:tc>
          <w:tcPr>
            <w:tcW w:w="1420" w:type="dxa"/>
            <w:vAlign w:val="bottom"/>
            <w:gridSpan w:val="8"/>
          </w:tcPr>
          <w:p>
            <w:pPr>
              <w:spacing w:after="0" w:line="149" w:lineRule="exact"/>
              <w:rPr>
                <w:sz w:val="20"/>
                <w:szCs w:val="20"/>
                <w:color w:val="auto"/>
              </w:rPr>
            </w:pPr>
            <w:r>
              <w:rPr>
                <w:rFonts w:ascii="Arial" w:cs="Arial" w:eastAsia="Arial" w:hAnsi="Arial"/>
                <w:sz w:val="14"/>
                <w:szCs w:val="14"/>
                <w:b w:val="1"/>
                <w:bCs w:val="1"/>
                <w:color w:val="auto"/>
              </w:rPr>
              <w:t>Stockholders’</w:t>
            </w:r>
          </w:p>
        </w:tc>
        <w:tc>
          <w:tcPr>
            <w:tcW w:w="0" w:type="dxa"/>
            <w:vAlign w:val="bottom"/>
          </w:tcPr>
          <w:p>
            <w:pPr>
              <w:spacing w:after="0"/>
              <w:rPr>
                <w:sz w:val="1"/>
                <w:szCs w:val="1"/>
                <w:color w:val="auto"/>
              </w:rPr>
            </w:pPr>
          </w:p>
        </w:tc>
      </w:tr>
      <w:tr>
        <w:trPr>
          <w:trHeight w:val="171"/>
        </w:trPr>
        <w:tc>
          <w:tcPr>
            <w:tcW w:w="460" w:type="dxa"/>
            <w:vAlign w:val="bottom"/>
          </w:tcPr>
          <w:p>
            <w:pPr>
              <w:spacing w:after="0"/>
              <w:rPr>
                <w:sz w:val="14"/>
                <w:szCs w:val="14"/>
                <w:color w:val="auto"/>
              </w:rPr>
            </w:pPr>
          </w:p>
        </w:tc>
        <w:tc>
          <w:tcPr>
            <w:tcW w:w="4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gridSpan w:val="2"/>
          </w:tcPr>
          <w:p>
            <w:pPr>
              <w:ind w:left="20"/>
              <w:spacing w:after="0"/>
              <w:rPr>
                <w:sz w:val="20"/>
                <w:szCs w:val="20"/>
                <w:color w:val="auto"/>
              </w:rPr>
            </w:pPr>
            <w:r>
              <w:rPr>
                <w:rFonts w:ascii="Arial" w:cs="Arial" w:eastAsia="Arial" w:hAnsi="Arial"/>
                <w:sz w:val="14"/>
                <w:szCs w:val="14"/>
                <w:b w:val="1"/>
                <w:bCs w:val="1"/>
                <w:color w:val="auto"/>
              </w:rPr>
              <w:t>Stock</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rPr>
              <w:t>Capital</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gridSpan w:val="2"/>
          </w:tcPr>
          <w:p>
            <w:pPr>
              <w:ind w:left="20"/>
              <w:spacing w:after="0"/>
              <w:rPr>
                <w:sz w:val="20"/>
                <w:szCs w:val="20"/>
                <w:color w:val="auto"/>
              </w:rPr>
            </w:pPr>
            <w:r>
              <w:rPr>
                <w:rFonts w:ascii="Arial" w:cs="Arial" w:eastAsia="Arial" w:hAnsi="Arial"/>
                <w:sz w:val="14"/>
                <w:szCs w:val="14"/>
                <w:b w:val="1"/>
                <w:bCs w:val="1"/>
                <w:color w:val="auto"/>
              </w:rPr>
              <w:t>Earnings</w:t>
            </w:r>
          </w:p>
        </w:tc>
        <w:tc>
          <w:tcPr>
            <w:tcW w:w="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80" w:type="dxa"/>
            <w:vAlign w:val="bottom"/>
            <w:gridSpan w:val="7"/>
          </w:tcPr>
          <w:p>
            <w:pPr>
              <w:jc w:val="center"/>
              <w:ind w:right="700"/>
              <w:spacing w:after="0"/>
              <w:rPr>
                <w:sz w:val="20"/>
                <w:szCs w:val="20"/>
                <w:color w:val="auto"/>
              </w:rPr>
            </w:pPr>
            <w:r>
              <w:rPr>
                <w:rFonts w:ascii="Arial" w:cs="Arial" w:eastAsia="Arial" w:hAnsi="Arial"/>
                <w:sz w:val="14"/>
                <w:szCs w:val="14"/>
                <w:b w:val="1"/>
                <w:bCs w:val="1"/>
                <w:color w:val="auto"/>
                <w:w w:val="98"/>
              </w:rPr>
              <w:t>Equity</w:t>
            </w:r>
          </w:p>
        </w:tc>
        <w:tc>
          <w:tcPr>
            <w:tcW w:w="0" w:type="dxa"/>
            <w:vAlign w:val="bottom"/>
          </w:tcPr>
          <w:p>
            <w:pPr>
              <w:spacing w:after="0"/>
              <w:rPr>
                <w:sz w:val="1"/>
                <w:szCs w:val="1"/>
                <w:color w:val="auto"/>
              </w:rPr>
            </w:pPr>
          </w:p>
        </w:tc>
      </w:tr>
      <w:tr>
        <w:trPr>
          <w:trHeight w:val="210"/>
        </w:trPr>
        <w:tc>
          <w:tcPr>
            <w:tcW w:w="460" w:type="dxa"/>
            <w:vAlign w:val="bottom"/>
          </w:tcPr>
          <w:p>
            <w:pPr>
              <w:spacing w:after="0"/>
              <w:rPr>
                <w:sz w:val="18"/>
                <w:szCs w:val="18"/>
                <w:color w:val="auto"/>
              </w:rPr>
            </w:pPr>
          </w:p>
        </w:tc>
        <w:tc>
          <w:tcPr>
            <w:tcW w:w="43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December 31, 2013</w:t>
            </w:r>
          </w:p>
        </w:tc>
        <w:tc>
          <w:tcPr>
            <w:tcW w:w="100" w:type="dxa"/>
            <w:vAlign w:val="bottom"/>
            <w:tcBorders>
              <w:top w:val="single" w:sz="8" w:color="CCEEFF"/>
            </w:tcBorders>
            <w:shd w:val="clear" w:color="auto" w:fill="CCEEFF"/>
          </w:tcPr>
          <w:p>
            <w:pPr>
              <w:spacing w:after="0"/>
              <w:rPr>
                <w:sz w:val="18"/>
                <w:szCs w:val="18"/>
                <w:color w:val="auto"/>
              </w:rPr>
            </w:pPr>
          </w:p>
        </w:tc>
        <w:tc>
          <w:tcPr>
            <w:tcW w:w="4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6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CCEEFF"/>
            </w:tcBorders>
            <w:gridSpan w:val="2"/>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480" w:type="dxa"/>
            <w:vAlign w:val="bottom"/>
            <w:tcBorders>
              <w:top w:val="single" w:sz="8" w:color="auto"/>
            </w:tcBorders>
            <w:shd w:val="clear" w:color="auto" w:fill="CCEEFF"/>
          </w:tcPr>
          <w:p>
            <w:pPr>
              <w:ind w:left="220"/>
              <w:spacing w:after="0"/>
              <w:rPr>
                <w:sz w:val="20"/>
                <w:szCs w:val="20"/>
                <w:color w:val="auto"/>
              </w:rPr>
            </w:pPr>
            <w:r>
              <w:rPr>
                <w:rFonts w:ascii="Arial" w:cs="Arial" w:eastAsia="Arial" w:hAnsi="Arial"/>
                <w:sz w:val="18"/>
                <w:szCs w:val="18"/>
                <w:color w:val="auto"/>
                <w:w w:val="79"/>
              </w:rPr>
              <w:t>316</w:t>
            </w:r>
          </w:p>
        </w:tc>
        <w:tc>
          <w:tcPr>
            <w:tcW w:w="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7"/>
              </w:rPr>
              <w:t>$310,878</w:t>
            </w:r>
          </w:p>
        </w:tc>
        <w:tc>
          <w:tcPr>
            <w:tcW w:w="2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$ 11,112</w:t>
            </w:r>
          </w:p>
        </w:tc>
        <w:tc>
          <w:tcPr>
            <w:tcW w:w="18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322,306</w:t>
            </w:r>
          </w:p>
        </w:tc>
        <w:tc>
          <w:tcPr>
            <w:tcW w:w="100" w:type="dxa"/>
            <w:vAlign w:val="bottom"/>
            <w:tcBorders>
              <w:top w:val="single" w:sz="8" w:color="CCEEFF"/>
            </w:tcBorders>
            <w:shd w:val="clear" w:color="auto" w:fill="CCEEFF"/>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4340" w:type="dxa"/>
            <w:vAlign w:val="bottom"/>
          </w:tcPr>
          <w:p>
            <w:pPr>
              <w:ind w:left="360"/>
              <w:spacing w:after="0"/>
              <w:rPr>
                <w:sz w:val="20"/>
                <w:szCs w:val="20"/>
                <w:color w:val="auto"/>
              </w:rPr>
            </w:pPr>
            <w:r>
              <w:rPr>
                <w:rFonts w:ascii="Arial" w:cs="Arial" w:eastAsia="Arial" w:hAnsi="Arial"/>
                <w:sz w:val="18"/>
                <w:szCs w:val="18"/>
                <w:color w:val="auto"/>
              </w:rPr>
              <w:t>Net income</w:t>
            </w: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4,298</w:t>
            </w:r>
          </w:p>
        </w:tc>
        <w:tc>
          <w:tcPr>
            <w:tcW w:w="1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5"/>
          </w:tcPr>
          <w:p>
            <w:pPr>
              <w:jc w:val="right"/>
              <w:ind w:right="100"/>
              <w:spacing w:after="0"/>
              <w:rPr>
                <w:sz w:val="20"/>
                <w:szCs w:val="20"/>
                <w:color w:val="auto"/>
              </w:rPr>
            </w:pPr>
            <w:r>
              <w:rPr>
                <w:rFonts w:ascii="Arial" w:cs="Arial" w:eastAsia="Arial" w:hAnsi="Arial"/>
                <w:sz w:val="18"/>
                <w:szCs w:val="18"/>
                <w:color w:val="auto"/>
              </w:rPr>
              <w:t>4,298</w:t>
            </w: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43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Stock-based compensation expense</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566</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566</w:t>
            </w: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5920" w:type="dxa"/>
            <w:vAlign w:val="bottom"/>
            <w:gridSpan w:val="8"/>
          </w:tcPr>
          <w:p>
            <w:pPr>
              <w:ind w:left="360"/>
              <w:spacing w:after="0"/>
              <w:rPr>
                <w:sz w:val="20"/>
                <w:szCs w:val="20"/>
                <w:color w:val="auto"/>
              </w:rPr>
            </w:pPr>
            <w:r>
              <w:rPr>
                <w:rFonts w:ascii="Arial" w:cs="Arial" w:eastAsia="Arial" w:hAnsi="Arial"/>
                <w:sz w:val="18"/>
                <w:szCs w:val="18"/>
                <w:color w:val="auto"/>
                <w:w w:val="98"/>
              </w:rPr>
              <w:t>Minimum tax withholding paid on behalf of employees for stock awards</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ind w:lef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8"/>
                <w:szCs w:val="18"/>
                <w:color w:val="auto"/>
              </w:rPr>
              <w:t>(303)</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gridSpan w:val="3"/>
          </w:tcPr>
          <w:p>
            <w:pPr>
              <w:jc w:val="right"/>
              <w:ind w:right="40"/>
              <w:spacing w:after="0"/>
              <w:rPr>
                <w:sz w:val="20"/>
                <w:szCs w:val="20"/>
                <w:color w:val="auto"/>
              </w:rPr>
            </w:pPr>
            <w:r>
              <w:rPr>
                <w:rFonts w:ascii="Arial" w:cs="Arial" w:eastAsia="Arial" w:hAnsi="Arial"/>
                <w:sz w:val="18"/>
                <w:szCs w:val="18"/>
                <w:color w:val="auto"/>
                <w:w w:val="90"/>
              </w:rPr>
              <w:t>(303)</w:t>
            </w: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60" w:type="dxa"/>
            <w:vAlign w:val="bottom"/>
            <w:vMerge w:val="restart"/>
          </w:tcPr>
          <w:p>
            <w:pPr>
              <w:spacing w:after="0"/>
              <w:rPr>
                <w:sz w:val="2"/>
                <w:szCs w:val="2"/>
                <w:color w:val="auto"/>
              </w:rPr>
            </w:pPr>
          </w:p>
        </w:tc>
        <w:tc>
          <w:tcPr>
            <w:tcW w:w="4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680" w:type="dxa"/>
            <w:vAlign w:val="bottom"/>
            <w:tcBorders>
              <w:right w:val="single" w:sz="8" w:color="auto"/>
            </w:tcBorders>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580" w:type="dxa"/>
            <w:vAlign w:val="bottom"/>
            <w:tcBorders>
              <w:right w:val="single" w:sz="8" w:color="auto"/>
            </w:tcBorders>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60" w:type="dxa"/>
            <w:vAlign w:val="bottom"/>
            <w:vMerge w:val="continue"/>
          </w:tcPr>
          <w:p>
            <w:pPr>
              <w:spacing w:after="0"/>
              <w:rPr>
                <w:sz w:val="18"/>
                <w:szCs w:val="18"/>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8"/>
                <w:szCs w:val="18"/>
                <w:color w:val="auto"/>
              </w:rPr>
              <w:t>Balance at March 31, 2014</w:t>
            </w: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gridSpan w:val="2"/>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316</w:t>
            </w:r>
          </w:p>
        </w:tc>
        <w:tc>
          <w:tcPr>
            <w:tcW w:w="12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 xml:space="preserve"> 311,141</w:t>
            </w:r>
          </w:p>
        </w:tc>
        <w:tc>
          <w:tcPr>
            <w:tcW w:w="140" w:type="dxa"/>
            <w:vAlign w:val="bottom"/>
            <w:shd w:val="clear" w:color="auto" w:fill="CCEEFF"/>
          </w:tcPr>
          <w:p>
            <w:pPr>
              <w:spacing w:after="0"/>
              <w:rPr>
                <w:sz w:val="18"/>
                <w:szCs w:val="18"/>
                <w:color w:val="auto"/>
              </w:rPr>
            </w:pPr>
          </w:p>
        </w:tc>
        <w:tc>
          <w:tcPr>
            <w:tcW w:w="900" w:type="dxa"/>
            <w:vAlign w:val="bottom"/>
            <w:gridSpan w:val="3"/>
            <w:shd w:val="clear" w:color="auto" w:fill="CCEEFF"/>
          </w:tcPr>
          <w:p>
            <w:pPr>
              <w:ind w:left="14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15,410</w:t>
            </w:r>
          </w:p>
        </w:tc>
        <w:tc>
          <w:tcPr>
            <w:tcW w:w="44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w:t>
            </w:r>
          </w:p>
        </w:tc>
        <w:tc>
          <w:tcPr>
            <w:tcW w:w="820" w:type="dxa"/>
            <w:vAlign w:val="bottom"/>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326,867</w:t>
            </w: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6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right="100" w:firstLine="456"/>
        <w:spacing w:after="0" w:line="276" w:lineRule="auto"/>
        <w:rPr>
          <w:sz w:val="20"/>
          <w:szCs w:val="20"/>
          <w:color w:val="auto"/>
        </w:rPr>
      </w:pPr>
      <w:r>
        <w:rPr>
          <w:rFonts w:ascii="Arial" w:cs="Arial" w:eastAsia="Arial" w:hAnsi="Arial"/>
          <w:sz w:val="17"/>
          <w:szCs w:val="17"/>
          <w:color w:val="auto"/>
        </w:rPr>
        <w:t>In January 2013, the Company completed its IPO in which it issued and sold 10,000,000 shares of common stock at the public offering price of $17.00 per share. The Company received $155.4 million in net proceeds after deducting underwriting discounts and commissions of $11.9 million and other net offering expenses of $2.7 million. In preparation of the IPO, the Company reorganized from a Delaware limited liability company into a Delaware corporation and was renamed TRI Pointe Homes, Inc. Upon the close of the IPO and as of March 31, 2013, the Company had 31,597,907 common shares outstanding. As of March 31, 2014, the Company had 31,632,533 common shares outstanding.</w:t>
      </w:r>
    </w:p>
    <w:p>
      <w:pPr>
        <w:spacing w:after="0" w:line="28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117" w:lineRule="exact"/>
        <w:rPr>
          <w:sz w:val="20"/>
          <w:szCs w:val="20"/>
          <w:color w:val="auto"/>
        </w:rPr>
      </w:pPr>
    </w:p>
    <w:p>
      <w:pPr>
        <w:ind w:right="160" w:firstLine="456"/>
        <w:spacing w:after="0" w:line="257" w:lineRule="auto"/>
        <w:rPr>
          <w:sz w:val="20"/>
          <w:szCs w:val="20"/>
          <w:color w:val="auto"/>
        </w:rPr>
      </w:pPr>
      <w:r>
        <w:rPr>
          <w:rFonts w:ascii="Arial" w:cs="Arial" w:eastAsia="Arial" w:hAnsi="Arial"/>
          <w:sz w:val="18"/>
          <w:szCs w:val="18"/>
          <w:color w:val="auto"/>
        </w:rPr>
        <w:t>The Company’s stock compensation plan, the 2013 Long-Term Incentive Plan (“2013 Incentive Plan”), was adopted by our board of directors in January 2013. The 2013 Incentive Plan provides for the grant of equity-based awards, including options to purchase shares of common stock, stock appreciation rights, common stock, restricted stock, restricted stock units and performance awards. The 2013 Incentive Plan will automatically expire on the tenth anniversary of its effective date. Our board of directors may terminate or amend the 2013 Incentive Plan at any time, subject to any requirement of stockholder approval required by applicable law, rule or regulation.</w:t>
      </w:r>
    </w:p>
    <w:p>
      <w:pPr>
        <w:spacing w:after="0" w:line="188" w:lineRule="exact"/>
        <w:rPr>
          <w:sz w:val="20"/>
          <w:szCs w:val="20"/>
          <w:color w:val="auto"/>
        </w:rPr>
      </w:pPr>
    </w:p>
    <w:p>
      <w:pPr>
        <w:ind w:right="140" w:firstLine="456"/>
        <w:spacing w:after="0" w:line="257" w:lineRule="auto"/>
        <w:rPr>
          <w:sz w:val="20"/>
          <w:szCs w:val="20"/>
          <w:color w:val="auto"/>
        </w:rPr>
      </w:pPr>
      <w:r>
        <w:rPr>
          <w:rFonts w:ascii="Arial" w:cs="Arial" w:eastAsia="Arial" w:hAnsi="Arial"/>
          <w:sz w:val="18"/>
          <w:szCs w:val="18"/>
          <w:color w:val="auto"/>
        </w:rPr>
        <w:t>The number of shares of our common stock that may be issued under the 2013 Incentive Plan is 2,527,833 shares. To the extent that shares of our common stock subject to an outstanding option, stock appreciation right, stock award or performance award granted under the 2013 Incentive Plan or any predecessor plan are not issued or delivered by reason of the expiration, termination, cancellation or forfeiture of such award or the settlement of such award in cash, then such shares of our common stock generally shall again be available under our the 2013 Incentive Plan. As of March 31, 2014 there were 2,113,988 shares available for future grant in the 2013 Incentive Plan.</w:t>
      </w:r>
    </w:p>
    <w:p>
      <w:pPr>
        <w:spacing w:after="0" w:line="188" w:lineRule="exact"/>
        <w:rPr>
          <w:sz w:val="20"/>
          <w:szCs w:val="20"/>
          <w:color w:val="auto"/>
        </w:rPr>
      </w:pPr>
    </w:p>
    <w:p>
      <w:pPr>
        <w:ind w:right="240" w:firstLine="456"/>
        <w:spacing w:after="0" w:line="257" w:lineRule="auto"/>
        <w:rPr>
          <w:sz w:val="20"/>
          <w:szCs w:val="20"/>
          <w:color w:val="auto"/>
        </w:rPr>
      </w:pPr>
      <w:r>
        <w:rPr>
          <w:rFonts w:ascii="Arial" w:cs="Arial" w:eastAsia="Arial" w:hAnsi="Arial"/>
          <w:sz w:val="18"/>
          <w:szCs w:val="18"/>
          <w:color w:val="auto"/>
        </w:rPr>
        <w:t>The Company has issued stock option awards and restricted stock unit awards against the 2013 Incentive Plan. The exercise price of our stock-based awards may not be less than the market value of our common stock on the date of grant. The fair value for stock options is established at the date of grant using the Black-Scholes model for time based vesting awards. Our stock option awards typically vest over a one to three year period and expire ten years from the date of grant. Our restricted stock awards are valued based on the closing price of our common stock on the date of grant and typically vest over a one to three year period.</w:t>
      </w:r>
    </w:p>
    <w:p>
      <w:pPr>
        <w:spacing w:after="0" w:line="1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- 14 -</w:t>
      </w:r>
    </w:p>
    <w:p>
      <w:pPr>
        <w:sectPr>
          <w:pgSz w:w="11900" w:h="16838" w:orient="portrait"/>
          <w:cols w:equalWidth="0" w:num="1">
            <w:col w:w="11420"/>
          </w:cols>
          <w:pgMar w:left="240" w:top="459" w:right="2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presents compensation expense recognized related to all stock-based awards (in thousands):</w:t>
      </w:r>
    </w:p>
    <w:p>
      <w:pPr>
        <w:spacing w:after="0" w:line="244" w:lineRule="exact"/>
        <w:rPr>
          <w:sz w:val="20"/>
          <w:szCs w:val="20"/>
          <w:color w:val="auto"/>
        </w:rPr>
      </w:pPr>
    </w:p>
    <w:p>
      <w:pPr>
        <w:jc w:val="center"/>
        <w:ind w:left="6840"/>
        <w:spacing w:after="0"/>
        <w:rPr>
          <w:sz w:val="20"/>
          <w:szCs w:val="20"/>
          <w:color w:val="auto"/>
        </w:rPr>
      </w:pPr>
      <w:r>
        <w:rPr>
          <w:rFonts w:ascii="Arial" w:cs="Arial" w:eastAsia="Arial" w:hAnsi="Arial"/>
          <w:sz w:val="14"/>
          <w:szCs w:val="14"/>
          <w:b w:val="1"/>
          <w:bCs w:val="1"/>
          <w:color w:val="auto"/>
        </w:rPr>
        <w:t>Three Months Ended</w:t>
      </w:r>
    </w:p>
    <w:p>
      <w:pPr>
        <w:jc w:val="center"/>
        <w:ind w:left="6840"/>
        <w:spacing w:after="0" w:line="236" w:lineRule="auto"/>
        <w:rPr>
          <w:sz w:val="20"/>
          <w:szCs w:val="20"/>
          <w:color w:val="auto"/>
        </w:rPr>
      </w:pPr>
      <w:r>
        <w:rPr>
          <w:rFonts w:ascii="Arial" w:cs="Arial" w:eastAsia="Arial" w:hAnsi="Arial"/>
          <w:sz w:val="14"/>
          <w:szCs w:val="14"/>
          <w:b w:val="1"/>
          <w:bCs w:val="1"/>
          <w:color w:val="auto"/>
        </w:rPr>
        <w:t>March 31,</w:t>
      </w:r>
    </w:p>
    <w:p>
      <w:pPr>
        <w:spacing w:after="0" w:line="1" w:lineRule="exact"/>
        <w:rPr>
          <w:sz w:val="20"/>
          <w:szCs w:val="20"/>
          <w:color w:val="auto"/>
        </w:rPr>
      </w:pPr>
    </w:p>
    <w:tbl>
      <w:tblPr>
        <w:tblLayout w:type="fixed"/>
        <w:tblInd w:w="1380" w:type="dxa"/>
        <w:tblCellMar>
          <w:top w:w="0" w:type="dxa"/>
          <w:left w:w="0" w:type="dxa"/>
          <w:bottom w:w="0" w:type="dxa"/>
          <w:right w:w="0" w:type="dxa"/>
        </w:tblCellMar>
      </w:tblPr>
      <w:tr>
        <w:trPr>
          <w:trHeight w:val="142"/>
        </w:trPr>
        <w:tc>
          <w:tcPr>
            <w:tcW w:w="4620" w:type="dxa"/>
            <w:vAlign w:val="bottom"/>
          </w:tcPr>
          <w:p>
            <w:pPr>
              <w:spacing w:after="0"/>
              <w:rPr>
                <w:sz w:val="12"/>
                <w:szCs w:val="12"/>
                <w:color w:val="auto"/>
              </w:rPr>
            </w:pPr>
          </w:p>
        </w:tc>
        <w:tc>
          <w:tcPr>
            <w:tcW w:w="2320" w:type="dxa"/>
            <w:vAlign w:val="bottom"/>
          </w:tcPr>
          <w:p>
            <w:pPr>
              <w:spacing w:after="0"/>
              <w:rPr>
                <w:sz w:val="12"/>
                <w:szCs w:val="12"/>
                <w:color w:val="auto"/>
              </w:rPr>
            </w:pPr>
          </w:p>
        </w:tc>
        <w:tc>
          <w:tcPr>
            <w:tcW w:w="500" w:type="dxa"/>
            <w:vAlign w:val="bottom"/>
            <w:tcBorders>
              <w:top w:val="single" w:sz="8" w:color="auto"/>
            </w:tcBorders>
          </w:tcPr>
          <w:p>
            <w:pPr>
              <w:jc w:val="right"/>
              <w:ind w:right="39"/>
              <w:spacing w:after="0" w:line="142" w:lineRule="exact"/>
              <w:rPr>
                <w:sz w:val="20"/>
                <w:szCs w:val="20"/>
                <w:color w:val="auto"/>
              </w:rPr>
            </w:pPr>
            <w:r>
              <w:rPr>
                <w:rFonts w:ascii="Arial" w:cs="Arial" w:eastAsia="Arial" w:hAnsi="Arial"/>
                <w:sz w:val="14"/>
                <w:szCs w:val="14"/>
                <w:b w:val="1"/>
                <w:bCs w:val="1"/>
                <w:color w:val="auto"/>
              </w:rPr>
              <w:t>2014</w:t>
            </w:r>
          </w:p>
        </w:tc>
        <w:tc>
          <w:tcPr>
            <w:tcW w:w="1140" w:type="dxa"/>
            <w:vAlign w:val="bottom"/>
            <w:tcBorders>
              <w:top w:val="single" w:sz="8" w:color="auto"/>
            </w:tcBorders>
            <w:gridSpan w:val="2"/>
          </w:tcPr>
          <w:p>
            <w:pPr>
              <w:jc w:val="right"/>
              <w:ind w:right="50"/>
              <w:spacing w:after="0" w:line="142" w:lineRule="exact"/>
              <w:rPr>
                <w:sz w:val="20"/>
                <w:szCs w:val="20"/>
                <w:color w:val="auto"/>
              </w:rPr>
            </w:pPr>
            <w:r>
              <w:rPr>
                <w:rFonts w:ascii="Arial" w:cs="Arial" w:eastAsia="Arial" w:hAnsi="Arial"/>
                <w:sz w:val="14"/>
                <w:szCs w:val="14"/>
                <w:b w:val="1"/>
                <w:bCs w:val="1"/>
                <w:color w:val="auto"/>
              </w:rPr>
              <w:t>2013</w:t>
            </w:r>
          </w:p>
        </w:tc>
        <w:tc>
          <w:tcPr>
            <w:tcW w:w="100" w:type="dxa"/>
            <w:vAlign w:val="bottom"/>
          </w:tcPr>
          <w:p>
            <w:pPr>
              <w:spacing w:after="0"/>
              <w:rPr>
                <w:sz w:val="12"/>
                <w:szCs w:val="12"/>
                <w:color w:val="auto"/>
              </w:rPr>
            </w:pPr>
          </w:p>
        </w:tc>
      </w:tr>
      <w:tr>
        <w:trPr>
          <w:trHeight w:val="210"/>
        </w:trPr>
        <w:tc>
          <w:tcPr>
            <w:tcW w:w="46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stock-based compensation</w:t>
            </w:r>
          </w:p>
        </w:tc>
        <w:tc>
          <w:tcPr>
            <w:tcW w:w="2320" w:type="dxa"/>
            <w:vAlign w:val="bottom"/>
            <w:tcBorders>
              <w:top w:val="single" w:sz="8" w:color="CCEEFF"/>
            </w:tcBorders>
            <w:shd w:val="clear" w:color="auto" w:fill="CCEEFF"/>
          </w:tcPr>
          <w:p>
            <w:pPr>
              <w:spacing w:after="0"/>
              <w:rPr>
                <w:sz w:val="18"/>
                <w:szCs w:val="18"/>
                <w:color w:val="auto"/>
              </w:rPr>
            </w:pP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1"/>
              </w:rPr>
              <w:t>$  566</w:t>
            </w:r>
          </w:p>
        </w:tc>
        <w:tc>
          <w:tcPr>
            <w:tcW w:w="600" w:type="dxa"/>
            <w:vAlign w:val="bottom"/>
            <w:tcBorders>
              <w:top w:val="single" w:sz="8" w:color="CCEEFF"/>
            </w:tcBorders>
            <w:shd w:val="clear" w:color="auto" w:fill="CCEEFF"/>
          </w:tcPr>
          <w:p>
            <w:pPr>
              <w:spacing w:after="0"/>
              <w:rPr>
                <w:sz w:val="18"/>
                <w:szCs w:val="18"/>
                <w:color w:val="auto"/>
              </w:rPr>
            </w:pPr>
          </w:p>
        </w:tc>
        <w:tc>
          <w:tcPr>
            <w:tcW w:w="5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  327</w:t>
            </w:r>
          </w:p>
        </w:tc>
        <w:tc>
          <w:tcPr>
            <w:tcW w:w="100" w:type="dxa"/>
            <w:vAlign w:val="bottom"/>
            <w:tcBorders>
              <w:top w:val="single" w:sz="8" w:color="CCEEFF"/>
            </w:tcBorders>
            <w:shd w:val="clear" w:color="auto" w:fill="CCEEFF"/>
          </w:tcPr>
          <w:p>
            <w:pPr>
              <w:spacing w:after="0"/>
              <w:rPr>
                <w:sz w:val="18"/>
                <w:szCs w:val="18"/>
                <w:color w:val="auto"/>
              </w:rPr>
            </w:pPr>
          </w:p>
        </w:tc>
      </w:tr>
      <w:tr>
        <w:trPr>
          <w:trHeight w:val="20"/>
        </w:trPr>
        <w:tc>
          <w:tcPr>
            <w:tcW w:w="4620" w:type="dxa"/>
            <w:vAlign w:val="bottom"/>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15"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As of March 31, 2014, total compensation cost related to all non-vested awards not yet recognized was $3.8 million and the weighted average term over which the expense was expected to be recognized was 1.4 years.</w:t>
      </w:r>
    </w:p>
    <w:p>
      <w:pPr>
        <w:spacing w:after="0" w:line="27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Summary of Stock Option Activity</w:t>
      </w:r>
    </w:p>
    <w:p>
      <w:pPr>
        <w:spacing w:after="0" w:line="117" w:lineRule="exact"/>
        <w:rPr>
          <w:sz w:val="20"/>
          <w:szCs w:val="20"/>
          <w:color w:val="auto"/>
        </w:rPr>
      </w:pPr>
    </w:p>
    <w:p>
      <w:pPr>
        <w:ind w:right="80" w:firstLine="456"/>
        <w:spacing w:after="0" w:line="277" w:lineRule="auto"/>
        <w:rPr>
          <w:sz w:val="20"/>
          <w:szCs w:val="20"/>
          <w:color w:val="auto"/>
        </w:rPr>
      </w:pPr>
      <w:r>
        <w:rPr>
          <w:rFonts w:ascii="Arial" w:cs="Arial" w:eastAsia="Arial" w:hAnsi="Arial"/>
          <w:sz w:val="18"/>
          <w:szCs w:val="18"/>
          <w:color w:val="auto"/>
        </w:rPr>
        <w:t>The following table presents a summary of stock option awards relating to our 2013 Incentive Plan for the three months ended March 31, 2014 (dollars in thousands, except per share amounts):</w:t>
      </w:r>
    </w:p>
    <w:p>
      <w:pPr>
        <w:spacing w:after="0" w:line="189" w:lineRule="exact"/>
        <w:rPr>
          <w:sz w:val="20"/>
          <w:szCs w:val="20"/>
          <w:color w:val="auto"/>
        </w:rPr>
      </w:pPr>
    </w:p>
    <w:tbl>
      <w:tblPr>
        <w:tblLayout w:type="fixed"/>
        <w:tblInd w:w="46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6120" w:type="dxa"/>
            <w:vAlign w:val="bottom"/>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800" w:type="dxa"/>
            <w:vAlign w:val="bottom"/>
            <w:tcBorders>
              <w:bottom w:val="single" w:sz="8" w:color="auto"/>
            </w:tcBorders>
            <w:gridSpan w:val="5"/>
          </w:tcPr>
          <w:p>
            <w:pPr>
              <w:ind w:left="320"/>
              <w:spacing w:after="0"/>
              <w:rPr>
                <w:sz w:val="20"/>
                <w:szCs w:val="20"/>
                <w:color w:val="auto"/>
              </w:rPr>
            </w:pPr>
            <w:r>
              <w:rPr>
                <w:rFonts w:ascii="Arial" w:cs="Arial" w:eastAsia="Arial" w:hAnsi="Arial"/>
                <w:sz w:val="14"/>
                <w:szCs w:val="14"/>
                <w:b w:val="1"/>
                <w:bCs w:val="1"/>
                <w:color w:val="auto"/>
              </w:rPr>
              <w:t>Three Months Ended March, 31 2014</w:t>
            </w:r>
          </w:p>
        </w:tc>
        <w:tc>
          <w:tcPr>
            <w:tcW w:w="1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1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160" w:type="dxa"/>
            <w:vAlign w:val="bottom"/>
            <w:gridSpan w:val="2"/>
          </w:tcPr>
          <w:p>
            <w:pPr>
              <w:jc w:val="center"/>
              <w:ind w:right="540"/>
              <w:spacing w:after="0" w:line="119" w:lineRule="exact"/>
              <w:rPr>
                <w:sz w:val="20"/>
                <w:szCs w:val="20"/>
                <w:color w:val="auto"/>
              </w:rPr>
            </w:pPr>
            <w:r>
              <w:rPr>
                <w:rFonts w:ascii="Arial" w:cs="Arial" w:eastAsia="Arial" w:hAnsi="Arial"/>
                <w:sz w:val="13"/>
                <w:szCs w:val="13"/>
                <w:b w:val="1"/>
                <w:bCs w:val="1"/>
                <w:color w:val="auto"/>
                <w:w w:val="99"/>
              </w:rPr>
              <w:t>Weighted</w:t>
            </w:r>
          </w:p>
        </w:tc>
        <w:tc>
          <w:tcPr>
            <w:tcW w:w="1120" w:type="dxa"/>
            <w:vAlign w:val="bottom"/>
            <w:gridSpan w:val="2"/>
          </w:tcPr>
          <w:p>
            <w:pPr>
              <w:jc w:val="center"/>
              <w:ind w:right="380"/>
              <w:spacing w:after="0" w:line="119" w:lineRule="exact"/>
              <w:rPr>
                <w:sz w:val="20"/>
                <w:szCs w:val="20"/>
                <w:color w:val="auto"/>
              </w:rPr>
            </w:pPr>
            <w:r>
              <w:rPr>
                <w:rFonts w:ascii="Arial" w:cs="Arial" w:eastAsia="Arial" w:hAnsi="Arial"/>
                <w:sz w:val="13"/>
                <w:szCs w:val="13"/>
                <w:b w:val="1"/>
                <w:bCs w:val="1"/>
                <w:color w:val="auto"/>
                <w:w w:val="99"/>
              </w:rPr>
              <w:t>Weighted</w:t>
            </w:r>
          </w:p>
        </w:tc>
        <w:tc>
          <w:tcPr>
            <w:tcW w:w="1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160" w:type="dxa"/>
            <w:vAlign w:val="bottom"/>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90"/>
              </w:rPr>
              <w:t>Average</w:t>
            </w:r>
          </w:p>
        </w:tc>
        <w:tc>
          <w:tcPr>
            <w:tcW w:w="112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0"/>
              </w:rPr>
              <w:t>Average</w:t>
            </w:r>
          </w:p>
        </w:tc>
        <w:tc>
          <w:tcPr>
            <w:tcW w:w="180" w:type="dxa"/>
            <w:vAlign w:val="bottom"/>
          </w:tcPr>
          <w:p>
            <w:pPr>
              <w:spacing w:after="0"/>
              <w:rPr>
                <w:sz w:val="12"/>
                <w:szCs w:val="12"/>
                <w:color w:val="auto"/>
              </w:rPr>
            </w:pPr>
          </w:p>
        </w:tc>
        <w:tc>
          <w:tcPr>
            <w:tcW w:w="7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89"/>
              </w:rPr>
              <w:t>Aggregate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160" w:type="dxa"/>
            <w:vAlign w:val="bottom"/>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86"/>
              </w:rPr>
              <w:t>Exercise</w:t>
            </w:r>
          </w:p>
        </w:tc>
        <w:tc>
          <w:tcPr>
            <w:tcW w:w="112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2"/>
              </w:rPr>
              <w:t>Remaining</w:t>
            </w:r>
          </w:p>
        </w:tc>
        <w:tc>
          <w:tcPr>
            <w:tcW w:w="180" w:type="dxa"/>
            <w:vAlign w:val="bottom"/>
          </w:tcPr>
          <w:p>
            <w:pPr>
              <w:spacing w:after="0"/>
              <w:rPr>
                <w:sz w:val="12"/>
                <w:szCs w:val="12"/>
                <w:color w:val="auto"/>
              </w:rPr>
            </w:pPr>
          </w:p>
        </w:tc>
        <w:tc>
          <w:tcPr>
            <w:tcW w:w="7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20" w:type="dxa"/>
            <w:vAlign w:val="bottom"/>
          </w:tcPr>
          <w:p>
            <w:pPr>
              <w:spacing w:after="0"/>
              <w:rPr>
                <w:sz w:val="12"/>
                <w:szCs w:val="12"/>
                <w:color w:val="auto"/>
              </w:rPr>
            </w:pPr>
          </w:p>
        </w:tc>
        <w:tc>
          <w:tcPr>
            <w:tcW w:w="6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Options</w:t>
            </w:r>
          </w:p>
        </w:tc>
        <w:tc>
          <w:tcPr>
            <w:tcW w:w="520" w:type="dxa"/>
            <w:vAlign w:val="bottom"/>
          </w:tcPr>
          <w:p>
            <w:pPr>
              <w:spacing w:after="0"/>
              <w:rPr>
                <w:sz w:val="12"/>
                <w:szCs w:val="12"/>
                <w:color w:val="auto"/>
              </w:rPr>
            </w:pPr>
          </w:p>
        </w:tc>
        <w:tc>
          <w:tcPr>
            <w:tcW w:w="116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93"/>
              </w:rPr>
              <w:t>Price</w:t>
            </w:r>
          </w:p>
        </w:tc>
        <w:tc>
          <w:tcPr>
            <w:tcW w:w="112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5"/>
              </w:rPr>
              <w:t>Contractual</w:t>
            </w:r>
          </w:p>
        </w:tc>
        <w:tc>
          <w:tcPr>
            <w:tcW w:w="180" w:type="dxa"/>
            <w:vAlign w:val="bottom"/>
          </w:tcPr>
          <w:p>
            <w:pPr>
              <w:spacing w:after="0"/>
              <w:rPr>
                <w:sz w:val="12"/>
                <w:szCs w:val="12"/>
                <w:color w:val="auto"/>
              </w:rPr>
            </w:pPr>
          </w:p>
        </w:tc>
        <w:tc>
          <w:tcPr>
            <w:tcW w:w="7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9"/>
              </w:rPr>
              <w:t>Intrinsic</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120" w:type="dxa"/>
            <w:vAlign w:val="bottom"/>
          </w:tcPr>
          <w:p>
            <w:pPr>
              <w:spacing w:after="0"/>
              <w:rPr>
                <w:sz w:val="14"/>
                <w:szCs w:val="14"/>
                <w:color w:val="auto"/>
              </w:rPr>
            </w:pPr>
          </w:p>
        </w:tc>
        <w:tc>
          <w:tcPr>
            <w:tcW w:w="660" w:type="dxa"/>
            <w:vAlign w:val="bottom"/>
            <w:gridSpan w:val="2"/>
            <w:vMerge w:val="continue"/>
          </w:tcPr>
          <w:p>
            <w:pPr>
              <w:spacing w:after="0"/>
              <w:rPr>
                <w:sz w:val="14"/>
                <w:szCs w:val="14"/>
                <w:color w:val="auto"/>
              </w:rPr>
            </w:pPr>
          </w:p>
        </w:tc>
        <w:tc>
          <w:tcPr>
            <w:tcW w:w="520" w:type="dxa"/>
            <w:vAlign w:val="bottom"/>
          </w:tcPr>
          <w:p>
            <w:pPr>
              <w:spacing w:after="0"/>
              <w:rPr>
                <w:sz w:val="14"/>
                <w:szCs w:val="14"/>
                <w:color w:val="auto"/>
              </w:rPr>
            </w:pPr>
          </w:p>
        </w:tc>
        <w:tc>
          <w:tcPr>
            <w:tcW w:w="1160" w:type="dxa"/>
            <w:vAlign w:val="bottom"/>
            <w:gridSpan w:val="2"/>
          </w:tcPr>
          <w:p>
            <w:pPr>
              <w:jc w:val="center"/>
              <w:ind w:right="540"/>
              <w:spacing w:after="0"/>
              <w:rPr>
                <w:sz w:val="20"/>
                <w:szCs w:val="20"/>
                <w:color w:val="auto"/>
              </w:rPr>
            </w:pPr>
            <w:r>
              <w:rPr>
                <w:rFonts w:ascii="Arial" w:cs="Arial" w:eastAsia="Arial" w:hAnsi="Arial"/>
                <w:sz w:val="14"/>
                <w:szCs w:val="14"/>
                <w:b w:val="1"/>
                <w:bCs w:val="1"/>
                <w:color w:val="auto"/>
                <w:w w:val="94"/>
              </w:rPr>
              <w:t>Per Share</w:t>
            </w:r>
          </w:p>
        </w:tc>
        <w:tc>
          <w:tcPr>
            <w:tcW w:w="11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rPr>
              <w:t>Life</w:t>
            </w:r>
          </w:p>
        </w:tc>
        <w:tc>
          <w:tcPr>
            <w:tcW w:w="180" w:type="dxa"/>
            <w:vAlign w:val="bottom"/>
          </w:tcPr>
          <w:p>
            <w:pPr>
              <w:spacing w:after="0"/>
              <w:rPr>
                <w:sz w:val="14"/>
                <w:szCs w:val="14"/>
                <w:color w:val="auto"/>
              </w:rPr>
            </w:pPr>
          </w:p>
        </w:tc>
        <w:tc>
          <w:tcPr>
            <w:tcW w:w="7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1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Options outstanding at December 31, 2013</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285,900</w:t>
            </w:r>
          </w:p>
        </w:tc>
        <w:tc>
          <w:tcPr>
            <w:tcW w:w="20" w:type="dxa"/>
            <w:vAlign w:val="bottom"/>
            <w:tcBorders>
              <w:top w:val="single" w:sz="8" w:color="CCEEFF"/>
            </w:tcBorders>
            <w:shd w:val="clear" w:color="auto" w:fill="CCEEFF"/>
          </w:tcPr>
          <w:p>
            <w:pPr>
              <w:spacing w:after="0"/>
              <w:rPr>
                <w:sz w:val="18"/>
                <w:szCs w:val="18"/>
                <w:color w:val="auto"/>
              </w:rPr>
            </w:pPr>
          </w:p>
        </w:tc>
        <w:tc>
          <w:tcPr>
            <w:tcW w:w="520" w:type="dxa"/>
            <w:vAlign w:val="bottom"/>
            <w:tcBorders>
              <w:top w:val="single" w:sz="8" w:color="CCEEFF"/>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$ 17.04</w:t>
            </w:r>
          </w:p>
        </w:tc>
        <w:tc>
          <w:tcPr>
            <w:tcW w:w="54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9.1</w:t>
            </w:r>
          </w:p>
        </w:tc>
        <w:tc>
          <w:tcPr>
            <w:tcW w:w="3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rPr>
              <w:t>$   827</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Pr>
          <w:p>
            <w:pPr>
              <w:ind w:left="340"/>
              <w:spacing w:after="0"/>
              <w:rPr>
                <w:sz w:val="20"/>
                <w:szCs w:val="20"/>
                <w:color w:val="auto"/>
              </w:rPr>
            </w:pPr>
            <w:r>
              <w:rPr>
                <w:rFonts w:ascii="Arial" w:cs="Arial" w:eastAsia="Arial" w:hAnsi="Arial"/>
                <w:sz w:val="18"/>
                <w:szCs w:val="18"/>
                <w:color w:val="auto"/>
              </w:rPr>
              <w:t>Granted</w:t>
            </w:r>
          </w:p>
        </w:tc>
        <w:tc>
          <w:tcPr>
            <w:tcW w:w="660" w:type="dxa"/>
            <w:vAlign w:val="bottom"/>
            <w:gridSpan w:val="2"/>
          </w:tcPr>
          <w:p>
            <w:pPr>
              <w:ind w:left="38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8"/>
                <w:szCs w:val="18"/>
                <w:color w:val="auto"/>
              </w:rPr>
            </w:pPr>
          </w:p>
        </w:tc>
        <w:tc>
          <w:tcPr>
            <w:tcW w:w="116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112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72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Exercised</w:t>
            </w:r>
          </w:p>
        </w:tc>
        <w:tc>
          <w:tcPr>
            <w:tcW w:w="66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120" w:type="dxa"/>
            <w:vAlign w:val="bottom"/>
          </w:tcPr>
          <w:p>
            <w:pPr>
              <w:ind w:left="340"/>
              <w:spacing w:after="0"/>
              <w:rPr>
                <w:sz w:val="20"/>
                <w:szCs w:val="20"/>
                <w:color w:val="auto"/>
              </w:rPr>
            </w:pPr>
            <w:r>
              <w:rPr>
                <w:rFonts w:ascii="Arial" w:cs="Arial" w:eastAsia="Arial" w:hAnsi="Arial"/>
                <w:sz w:val="18"/>
                <w:szCs w:val="18"/>
                <w:color w:val="auto"/>
              </w:rPr>
              <w:t>Forfeited</w:t>
            </w:r>
          </w:p>
        </w:tc>
        <w:tc>
          <w:tcPr>
            <w:tcW w:w="640" w:type="dxa"/>
            <w:vAlign w:val="bottom"/>
            <w:tcBorders>
              <w:bottom w:val="single" w:sz="8" w:color="auto"/>
            </w:tcBorders>
          </w:tcPr>
          <w:p>
            <w:pPr>
              <w:ind w:left="3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16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112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72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Options outstanding at March 31, 2014</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285,900</w:t>
            </w:r>
          </w:p>
        </w:tc>
        <w:tc>
          <w:tcPr>
            <w:tcW w:w="20" w:type="dxa"/>
            <w:vAlign w:val="bottom"/>
            <w:shd w:val="clear" w:color="auto" w:fill="CCEEFF"/>
          </w:tcPr>
          <w:p>
            <w:pPr>
              <w:spacing w:after="0"/>
              <w:rPr>
                <w:sz w:val="18"/>
                <w:szCs w:val="18"/>
                <w:color w:val="auto"/>
              </w:rPr>
            </w:pPr>
          </w:p>
        </w:tc>
        <w:tc>
          <w:tcPr>
            <w:tcW w:w="168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17.04</w:t>
            </w:r>
          </w:p>
        </w:tc>
        <w:tc>
          <w:tcPr>
            <w:tcW w:w="11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8.8</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6140" w:type="dxa"/>
            <w:vAlign w:val="bottom"/>
            <w:gridSpan w:val="2"/>
            <w:vMerge w:val="restart"/>
          </w:tcPr>
          <w:p>
            <w:pPr>
              <w:spacing w:after="0"/>
              <w:rPr>
                <w:sz w:val="20"/>
                <w:szCs w:val="20"/>
                <w:color w:val="auto"/>
              </w:rPr>
            </w:pPr>
            <w:r>
              <w:rPr>
                <w:rFonts w:ascii="Arial" w:cs="Arial" w:eastAsia="Arial" w:hAnsi="Arial"/>
                <w:sz w:val="18"/>
                <w:szCs w:val="18"/>
                <w:color w:val="auto"/>
              </w:rPr>
              <w:t>Options exercisable at March 31, 2014</w:t>
            </w:r>
          </w:p>
        </w:tc>
        <w:tc>
          <w:tcPr>
            <w:tcW w:w="660" w:type="dxa"/>
            <w:vAlign w:val="bottom"/>
            <w:gridSpan w:val="2"/>
          </w:tcPr>
          <w:p>
            <w:pPr>
              <w:spacing w:after="0" w:line="20" w:lineRule="exact"/>
              <w:rPr>
                <w:sz w:val="1"/>
                <w:szCs w:val="1"/>
                <w:color w:val="auto"/>
              </w:rPr>
            </w:pPr>
          </w:p>
        </w:tc>
        <w:tc>
          <w:tcPr>
            <w:tcW w:w="1680" w:type="dxa"/>
            <w:vAlign w:val="bottom"/>
            <w:gridSpan w:val="3"/>
            <w:vMerge w:val="restart"/>
          </w:tcPr>
          <w:p>
            <w:pPr>
              <w:jc w:val="right"/>
              <w:ind w:right="540"/>
              <w:spacing w:after="0"/>
              <w:rPr>
                <w:sz w:val="20"/>
                <w:szCs w:val="20"/>
                <w:color w:val="auto"/>
              </w:rPr>
            </w:pPr>
            <w:r>
              <w:rPr>
                <w:rFonts w:ascii="Arial" w:cs="Arial" w:eastAsia="Arial" w:hAnsi="Arial"/>
                <w:sz w:val="18"/>
                <w:szCs w:val="18"/>
                <w:color w:val="auto"/>
              </w:rPr>
              <w:t>17.11</w:t>
            </w:r>
          </w:p>
        </w:tc>
        <w:tc>
          <w:tcPr>
            <w:tcW w:w="1120" w:type="dxa"/>
            <w:vAlign w:val="bottom"/>
            <w:gridSpan w:val="2"/>
            <w:vMerge w:val="restart"/>
          </w:tcPr>
          <w:p>
            <w:pPr>
              <w:jc w:val="right"/>
              <w:ind w:right="360"/>
              <w:spacing w:after="0"/>
              <w:rPr>
                <w:sz w:val="20"/>
                <w:szCs w:val="20"/>
                <w:color w:val="auto"/>
              </w:rPr>
            </w:pPr>
            <w:r>
              <w:rPr>
                <w:rFonts w:ascii="Arial" w:cs="Arial" w:eastAsia="Arial" w:hAnsi="Arial"/>
                <w:sz w:val="18"/>
                <w:szCs w:val="18"/>
                <w:color w:val="auto"/>
              </w:rPr>
              <w:t>8.8</w:t>
            </w:r>
          </w:p>
        </w:tc>
        <w:tc>
          <w:tcPr>
            <w:tcW w:w="180" w:type="dxa"/>
            <w:vAlign w:val="bottom"/>
          </w:tcPr>
          <w:p>
            <w:pPr>
              <w:spacing w:after="0" w:line="20" w:lineRule="exact"/>
              <w:rPr>
                <w:sz w:val="1"/>
                <w:szCs w:val="1"/>
                <w:color w:val="auto"/>
              </w:rPr>
            </w:pPr>
          </w:p>
        </w:tc>
        <w:tc>
          <w:tcPr>
            <w:tcW w:w="720" w:type="dxa"/>
            <w:vAlign w:val="bottom"/>
            <w:gridSpan w:val="2"/>
            <w:vMerge w:val="restart"/>
          </w:tcPr>
          <w:p>
            <w:pPr>
              <w:ind w:left="360"/>
              <w:spacing w:after="0"/>
              <w:rPr>
                <w:sz w:val="20"/>
                <w:szCs w:val="20"/>
                <w:color w:val="auto"/>
              </w:rPr>
            </w:pPr>
            <w:r>
              <w:rPr>
                <w:rFonts w:ascii="Arial" w:cs="Arial" w:eastAsia="Arial" w:hAnsi="Arial"/>
                <w:sz w:val="18"/>
                <w:szCs w:val="18"/>
                <w:color w:val="auto"/>
              </w:rPr>
              <w:t>—</w:t>
            </w:r>
          </w:p>
        </w:tc>
        <w:tc>
          <w:tcPr>
            <w:tcW w:w="0" w:type="dxa"/>
            <w:vAlign w:val="bottom"/>
          </w:tcPr>
          <w:p>
            <w:pPr>
              <w:spacing w:after="0" w:line="20" w:lineRule="exact"/>
              <w:rPr>
                <w:sz w:val="1"/>
                <w:szCs w:val="1"/>
                <w:color w:val="auto"/>
              </w:rPr>
            </w:pPr>
          </w:p>
        </w:tc>
      </w:tr>
      <w:tr>
        <w:trPr>
          <w:trHeight w:val="210"/>
        </w:trPr>
        <w:tc>
          <w:tcPr>
            <w:tcW w:w="6140" w:type="dxa"/>
            <w:vAlign w:val="bottom"/>
            <w:gridSpan w:val="2"/>
            <w:vMerge w:val="continue"/>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97,767</w:t>
            </w:r>
          </w:p>
        </w:tc>
        <w:tc>
          <w:tcPr>
            <w:tcW w:w="20" w:type="dxa"/>
            <w:vAlign w:val="bottom"/>
            <w:tcBorders>
              <w:bottom w:val="single" w:sz="8" w:color="auto"/>
            </w:tcBorders>
          </w:tcPr>
          <w:p>
            <w:pPr>
              <w:spacing w:after="0"/>
              <w:rPr>
                <w:sz w:val="18"/>
                <w:szCs w:val="18"/>
                <w:color w:val="auto"/>
              </w:rPr>
            </w:pPr>
          </w:p>
        </w:tc>
        <w:tc>
          <w:tcPr>
            <w:tcW w:w="1680" w:type="dxa"/>
            <w:vAlign w:val="bottom"/>
            <w:gridSpan w:val="3"/>
            <w:vMerge w:val="continue"/>
          </w:tcPr>
          <w:p>
            <w:pPr>
              <w:spacing w:after="0"/>
              <w:rPr>
                <w:sz w:val="18"/>
                <w:szCs w:val="18"/>
                <w:color w:val="auto"/>
              </w:rPr>
            </w:pPr>
          </w:p>
        </w:tc>
        <w:tc>
          <w:tcPr>
            <w:tcW w:w="1120" w:type="dxa"/>
            <w:vAlign w:val="bottom"/>
            <w:gridSpan w:val="2"/>
            <w:vMerge w:val="continue"/>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12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right="300" w:firstLine="456"/>
        <w:spacing w:after="0" w:line="259" w:lineRule="auto"/>
        <w:rPr>
          <w:sz w:val="20"/>
          <w:szCs w:val="20"/>
          <w:color w:val="auto"/>
        </w:rPr>
      </w:pPr>
      <w:r>
        <w:rPr>
          <w:rFonts w:ascii="Arial" w:cs="Arial" w:eastAsia="Arial" w:hAnsi="Arial"/>
          <w:sz w:val="18"/>
          <w:szCs w:val="18"/>
          <w:color w:val="auto"/>
        </w:rPr>
        <w:t>There were no stock option awards granted during the three months ended March 31, 2014. On April 7, 2014, the Company granted an aggregate of 154,598 stock options to members of the executive management team. The stock option awards granted on April 7, 2014 ratably vest annually on the anniversary of the grant date over a three year period. The fair value for stock option awards granted on April 7, 2014 was $9.46 per share and was established at the date of grant using an option based model.</w:t>
      </w:r>
    </w:p>
    <w:p>
      <w:pPr>
        <w:spacing w:after="0" w:line="295"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Summary of Restricted Stock Unit Activity</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presents a summary of restricted stock units (“RSUs”) relating to our 2013 Incentive Plan for the three months ended March 31,</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2014 (dollars in thousands, except per share amounts):</w:t>
      </w:r>
    </w:p>
    <w:p>
      <w:pPr>
        <w:spacing w:after="0" w:line="229" w:lineRule="exact"/>
        <w:rPr>
          <w:sz w:val="20"/>
          <w:szCs w:val="20"/>
          <w:color w:val="auto"/>
        </w:rPr>
      </w:pPr>
    </w:p>
    <w:tbl>
      <w:tblPr>
        <w:tblLayout w:type="fixed"/>
        <w:tblInd w:w="920" w:type="dxa"/>
        <w:tblCellMar>
          <w:top w:w="0" w:type="dxa"/>
          <w:left w:w="0" w:type="dxa"/>
          <w:bottom w:w="0" w:type="dxa"/>
          <w:right w:w="0" w:type="dxa"/>
        </w:tblCellMar>
      </w:tblPr>
      <w:tr>
        <w:trPr>
          <w:trHeight w:val="171"/>
        </w:trPr>
        <w:tc>
          <w:tcPr>
            <w:tcW w:w="5820" w:type="dxa"/>
            <w:vAlign w:val="bottom"/>
          </w:tcPr>
          <w:p>
            <w:pPr>
              <w:spacing w:after="0"/>
              <w:rPr>
                <w:sz w:val="14"/>
                <w:szCs w:val="14"/>
                <w:color w:val="auto"/>
              </w:rPr>
            </w:pPr>
          </w:p>
        </w:tc>
        <w:tc>
          <w:tcPr>
            <w:tcW w:w="3040" w:type="dxa"/>
            <w:vAlign w:val="bottom"/>
            <w:tcBorders>
              <w:bottom w:val="single" w:sz="8" w:color="auto"/>
            </w:tcBorders>
            <w:gridSpan w:val="5"/>
          </w:tcPr>
          <w:p>
            <w:pPr>
              <w:ind w:left="680"/>
              <w:spacing w:after="0"/>
              <w:rPr>
                <w:sz w:val="20"/>
                <w:szCs w:val="20"/>
                <w:color w:val="auto"/>
              </w:rPr>
            </w:pPr>
            <w:r>
              <w:rPr>
                <w:rFonts w:ascii="Arial" w:cs="Arial" w:eastAsia="Arial" w:hAnsi="Arial"/>
                <w:sz w:val="14"/>
                <w:szCs w:val="14"/>
                <w:b w:val="1"/>
                <w:bCs w:val="1"/>
                <w:color w:val="auto"/>
                <w:w w:val="96"/>
              </w:rPr>
              <w:t>Three Months Ended March 31, 2014</w:t>
            </w:r>
          </w:p>
        </w:tc>
        <w:tc>
          <w:tcPr>
            <w:tcW w:w="6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58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380" w:type="dxa"/>
            <w:vAlign w:val="bottom"/>
            <w:gridSpan w:val="2"/>
          </w:tcPr>
          <w:p>
            <w:pPr>
              <w:jc w:val="center"/>
              <w:ind w:right="660"/>
              <w:spacing w:after="0" w:line="119" w:lineRule="exact"/>
              <w:rPr>
                <w:sz w:val="20"/>
                <w:szCs w:val="20"/>
                <w:color w:val="auto"/>
              </w:rPr>
            </w:pPr>
            <w:r>
              <w:rPr>
                <w:rFonts w:ascii="Arial" w:cs="Arial" w:eastAsia="Arial" w:hAnsi="Arial"/>
                <w:sz w:val="13"/>
                <w:szCs w:val="13"/>
                <w:b w:val="1"/>
                <w:bCs w:val="1"/>
                <w:color w:val="auto"/>
              </w:rPr>
              <w:t>Weighted</w:t>
            </w:r>
          </w:p>
        </w:tc>
        <w:tc>
          <w:tcPr>
            <w:tcW w:w="6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58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380" w:type="dxa"/>
            <w:vAlign w:val="bottom"/>
            <w:gridSpan w:val="2"/>
          </w:tcPr>
          <w:p>
            <w:pPr>
              <w:jc w:val="center"/>
              <w:ind w:right="660"/>
              <w:spacing w:after="0" w:line="149" w:lineRule="exact"/>
              <w:rPr>
                <w:sz w:val="20"/>
                <w:szCs w:val="20"/>
                <w:color w:val="auto"/>
              </w:rPr>
            </w:pPr>
            <w:r>
              <w:rPr>
                <w:rFonts w:ascii="Arial" w:cs="Arial" w:eastAsia="Arial" w:hAnsi="Arial"/>
                <w:sz w:val="14"/>
                <w:szCs w:val="14"/>
                <w:b w:val="1"/>
                <w:bCs w:val="1"/>
                <w:color w:val="auto"/>
                <w:w w:val="94"/>
              </w:rPr>
              <w:t>Average</w:t>
            </w:r>
          </w:p>
        </w:tc>
        <w:tc>
          <w:tcPr>
            <w:tcW w:w="7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89"/>
              </w:rPr>
              <w:t>Aggregate</w:t>
            </w:r>
          </w:p>
        </w:tc>
        <w:tc>
          <w:tcPr>
            <w:tcW w:w="0" w:type="dxa"/>
            <w:vAlign w:val="bottom"/>
          </w:tcPr>
          <w:p>
            <w:pPr>
              <w:spacing w:after="0"/>
              <w:rPr>
                <w:sz w:val="1"/>
                <w:szCs w:val="1"/>
                <w:color w:val="auto"/>
              </w:rPr>
            </w:pPr>
          </w:p>
        </w:tc>
      </w:tr>
      <w:tr>
        <w:trPr>
          <w:trHeight w:val="149"/>
        </w:trPr>
        <w:tc>
          <w:tcPr>
            <w:tcW w:w="5820" w:type="dxa"/>
            <w:vAlign w:val="bottom"/>
          </w:tcPr>
          <w:p>
            <w:pPr>
              <w:spacing w:after="0"/>
              <w:rPr>
                <w:sz w:val="12"/>
                <w:szCs w:val="12"/>
                <w:color w:val="auto"/>
              </w:rPr>
            </w:pPr>
          </w:p>
        </w:tc>
        <w:tc>
          <w:tcPr>
            <w:tcW w:w="136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w w:val="88"/>
              </w:rPr>
              <w:t>Restricted Stock</w:t>
            </w:r>
          </w:p>
        </w:tc>
        <w:tc>
          <w:tcPr>
            <w:tcW w:w="300" w:type="dxa"/>
            <w:vAlign w:val="bottom"/>
          </w:tcPr>
          <w:p>
            <w:pPr>
              <w:spacing w:after="0"/>
              <w:rPr>
                <w:sz w:val="12"/>
                <w:szCs w:val="12"/>
                <w:color w:val="auto"/>
              </w:rPr>
            </w:pPr>
          </w:p>
        </w:tc>
        <w:tc>
          <w:tcPr>
            <w:tcW w:w="1380" w:type="dxa"/>
            <w:vAlign w:val="bottom"/>
            <w:gridSpan w:val="2"/>
          </w:tcPr>
          <w:p>
            <w:pPr>
              <w:jc w:val="center"/>
              <w:ind w:right="680"/>
              <w:spacing w:after="0" w:line="149" w:lineRule="exact"/>
              <w:rPr>
                <w:sz w:val="20"/>
                <w:szCs w:val="20"/>
                <w:color w:val="auto"/>
              </w:rPr>
            </w:pPr>
            <w:r>
              <w:rPr>
                <w:rFonts w:ascii="Arial" w:cs="Arial" w:eastAsia="Arial" w:hAnsi="Arial"/>
                <w:sz w:val="14"/>
                <w:szCs w:val="14"/>
                <w:b w:val="1"/>
                <w:bCs w:val="1"/>
                <w:color w:val="auto"/>
                <w:w w:val="97"/>
              </w:rPr>
              <w:t>Grant Date</w:t>
            </w:r>
          </w:p>
        </w:tc>
        <w:tc>
          <w:tcPr>
            <w:tcW w:w="7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82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300" w:type="dxa"/>
            <w:vAlign w:val="bottom"/>
          </w:tcPr>
          <w:p>
            <w:pPr>
              <w:spacing w:after="0"/>
              <w:rPr>
                <w:sz w:val="12"/>
                <w:szCs w:val="12"/>
                <w:color w:val="auto"/>
              </w:rPr>
            </w:pPr>
          </w:p>
        </w:tc>
        <w:tc>
          <w:tcPr>
            <w:tcW w:w="1380" w:type="dxa"/>
            <w:vAlign w:val="bottom"/>
            <w:gridSpan w:val="2"/>
          </w:tcPr>
          <w:p>
            <w:pPr>
              <w:jc w:val="center"/>
              <w:ind w:right="660"/>
              <w:spacing w:after="0" w:line="149" w:lineRule="exact"/>
              <w:rPr>
                <w:sz w:val="20"/>
                <w:szCs w:val="20"/>
                <w:color w:val="auto"/>
              </w:rPr>
            </w:pPr>
            <w:r>
              <w:rPr>
                <w:rFonts w:ascii="Arial" w:cs="Arial" w:eastAsia="Arial" w:hAnsi="Arial"/>
                <w:sz w:val="14"/>
                <w:szCs w:val="14"/>
                <w:b w:val="1"/>
                <w:bCs w:val="1"/>
                <w:color w:val="auto"/>
                <w:w w:val="95"/>
              </w:rPr>
              <w:t>Fair Value</w:t>
            </w:r>
          </w:p>
        </w:tc>
        <w:tc>
          <w:tcPr>
            <w:tcW w:w="7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9"/>
              </w:rPr>
              <w:t>Intrinsic</w:t>
            </w:r>
          </w:p>
        </w:tc>
        <w:tc>
          <w:tcPr>
            <w:tcW w:w="0" w:type="dxa"/>
            <w:vAlign w:val="bottom"/>
          </w:tcPr>
          <w:p>
            <w:pPr>
              <w:spacing w:after="0"/>
              <w:rPr>
                <w:sz w:val="1"/>
                <w:szCs w:val="1"/>
                <w:color w:val="auto"/>
              </w:rPr>
            </w:pPr>
          </w:p>
        </w:tc>
      </w:tr>
      <w:tr>
        <w:trPr>
          <w:trHeight w:val="171"/>
        </w:trPr>
        <w:tc>
          <w:tcPr>
            <w:tcW w:w="5820" w:type="dxa"/>
            <w:vAlign w:val="bottom"/>
          </w:tcPr>
          <w:p>
            <w:pPr>
              <w:spacing w:after="0"/>
              <w:rPr>
                <w:sz w:val="14"/>
                <w:szCs w:val="14"/>
                <w:color w:val="auto"/>
              </w:rPr>
            </w:pPr>
          </w:p>
        </w:tc>
        <w:tc>
          <w:tcPr>
            <w:tcW w:w="1360" w:type="dxa"/>
            <w:vAlign w:val="bottom"/>
            <w:gridSpan w:val="2"/>
          </w:tcPr>
          <w:p>
            <w:pPr>
              <w:jc w:val="right"/>
              <w:ind w:right="700"/>
              <w:spacing w:after="0"/>
              <w:rPr>
                <w:sz w:val="20"/>
                <w:szCs w:val="20"/>
                <w:color w:val="auto"/>
              </w:rPr>
            </w:pPr>
            <w:r>
              <w:rPr>
                <w:rFonts w:ascii="Arial" w:cs="Arial" w:eastAsia="Arial" w:hAnsi="Arial"/>
                <w:sz w:val="14"/>
                <w:szCs w:val="14"/>
                <w:b w:val="1"/>
                <w:bCs w:val="1"/>
                <w:color w:val="auto"/>
              </w:rPr>
              <w:t>Units</w:t>
            </w:r>
          </w:p>
        </w:tc>
        <w:tc>
          <w:tcPr>
            <w:tcW w:w="300" w:type="dxa"/>
            <w:vAlign w:val="bottom"/>
          </w:tcPr>
          <w:p>
            <w:pPr>
              <w:spacing w:after="0"/>
              <w:rPr>
                <w:sz w:val="14"/>
                <w:szCs w:val="14"/>
                <w:color w:val="auto"/>
              </w:rPr>
            </w:pPr>
          </w:p>
        </w:tc>
        <w:tc>
          <w:tcPr>
            <w:tcW w:w="1380" w:type="dxa"/>
            <w:vAlign w:val="bottom"/>
            <w:gridSpan w:val="2"/>
          </w:tcPr>
          <w:p>
            <w:pPr>
              <w:jc w:val="center"/>
              <w:ind w:right="660"/>
              <w:spacing w:after="0"/>
              <w:rPr>
                <w:sz w:val="20"/>
                <w:szCs w:val="20"/>
                <w:color w:val="auto"/>
              </w:rPr>
            </w:pPr>
            <w:r>
              <w:rPr>
                <w:rFonts w:ascii="Arial" w:cs="Arial" w:eastAsia="Arial" w:hAnsi="Arial"/>
                <w:sz w:val="14"/>
                <w:szCs w:val="14"/>
                <w:b w:val="1"/>
                <w:bCs w:val="1"/>
                <w:color w:val="auto"/>
                <w:w w:val="91"/>
              </w:rPr>
              <w:t>Per Share</w:t>
            </w:r>
          </w:p>
        </w:tc>
        <w:tc>
          <w:tcPr>
            <w:tcW w:w="7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210"/>
        </w:trPr>
        <w:tc>
          <w:tcPr>
            <w:tcW w:w="58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Nonvested RSUs at beginning of period</w:t>
            </w: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145,517</w:t>
            </w:r>
          </w:p>
        </w:tc>
        <w:tc>
          <w:tcPr>
            <w:tcW w:w="36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  17.68</w:t>
            </w:r>
          </w:p>
        </w:tc>
        <w:tc>
          <w:tcPr>
            <w:tcW w:w="660" w:type="dxa"/>
            <w:vAlign w:val="bottom"/>
            <w:tcBorders>
              <w:top w:val="single" w:sz="8" w:color="CCEEFF"/>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  2,900</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20" w:type="dxa"/>
            <w:vAlign w:val="bottom"/>
          </w:tcPr>
          <w:p>
            <w:pPr>
              <w:ind w:left="360"/>
              <w:spacing w:after="0"/>
              <w:rPr>
                <w:sz w:val="20"/>
                <w:szCs w:val="20"/>
                <w:color w:val="auto"/>
              </w:rPr>
            </w:pPr>
            <w:r>
              <w:rPr>
                <w:rFonts w:ascii="Arial" w:cs="Arial" w:eastAsia="Arial" w:hAnsi="Arial"/>
                <w:sz w:val="18"/>
                <w:szCs w:val="18"/>
                <w:color w:val="auto"/>
              </w:rPr>
              <w:t>Granted</w:t>
            </w:r>
          </w:p>
        </w:tc>
        <w:tc>
          <w:tcPr>
            <w:tcW w:w="136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8"/>
                <w:szCs w:val="18"/>
                <w:color w:val="auto"/>
              </w:rPr>
            </w:pPr>
          </w:p>
        </w:tc>
        <w:tc>
          <w:tcPr>
            <w:tcW w:w="138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72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Vested</w:t>
            </w:r>
          </w:p>
        </w:tc>
        <w:tc>
          <w:tcPr>
            <w:tcW w:w="13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(51,598)</w:t>
            </w:r>
          </w:p>
        </w:tc>
        <w:tc>
          <w:tcPr>
            <w:tcW w:w="1680" w:type="dxa"/>
            <w:vAlign w:val="bottom"/>
            <w:gridSpan w:val="3"/>
            <w:shd w:val="clear" w:color="auto" w:fill="CCEEFF"/>
          </w:tcPr>
          <w:p>
            <w:pPr>
              <w:jc w:val="right"/>
              <w:ind w:right="660"/>
              <w:spacing w:after="0"/>
              <w:rPr>
                <w:sz w:val="20"/>
                <w:szCs w:val="20"/>
                <w:color w:val="auto"/>
              </w:rPr>
            </w:pPr>
            <w:r>
              <w:rPr>
                <w:rFonts w:ascii="Arial" w:cs="Arial" w:eastAsia="Arial" w:hAnsi="Arial"/>
                <w:sz w:val="18"/>
                <w:szCs w:val="18"/>
                <w:color w:val="auto"/>
              </w:rPr>
              <w:t>17.81</w:t>
            </w:r>
          </w:p>
        </w:tc>
        <w:tc>
          <w:tcPr>
            <w:tcW w:w="72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820" w:type="dxa"/>
            <w:vAlign w:val="bottom"/>
          </w:tcPr>
          <w:p>
            <w:pPr>
              <w:ind w:left="360"/>
              <w:spacing w:after="0"/>
              <w:rPr>
                <w:sz w:val="20"/>
                <w:szCs w:val="20"/>
                <w:color w:val="auto"/>
              </w:rPr>
            </w:pPr>
            <w:r>
              <w:rPr>
                <w:rFonts w:ascii="Arial" w:cs="Arial" w:eastAsia="Arial" w:hAnsi="Arial"/>
                <w:sz w:val="18"/>
                <w:szCs w:val="18"/>
                <w:color w:val="auto"/>
              </w:rPr>
              <w:t>Forfeited</w:t>
            </w:r>
          </w:p>
        </w:tc>
        <w:tc>
          <w:tcPr>
            <w:tcW w:w="1360" w:type="dxa"/>
            <w:vAlign w:val="bottom"/>
            <w:gridSpan w:val="2"/>
          </w:tcPr>
          <w:p>
            <w:pPr>
              <w:jc w:val="right"/>
              <w:ind w:right="300"/>
              <w:spacing w:after="0"/>
              <w:rPr>
                <w:sz w:val="20"/>
                <w:szCs w:val="20"/>
                <w:color w:val="auto"/>
              </w:rPr>
            </w:pPr>
            <w:r>
              <w:rPr>
                <w:rFonts w:ascii="Arial" w:cs="Arial" w:eastAsia="Arial" w:hAnsi="Arial"/>
                <w:sz w:val="18"/>
                <w:szCs w:val="18"/>
                <w:color w:val="auto"/>
              </w:rPr>
              <w:t>(600)</w:t>
            </w:r>
          </w:p>
        </w:tc>
        <w:tc>
          <w:tcPr>
            <w:tcW w:w="1680" w:type="dxa"/>
            <w:vAlign w:val="bottom"/>
            <w:gridSpan w:val="3"/>
          </w:tcPr>
          <w:p>
            <w:pPr>
              <w:jc w:val="right"/>
              <w:ind w:right="660"/>
              <w:spacing w:after="0"/>
              <w:rPr>
                <w:sz w:val="20"/>
                <w:szCs w:val="20"/>
                <w:color w:val="auto"/>
              </w:rPr>
            </w:pPr>
            <w:r>
              <w:rPr>
                <w:rFonts w:ascii="Arial" w:cs="Arial" w:eastAsia="Arial" w:hAnsi="Arial"/>
                <w:sz w:val="18"/>
                <w:szCs w:val="18"/>
                <w:color w:val="auto"/>
              </w:rPr>
              <w:t>18.30</w:t>
            </w:r>
          </w:p>
        </w:tc>
        <w:tc>
          <w:tcPr>
            <w:tcW w:w="620" w:type="dxa"/>
            <w:vAlign w:val="bottom"/>
          </w:tcPr>
          <w:p>
            <w:pPr>
              <w:jc w:val="right"/>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820" w:type="dxa"/>
            <w:vAlign w:val="bottom"/>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300" w:type="dxa"/>
            <w:vAlign w:val="bottom"/>
          </w:tcPr>
          <w:p>
            <w:pPr>
              <w:spacing w:after="0"/>
              <w:rPr>
                <w:sz w:val="2"/>
                <w:szCs w:val="2"/>
                <w:color w:val="auto"/>
              </w:rPr>
            </w:pPr>
          </w:p>
        </w:tc>
        <w:tc>
          <w:tcPr>
            <w:tcW w:w="7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Nonvested RSUs at end of period</w:t>
            </w:r>
          </w:p>
        </w:tc>
        <w:tc>
          <w:tcPr>
            <w:tcW w:w="13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93,319</w:t>
            </w:r>
          </w:p>
        </w:tc>
        <w:tc>
          <w:tcPr>
            <w:tcW w:w="1680" w:type="dxa"/>
            <w:vAlign w:val="bottom"/>
            <w:gridSpan w:val="3"/>
            <w:shd w:val="clear" w:color="auto" w:fill="CCEEFF"/>
          </w:tcPr>
          <w:p>
            <w:pPr>
              <w:jc w:val="right"/>
              <w:ind w:right="660"/>
              <w:spacing w:after="0"/>
              <w:rPr>
                <w:sz w:val="20"/>
                <w:szCs w:val="20"/>
                <w:color w:val="auto"/>
              </w:rPr>
            </w:pPr>
            <w:r>
              <w:rPr>
                <w:rFonts w:ascii="Arial" w:cs="Arial" w:eastAsia="Arial" w:hAnsi="Arial"/>
                <w:sz w:val="18"/>
                <w:szCs w:val="18"/>
                <w:color w:val="auto"/>
              </w:rPr>
              <w:t>17.61</w:t>
            </w: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1,515</w:t>
            </w:r>
          </w:p>
        </w:tc>
        <w:tc>
          <w:tcPr>
            <w:tcW w:w="0" w:type="dxa"/>
            <w:vAlign w:val="bottom"/>
          </w:tcPr>
          <w:p>
            <w:pPr>
              <w:spacing w:after="0"/>
              <w:rPr>
                <w:sz w:val="1"/>
                <w:szCs w:val="1"/>
                <w:color w:val="auto"/>
              </w:rPr>
            </w:pPr>
          </w:p>
        </w:tc>
      </w:tr>
      <w:tr>
        <w:trPr>
          <w:trHeight w:val="20"/>
        </w:trPr>
        <w:tc>
          <w:tcPr>
            <w:tcW w:w="582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both"/>
        <w:ind w:right="180" w:firstLine="456"/>
        <w:spacing w:after="0" w:line="264" w:lineRule="auto"/>
        <w:rPr>
          <w:sz w:val="20"/>
          <w:szCs w:val="20"/>
          <w:color w:val="auto"/>
        </w:rPr>
      </w:pPr>
      <w:r>
        <w:rPr>
          <w:rFonts w:ascii="Arial" w:cs="Arial" w:eastAsia="Arial" w:hAnsi="Arial"/>
          <w:sz w:val="18"/>
          <w:szCs w:val="18"/>
          <w:color w:val="auto"/>
        </w:rPr>
        <w:t>There were no restricted stock units granted during the three months ended March 31, 2014. On April 7, 2014, the Company granted an aggregate of 217,839 restricted stock units to employees, officers and directors. The restricted stock units granted to employees and officers on April 7, 2014 ratably vest annually on the anniversary of the grant date over a</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- 15 -</w:t>
      </w:r>
    </w:p>
    <w:p>
      <w:pPr>
        <w:sectPr>
          <w:pgSz w:w="11900" w:h="16838" w:orient="portrait"/>
          <w:cols w:equalWidth="0" w:num="1">
            <w:col w:w="11420"/>
          </w:cols>
          <w:pgMar w:left="240" w:top="459"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three year period. The restricted stock units granted to directors on April 7, 2014 vest on January 31, 2015, except the restricted stock units granted to a director who will leave the Board upon closing of the WRECO transaction will vest on the date they leave the Board based on the number of days served in 2014. The fair value of each restricted stock award granted on April 7, 2014 was measured using $16.17 per share, which was the closing stock price on the date of grant. Each award will be expensed on a straight-line basis over the vesting period.</w:t>
      </w:r>
    </w:p>
    <w:p>
      <w:pPr>
        <w:spacing w:after="0" w:line="295"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Summary of Equity Based Incentive Units</w:t>
      </w:r>
    </w:p>
    <w:p>
      <w:pPr>
        <w:spacing w:after="0" w:line="117"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color w:val="auto"/>
        </w:rPr>
        <w:t>On September 24, 2010, the Company granted equity based incentive units to management. In connection with our initial public offering in January 2013, the incentive units converted into shares of common stock. The recipients of the equity based incentive units have all the rights of a stockholder, including the rights to vote those shares and receive any dividends or distributions made with respect to those shares and any shares or other property received in respect of those shares; provided, however, any non-cash dividend or distribution with respect to the common stock shall be subject to the same vesting provisions as the incentive units. The vesting terms of the equity based incentive units are as follows: (1)18.75% of such units vested, subject to limitation in</w:t>
      </w:r>
    </w:p>
    <w:p>
      <w:pPr>
        <w:spacing w:after="0" w:line="2" w:lineRule="exact"/>
        <w:rPr>
          <w:sz w:val="20"/>
          <w:szCs w:val="20"/>
          <w:color w:val="auto"/>
        </w:rPr>
      </w:pPr>
    </w:p>
    <w:p>
      <w:pPr>
        <w:ind w:left="260" w:hanging="252"/>
        <w:spacing w:after="0"/>
        <w:tabs>
          <w:tab w:leader="none" w:pos="260" w:val="left"/>
        </w:tabs>
        <w:numPr>
          <w:ilvl w:val="0"/>
          <w:numId w:val="8"/>
        </w:numPr>
        <w:rPr>
          <w:rFonts w:ascii="Arial" w:cs="Arial" w:eastAsia="Arial" w:hAnsi="Arial"/>
          <w:sz w:val="17"/>
          <w:szCs w:val="17"/>
          <w:color w:val="auto"/>
        </w:rPr>
      </w:pPr>
      <w:r>
        <w:rPr>
          <w:rFonts w:ascii="Arial" w:cs="Arial" w:eastAsia="Arial" w:hAnsi="Arial"/>
          <w:sz w:val="17"/>
          <w:szCs w:val="17"/>
          <w:color w:val="auto"/>
        </w:rPr>
        <w:t>below on the date following the first-year anniversary of the date of such officer’s employment; (2) 56.25% of such units vest, subject to limitation in</w:t>
      </w:r>
    </w:p>
    <w:p>
      <w:pPr>
        <w:spacing w:after="0" w:line="20" w:lineRule="exact"/>
        <w:rPr>
          <w:rFonts w:ascii="Arial" w:cs="Arial" w:eastAsia="Arial" w:hAnsi="Arial"/>
          <w:sz w:val="17"/>
          <w:szCs w:val="17"/>
          <w:color w:val="auto"/>
        </w:rPr>
      </w:pPr>
    </w:p>
    <w:p>
      <w:pPr>
        <w:ind w:right="40" w:firstLine="8"/>
        <w:spacing w:after="0" w:line="253" w:lineRule="auto"/>
        <w:tabs>
          <w:tab w:leader="none" w:pos="255" w:val="left"/>
        </w:tabs>
        <w:numPr>
          <w:ilvl w:val="0"/>
          <w:numId w:val="9"/>
        </w:numPr>
        <w:rPr>
          <w:rFonts w:ascii="Arial" w:cs="Arial" w:eastAsia="Arial" w:hAnsi="Arial"/>
          <w:sz w:val="18"/>
          <w:szCs w:val="18"/>
          <w:color w:val="auto"/>
        </w:rPr>
      </w:pPr>
      <w:r>
        <w:rPr>
          <w:rFonts w:ascii="Arial" w:cs="Arial" w:eastAsia="Arial" w:hAnsi="Arial"/>
          <w:sz w:val="18"/>
          <w:szCs w:val="18"/>
          <w:color w:val="auto"/>
        </w:rPr>
        <w:t>below in equal quarterly installments between the first and fourth-year anniversary of the date of such officer’s employment; (3) 25% of the awards granted in (1) and (2) will vest upon a liquidity event, as defined in each such recipient’s employment agreement; and (4) 25% of such units will be converted into a number of shares of restricted stock prior to a liquidity event. The grant-date fair value of the equity based incentive units granted during the period ended December 31, 2010 was $3.3 million. The Company did not grant any equity based incentive units and no equity based incentive units were forfeited during the three months ended March 31, 2014.</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Income Taxes</w:t>
      </w:r>
    </w:p>
    <w:p>
      <w:pPr>
        <w:spacing w:after="0" w:line="121"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 xml:space="preserve">The Company accounts for income taxes in accordance with ASC 740, </w:t>
      </w:r>
      <w:r>
        <w:rPr>
          <w:rFonts w:ascii="Arial" w:cs="Arial" w:eastAsia="Arial" w:hAnsi="Arial"/>
          <w:sz w:val="17"/>
          <w:szCs w:val="17"/>
          <w:i w:val="1"/>
          <w:iCs w:val="1"/>
          <w:color w:val="auto"/>
        </w:rPr>
        <w:t>Income Taxes</w:t>
      </w:r>
      <w:r>
        <w:rPr>
          <w:rFonts w:ascii="Arial" w:cs="Arial" w:eastAsia="Arial" w:hAnsi="Arial"/>
          <w:sz w:val="17"/>
          <w:szCs w:val="17"/>
          <w:color w:val="auto"/>
        </w:rPr>
        <w:t xml:space="preserve"> (“ASC 740”), which requires an asset and liability approach for measuring deferred taxes based on temporary differences between the financial statements and tax bases of assets and liabilities using enacted tax rates for the years in which taxes are expected to be paid or recovered. Each quarter we assess our deferred tax asset to determine whether all or any portion of the asset is more likely than not unrealizable under ASC 740. We are required to establish a valuation allowance for any portion of the asset we conclude is more likely than not to be unrealizable. Our assessment considers, among other things, the nature, frequency and severity of our current and cumulative losses, forecasts of our future taxable income, the duration of statutory carryforward periods and tax planning alternatives.</w:t>
      </w:r>
    </w:p>
    <w:p>
      <w:pPr>
        <w:spacing w:after="0" w:line="178" w:lineRule="exact"/>
        <w:rPr>
          <w:sz w:val="20"/>
          <w:szCs w:val="20"/>
          <w:color w:val="auto"/>
        </w:rPr>
      </w:pPr>
    </w:p>
    <w:p>
      <w:pPr>
        <w:ind w:right="120" w:firstLine="456"/>
        <w:spacing w:after="0" w:line="272" w:lineRule="auto"/>
        <w:rPr>
          <w:sz w:val="20"/>
          <w:szCs w:val="20"/>
          <w:color w:val="auto"/>
        </w:rPr>
      </w:pPr>
      <w:r>
        <w:rPr>
          <w:rFonts w:ascii="Arial" w:cs="Arial" w:eastAsia="Arial" w:hAnsi="Arial"/>
          <w:sz w:val="17"/>
          <w:szCs w:val="17"/>
          <w:color w:val="auto"/>
        </w:rPr>
        <w:t>As of March 31, 2014 and December 31, 2013, we had $4.6 million in deferred tax assets with no valuation allowance. The Company will continue to evaluate both positive and negative evidence in determining the need for a valuation allowance against its deferred tax assets. Changes in positive and negative evidence, including differences between the Company’s future operating results and the estimates utilized in the determination of the valuation allowance, could result in changes in the Company’s estimate of the valuation allowance against its deferred tax assets. The accounting for deferred taxes is based upon estimates of future results. Differences between the anticipated and actual outcomes of these future results could have a material impact on the Company’s consolidated results of operations or financial position. Also, changes in existing federal and state tax laws and tax rates could affect future tax results and the valuation allowance against the Company’s deferred tax assets.</w:t>
      </w:r>
    </w:p>
    <w:p>
      <w:pPr>
        <w:spacing w:after="0" w:line="178" w:lineRule="exact"/>
        <w:rPr>
          <w:sz w:val="20"/>
          <w:szCs w:val="20"/>
          <w:color w:val="auto"/>
        </w:rPr>
      </w:pPr>
    </w:p>
    <w:p>
      <w:pPr>
        <w:ind w:right="60" w:firstLine="456"/>
        <w:spacing w:after="0" w:line="276" w:lineRule="auto"/>
        <w:rPr>
          <w:sz w:val="20"/>
          <w:szCs w:val="20"/>
          <w:color w:val="auto"/>
        </w:rPr>
      </w:pPr>
      <w:r>
        <w:rPr>
          <w:rFonts w:ascii="Arial" w:cs="Arial" w:eastAsia="Arial" w:hAnsi="Arial"/>
          <w:sz w:val="17"/>
          <w:szCs w:val="17"/>
          <w:color w:val="auto"/>
        </w:rPr>
        <w:t>Our income tax provision totaled $3.1 million and $73,000 for the three months ended March 31, 2014 and 2013, respectively. The Company classifies any interest and penalties related to income taxes assessed by jurisdiction as part of income tax expense. The Company has concluded that there were no significant uncertain tax positions requiring recognition in its financial statements, nor has the Company been assessed interest or penalties by any major tax jurisdictions related to prior years. As of March 31, 2014, the earliest tax year still subject to examination by the Internal Revenue Service is 2010. The earliest year still subject to examination by a significant state or local taxing jurisdiction is 2010.</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Segment Information</w:t>
      </w:r>
    </w:p>
    <w:p>
      <w:pPr>
        <w:spacing w:after="0" w:line="121"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 xml:space="preserve">The Company’s operations are organized into two reportable segments: homebuilding and fee building (construction services). In accordance with ASC 280, </w:t>
      </w:r>
      <w:r>
        <w:rPr>
          <w:rFonts w:ascii="Arial" w:cs="Arial" w:eastAsia="Arial" w:hAnsi="Arial"/>
          <w:sz w:val="18"/>
          <w:szCs w:val="18"/>
          <w:i w:val="1"/>
          <w:iCs w:val="1"/>
          <w:color w:val="auto"/>
        </w:rPr>
        <w:t>Segment Reporting</w:t>
      </w:r>
      <w:r>
        <w:rPr>
          <w:rFonts w:ascii="Arial" w:cs="Arial" w:eastAsia="Arial" w:hAnsi="Arial"/>
          <w:sz w:val="18"/>
          <w:szCs w:val="18"/>
          <w:color w:val="auto"/>
        </w:rPr>
        <w:t>, in determining the most appropriate reportable segments, we considered similar economic and other characteristics, including product types, average selling prices, gross profits, production processes, suppliers, subcontractors, regulatory environments, land acquisition results, and underlying demand and supply.</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- 16 -</w:t>
      </w:r>
    </w:p>
    <w:p>
      <w:pPr>
        <w:sectPr>
          <w:pgSz w:w="11900" w:h="16838" w:orient="portrait"/>
          <w:cols w:equalWidth="0" w:num="1">
            <w:col w:w="11400"/>
          </w:cols>
          <w:pgMar w:left="240" w:top="459" w:right="25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140" w:firstLine="456"/>
        <w:spacing w:after="0" w:line="264" w:lineRule="auto"/>
        <w:rPr>
          <w:sz w:val="20"/>
          <w:szCs w:val="20"/>
          <w:color w:val="auto"/>
        </w:rPr>
      </w:pPr>
      <w:r>
        <w:rPr>
          <w:rFonts w:ascii="Arial" w:cs="Arial" w:eastAsia="Arial" w:hAnsi="Arial"/>
          <w:sz w:val="18"/>
          <w:szCs w:val="18"/>
          <w:color w:val="auto"/>
        </w:rPr>
        <w:t>The reportable segments follow the same accounting policies as our consolidated financial statements described in Note 1. Operational results of each reportable segment are not necessarily indicative of the results that would have been achieved had the reportable segment been an independent, stand-alone entity during the periods presented.</w:t>
      </w:r>
    </w:p>
    <w:p>
      <w:pPr>
        <w:spacing w:after="0" w:line="181" w:lineRule="exact"/>
        <w:rPr>
          <w:sz w:val="20"/>
          <w:szCs w:val="20"/>
          <w:color w:val="auto"/>
        </w:rPr>
      </w:pPr>
    </w:p>
    <w:p>
      <w:pPr>
        <w:ind w:firstLine="456"/>
        <w:spacing w:after="0" w:line="342" w:lineRule="auto"/>
        <w:rPr>
          <w:sz w:val="20"/>
          <w:szCs w:val="20"/>
          <w:color w:val="auto"/>
        </w:rPr>
      </w:pPr>
      <w:r>
        <w:rPr>
          <w:rFonts w:ascii="Arial" w:cs="Arial" w:eastAsia="Arial" w:hAnsi="Arial"/>
          <w:sz w:val="16"/>
          <w:szCs w:val="16"/>
          <w:color w:val="auto"/>
        </w:rPr>
        <w:t>As of December 31, 2013 we had completed all construction activity related to our fee building projects and do not expect material fee building activity in the future. Financial information relating to reportable segments for the three months ended March 31, 2014 and 2013, was as follows (in thousands):</w:t>
      </w:r>
    </w:p>
    <w:p>
      <w:pPr>
        <w:spacing w:after="0" w:line="130"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2760" w:type="dxa"/>
            <w:vAlign w:val="bottom"/>
          </w:tcPr>
          <w:p>
            <w:pPr>
              <w:spacing w:after="0"/>
              <w:rPr>
                <w:sz w:val="14"/>
                <w:szCs w:val="14"/>
                <w:color w:val="auto"/>
              </w:rPr>
            </w:pPr>
          </w:p>
        </w:tc>
        <w:tc>
          <w:tcPr>
            <w:tcW w:w="3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80" w:type="dxa"/>
            <w:vAlign w:val="bottom"/>
            <w:gridSpan w:val="5"/>
          </w:tcPr>
          <w:p>
            <w:pPr>
              <w:ind w:left="260"/>
              <w:spacing w:after="0"/>
              <w:rPr>
                <w:sz w:val="20"/>
                <w:szCs w:val="20"/>
                <w:color w:val="auto"/>
              </w:rPr>
            </w:pPr>
            <w:r>
              <w:rPr>
                <w:rFonts w:ascii="Arial" w:cs="Arial" w:eastAsia="Arial" w:hAnsi="Arial"/>
                <w:sz w:val="14"/>
                <w:szCs w:val="14"/>
                <w:b w:val="1"/>
                <w:bCs w:val="1"/>
                <w:color w:val="auto"/>
              </w:rPr>
              <w:t>Three Months Ended</w:t>
            </w:r>
          </w:p>
        </w:tc>
        <w:tc>
          <w:tcPr>
            <w:tcW w:w="0" w:type="dxa"/>
            <w:vAlign w:val="bottom"/>
          </w:tcPr>
          <w:p>
            <w:pPr>
              <w:spacing w:after="0"/>
              <w:rPr>
                <w:sz w:val="1"/>
                <w:szCs w:val="1"/>
                <w:color w:val="auto"/>
              </w:rPr>
            </w:pPr>
          </w:p>
        </w:tc>
      </w:tr>
      <w:tr>
        <w:trPr>
          <w:trHeight w:val="171"/>
        </w:trPr>
        <w:tc>
          <w:tcPr>
            <w:tcW w:w="2760" w:type="dxa"/>
            <w:vAlign w:val="bottom"/>
          </w:tcPr>
          <w:p>
            <w:pPr>
              <w:spacing w:after="0"/>
              <w:rPr>
                <w:sz w:val="14"/>
                <w:szCs w:val="14"/>
                <w:color w:val="auto"/>
              </w:rPr>
            </w:pPr>
          </w:p>
        </w:tc>
        <w:tc>
          <w:tcPr>
            <w:tcW w:w="37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March 31,</w:t>
            </w:r>
          </w:p>
        </w:tc>
        <w:tc>
          <w:tcPr>
            <w:tcW w:w="6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760" w:type="dxa"/>
            <w:vAlign w:val="bottom"/>
            <w:tcBorders>
              <w:bottom w:val="single" w:sz="8" w:color="CCEEFF"/>
            </w:tcBorders>
          </w:tcPr>
          <w:p>
            <w:pPr>
              <w:spacing w:after="0"/>
              <w:rPr>
                <w:sz w:val="12"/>
                <w:szCs w:val="12"/>
                <w:color w:val="auto"/>
              </w:rPr>
            </w:pPr>
          </w:p>
        </w:tc>
        <w:tc>
          <w:tcPr>
            <w:tcW w:w="372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115"/>
              <w:spacing w:after="0" w:line="142" w:lineRule="exact"/>
              <w:rPr>
                <w:sz w:val="20"/>
                <w:szCs w:val="20"/>
                <w:color w:val="auto"/>
              </w:rPr>
            </w:pPr>
            <w:r>
              <w:rPr>
                <w:rFonts w:ascii="Arial" w:cs="Arial" w:eastAsia="Arial" w:hAnsi="Arial"/>
                <w:sz w:val="14"/>
                <w:szCs w:val="14"/>
                <w:b w:val="1"/>
                <w:bCs w:val="1"/>
                <w:color w:val="auto"/>
              </w:rPr>
              <w:t>2014</w:t>
            </w:r>
          </w:p>
        </w:tc>
        <w:tc>
          <w:tcPr>
            <w:tcW w:w="580" w:type="dxa"/>
            <w:vAlign w:val="bottom"/>
            <w:tcBorders>
              <w:bottom w:val="single" w:sz="8" w:color="CCEEFF"/>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76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Revenues</w:t>
            </w:r>
          </w:p>
        </w:tc>
        <w:tc>
          <w:tcPr>
            <w:tcW w:w="37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760" w:type="dxa"/>
            <w:vAlign w:val="bottom"/>
          </w:tcPr>
          <w:p>
            <w:pPr>
              <w:ind w:left="360"/>
              <w:spacing w:after="0"/>
              <w:rPr>
                <w:sz w:val="20"/>
                <w:szCs w:val="20"/>
                <w:color w:val="auto"/>
              </w:rPr>
            </w:pPr>
            <w:r>
              <w:rPr>
                <w:rFonts w:ascii="Arial" w:cs="Arial" w:eastAsia="Arial" w:hAnsi="Arial"/>
                <w:sz w:val="18"/>
                <w:szCs w:val="18"/>
                <w:color w:val="auto"/>
              </w:rPr>
              <w:t>Homebuilding</w:t>
            </w:r>
          </w:p>
        </w:tc>
        <w:tc>
          <w:tcPr>
            <w:tcW w:w="38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w w:val="98"/>
              </w:rPr>
              <w:t>72,812</w:t>
            </w:r>
          </w:p>
        </w:tc>
        <w:tc>
          <w:tcPr>
            <w:tcW w:w="760" w:type="dxa"/>
            <w:vAlign w:val="bottom"/>
            <w:gridSpan w:val="2"/>
          </w:tcPr>
          <w:p>
            <w:pPr>
              <w:ind w:left="58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23,857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Fee building</w:t>
            </w:r>
          </w:p>
        </w:tc>
        <w:tc>
          <w:tcPr>
            <w:tcW w:w="37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4,031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760" w:type="dxa"/>
            <w:vAlign w:val="bottom"/>
          </w:tcPr>
          <w:p>
            <w:pPr>
              <w:spacing w:after="0"/>
              <w:rPr>
                <w:sz w:val="19"/>
                <w:szCs w:val="19"/>
                <w:color w:val="auto"/>
              </w:rPr>
            </w:pPr>
          </w:p>
        </w:tc>
        <w:tc>
          <w:tcPr>
            <w:tcW w:w="372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72,812</w:t>
            </w:r>
          </w:p>
        </w:tc>
        <w:tc>
          <w:tcPr>
            <w:tcW w:w="580" w:type="dxa"/>
            <w:vAlign w:val="bottom"/>
          </w:tcPr>
          <w:p>
            <w:pPr>
              <w:spacing w:after="0"/>
              <w:rPr>
                <w:sz w:val="19"/>
                <w:szCs w:val="19"/>
                <w:color w:val="auto"/>
              </w:rPr>
            </w:pPr>
          </w:p>
        </w:tc>
        <w:tc>
          <w:tcPr>
            <w:tcW w:w="1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27,888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760" w:type="dxa"/>
            <w:vAlign w:val="bottom"/>
          </w:tcPr>
          <w:p>
            <w:pPr>
              <w:spacing w:after="0" w:line="20" w:lineRule="exact"/>
              <w:rPr>
                <w:sz w:val="1"/>
                <w:szCs w:val="1"/>
                <w:color w:val="auto"/>
              </w:rPr>
            </w:pPr>
          </w:p>
        </w:tc>
        <w:tc>
          <w:tcPr>
            <w:tcW w:w="37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760" w:type="dxa"/>
            <w:vAlign w:val="bottom"/>
            <w:shd w:val="clear" w:color="auto" w:fill="CCEEFF"/>
          </w:tcPr>
          <w:p>
            <w:pPr>
              <w:spacing w:after="0"/>
              <w:rPr>
                <w:sz w:val="20"/>
                <w:szCs w:val="20"/>
                <w:color w:val="auto"/>
              </w:rPr>
            </w:pPr>
            <w:r>
              <w:rPr>
                <w:rFonts w:ascii="Arial" w:cs="Arial" w:eastAsia="Arial" w:hAnsi="Arial"/>
                <w:sz w:val="18"/>
                <w:szCs w:val="18"/>
                <w:color w:val="auto"/>
              </w:rPr>
              <w:t>Gross profit</w:t>
            </w:r>
          </w:p>
        </w:tc>
        <w:tc>
          <w:tcPr>
            <w:tcW w:w="37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60" w:type="dxa"/>
            <w:vAlign w:val="bottom"/>
          </w:tcPr>
          <w:p>
            <w:pPr>
              <w:ind w:left="360"/>
              <w:spacing w:after="0"/>
              <w:rPr>
                <w:sz w:val="20"/>
                <w:szCs w:val="20"/>
                <w:color w:val="auto"/>
              </w:rPr>
            </w:pPr>
            <w:r>
              <w:rPr>
                <w:rFonts w:ascii="Arial" w:cs="Arial" w:eastAsia="Arial" w:hAnsi="Arial"/>
                <w:sz w:val="18"/>
                <w:szCs w:val="18"/>
                <w:color w:val="auto"/>
              </w:rPr>
              <w:t>Homebuilding</w:t>
            </w:r>
          </w:p>
        </w:tc>
        <w:tc>
          <w:tcPr>
            <w:tcW w:w="38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w w:val="98"/>
              </w:rPr>
              <w:t>16,380</w:t>
            </w:r>
          </w:p>
        </w:tc>
        <w:tc>
          <w:tcPr>
            <w:tcW w:w="760" w:type="dxa"/>
            <w:vAlign w:val="bottom"/>
            <w:gridSpan w:val="2"/>
          </w:tcPr>
          <w:p>
            <w:pPr>
              <w:ind w:left="58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4,408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Fee building</w:t>
            </w:r>
          </w:p>
        </w:tc>
        <w:tc>
          <w:tcPr>
            <w:tcW w:w="37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760" w:type="dxa"/>
            <w:vAlign w:val="bottom"/>
          </w:tcPr>
          <w:p>
            <w:pPr>
              <w:spacing w:after="0"/>
              <w:rPr>
                <w:sz w:val="19"/>
                <w:szCs w:val="19"/>
                <w:color w:val="auto"/>
              </w:rPr>
            </w:pPr>
          </w:p>
        </w:tc>
        <w:tc>
          <w:tcPr>
            <w:tcW w:w="372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16,380</w:t>
            </w:r>
          </w:p>
        </w:tc>
        <w:tc>
          <w:tcPr>
            <w:tcW w:w="580" w:type="dxa"/>
            <w:vAlign w:val="bottom"/>
          </w:tcPr>
          <w:p>
            <w:pPr>
              <w:spacing w:after="0"/>
              <w:rPr>
                <w:sz w:val="19"/>
                <w:szCs w:val="19"/>
                <w:color w:val="auto"/>
              </w:rPr>
            </w:pPr>
          </w:p>
        </w:tc>
        <w:tc>
          <w:tcPr>
            <w:tcW w:w="1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4,814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760" w:type="dxa"/>
            <w:vAlign w:val="bottom"/>
          </w:tcPr>
          <w:p>
            <w:pPr>
              <w:spacing w:after="0" w:line="20" w:lineRule="exact"/>
              <w:rPr>
                <w:sz w:val="1"/>
                <w:szCs w:val="1"/>
                <w:color w:val="auto"/>
              </w:rPr>
            </w:pPr>
          </w:p>
        </w:tc>
        <w:tc>
          <w:tcPr>
            <w:tcW w:w="3720" w:type="dxa"/>
            <w:vAlign w:val="bottom"/>
          </w:tcPr>
          <w:p>
            <w:pPr>
              <w:spacing w:after="0" w:line="20" w:lineRule="exact"/>
              <w:rPr>
                <w:sz w:val="1"/>
                <w:szCs w:val="1"/>
                <w:color w:val="auto"/>
              </w:rPr>
            </w:pPr>
          </w:p>
        </w:tc>
        <w:tc>
          <w:tcPr>
            <w:tcW w:w="680" w:type="dxa"/>
            <w:vAlign w:val="bottom"/>
            <w:tcBorders>
              <w:bottom w:val="single" w:sz="8" w:color="auto"/>
            </w:tcBorders>
            <w:gridSpan w:val="2"/>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8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6"/>
        </w:trPr>
        <w:tc>
          <w:tcPr>
            <w:tcW w:w="2760" w:type="dxa"/>
            <w:vAlign w:val="bottom"/>
          </w:tcPr>
          <w:p>
            <w:pPr>
              <w:spacing w:after="0"/>
              <w:rPr>
                <w:sz w:val="24"/>
                <w:szCs w:val="24"/>
                <w:color w:val="auto"/>
              </w:rPr>
            </w:pPr>
          </w:p>
        </w:tc>
        <w:tc>
          <w:tcPr>
            <w:tcW w:w="3720" w:type="dxa"/>
            <w:vAlign w:val="bottom"/>
          </w:tcPr>
          <w:p>
            <w:pPr>
              <w:spacing w:after="0"/>
              <w:rPr>
                <w:sz w:val="24"/>
                <w:szCs w:val="24"/>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b w:val="1"/>
                <w:bCs w:val="1"/>
                <w:color w:val="auto"/>
                <w:w w:val="95"/>
              </w:rPr>
              <w:t>March 31,</w:t>
            </w:r>
          </w:p>
        </w:tc>
        <w:tc>
          <w:tcPr>
            <w:tcW w:w="1520" w:type="dxa"/>
            <w:vAlign w:val="bottom"/>
            <w:gridSpan w:val="4"/>
          </w:tcPr>
          <w:p>
            <w:pPr>
              <w:ind w:left="58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2760" w:type="dxa"/>
            <w:vAlign w:val="bottom"/>
            <w:tcBorders>
              <w:bottom w:val="single" w:sz="8" w:color="CCEEFF"/>
            </w:tcBorders>
          </w:tcPr>
          <w:p>
            <w:pPr>
              <w:spacing w:after="0"/>
              <w:rPr>
                <w:sz w:val="14"/>
                <w:szCs w:val="14"/>
                <w:color w:val="auto"/>
              </w:rPr>
            </w:pPr>
          </w:p>
        </w:tc>
        <w:tc>
          <w:tcPr>
            <w:tcW w:w="372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115"/>
              <w:spacing w:after="0"/>
              <w:rPr>
                <w:sz w:val="20"/>
                <w:szCs w:val="20"/>
                <w:color w:val="auto"/>
              </w:rPr>
            </w:pPr>
            <w:r>
              <w:rPr>
                <w:rFonts w:ascii="Arial" w:cs="Arial" w:eastAsia="Arial" w:hAnsi="Arial"/>
                <w:sz w:val="14"/>
                <w:szCs w:val="14"/>
                <w:b w:val="1"/>
                <w:bCs w:val="1"/>
                <w:color w:val="auto"/>
              </w:rPr>
              <w:t>2014</w:t>
            </w:r>
          </w:p>
        </w:tc>
        <w:tc>
          <w:tcPr>
            <w:tcW w:w="58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76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Assets</w:t>
            </w:r>
          </w:p>
        </w:tc>
        <w:tc>
          <w:tcPr>
            <w:tcW w:w="37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760" w:type="dxa"/>
            <w:vAlign w:val="bottom"/>
          </w:tcPr>
          <w:p>
            <w:pPr>
              <w:ind w:left="360"/>
              <w:spacing w:after="0"/>
              <w:rPr>
                <w:sz w:val="20"/>
                <w:szCs w:val="20"/>
                <w:color w:val="auto"/>
              </w:rPr>
            </w:pPr>
            <w:r>
              <w:rPr>
                <w:rFonts w:ascii="Arial" w:cs="Arial" w:eastAsia="Arial" w:hAnsi="Arial"/>
                <w:sz w:val="18"/>
                <w:szCs w:val="18"/>
                <w:color w:val="auto"/>
              </w:rPr>
              <w:t>Homebuilding</w:t>
            </w:r>
          </w:p>
        </w:tc>
        <w:tc>
          <w:tcPr>
            <w:tcW w:w="4400" w:type="dxa"/>
            <w:vAlign w:val="bottom"/>
            <w:gridSpan w:val="3"/>
          </w:tcPr>
          <w:p>
            <w:pPr>
              <w:jc w:val="right"/>
              <w:spacing w:after="0"/>
              <w:rPr>
                <w:sz w:val="20"/>
                <w:szCs w:val="20"/>
                <w:color w:val="auto"/>
              </w:rPr>
            </w:pPr>
            <w:r>
              <w:rPr>
                <w:rFonts w:ascii="Arial" w:cs="Arial" w:eastAsia="Arial" w:hAnsi="Arial"/>
                <w:sz w:val="18"/>
                <w:szCs w:val="18"/>
                <w:color w:val="auto"/>
              </w:rPr>
              <w:t>$537,799</w:t>
            </w:r>
          </w:p>
        </w:tc>
        <w:tc>
          <w:tcPr>
            <w:tcW w:w="760" w:type="dxa"/>
            <w:vAlign w:val="bottom"/>
            <w:gridSpan w:val="2"/>
          </w:tcPr>
          <w:p>
            <w:pPr>
              <w:ind w:left="58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8"/>
              </w:rPr>
              <w:t>505,174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Fee building</w:t>
            </w:r>
          </w:p>
        </w:tc>
        <w:tc>
          <w:tcPr>
            <w:tcW w:w="37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768</w:t>
            </w:r>
          </w:p>
        </w:tc>
        <w:tc>
          <w:tcPr>
            <w:tcW w:w="5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861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760" w:type="dxa"/>
            <w:vAlign w:val="bottom"/>
          </w:tcPr>
          <w:p>
            <w:pPr>
              <w:spacing w:after="0"/>
              <w:rPr>
                <w:sz w:val="19"/>
                <w:szCs w:val="19"/>
                <w:color w:val="auto"/>
              </w:rPr>
            </w:pPr>
          </w:p>
        </w:tc>
        <w:tc>
          <w:tcPr>
            <w:tcW w:w="3720" w:type="dxa"/>
            <w:vAlign w:val="bottom"/>
          </w:tcPr>
          <w:p>
            <w:pPr>
              <w:spacing w:after="0"/>
              <w:rPr>
                <w:sz w:val="19"/>
                <w:szCs w:val="19"/>
                <w:color w:val="auto"/>
              </w:rPr>
            </w:pPr>
          </w:p>
        </w:tc>
        <w:tc>
          <w:tcPr>
            <w:tcW w:w="68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538,567</w:t>
            </w:r>
          </w:p>
        </w:tc>
        <w:tc>
          <w:tcPr>
            <w:tcW w:w="580" w:type="dxa"/>
            <w:vAlign w:val="bottom"/>
          </w:tcPr>
          <w:p>
            <w:pPr>
              <w:spacing w:after="0"/>
              <w:rPr>
                <w:sz w:val="19"/>
                <w:szCs w:val="19"/>
                <w:color w:val="auto"/>
              </w:rPr>
            </w:pPr>
          </w:p>
        </w:tc>
        <w:tc>
          <w:tcPr>
            <w:tcW w:w="1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506,035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760" w:type="dxa"/>
            <w:vAlign w:val="bottom"/>
          </w:tcPr>
          <w:p>
            <w:pPr>
              <w:spacing w:after="0" w:line="20" w:lineRule="exact"/>
              <w:rPr>
                <w:sz w:val="1"/>
                <w:szCs w:val="1"/>
                <w:color w:val="auto"/>
              </w:rPr>
            </w:pPr>
          </w:p>
        </w:tc>
        <w:tc>
          <w:tcPr>
            <w:tcW w:w="3720" w:type="dxa"/>
            <w:vAlign w:val="bottom"/>
            <w:vMerge w:val="restart"/>
          </w:tcPr>
          <w:p>
            <w:pPr>
              <w:jc w:val="right"/>
              <w:ind w:right="1870"/>
              <w:spacing w:after="0"/>
              <w:rPr>
                <w:sz w:val="20"/>
                <w:szCs w:val="20"/>
                <w:color w:val="auto"/>
              </w:rPr>
            </w:pPr>
            <w:r>
              <w:rPr>
                <w:rFonts w:ascii="Arial" w:cs="Arial" w:eastAsia="Arial" w:hAnsi="Arial"/>
                <w:sz w:val="18"/>
                <w:szCs w:val="18"/>
                <w:color w:val="auto"/>
              </w:rPr>
              <w:t>- 17 -</w:t>
            </w: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760" w:type="dxa"/>
            <w:vAlign w:val="bottom"/>
          </w:tcPr>
          <w:p>
            <w:pPr>
              <w:spacing w:after="0"/>
              <w:rPr>
                <w:sz w:val="24"/>
                <w:szCs w:val="24"/>
                <w:color w:val="auto"/>
              </w:rPr>
            </w:pPr>
          </w:p>
        </w:tc>
        <w:tc>
          <w:tcPr>
            <w:tcW w:w="372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00"/>
          </w:cols>
          <w:pgMar w:left="240" w:top="459" w:right="25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00" w:lineRule="exact"/>
        <w:rPr>
          <w:sz w:val="20"/>
          <w:szCs w:val="20"/>
          <w:color w:val="auto"/>
        </w:rPr>
      </w:pPr>
    </w:p>
    <w:p>
      <w:pPr>
        <w:spacing w:after="0" w:line="24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CAUTIONARY NOTE CONCERNING FORWARD-LOOKING STATEMENTS</w:t>
      </w:r>
    </w:p>
    <w:p>
      <w:pPr>
        <w:spacing w:after="0" w:line="229" w:lineRule="exact"/>
        <w:rPr>
          <w:sz w:val="20"/>
          <w:szCs w:val="20"/>
          <w:color w:val="auto"/>
        </w:rPr>
      </w:pPr>
    </w:p>
    <w:p>
      <w:pPr>
        <w:ind w:right="40" w:firstLine="456"/>
        <w:spacing w:after="0" w:line="264" w:lineRule="auto"/>
        <w:rPr>
          <w:sz w:val="20"/>
          <w:szCs w:val="20"/>
          <w:color w:val="auto"/>
        </w:rPr>
      </w:pPr>
      <w:r>
        <w:rPr>
          <w:rFonts w:ascii="Arial" w:cs="Arial" w:eastAsia="Arial" w:hAnsi="Arial"/>
          <w:sz w:val="18"/>
          <w:szCs w:val="18"/>
          <w:color w:val="auto"/>
        </w:rPr>
        <w:t>This quarterly report on Form 10-Q contains certain statements relating to future events of our intentions, beliefs, expectations, predictions for the future and other matters that are “forward-looking” statements within the meaning of Section 27A of the Securities Act of 1933, as amended and Section 21E of the Securities Exchange Act of 1934, as amended.</w:t>
      </w:r>
    </w:p>
    <w:p>
      <w:pPr>
        <w:spacing w:after="0" w:line="7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These statements:</w:t>
      </w:r>
    </w:p>
    <w:p>
      <w:pPr>
        <w:spacing w:after="0" w:line="131" w:lineRule="exact"/>
        <w:rPr>
          <w:sz w:val="20"/>
          <w:szCs w:val="20"/>
          <w:color w:val="auto"/>
        </w:rPr>
      </w:pPr>
    </w:p>
    <w:p>
      <w:pPr>
        <w:ind w:left="900" w:hanging="325"/>
        <w:spacing w:after="0"/>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use forward-looking terminology;</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are based on various assumptions made by TRI Pointe;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may not be accurate because of risks and uncertainties surrounding the assumptions that are made.</w:t>
      </w:r>
    </w:p>
    <w:p>
      <w:pPr>
        <w:spacing w:after="0" w:line="225" w:lineRule="exact"/>
        <w:rPr>
          <w:sz w:val="20"/>
          <w:szCs w:val="20"/>
          <w:color w:val="auto"/>
        </w:rPr>
      </w:pPr>
    </w:p>
    <w:p>
      <w:pPr>
        <w:ind w:firstLine="456"/>
        <w:spacing w:after="0" w:line="312" w:lineRule="auto"/>
        <w:rPr>
          <w:sz w:val="20"/>
          <w:szCs w:val="20"/>
          <w:color w:val="auto"/>
        </w:rPr>
      </w:pPr>
      <w:r>
        <w:rPr>
          <w:rFonts w:ascii="Arial" w:cs="Arial" w:eastAsia="Arial" w:hAnsi="Arial"/>
          <w:sz w:val="16"/>
          <w:szCs w:val="16"/>
          <w:color w:val="auto"/>
        </w:rPr>
        <w:t>Factors listed in this section—as well as other factors not included—may cause actual results to differ significantly from the forward-looking statements included in this quarterly report on Form 10-Q. There is no guarantee that any of the events anticipated by the forward-looking statements in this quarterly report on Form 10-Q will occur, or if any of the events occurs, there is no guarantee what effect it will have on our operations or financial condition.</w:t>
      </w:r>
    </w:p>
    <w:p>
      <w:pPr>
        <w:spacing w:after="0" w:line="14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will not update the forward-looking statement contained in this quarterly report on Form 10-Q, unless otherwise required by law.</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Statements</w:t>
      </w:r>
    </w:p>
    <w:p>
      <w:pPr>
        <w:spacing w:after="0" w:line="121" w:lineRule="exact"/>
        <w:rPr>
          <w:sz w:val="20"/>
          <w:szCs w:val="20"/>
          <w:color w:val="auto"/>
        </w:rPr>
      </w:pPr>
    </w:p>
    <w:p>
      <w:pPr>
        <w:ind w:firstLine="456"/>
        <w:spacing w:after="0" w:line="276" w:lineRule="auto"/>
        <w:rPr>
          <w:sz w:val="20"/>
          <w:szCs w:val="20"/>
          <w:color w:val="auto"/>
        </w:rPr>
      </w:pPr>
      <w:r>
        <w:rPr>
          <w:rFonts w:ascii="Arial" w:cs="Arial" w:eastAsia="Arial" w:hAnsi="Arial"/>
          <w:sz w:val="17"/>
          <w:szCs w:val="17"/>
          <w:color w:val="auto"/>
        </w:rPr>
        <w:t>These forward-looking statements are generally accompanied by words such as “anticipate,” “believe,” “could,” “estimate,” “expect,” “goal,” “intend,” “may,” “might,” “plan,” “potential,” “predict,” “project,” “will,” “would,” or other words that convey the uncertainty of future events or outcomes, including, without limitation, the WRECO Transactions described below. These forward-looking statements include, but are not limited to, statements regarding expected benefits of the WRECO Transactions, integration plans and expected synergies therefrom, the expected timing of consummation of the WRECO Transactions, and our anticipated future financial and operating performance and results, including our estimates for growth.</w:t>
      </w:r>
    </w:p>
    <w:p>
      <w:pPr>
        <w:spacing w:after="0" w:line="17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Forward-Looking statements are based on a number of factors, including the expected effect of:</w:t>
      </w:r>
    </w:p>
    <w:p>
      <w:pPr>
        <w:spacing w:after="0" w:line="131" w:lineRule="exact"/>
        <w:rPr>
          <w:sz w:val="20"/>
          <w:szCs w:val="20"/>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economy;</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laws and regulations;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adverse litigation outcome and the adequacy of reserves;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changes in accounting principles;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projected benefit payments;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projected tax rates and credits;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other related matters.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Uncertainties and Assumptions</w:t>
      </w:r>
    </w:p>
    <w:p>
      <w:pPr>
        <w:spacing w:after="0" w:line="121"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The major risks and uncertainties – and assumptions that are made – that affect our business and may cause actual results to differ from these forward looking statements include, but are not limited to:</w:t>
      </w:r>
    </w:p>
    <w:p>
      <w:pPr>
        <w:spacing w:after="0" w:line="76" w:lineRule="exact"/>
        <w:rPr>
          <w:sz w:val="20"/>
          <w:szCs w:val="20"/>
          <w:color w:val="auto"/>
        </w:rPr>
      </w:pPr>
    </w:p>
    <w:p>
      <w:pPr>
        <w:ind w:left="900" w:right="400" w:hanging="325"/>
        <w:spacing w:after="0" w:line="277" w:lineRule="auto"/>
        <w:tabs>
          <w:tab w:leader="none" w:pos="9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effect of general economic conditions, including employment rates, housing starts, interest rate levels, availability of financing for home mortgages and strength of the U.S. dollar;</w:t>
      </w:r>
    </w:p>
    <w:p>
      <w:pPr>
        <w:spacing w:after="0" w:line="75" w:lineRule="exact"/>
        <w:rPr>
          <w:rFonts w:ascii="Arial" w:cs="Arial" w:eastAsia="Arial" w:hAnsi="Arial"/>
          <w:sz w:val="18"/>
          <w:szCs w:val="18"/>
          <w:color w:val="auto"/>
        </w:rPr>
      </w:pPr>
    </w:p>
    <w:p>
      <w:pPr>
        <w:ind w:left="900" w:right="580" w:hanging="325"/>
        <w:spacing w:after="0" w:line="277" w:lineRule="auto"/>
        <w:tabs>
          <w:tab w:leader="none" w:pos="9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Market demand for TRI Pointe products, which is related to the strength of the various U.S. business segments and U.S. and international economic conditions;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levels of competition;</w:t>
      </w:r>
    </w:p>
    <w:p>
      <w:pPr>
        <w:spacing w:after="0" w:line="157" w:lineRule="exact"/>
        <w:rPr>
          <w:rFonts w:ascii="Arial" w:cs="Arial" w:eastAsia="Arial" w:hAnsi="Arial"/>
          <w:sz w:val="18"/>
          <w:szCs w:val="18"/>
          <w:color w:val="auto"/>
        </w:rPr>
      </w:pPr>
    </w:p>
    <w:p>
      <w:pPr>
        <w:ind w:left="5620" w:hanging="101"/>
        <w:spacing w:after="0"/>
        <w:tabs>
          <w:tab w:leader="none" w:pos="5620" w:val="left"/>
        </w:tabs>
        <w:numPr>
          <w:ilvl w:val="1"/>
          <w:numId w:val="12"/>
        </w:numPr>
        <w:rPr>
          <w:rFonts w:ascii="Arial" w:cs="Arial" w:eastAsia="Arial" w:hAnsi="Arial"/>
          <w:sz w:val="18"/>
          <w:szCs w:val="18"/>
          <w:color w:val="auto"/>
        </w:rPr>
      </w:pPr>
      <w:r>
        <w:rPr>
          <w:rFonts w:ascii="Arial" w:cs="Arial" w:eastAsia="Arial" w:hAnsi="Arial"/>
          <w:sz w:val="18"/>
          <w:szCs w:val="18"/>
          <w:color w:val="auto"/>
        </w:rPr>
        <w:t>18 -</w:t>
      </w:r>
    </w:p>
    <w:p>
      <w:pPr>
        <w:sectPr>
          <w:pgSz w:w="11900" w:h="16838" w:orient="portrait"/>
          <w:cols w:equalWidth="0" w:num="1">
            <w:col w:w="11380"/>
          </w:cols>
          <w:pgMar w:left="240" w:top="459" w:right="27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hanging="325"/>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successful execution of TRI Pointe’s internal performance plans, including restructuring and cost reduction initiatives;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global economic conditions;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raw material prices;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energy prices;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effect of weather;</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risk of loss from earthquakes, volcanoes, fires, floods, droughts, windstorms, hurricanes, pest infestations and other natural disasters;</w:t>
      </w:r>
    </w:p>
    <w:p>
      <w:pPr>
        <w:spacing w:after="0" w:line="142" w:lineRule="exact"/>
        <w:rPr>
          <w:rFonts w:ascii="Arial" w:cs="Arial" w:eastAsia="Arial" w:hAnsi="Arial"/>
          <w:sz w:val="17"/>
          <w:szCs w:val="17"/>
          <w:color w:val="auto"/>
        </w:rPr>
      </w:pPr>
    </w:p>
    <w:p>
      <w:pPr>
        <w:ind w:left="900" w:hanging="325"/>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transportation cost;</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federal and state tax policies;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effect of land use, environment and other governmental regulations;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legal proceedings;</w:t>
      </w:r>
    </w:p>
    <w:p>
      <w:pPr>
        <w:spacing w:after="0" w:line="130" w:lineRule="exact"/>
        <w:rPr>
          <w:rFonts w:ascii="Arial" w:cs="Arial" w:eastAsia="Arial" w:hAnsi="Arial"/>
          <w:sz w:val="18"/>
          <w:szCs w:val="18"/>
          <w:color w:val="auto"/>
        </w:rPr>
      </w:pPr>
    </w:p>
    <w:p>
      <w:pPr>
        <w:ind w:left="900" w:right="800" w:hanging="325"/>
        <w:spacing w:after="0" w:line="277" w:lineRule="auto"/>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risks relating to any unforeseen changes to or effects on liabilities, future capital expenditures, revenues, expenses, earnings, synergies, indebtedness, financial condition, losses and future prospects;</w:t>
      </w:r>
    </w:p>
    <w:p>
      <w:pPr>
        <w:spacing w:after="0" w:line="75" w:lineRule="exact"/>
        <w:rPr>
          <w:rFonts w:ascii="Arial" w:cs="Arial" w:eastAsia="Arial" w:hAnsi="Arial"/>
          <w:sz w:val="18"/>
          <w:szCs w:val="18"/>
          <w:color w:val="auto"/>
        </w:rPr>
      </w:pPr>
    </w:p>
    <w:p>
      <w:pPr>
        <w:ind w:left="900" w:right="480" w:hanging="325"/>
        <w:spacing w:after="0" w:line="277" w:lineRule="auto"/>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satisfaction of the conditions to the consummation of the proposed Merger and other risks relating to the consummation of the WRECO Transactions and the actions related thereto;</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risk that disruptions from the WRECO Transactions will harm TRI Pointe’s business;</w:t>
      </w:r>
    </w:p>
    <w:p>
      <w:pPr>
        <w:spacing w:after="0" w:line="130" w:lineRule="exact"/>
        <w:rPr>
          <w:rFonts w:ascii="Arial" w:cs="Arial" w:eastAsia="Arial" w:hAnsi="Arial"/>
          <w:sz w:val="18"/>
          <w:szCs w:val="18"/>
          <w:color w:val="auto"/>
        </w:rPr>
      </w:pPr>
    </w:p>
    <w:p>
      <w:pPr>
        <w:ind w:left="900" w:right="680" w:hanging="325"/>
        <w:spacing w:after="0" w:line="277" w:lineRule="auto"/>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TRI Pointe’s ability to complete the WRECO Transactions on the anticipated terms and schedule, including the ability to obtain required stockholder and regulatory approvals;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TRI Pointe’s ability to achieve the benefits of the WRECO Transactions in the estimated amount and the anticipated timeframe, if at all;</w:t>
      </w:r>
    </w:p>
    <w:p>
      <w:pPr>
        <w:spacing w:after="0" w:line="142" w:lineRule="exact"/>
        <w:rPr>
          <w:rFonts w:ascii="Arial" w:cs="Arial" w:eastAsia="Arial" w:hAnsi="Arial"/>
          <w:sz w:val="17"/>
          <w:szCs w:val="17"/>
          <w:color w:val="auto"/>
        </w:rPr>
      </w:pPr>
    </w:p>
    <w:p>
      <w:pPr>
        <w:ind w:left="900" w:right="580" w:hanging="325"/>
        <w:spacing w:after="0" w:line="277" w:lineRule="auto"/>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TRI Pointe’s ability to integrate WRECO successfully after the consummation of the WRECO Transactions and to achieve the anticipated synergies therefrom;</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change in accounting principles;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other factors described in “Risk Factors.”</w:t>
      </w:r>
    </w:p>
    <w:p>
      <w:pPr>
        <w:spacing w:after="0" w:line="225" w:lineRule="exact"/>
        <w:rPr>
          <w:sz w:val="20"/>
          <w:szCs w:val="20"/>
          <w:color w:val="auto"/>
        </w:rPr>
      </w:pPr>
    </w:p>
    <w:p>
      <w:pPr>
        <w:ind w:right="20" w:firstLine="456"/>
        <w:spacing w:after="0" w:line="270" w:lineRule="auto"/>
        <w:rPr>
          <w:sz w:val="20"/>
          <w:szCs w:val="20"/>
          <w:color w:val="auto"/>
        </w:rPr>
      </w:pPr>
      <w:r>
        <w:rPr>
          <w:rFonts w:ascii="Arial" w:cs="Arial" w:eastAsia="Arial" w:hAnsi="Arial"/>
          <w:sz w:val="17"/>
          <w:szCs w:val="17"/>
          <w:color w:val="auto"/>
        </w:rPr>
        <w:t>Unless the context otherwise requires, the terms “we”, “us”, “our” and “the Company” refer to TRI Pointe Homes, Inc. and its consolidated subsidiaries. The following discussion and analysis should be read in conjunction with our unaudited condensed consolidated financial statements and related notes thereto contained elsewhere in this report. The information contained in this quarterly report on Form 10-Q is not a complete description of our business or the risks associated with an investment in our securities. We urge you to carefully review and consider the various disclosures made by us in this report and in our other reports filed with the Securities and Exchange Commission (“SEC”), including our annual report on Form 10-K for the year ended December 31, 2013 and subsequent reports on Form 8-K, which discuss our business in greater detail. The section entitled “Risk Factors” set forth in Item 1A of our annual report on Form 10-K, and similar disclosures in our other SEC filings, discuss some of the important risk factors that may affect our business, results of operations and financial condition. You should carefully consider those risks, in addition to the information in this report and in our other filings with the SEC, before deciding to invest in, or maintain your investment in, our common stock.</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WRECO Transactions</w:t>
      </w:r>
    </w:p>
    <w:p>
      <w:pPr>
        <w:spacing w:after="0" w:line="121"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On November 4, 2013, the Company announced that it had entered into a Transaction Agreement with Weyerhaeuser Company, a Washington corporation (“Weyerhaeuser”), Weyerhaeuser Real Estate Company, a Washington corporation and an indirect wholly owned subsidiary of Weyerhaeuser (“WRECO”), and Topaz Acquisition, Inc., a Washington corporation and a wholly owned subsidiary of TRI Pointe (“Merger Sub”). Pursuant to the Transaction Agreement, Weyerhaeuser will distribute all the shares of common stock of WRECO (the “WRECO Common Shares”) to its shareholders (i) on a pro rata basis, (ii) in an exchange offer, or (iii) in a combination thereof (the “Distribution”). Weyerhaeuser will determine which approach it will take to consummate the Distribution prior to closing the transaction and no decision has been made at this time. Immediately following the Distribution, Merger Sub will merge with and into WRECO (the “Merger”), with WRECO surviving the Merger and becoming a wholly owned subsidiary of the Company. We expect to issue 129,700,000 shares of our common stock in the Merger, excluding shares to be issued for equity awards held by WRECO employees that are being assumed by us.</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- 19 -</w:t>
      </w:r>
    </w:p>
    <w:p>
      <w:pPr>
        <w:sectPr>
          <w:pgSz w:w="11900" w:h="16838" w:orient="portrait"/>
          <w:cols w:equalWidth="0" w:num="1">
            <w:col w:w="11420"/>
          </w:cols>
          <w:pgMar w:left="240" w:top="459" w:right="2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80" w:firstLine="456"/>
        <w:spacing w:after="0" w:line="291" w:lineRule="auto"/>
        <w:rPr>
          <w:sz w:val="20"/>
          <w:szCs w:val="20"/>
          <w:color w:val="auto"/>
        </w:rPr>
      </w:pPr>
      <w:r>
        <w:rPr>
          <w:rFonts w:ascii="Arial" w:cs="Arial" w:eastAsia="Arial" w:hAnsi="Arial"/>
          <w:sz w:val="16"/>
          <w:szCs w:val="16"/>
          <w:color w:val="auto"/>
        </w:rPr>
        <w:t>In order to complete the Merger and the related transactions, (i) WRECO will incur new indebtedness of approximately $800 million or more in the form of (a) debt securities, (b) senior unsecured bridge loans, or (c) a combination thereof; (ii) WRECO will make a cash payment of approximately $739 million, subject to adjustment, to Weyerhaeuser NR Company, the current direct parent of WRECO and a subsidiary of Weyerhaeuser, which cash will be retained by Weyerhaeuser and its subsidiaries (other than WRECO and its subsidiaries); and (iii) Weyerhaeuser will cause certain assets relating to Weyerhaeuser’s real estate business to be transferred to, and certain liabilities relating to Weyerhaeuser’s real estate business to be assumed by, WRECO and its subsidiaries and cause certain assets of WRECO that will be excluded from the transaction to be transferred to, and certain liabilities that will be excluded from the transaction to be assumed by, Weyerhaeuser and its subsidiaries (other than WRECO and its subsidiaries).</w:t>
      </w:r>
    </w:p>
    <w:p>
      <w:pPr>
        <w:spacing w:after="0" w:line="167"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In this quarterly report on Form 10-Q, we refer to the transactions contemplated in the Transaction Agreement and related documents as the “WRECO Transactions.” The foregoing description of the WRECO Transactions is not complete. We have filed a registration statement on Form S-4 (Reg. No. 333-193248) to register the shares to be issued in connection with the Merger (the “Registration Statement”). For additional information regarding the WRECO Transactions, you are encouraged to read the information included in the Registration Statement, which is incorporated by reference in this quarterly report on Form 10-Q, as well as the sections of our annual report on Form 10-K entitled “Risk Factors,” “Cautionary Note Concerning Forward-Looking Statements,” and “Management’s Discussion and Analysis of Financial Condition and Results of Operations.”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Consolidated Financial Data (in thousands, except per share amounts):</w:t>
      </w:r>
    </w:p>
    <w:p>
      <w:pPr>
        <w:spacing w:after="0" w:line="248" w:lineRule="exact"/>
        <w:rPr>
          <w:sz w:val="20"/>
          <w:szCs w:val="20"/>
          <w:color w:val="auto"/>
        </w:rPr>
      </w:pPr>
    </w:p>
    <w:p>
      <w:pPr>
        <w:jc w:val="center"/>
        <w:ind w:left="6760"/>
        <w:spacing w:after="0"/>
        <w:rPr>
          <w:sz w:val="20"/>
          <w:szCs w:val="20"/>
          <w:color w:val="auto"/>
        </w:rPr>
      </w:pPr>
      <w:r>
        <w:rPr>
          <w:rFonts w:ascii="Arial" w:cs="Arial" w:eastAsia="Arial" w:hAnsi="Arial"/>
          <w:sz w:val="14"/>
          <w:szCs w:val="14"/>
          <w:b w:val="1"/>
          <w:bCs w:val="1"/>
          <w:color w:val="auto"/>
        </w:rPr>
        <w:t>Three Months Ended</w:t>
      </w:r>
    </w:p>
    <w:p>
      <w:pPr>
        <w:jc w:val="center"/>
        <w:ind w:left="6760"/>
        <w:spacing w:after="0" w:line="236" w:lineRule="auto"/>
        <w:rPr>
          <w:sz w:val="20"/>
          <w:szCs w:val="20"/>
          <w:color w:val="auto"/>
        </w:rPr>
      </w:pPr>
      <w:r>
        <w:rPr>
          <w:rFonts w:ascii="Arial" w:cs="Arial" w:eastAsia="Arial" w:hAnsi="Arial"/>
          <w:sz w:val="14"/>
          <w:szCs w:val="14"/>
          <w:b w:val="1"/>
          <w:bCs w:val="1"/>
          <w:color w:val="auto"/>
        </w:rPr>
        <w:t>March 31,</w:t>
      </w:r>
    </w:p>
    <w:p>
      <w:pPr>
        <w:spacing w:after="0" w:line="1" w:lineRule="exact"/>
        <w:rPr>
          <w:sz w:val="20"/>
          <w:szCs w:val="20"/>
          <w:color w:val="auto"/>
        </w:rPr>
      </w:pPr>
    </w:p>
    <w:tbl>
      <w:tblPr>
        <w:tblLayout w:type="fixed"/>
        <w:tblInd w:w="138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3200" w:type="dxa"/>
            <w:vAlign w:val="bottom"/>
            <w:tcBorders>
              <w:bottom w:val="single" w:sz="8" w:color="CCEEFF"/>
            </w:tcBorders>
          </w:tcPr>
          <w:p>
            <w:pPr>
              <w:spacing w:after="0"/>
              <w:rPr>
                <w:sz w:val="12"/>
                <w:szCs w:val="12"/>
                <w:color w:val="auto"/>
              </w:rPr>
            </w:pPr>
          </w:p>
        </w:tc>
        <w:tc>
          <w:tcPr>
            <w:tcW w:w="364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71"/>
              <w:spacing w:after="0" w:line="142" w:lineRule="exact"/>
              <w:rPr>
                <w:sz w:val="20"/>
                <w:szCs w:val="20"/>
                <w:color w:val="auto"/>
              </w:rPr>
            </w:pPr>
            <w:r>
              <w:rPr>
                <w:rFonts w:ascii="Arial" w:cs="Arial" w:eastAsia="Arial" w:hAnsi="Arial"/>
                <w:sz w:val="14"/>
                <w:szCs w:val="14"/>
                <w:b w:val="1"/>
                <w:bCs w:val="1"/>
                <w:color w:val="auto"/>
              </w:rPr>
              <w:t>2014</w:t>
            </w:r>
          </w:p>
        </w:tc>
        <w:tc>
          <w:tcPr>
            <w:tcW w:w="280" w:type="dxa"/>
            <w:vAlign w:val="bottom"/>
            <w:tcBorders>
              <w:top w:val="single" w:sz="8" w:color="auto"/>
              <w:bottom w:val="single" w:sz="8" w:color="CCEEFF"/>
            </w:tcBorders>
          </w:tcPr>
          <w:p>
            <w:pPr>
              <w:spacing w:after="0"/>
              <w:rPr>
                <w:sz w:val="12"/>
                <w:szCs w:val="12"/>
                <w:color w:val="auto"/>
              </w:rPr>
            </w:pPr>
          </w:p>
        </w:tc>
        <w:tc>
          <w:tcPr>
            <w:tcW w:w="240" w:type="dxa"/>
            <w:vAlign w:val="bottom"/>
            <w:tcBorders>
              <w:top w:val="single" w:sz="8" w:color="auto"/>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71"/>
              <w:spacing w:after="0" w:line="142" w:lineRule="exact"/>
              <w:rPr>
                <w:sz w:val="20"/>
                <w:szCs w:val="20"/>
                <w:color w:val="auto"/>
              </w:rPr>
            </w:pPr>
            <w:r>
              <w:rPr>
                <w:rFonts w:ascii="Arial" w:cs="Arial" w:eastAsia="Arial" w:hAnsi="Arial"/>
                <w:sz w:val="14"/>
                <w:szCs w:val="14"/>
                <w:b w:val="1"/>
                <w:bCs w:val="1"/>
                <w:color w:val="auto"/>
              </w:rPr>
              <w:t>2013</w:t>
            </w:r>
          </w:p>
        </w:tc>
        <w:tc>
          <w:tcPr>
            <w:tcW w:w="120" w:type="dxa"/>
            <w:vAlign w:val="bottom"/>
            <w:tcBorders>
              <w:bottom w:val="single" w:sz="8" w:color="CCEEFF"/>
            </w:tcBorders>
          </w:tcPr>
          <w:p>
            <w:pPr>
              <w:spacing w:after="0"/>
              <w:rPr>
                <w:sz w:val="12"/>
                <w:szCs w:val="12"/>
                <w:color w:val="auto"/>
              </w:rPr>
            </w:pPr>
          </w:p>
        </w:tc>
      </w:tr>
      <w:tr>
        <w:trPr>
          <w:trHeight w:val="196"/>
        </w:trPr>
        <w:tc>
          <w:tcPr>
            <w:tcW w:w="20" w:type="dxa"/>
            <w:vAlign w:val="bottom"/>
          </w:tcPr>
          <w:p>
            <w:pPr>
              <w:spacing w:after="0"/>
              <w:rPr>
                <w:sz w:val="17"/>
                <w:szCs w:val="17"/>
                <w:color w:val="auto"/>
              </w:rPr>
            </w:pPr>
          </w:p>
        </w:tc>
        <w:tc>
          <w:tcPr>
            <w:tcW w:w="320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Revenues:</w:t>
            </w:r>
          </w:p>
        </w:tc>
        <w:tc>
          <w:tcPr>
            <w:tcW w:w="36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3200" w:type="dxa"/>
            <w:vAlign w:val="bottom"/>
          </w:tcPr>
          <w:p>
            <w:pPr>
              <w:ind w:left="340"/>
              <w:spacing w:after="0"/>
              <w:rPr>
                <w:sz w:val="20"/>
                <w:szCs w:val="20"/>
                <w:color w:val="auto"/>
              </w:rPr>
            </w:pPr>
            <w:r>
              <w:rPr>
                <w:rFonts w:ascii="Arial" w:cs="Arial" w:eastAsia="Arial" w:hAnsi="Arial"/>
                <w:sz w:val="18"/>
                <w:szCs w:val="18"/>
                <w:color w:val="auto"/>
              </w:rPr>
              <w:t>Home sales</w:t>
            </w:r>
          </w:p>
        </w:tc>
        <w:tc>
          <w:tcPr>
            <w:tcW w:w="37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w w:val="87"/>
              </w:rPr>
              <w:t>72,812</w:t>
            </w:r>
          </w:p>
        </w:tc>
        <w:tc>
          <w:tcPr>
            <w:tcW w:w="280" w:type="dxa"/>
            <w:vAlign w:val="bottom"/>
          </w:tcPr>
          <w:p>
            <w:pPr>
              <w:spacing w:after="0"/>
              <w:rPr>
                <w:sz w:val="18"/>
                <w:szCs w:val="18"/>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w w:val="87"/>
              </w:rPr>
              <w:t>23,857</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2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Fee building</w:t>
            </w:r>
          </w:p>
        </w:tc>
        <w:tc>
          <w:tcPr>
            <w:tcW w:w="3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4,031</w:t>
            </w:r>
          </w:p>
        </w:tc>
        <w:tc>
          <w:tcPr>
            <w:tcW w:w="120" w:type="dxa"/>
            <w:vAlign w:val="bottom"/>
            <w:shd w:val="clear" w:color="auto" w:fill="CCEEFF"/>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3200" w:type="dxa"/>
            <w:vAlign w:val="bottom"/>
          </w:tcPr>
          <w:p>
            <w:pPr>
              <w:ind w:left="700"/>
              <w:spacing w:after="0"/>
              <w:rPr>
                <w:sz w:val="20"/>
                <w:szCs w:val="20"/>
                <w:color w:val="auto"/>
              </w:rPr>
            </w:pPr>
            <w:r>
              <w:rPr>
                <w:rFonts w:ascii="Arial" w:cs="Arial" w:eastAsia="Arial" w:hAnsi="Arial"/>
                <w:sz w:val="18"/>
                <w:szCs w:val="18"/>
                <w:color w:val="auto"/>
              </w:rPr>
              <w:t>Total revenues</w:t>
            </w:r>
          </w:p>
        </w:tc>
        <w:tc>
          <w:tcPr>
            <w:tcW w:w="364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72,812</w:t>
            </w: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27,888</w:t>
            </w:r>
          </w:p>
        </w:tc>
        <w:tc>
          <w:tcPr>
            <w:tcW w:w="12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3200" w:type="dxa"/>
            <w:vAlign w:val="bottom"/>
            <w:shd w:val="clear" w:color="auto" w:fill="CCEEFF"/>
          </w:tcPr>
          <w:p>
            <w:pPr>
              <w:spacing w:after="0"/>
              <w:rPr>
                <w:sz w:val="20"/>
                <w:szCs w:val="20"/>
                <w:color w:val="auto"/>
              </w:rPr>
            </w:pPr>
            <w:r>
              <w:rPr>
                <w:rFonts w:ascii="Arial" w:cs="Arial" w:eastAsia="Arial" w:hAnsi="Arial"/>
                <w:sz w:val="18"/>
                <w:szCs w:val="18"/>
                <w:color w:val="auto"/>
              </w:rPr>
              <w:t>Expenses:</w:t>
            </w:r>
          </w:p>
        </w:tc>
        <w:tc>
          <w:tcPr>
            <w:tcW w:w="3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200" w:type="dxa"/>
            <w:vAlign w:val="bottom"/>
          </w:tcPr>
          <w:p>
            <w:pPr>
              <w:ind w:left="340"/>
              <w:spacing w:after="0"/>
              <w:rPr>
                <w:sz w:val="20"/>
                <w:szCs w:val="20"/>
                <w:color w:val="auto"/>
              </w:rPr>
            </w:pPr>
            <w:r>
              <w:rPr>
                <w:rFonts w:ascii="Arial" w:cs="Arial" w:eastAsia="Arial" w:hAnsi="Arial"/>
                <w:sz w:val="18"/>
                <w:szCs w:val="18"/>
                <w:color w:val="auto"/>
              </w:rPr>
              <w:t>Cost of home sales</w:t>
            </w:r>
          </w:p>
        </w:tc>
        <w:tc>
          <w:tcPr>
            <w:tcW w:w="3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7"/>
              </w:rPr>
              <w:t>56,432</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7"/>
              </w:rPr>
              <w:t>19,449</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2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Fee building</w:t>
            </w:r>
          </w:p>
        </w:tc>
        <w:tc>
          <w:tcPr>
            <w:tcW w:w="3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3,625</w:t>
            </w: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200" w:type="dxa"/>
            <w:vAlign w:val="bottom"/>
          </w:tcPr>
          <w:p>
            <w:pPr>
              <w:ind w:left="340"/>
              <w:spacing w:after="0"/>
              <w:rPr>
                <w:sz w:val="20"/>
                <w:szCs w:val="20"/>
                <w:color w:val="auto"/>
              </w:rPr>
            </w:pPr>
            <w:r>
              <w:rPr>
                <w:rFonts w:ascii="Arial" w:cs="Arial" w:eastAsia="Arial" w:hAnsi="Arial"/>
                <w:sz w:val="18"/>
                <w:szCs w:val="18"/>
                <w:color w:val="auto"/>
              </w:rPr>
              <w:t>Sales and marketing</w:t>
            </w:r>
          </w:p>
        </w:tc>
        <w:tc>
          <w:tcPr>
            <w:tcW w:w="3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2,486</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1,330</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2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General and administrative</w:t>
            </w:r>
          </w:p>
        </w:tc>
        <w:tc>
          <w:tcPr>
            <w:tcW w:w="36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5,892</w:t>
            </w: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3,313</w:t>
            </w:r>
          </w:p>
        </w:tc>
        <w:tc>
          <w:tcPr>
            <w:tcW w:w="120" w:type="dxa"/>
            <w:vAlign w:val="bottom"/>
            <w:shd w:val="clear" w:color="auto" w:fill="CCEEFF"/>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3200" w:type="dxa"/>
            <w:vAlign w:val="bottom"/>
          </w:tcPr>
          <w:p>
            <w:pPr>
              <w:ind w:left="700"/>
              <w:spacing w:after="0"/>
              <w:rPr>
                <w:sz w:val="20"/>
                <w:szCs w:val="20"/>
                <w:color w:val="auto"/>
              </w:rPr>
            </w:pPr>
            <w:r>
              <w:rPr>
                <w:rFonts w:ascii="Arial" w:cs="Arial" w:eastAsia="Arial" w:hAnsi="Arial"/>
                <w:sz w:val="18"/>
                <w:szCs w:val="18"/>
                <w:color w:val="auto"/>
              </w:rPr>
              <w:t>Total expenses</w:t>
            </w:r>
          </w:p>
        </w:tc>
        <w:tc>
          <w:tcPr>
            <w:tcW w:w="364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64,810</w:t>
            </w: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27,717</w:t>
            </w:r>
          </w:p>
        </w:tc>
        <w:tc>
          <w:tcPr>
            <w:tcW w:w="12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3200" w:type="dxa"/>
            <w:vAlign w:val="bottom"/>
            <w:shd w:val="clear" w:color="auto" w:fill="CCEEFF"/>
          </w:tcPr>
          <w:p>
            <w:pPr>
              <w:spacing w:after="0"/>
              <w:rPr>
                <w:sz w:val="20"/>
                <w:szCs w:val="20"/>
                <w:color w:val="auto"/>
              </w:rPr>
            </w:pPr>
            <w:r>
              <w:rPr>
                <w:rFonts w:ascii="Arial" w:cs="Arial" w:eastAsia="Arial" w:hAnsi="Arial"/>
                <w:sz w:val="18"/>
                <w:szCs w:val="18"/>
                <w:color w:val="auto"/>
              </w:rPr>
              <w:t>Income from operations</w:t>
            </w:r>
          </w:p>
        </w:tc>
        <w:tc>
          <w:tcPr>
            <w:tcW w:w="3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8,002</w:t>
            </w: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171</w:t>
            </w: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200" w:type="dxa"/>
            <w:vAlign w:val="bottom"/>
          </w:tcPr>
          <w:p>
            <w:pPr>
              <w:spacing w:after="0"/>
              <w:rPr>
                <w:sz w:val="20"/>
                <w:szCs w:val="20"/>
                <w:color w:val="auto"/>
              </w:rPr>
            </w:pPr>
            <w:r>
              <w:rPr>
                <w:rFonts w:ascii="Arial" w:cs="Arial" w:eastAsia="Arial" w:hAnsi="Arial"/>
                <w:sz w:val="18"/>
                <w:szCs w:val="18"/>
                <w:color w:val="auto"/>
              </w:rPr>
              <w:t>Transaction expenses</w:t>
            </w:r>
          </w:p>
        </w:tc>
        <w:tc>
          <w:tcPr>
            <w:tcW w:w="3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(548)</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3200" w:type="dxa"/>
            <w:vAlign w:val="bottom"/>
            <w:shd w:val="clear" w:color="auto" w:fill="CCEEFF"/>
          </w:tcPr>
          <w:p>
            <w:pPr>
              <w:spacing w:after="0"/>
              <w:rPr>
                <w:sz w:val="20"/>
                <w:szCs w:val="20"/>
                <w:color w:val="auto"/>
              </w:rPr>
            </w:pPr>
            <w:r>
              <w:rPr>
                <w:rFonts w:ascii="Arial" w:cs="Arial" w:eastAsia="Arial" w:hAnsi="Arial"/>
                <w:sz w:val="18"/>
                <w:szCs w:val="18"/>
                <w:color w:val="auto"/>
              </w:rPr>
              <w:t>Other income (expense), net</w:t>
            </w:r>
          </w:p>
        </w:tc>
        <w:tc>
          <w:tcPr>
            <w:tcW w:w="3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172</w:t>
            </w:r>
          </w:p>
        </w:tc>
        <w:tc>
          <w:tcPr>
            <w:tcW w:w="120" w:type="dxa"/>
            <w:vAlign w:val="bottom"/>
            <w:shd w:val="clear" w:color="auto" w:fill="CCEEFF"/>
          </w:tcPr>
          <w:p>
            <w:pPr>
              <w:spacing w:after="0"/>
              <w:rPr>
                <w:sz w:val="18"/>
                <w:szCs w:val="18"/>
                <w:color w:val="auto"/>
              </w:rPr>
            </w:pPr>
          </w:p>
        </w:tc>
      </w:tr>
      <w:tr>
        <w:trPr>
          <w:trHeight w:val="223"/>
        </w:trPr>
        <w:tc>
          <w:tcPr>
            <w:tcW w:w="3220" w:type="dxa"/>
            <w:vAlign w:val="bottom"/>
            <w:gridSpan w:val="2"/>
          </w:tcPr>
          <w:p>
            <w:pPr>
              <w:spacing w:after="0"/>
              <w:rPr>
                <w:sz w:val="20"/>
                <w:szCs w:val="20"/>
                <w:color w:val="auto"/>
              </w:rPr>
            </w:pPr>
            <w:r>
              <w:rPr>
                <w:rFonts w:ascii="Arial" w:cs="Arial" w:eastAsia="Arial" w:hAnsi="Arial"/>
                <w:sz w:val="18"/>
                <w:szCs w:val="18"/>
                <w:color w:val="auto"/>
              </w:rPr>
              <w:t>Income before income taxes</w:t>
            </w:r>
          </w:p>
        </w:tc>
        <w:tc>
          <w:tcPr>
            <w:tcW w:w="36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7,445</w:t>
            </w: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343</w:t>
            </w:r>
          </w:p>
        </w:tc>
        <w:tc>
          <w:tcPr>
            <w:tcW w:w="12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3200" w:type="dxa"/>
            <w:vAlign w:val="bottom"/>
            <w:shd w:val="clear" w:color="auto" w:fill="CCEEFF"/>
          </w:tcPr>
          <w:p>
            <w:pPr>
              <w:spacing w:after="0"/>
              <w:rPr>
                <w:sz w:val="20"/>
                <w:szCs w:val="20"/>
                <w:color w:val="auto"/>
              </w:rPr>
            </w:pPr>
            <w:r>
              <w:rPr>
                <w:rFonts w:ascii="Arial" w:cs="Arial" w:eastAsia="Arial" w:hAnsi="Arial"/>
                <w:sz w:val="18"/>
                <w:szCs w:val="18"/>
                <w:color w:val="auto"/>
              </w:rPr>
              <w:t>Provision for income taxes</w:t>
            </w:r>
          </w:p>
        </w:tc>
        <w:tc>
          <w:tcPr>
            <w:tcW w:w="3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4"/>
              </w:rPr>
              <w:t>(3,147)</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(73)</w:t>
            </w:r>
          </w:p>
        </w:tc>
      </w:tr>
      <w:tr>
        <w:trPr>
          <w:trHeight w:val="223"/>
        </w:trPr>
        <w:tc>
          <w:tcPr>
            <w:tcW w:w="322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364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4,298</w:t>
            </w: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270</w:t>
            </w:r>
          </w:p>
        </w:tc>
        <w:tc>
          <w:tcPr>
            <w:tcW w:w="12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3200" w:type="dxa"/>
            <w:vAlign w:val="bottom"/>
          </w:tcPr>
          <w:p>
            <w:pPr>
              <w:spacing w:after="0" w:line="20" w:lineRule="exact"/>
              <w:rPr>
                <w:sz w:val="1"/>
                <w:szCs w:val="1"/>
                <w:color w:val="auto"/>
              </w:rPr>
            </w:pPr>
          </w:p>
        </w:tc>
        <w:tc>
          <w:tcPr>
            <w:tcW w:w="36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200" w:type="dxa"/>
            <w:vAlign w:val="bottom"/>
            <w:shd w:val="clear" w:color="auto" w:fill="CCEEFF"/>
          </w:tcPr>
          <w:p>
            <w:pPr>
              <w:spacing w:after="0"/>
              <w:rPr>
                <w:sz w:val="20"/>
                <w:szCs w:val="20"/>
                <w:color w:val="auto"/>
              </w:rPr>
            </w:pPr>
            <w:r>
              <w:rPr>
                <w:rFonts w:ascii="Arial" w:cs="Arial" w:eastAsia="Arial" w:hAnsi="Arial"/>
                <w:sz w:val="18"/>
                <w:szCs w:val="18"/>
                <w:color w:val="auto"/>
              </w:rPr>
              <w:t>Earnings per share</w:t>
            </w:r>
          </w:p>
        </w:tc>
        <w:tc>
          <w:tcPr>
            <w:tcW w:w="3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200" w:type="dxa"/>
            <w:vAlign w:val="bottom"/>
          </w:tcPr>
          <w:p>
            <w:pPr>
              <w:ind w:left="340"/>
              <w:spacing w:after="0"/>
              <w:rPr>
                <w:sz w:val="20"/>
                <w:szCs w:val="20"/>
                <w:color w:val="auto"/>
              </w:rPr>
            </w:pPr>
            <w:r>
              <w:rPr>
                <w:rFonts w:ascii="Arial" w:cs="Arial" w:eastAsia="Arial" w:hAnsi="Arial"/>
                <w:sz w:val="18"/>
                <w:szCs w:val="18"/>
                <w:color w:val="auto"/>
              </w:rPr>
              <w:t>Basic</w:t>
            </w:r>
          </w:p>
        </w:tc>
        <w:tc>
          <w:tcPr>
            <w:tcW w:w="37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0.14</w:t>
            </w:r>
          </w:p>
        </w:tc>
        <w:tc>
          <w:tcPr>
            <w:tcW w:w="280" w:type="dxa"/>
            <w:vAlign w:val="bottom"/>
          </w:tcPr>
          <w:p>
            <w:pPr>
              <w:spacing w:after="0"/>
              <w:rPr>
                <w:sz w:val="18"/>
                <w:szCs w:val="18"/>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0.01</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2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Diluted</w:t>
            </w:r>
          </w:p>
        </w:tc>
        <w:tc>
          <w:tcPr>
            <w:tcW w:w="3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0.14</w:t>
            </w:r>
          </w:p>
        </w:tc>
        <w:tc>
          <w:tcPr>
            <w:tcW w:w="28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120" w:type="dxa"/>
            <w:vAlign w:val="bottom"/>
            <w:shd w:val="clear" w:color="auto" w:fill="CCEEFF"/>
          </w:tcPr>
          <w:p>
            <w:pPr>
              <w:spacing w:after="0"/>
              <w:rPr>
                <w:sz w:val="18"/>
                <w:szCs w:val="18"/>
                <w:color w:val="auto"/>
              </w:rPr>
            </w:pPr>
          </w:p>
        </w:tc>
      </w:tr>
      <w:tr>
        <w:trPr>
          <w:trHeight w:val="365"/>
        </w:trPr>
        <w:tc>
          <w:tcPr>
            <w:tcW w:w="2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3640" w:type="dxa"/>
            <w:vAlign w:val="bottom"/>
          </w:tcPr>
          <w:p>
            <w:pPr>
              <w:jc w:val="right"/>
              <w:ind w:right="2250"/>
              <w:spacing w:after="0"/>
              <w:rPr>
                <w:sz w:val="20"/>
                <w:szCs w:val="20"/>
                <w:color w:val="auto"/>
              </w:rPr>
            </w:pPr>
            <w:r>
              <w:rPr>
                <w:rFonts w:ascii="Arial" w:cs="Arial" w:eastAsia="Arial" w:hAnsi="Arial"/>
                <w:sz w:val="18"/>
                <w:szCs w:val="18"/>
                <w:color w:val="auto"/>
              </w:rPr>
              <w:t>- 20 -</w:t>
            </w: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r>
    </w:tbl>
    <w:p>
      <w:pPr>
        <w:sectPr>
          <w:pgSz w:w="11900" w:h="16838" w:orient="portrait"/>
          <w:cols w:equalWidth="0" w:num="1">
            <w:col w:w="11400"/>
          </w:cols>
          <w:pgMar w:left="240" w:top="459" w:right="25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Three Months Ended March 31, 2014 Compared to Three Months Ended March 31, 2013</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Net New Home Orders and Backlog (dollars in thousands)</w:t>
      </w:r>
    </w:p>
    <w:p>
      <w:pPr>
        <w:spacing w:after="0" w:line="231"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6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80" w:type="dxa"/>
            <w:vAlign w:val="bottom"/>
            <w:gridSpan w:val="5"/>
          </w:tcPr>
          <w:p>
            <w:pPr>
              <w:jc w:val="right"/>
              <w:ind w:right="800"/>
              <w:spacing w:after="0"/>
              <w:rPr>
                <w:sz w:val="20"/>
                <w:szCs w:val="20"/>
                <w:color w:val="auto"/>
              </w:rPr>
            </w:pPr>
            <w:r>
              <w:rPr>
                <w:rFonts w:ascii="Arial" w:cs="Arial" w:eastAsia="Arial" w:hAnsi="Arial"/>
                <w:sz w:val="14"/>
                <w:szCs w:val="14"/>
                <w:b w:val="1"/>
                <w:bCs w:val="1"/>
                <w:color w:val="auto"/>
              </w:rPr>
              <w:t>Three Months Ended</w:t>
            </w:r>
          </w:p>
        </w:tc>
        <w:tc>
          <w:tcPr>
            <w:tcW w:w="80" w:type="dxa"/>
            <w:vAlign w:val="bottom"/>
          </w:tcPr>
          <w:p>
            <w:pPr>
              <w:spacing w:after="0"/>
              <w:rPr>
                <w:sz w:val="14"/>
                <w:szCs w:val="14"/>
                <w:color w:val="auto"/>
              </w:rPr>
            </w:pPr>
          </w:p>
        </w:tc>
        <w:tc>
          <w:tcPr>
            <w:tcW w:w="1680" w:type="dxa"/>
            <w:vAlign w:val="bottom"/>
            <w:gridSpan w:val="4"/>
            <w:vMerge w:val="restart"/>
          </w:tcPr>
          <w:p>
            <w:pPr>
              <w:jc w:val="right"/>
              <w:ind w:right="420"/>
              <w:spacing w:after="0"/>
              <w:rPr>
                <w:sz w:val="20"/>
                <w:szCs w:val="20"/>
                <w:color w:val="auto"/>
              </w:rPr>
            </w:pPr>
            <w:r>
              <w:rPr>
                <w:rFonts w:ascii="Arial" w:cs="Arial" w:eastAsia="Arial" w:hAnsi="Arial"/>
                <w:sz w:val="14"/>
                <w:szCs w:val="14"/>
                <w:b w:val="1"/>
                <w:bCs w:val="1"/>
                <w:color w:val="auto"/>
                <w:w w:val="93"/>
              </w:rPr>
              <w:t>Increase (Decrease)</w:t>
            </w:r>
          </w:p>
        </w:tc>
        <w:tc>
          <w:tcPr>
            <w:tcW w:w="0" w:type="dxa"/>
            <w:vAlign w:val="bottom"/>
          </w:tcPr>
          <w:p>
            <w:pPr>
              <w:spacing w:after="0"/>
              <w:rPr>
                <w:sz w:val="1"/>
                <w:szCs w:val="1"/>
                <w:color w:val="auto"/>
              </w:rPr>
            </w:pPr>
          </w:p>
        </w:tc>
      </w:tr>
      <w:tr>
        <w:trPr>
          <w:trHeight w:val="171"/>
        </w:trPr>
        <w:tc>
          <w:tcPr>
            <w:tcW w:w="6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2"/>
          </w:tcPr>
          <w:p>
            <w:pPr>
              <w:jc w:val="right"/>
              <w:spacing w:after="0"/>
              <w:rPr>
                <w:sz w:val="20"/>
                <w:szCs w:val="20"/>
                <w:color w:val="auto"/>
              </w:rPr>
            </w:pPr>
            <w:r>
              <w:rPr>
                <w:rFonts w:ascii="Arial" w:cs="Arial" w:eastAsia="Arial" w:hAnsi="Arial"/>
                <w:sz w:val="14"/>
                <w:szCs w:val="14"/>
                <w:b w:val="1"/>
                <w:bCs w:val="1"/>
                <w:color w:val="auto"/>
              </w:rPr>
              <w:t>March 31,</w:t>
            </w: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8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36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15"/>
              <w:spacing w:after="0" w:line="142" w:lineRule="exact"/>
              <w:rPr>
                <w:sz w:val="20"/>
                <w:szCs w:val="20"/>
                <w:color w:val="auto"/>
              </w:rPr>
            </w:pPr>
            <w:r>
              <w:rPr>
                <w:rFonts w:ascii="Arial" w:cs="Arial" w:eastAsia="Arial" w:hAnsi="Arial"/>
                <w:sz w:val="14"/>
                <w:szCs w:val="14"/>
                <w:b w:val="1"/>
                <w:bCs w:val="1"/>
                <w:color w:val="auto"/>
              </w:rPr>
              <w:t>2014</w:t>
            </w:r>
          </w:p>
        </w:tc>
        <w:tc>
          <w:tcPr>
            <w:tcW w:w="54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rPr>
              <w:t>2013</w:t>
            </w:r>
          </w:p>
        </w:tc>
        <w:tc>
          <w:tcPr>
            <w:tcW w:w="540" w:type="dxa"/>
            <w:vAlign w:val="bottom"/>
            <w:tcBorders>
              <w:bottom w:val="single" w:sz="8" w:color="CCEEFF"/>
            </w:tcBorders>
          </w:tcPr>
          <w:p>
            <w:pPr>
              <w:spacing w:after="0"/>
              <w:rPr>
                <w:sz w:val="12"/>
                <w:szCs w:val="12"/>
                <w:color w:val="auto"/>
              </w:rPr>
            </w:pPr>
          </w:p>
        </w:tc>
        <w:tc>
          <w:tcPr>
            <w:tcW w:w="580" w:type="dxa"/>
            <w:vAlign w:val="bottom"/>
            <w:tcBorders>
              <w:top w:val="single" w:sz="8" w:color="auto"/>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8"/>
              </w:rPr>
              <w:t>Amount</w:t>
            </w:r>
          </w:p>
        </w:tc>
        <w:tc>
          <w:tcPr>
            <w:tcW w:w="600" w:type="dxa"/>
            <w:vAlign w:val="bottom"/>
            <w:tcBorders>
              <w:top w:val="single" w:sz="8" w:color="auto"/>
              <w:bottom w:val="single" w:sz="8" w:color="CCEEFF"/>
            </w:tcBorders>
          </w:tcPr>
          <w:p>
            <w:pPr>
              <w:spacing w:after="0"/>
              <w:rPr>
                <w:sz w:val="12"/>
                <w:szCs w:val="12"/>
                <w:color w:val="auto"/>
              </w:rPr>
            </w:pPr>
          </w:p>
        </w:tc>
        <w:tc>
          <w:tcPr>
            <w:tcW w:w="3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w:t>
            </w:r>
          </w:p>
        </w:tc>
        <w:tc>
          <w:tcPr>
            <w:tcW w:w="26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6360" w:type="dxa"/>
            <w:vAlign w:val="bottom"/>
            <w:shd w:val="clear" w:color="auto" w:fill="CCEEFF"/>
          </w:tcPr>
          <w:p>
            <w:pPr>
              <w:spacing w:after="0"/>
              <w:rPr>
                <w:sz w:val="20"/>
                <w:szCs w:val="20"/>
                <w:color w:val="auto"/>
              </w:rPr>
            </w:pPr>
            <w:r>
              <w:rPr>
                <w:rFonts w:ascii="Arial" w:cs="Arial" w:eastAsia="Arial" w:hAnsi="Arial"/>
                <w:sz w:val="18"/>
                <w:szCs w:val="18"/>
                <w:color w:val="auto"/>
              </w:rPr>
              <w:t>Net new home orders</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138</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w:t>
            </w: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6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6360" w:type="dxa"/>
            <w:vAlign w:val="bottom"/>
          </w:tcPr>
          <w:p>
            <w:pPr>
              <w:spacing w:after="0"/>
              <w:rPr>
                <w:sz w:val="20"/>
                <w:szCs w:val="20"/>
                <w:color w:val="auto"/>
              </w:rPr>
            </w:pPr>
            <w:r>
              <w:rPr>
                <w:rFonts w:ascii="Arial" w:cs="Arial" w:eastAsia="Arial" w:hAnsi="Arial"/>
                <w:sz w:val="18"/>
                <w:szCs w:val="18"/>
                <w:color w:val="auto"/>
              </w:rPr>
              <w:t>Cancellation rate</w:t>
            </w:r>
          </w:p>
        </w:tc>
        <w:tc>
          <w:tcPr>
            <w:tcW w:w="100" w:type="dxa"/>
            <w:vAlign w:val="bottom"/>
          </w:tcPr>
          <w:p>
            <w:pPr>
              <w:spacing w:after="0"/>
              <w:rPr>
                <w:sz w:val="18"/>
                <w:szCs w:val="18"/>
                <w:color w:val="auto"/>
              </w:rPr>
            </w:pPr>
          </w:p>
        </w:tc>
        <w:tc>
          <w:tcPr>
            <w:tcW w:w="1140" w:type="dxa"/>
            <w:vAlign w:val="bottom"/>
            <w:gridSpan w:val="2"/>
          </w:tcPr>
          <w:p>
            <w:pPr>
              <w:jc w:val="right"/>
              <w:ind w:right="400"/>
              <w:spacing w:after="0"/>
              <w:rPr>
                <w:sz w:val="20"/>
                <w:szCs w:val="20"/>
                <w:color w:val="auto"/>
              </w:rPr>
            </w:pPr>
            <w:r>
              <w:rPr>
                <w:rFonts w:ascii="Arial" w:cs="Arial" w:eastAsia="Arial" w:hAnsi="Arial"/>
                <w:sz w:val="18"/>
                <w:szCs w:val="18"/>
                <w:color w:val="auto"/>
              </w:rPr>
              <w:t>8%</w:t>
            </w:r>
          </w:p>
        </w:tc>
        <w:tc>
          <w:tcPr>
            <w:tcW w:w="100" w:type="dxa"/>
            <w:vAlign w:val="bottom"/>
          </w:tcPr>
          <w:p>
            <w:pPr>
              <w:spacing w:after="0"/>
              <w:rPr>
                <w:sz w:val="18"/>
                <w:szCs w:val="18"/>
                <w:color w:val="auto"/>
              </w:rPr>
            </w:pPr>
          </w:p>
        </w:tc>
        <w:tc>
          <w:tcPr>
            <w:tcW w:w="1040" w:type="dxa"/>
            <w:vAlign w:val="bottom"/>
            <w:gridSpan w:val="2"/>
          </w:tcPr>
          <w:p>
            <w:pPr>
              <w:jc w:val="right"/>
              <w:ind w:right="400"/>
              <w:spacing w:after="0"/>
              <w:rPr>
                <w:sz w:val="20"/>
                <w:szCs w:val="20"/>
                <w:color w:val="auto"/>
              </w:rPr>
            </w:pPr>
            <w:r>
              <w:rPr>
                <w:rFonts w:ascii="Arial" w:cs="Arial" w:eastAsia="Arial" w:hAnsi="Arial"/>
                <w:sz w:val="18"/>
                <w:szCs w:val="18"/>
                <w:color w:val="auto"/>
              </w:rPr>
              <w:t>9%</w:t>
            </w:r>
          </w:p>
        </w:tc>
        <w:tc>
          <w:tcPr>
            <w:tcW w:w="80" w:type="dxa"/>
            <w:vAlign w:val="bottom"/>
          </w:tcPr>
          <w:p>
            <w:pPr>
              <w:spacing w:after="0"/>
              <w:rPr>
                <w:sz w:val="18"/>
                <w:szCs w:val="18"/>
                <w:color w:val="auto"/>
              </w:rPr>
            </w:pPr>
          </w:p>
        </w:tc>
        <w:tc>
          <w:tcPr>
            <w:tcW w:w="1100" w:type="dxa"/>
            <w:vAlign w:val="bottom"/>
            <w:gridSpan w:val="2"/>
          </w:tcPr>
          <w:p>
            <w:pPr>
              <w:jc w:val="right"/>
              <w:ind w:right="380"/>
              <w:spacing w:after="0"/>
              <w:rPr>
                <w:sz w:val="20"/>
                <w:szCs w:val="20"/>
                <w:color w:val="auto"/>
              </w:rPr>
            </w:pPr>
            <w:r>
              <w:rPr>
                <w:rFonts w:ascii="Arial" w:cs="Arial" w:eastAsia="Arial" w:hAnsi="Arial"/>
                <w:sz w:val="18"/>
                <w:szCs w:val="18"/>
                <w:color w:val="auto"/>
              </w:rPr>
              <w:t>(1)%</w:t>
            </w:r>
          </w:p>
        </w:tc>
        <w:tc>
          <w:tcPr>
            <w:tcW w:w="580" w:type="dxa"/>
            <w:vAlign w:val="bottom"/>
            <w:gridSpan w:val="2"/>
          </w:tcPr>
          <w:p>
            <w:pPr>
              <w:jc w:val="right"/>
              <w:ind w:right="4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6360" w:type="dxa"/>
            <w:vAlign w:val="bottom"/>
            <w:shd w:val="clear" w:color="auto" w:fill="CCEEFF"/>
          </w:tcPr>
          <w:p>
            <w:pPr>
              <w:spacing w:after="0"/>
              <w:rPr>
                <w:sz w:val="20"/>
                <w:szCs w:val="20"/>
                <w:color w:val="auto"/>
              </w:rPr>
            </w:pPr>
            <w:r>
              <w:rPr>
                <w:rFonts w:ascii="Arial" w:cs="Arial" w:eastAsia="Arial" w:hAnsi="Arial"/>
                <w:sz w:val="18"/>
                <w:szCs w:val="18"/>
                <w:color w:val="auto"/>
              </w:rPr>
              <w:t>Average selling communities</w:t>
            </w: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10.0</w:t>
            </w: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7.3</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6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16"/>
        </w:trPr>
        <w:tc>
          <w:tcPr>
            <w:tcW w:w="6360" w:type="dxa"/>
            <w:vAlign w:val="bottom"/>
          </w:tcPr>
          <w:p>
            <w:pPr>
              <w:spacing w:after="0"/>
              <w:rPr>
                <w:sz w:val="20"/>
                <w:szCs w:val="20"/>
                <w:color w:val="auto"/>
              </w:rPr>
            </w:pPr>
            <w:r>
              <w:rPr>
                <w:rFonts w:ascii="Arial" w:cs="Arial" w:eastAsia="Arial" w:hAnsi="Arial"/>
                <w:sz w:val="18"/>
                <w:szCs w:val="18"/>
                <w:color w:val="auto"/>
              </w:rPr>
              <w:t>Selling communities at end of period</w:t>
            </w:r>
          </w:p>
        </w:tc>
        <w:tc>
          <w:tcPr>
            <w:tcW w:w="1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18"/>
                <w:szCs w:val="18"/>
                <w:color w:val="auto"/>
              </w:rPr>
            </w:pPr>
          </w:p>
        </w:tc>
        <w:tc>
          <w:tcPr>
            <w:tcW w:w="1040" w:type="dxa"/>
            <w:vAlign w:val="bottom"/>
            <w:gridSpan w:val="2"/>
          </w:tcPr>
          <w:p>
            <w:pPr>
              <w:jc w:val="right"/>
              <w:ind w:right="540"/>
              <w:spacing w:after="0"/>
              <w:rPr>
                <w:sz w:val="20"/>
                <w:szCs w:val="20"/>
                <w:color w:val="auto"/>
              </w:rPr>
            </w:pPr>
            <w:r>
              <w:rPr>
                <w:rFonts w:ascii="Arial" w:cs="Arial" w:eastAsia="Arial" w:hAnsi="Arial"/>
                <w:sz w:val="18"/>
                <w:szCs w:val="18"/>
                <w:color w:val="auto"/>
              </w:rPr>
              <w:t>6</w:t>
            </w:r>
          </w:p>
        </w:tc>
        <w:tc>
          <w:tcPr>
            <w:tcW w:w="80" w:type="dxa"/>
            <w:vAlign w:val="bottom"/>
          </w:tcPr>
          <w:p>
            <w:pPr>
              <w:spacing w:after="0"/>
              <w:rPr>
                <w:sz w:val="18"/>
                <w:szCs w:val="18"/>
                <w:color w:val="auto"/>
              </w:rPr>
            </w:pPr>
          </w:p>
        </w:tc>
        <w:tc>
          <w:tcPr>
            <w:tcW w:w="1100" w:type="dxa"/>
            <w:vAlign w:val="bottom"/>
            <w:gridSpan w:val="2"/>
          </w:tcPr>
          <w:p>
            <w:pPr>
              <w:jc w:val="right"/>
              <w:ind w:right="600"/>
              <w:spacing w:after="0"/>
              <w:rPr>
                <w:sz w:val="20"/>
                <w:szCs w:val="20"/>
                <w:color w:val="auto"/>
              </w:rPr>
            </w:pPr>
            <w:r>
              <w:rPr>
                <w:rFonts w:ascii="Arial" w:cs="Arial" w:eastAsia="Arial" w:hAnsi="Arial"/>
                <w:sz w:val="18"/>
                <w:szCs w:val="18"/>
                <w:color w:val="auto"/>
              </w:rPr>
              <w:t>4</w:t>
            </w: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67%</w:t>
            </w:r>
          </w:p>
        </w:tc>
        <w:tc>
          <w:tcPr>
            <w:tcW w:w="0" w:type="dxa"/>
            <w:vAlign w:val="bottom"/>
          </w:tcPr>
          <w:p>
            <w:pPr>
              <w:spacing w:after="0"/>
              <w:rPr>
                <w:sz w:val="1"/>
                <w:szCs w:val="1"/>
                <w:color w:val="auto"/>
              </w:rPr>
            </w:pPr>
          </w:p>
        </w:tc>
      </w:tr>
      <w:tr>
        <w:trPr>
          <w:trHeight w:val="216"/>
        </w:trPr>
        <w:tc>
          <w:tcPr>
            <w:tcW w:w="6360" w:type="dxa"/>
            <w:vAlign w:val="bottom"/>
            <w:shd w:val="clear" w:color="auto" w:fill="CCEEFF"/>
          </w:tcPr>
          <w:p>
            <w:pPr>
              <w:spacing w:after="0"/>
              <w:rPr>
                <w:sz w:val="20"/>
                <w:szCs w:val="20"/>
                <w:color w:val="auto"/>
              </w:rPr>
            </w:pPr>
            <w:r>
              <w:rPr>
                <w:rFonts w:ascii="Arial" w:cs="Arial" w:eastAsia="Arial" w:hAnsi="Arial"/>
                <w:sz w:val="18"/>
                <w:szCs w:val="18"/>
                <w:color w:val="auto"/>
              </w:rPr>
              <w:t>Backlog (dollar value)</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89"/>
              </w:rPr>
              <w:t>157,692</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87"/>
              </w:rPr>
              <w:t>77,027</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w w:val="87"/>
              </w:rPr>
              <w:t>80,665</w:t>
            </w: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105%</w:t>
            </w:r>
          </w:p>
        </w:tc>
        <w:tc>
          <w:tcPr>
            <w:tcW w:w="0" w:type="dxa"/>
            <w:vAlign w:val="bottom"/>
          </w:tcPr>
          <w:p>
            <w:pPr>
              <w:spacing w:after="0"/>
              <w:rPr>
                <w:sz w:val="1"/>
                <w:szCs w:val="1"/>
                <w:color w:val="auto"/>
              </w:rPr>
            </w:pPr>
          </w:p>
        </w:tc>
      </w:tr>
      <w:tr>
        <w:trPr>
          <w:trHeight w:val="216"/>
        </w:trPr>
        <w:tc>
          <w:tcPr>
            <w:tcW w:w="6360" w:type="dxa"/>
            <w:vAlign w:val="bottom"/>
          </w:tcPr>
          <w:p>
            <w:pPr>
              <w:spacing w:after="0"/>
              <w:rPr>
                <w:sz w:val="20"/>
                <w:szCs w:val="20"/>
                <w:color w:val="auto"/>
              </w:rPr>
            </w:pPr>
            <w:r>
              <w:rPr>
                <w:rFonts w:ascii="Arial" w:cs="Arial" w:eastAsia="Arial" w:hAnsi="Arial"/>
                <w:sz w:val="18"/>
                <w:szCs w:val="18"/>
                <w:color w:val="auto"/>
              </w:rPr>
              <w:t>Backlog (units)</w:t>
            </w:r>
          </w:p>
        </w:tc>
        <w:tc>
          <w:tcPr>
            <w:tcW w:w="1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195</w:t>
            </w:r>
          </w:p>
        </w:tc>
        <w:tc>
          <w:tcPr>
            <w:tcW w:w="100" w:type="dxa"/>
            <w:vAlign w:val="bottom"/>
          </w:tcPr>
          <w:p>
            <w:pPr>
              <w:spacing w:after="0"/>
              <w:rPr>
                <w:sz w:val="18"/>
                <w:szCs w:val="18"/>
                <w:color w:val="auto"/>
              </w:rPr>
            </w:pPr>
          </w:p>
        </w:tc>
        <w:tc>
          <w:tcPr>
            <w:tcW w:w="1040" w:type="dxa"/>
            <w:vAlign w:val="bottom"/>
            <w:gridSpan w:val="2"/>
          </w:tcPr>
          <w:p>
            <w:pPr>
              <w:jc w:val="right"/>
              <w:ind w:right="540"/>
              <w:spacing w:after="0"/>
              <w:rPr>
                <w:sz w:val="20"/>
                <w:szCs w:val="20"/>
                <w:color w:val="auto"/>
              </w:rPr>
            </w:pPr>
            <w:r>
              <w:rPr>
                <w:rFonts w:ascii="Arial" w:cs="Arial" w:eastAsia="Arial" w:hAnsi="Arial"/>
                <w:sz w:val="18"/>
                <w:szCs w:val="18"/>
                <w:color w:val="auto"/>
              </w:rPr>
              <w:t>143</w:t>
            </w: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52</w:t>
            </w:r>
          </w:p>
        </w:tc>
        <w:tc>
          <w:tcPr>
            <w:tcW w:w="60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36%</w:t>
            </w:r>
          </w:p>
        </w:tc>
        <w:tc>
          <w:tcPr>
            <w:tcW w:w="0" w:type="dxa"/>
            <w:vAlign w:val="bottom"/>
          </w:tcPr>
          <w:p>
            <w:pPr>
              <w:spacing w:after="0"/>
              <w:rPr>
                <w:sz w:val="1"/>
                <w:szCs w:val="1"/>
                <w:color w:val="auto"/>
              </w:rPr>
            </w:pPr>
          </w:p>
        </w:tc>
      </w:tr>
      <w:tr>
        <w:trPr>
          <w:trHeight w:val="216"/>
        </w:trPr>
        <w:tc>
          <w:tcPr>
            <w:tcW w:w="6360" w:type="dxa"/>
            <w:vAlign w:val="bottom"/>
            <w:shd w:val="clear" w:color="auto" w:fill="CCEEFF"/>
          </w:tcPr>
          <w:p>
            <w:pPr>
              <w:spacing w:after="0"/>
              <w:rPr>
                <w:sz w:val="20"/>
                <w:szCs w:val="20"/>
                <w:color w:val="auto"/>
              </w:rPr>
            </w:pPr>
            <w:r>
              <w:rPr>
                <w:rFonts w:ascii="Arial" w:cs="Arial" w:eastAsia="Arial" w:hAnsi="Arial"/>
                <w:sz w:val="18"/>
                <w:szCs w:val="18"/>
                <w:color w:val="auto"/>
              </w:rPr>
              <w:t>Average sales price of backlog</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809</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539</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270</w:t>
            </w: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right="120" w:firstLine="456"/>
        <w:spacing w:after="0" w:line="293" w:lineRule="auto"/>
        <w:rPr>
          <w:sz w:val="20"/>
          <w:szCs w:val="20"/>
          <w:color w:val="auto"/>
        </w:rPr>
      </w:pPr>
      <w:r>
        <w:rPr>
          <w:rFonts w:ascii="Arial" w:cs="Arial" w:eastAsia="Arial" w:hAnsi="Arial"/>
          <w:sz w:val="16"/>
          <w:szCs w:val="16"/>
          <w:color w:val="auto"/>
        </w:rPr>
        <w:t>Net new home orders for the three months ended March 31, 2014 increased 12% to 138, compared to 123 during the prior year period. The increase in net new home orders was due to an increase in the average number of selling communities to 10.0 for the three months ended March 31, 2014 compared to 7.3 during the prior year period, offset by a decrease in our “absorption rate” (the rate at which home orders are contracted, net of cancellations). Our overall absorption rate for the three months ended March 31, 2014 was 13.8 per average selling community (4.60 monthly), compared to 16.8 per average selling community (5.62 monthly) during the prior year period. The increase in net new home orders positively impacted our number of homes in backlog, which is discussed below. We expect that our net new home orders and backlog increases will have a positive impact on revenues and cash flow in future periods.</w:t>
      </w:r>
    </w:p>
    <w:p>
      <w:pPr>
        <w:spacing w:after="0" w:line="165"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Backlog reflects the number of homes, net of actual cancellations experienced during the period, for which we have entered into a sales contract with a customer but for which we have not yet delivered the home. Homes in backlog are generally closed within three to nine months, although we may experience cancellations of sales contracts prior to closing. Our cancellation rate of buyers for our owned projects who contracted to buy a home but did not close escrow (as a percentage of overall orders) was 8% for the three months ended March 31, 2014 as compared to 9% during the prior year period. The dollar value of backlog was approximately $157.7 million as of March 31, 2014, an increase of $80.7 million, or 105%, compared to $77.0 million as of March 31, 2013. This increase reflects an increase in the number of homes in backlog of 52, or 36%, to 195 homes as of March 31, 2014 from 143 homes as of March 31, 2013 and an increase in the average sales price of homes in backlog of $270,000, or 50%, to $809,000 as of March 31, 2014 compared to $539,000 as of March 31, 2013. The increase in average sales price of homes in backlog was the result of a change in product mix to more move-up product at our new communities compared to the prior year. The increase in the dollar amount of backlog of homes sold but not closed as described above generally results in an increase in operating revenues in subsequent periods.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New Homes Delivered and Home Sales (dollars in thousands)</w:t>
      </w:r>
    </w:p>
    <w:p>
      <w:pPr>
        <w:spacing w:after="0" w:line="231"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490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40" w:type="dxa"/>
            <w:vAlign w:val="bottom"/>
            <w:gridSpan w:val="5"/>
          </w:tcPr>
          <w:p>
            <w:pPr>
              <w:jc w:val="right"/>
              <w:ind w:right="500"/>
              <w:spacing w:after="0"/>
              <w:rPr>
                <w:sz w:val="20"/>
                <w:szCs w:val="20"/>
                <w:color w:val="auto"/>
              </w:rPr>
            </w:pPr>
            <w:r>
              <w:rPr>
                <w:rFonts w:ascii="Arial" w:cs="Arial" w:eastAsia="Arial" w:hAnsi="Arial"/>
                <w:sz w:val="14"/>
                <w:szCs w:val="14"/>
                <w:b w:val="1"/>
                <w:bCs w:val="1"/>
                <w:color w:val="auto"/>
                <w:w w:val="95"/>
              </w:rPr>
              <w:t>Three Months Ended</w:t>
            </w:r>
          </w:p>
        </w:tc>
        <w:tc>
          <w:tcPr>
            <w:tcW w:w="100" w:type="dxa"/>
            <w:vAlign w:val="bottom"/>
          </w:tcPr>
          <w:p>
            <w:pPr>
              <w:spacing w:after="0"/>
              <w:rPr>
                <w:sz w:val="14"/>
                <w:szCs w:val="14"/>
                <w:color w:val="auto"/>
              </w:rPr>
            </w:pPr>
          </w:p>
        </w:tc>
        <w:tc>
          <w:tcPr>
            <w:tcW w:w="1500" w:type="dxa"/>
            <w:vAlign w:val="bottom"/>
            <w:gridSpan w:val="4"/>
            <w:vMerge w:val="restart"/>
          </w:tcPr>
          <w:p>
            <w:pPr>
              <w:jc w:val="right"/>
              <w:ind w:right="300"/>
              <w:spacing w:after="0"/>
              <w:rPr>
                <w:sz w:val="20"/>
                <w:szCs w:val="20"/>
                <w:color w:val="auto"/>
              </w:rPr>
            </w:pPr>
            <w:r>
              <w:rPr>
                <w:rFonts w:ascii="Arial" w:cs="Arial" w:eastAsia="Arial" w:hAnsi="Arial"/>
                <w:sz w:val="14"/>
                <w:szCs w:val="14"/>
                <w:b w:val="1"/>
                <w:bCs w:val="1"/>
                <w:color w:val="auto"/>
                <w:w w:val="89"/>
              </w:rPr>
              <w:t>Increase (Decrease)</w:t>
            </w:r>
          </w:p>
        </w:tc>
        <w:tc>
          <w:tcPr>
            <w:tcW w:w="0" w:type="dxa"/>
            <w:vAlign w:val="bottom"/>
          </w:tcPr>
          <w:p>
            <w:pPr>
              <w:spacing w:after="0"/>
              <w:rPr>
                <w:sz w:val="1"/>
                <w:szCs w:val="1"/>
                <w:color w:val="auto"/>
              </w:rPr>
            </w:pPr>
          </w:p>
        </w:tc>
      </w:tr>
      <w:tr>
        <w:trPr>
          <w:trHeight w:val="171"/>
        </w:trPr>
        <w:tc>
          <w:tcPr>
            <w:tcW w:w="490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40" w:type="dxa"/>
            <w:vAlign w:val="bottom"/>
            <w:gridSpan w:val="5"/>
          </w:tcPr>
          <w:p>
            <w:pPr>
              <w:jc w:val="right"/>
              <w:ind w:right="840"/>
              <w:spacing w:after="0"/>
              <w:rPr>
                <w:sz w:val="20"/>
                <w:szCs w:val="20"/>
                <w:color w:val="auto"/>
              </w:rPr>
            </w:pPr>
            <w:r>
              <w:rPr>
                <w:rFonts w:ascii="Arial" w:cs="Arial" w:eastAsia="Arial" w:hAnsi="Arial"/>
                <w:sz w:val="14"/>
                <w:szCs w:val="14"/>
                <w:b w:val="1"/>
                <w:bCs w:val="1"/>
                <w:color w:val="auto"/>
              </w:rPr>
              <w:t>March 31,</w:t>
            </w:r>
          </w:p>
        </w:tc>
        <w:tc>
          <w:tcPr>
            <w:tcW w:w="100" w:type="dxa"/>
            <w:vAlign w:val="bottom"/>
          </w:tcPr>
          <w:p>
            <w:pPr>
              <w:spacing w:after="0"/>
              <w:rPr>
                <w:sz w:val="14"/>
                <w:szCs w:val="14"/>
                <w:color w:val="auto"/>
              </w:rPr>
            </w:pPr>
          </w:p>
        </w:tc>
        <w:tc>
          <w:tcPr>
            <w:tcW w:w="150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900" w:type="dxa"/>
            <w:vAlign w:val="bottom"/>
            <w:tcBorders>
              <w:bottom w:val="single" w:sz="8" w:color="CCEEFF"/>
            </w:tcBorders>
          </w:tcPr>
          <w:p>
            <w:pPr>
              <w:spacing w:after="0"/>
              <w:rPr>
                <w:sz w:val="12"/>
                <w:szCs w:val="12"/>
                <w:color w:val="auto"/>
              </w:rPr>
            </w:pPr>
          </w:p>
        </w:tc>
        <w:tc>
          <w:tcPr>
            <w:tcW w:w="206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79"/>
              <w:spacing w:after="0" w:line="142" w:lineRule="exact"/>
              <w:rPr>
                <w:sz w:val="20"/>
                <w:szCs w:val="20"/>
                <w:color w:val="auto"/>
              </w:rPr>
            </w:pPr>
            <w:r>
              <w:rPr>
                <w:rFonts w:ascii="Arial" w:cs="Arial" w:eastAsia="Arial" w:hAnsi="Arial"/>
                <w:sz w:val="14"/>
                <w:szCs w:val="14"/>
                <w:b w:val="1"/>
                <w:bCs w:val="1"/>
                <w:color w:val="auto"/>
              </w:rPr>
              <w:t>2014</w:t>
            </w:r>
          </w:p>
        </w:tc>
        <w:tc>
          <w:tcPr>
            <w:tcW w:w="380" w:type="dxa"/>
            <w:vAlign w:val="bottom"/>
            <w:tcBorders>
              <w:top w:val="single" w:sz="8" w:color="auto"/>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54"/>
              <w:spacing w:after="0" w:line="142" w:lineRule="exact"/>
              <w:rPr>
                <w:sz w:val="20"/>
                <w:szCs w:val="20"/>
                <w:color w:val="auto"/>
              </w:rPr>
            </w:pPr>
            <w:r>
              <w:rPr>
                <w:rFonts w:ascii="Arial" w:cs="Arial" w:eastAsia="Arial" w:hAnsi="Arial"/>
                <w:sz w:val="14"/>
                <w:szCs w:val="14"/>
                <w:b w:val="1"/>
                <w:bCs w:val="1"/>
                <w:color w:val="auto"/>
              </w:rPr>
              <w:t>2013</w:t>
            </w:r>
          </w:p>
        </w:tc>
        <w:tc>
          <w:tcPr>
            <w:tcW w:w="380" w:type="dxa"/>
            <w:vAlign w:val="bottom"/>
            <w:tcBorders>
              <w:bottom w:val="single" w:sz="8" w:color="CCEEFF"/>
            </w:tcBorders>
          </w:tcPr>
          <w:p>
            <w:pPr>
              <w:spacing w:after="0"/>
              <w:rPr>
                <w:sz w:val="12"/>
                <w:szCs w:val="12"/>
                <w:color w:val="auto"/>
              </w:rPr>
            </w:pPr>
          </w:p>
        </w:tc>
        <w:tc>
          <w:tcPr>
            <w:tcW w:w="640" w:type="dxa"/>
            <w:vAlign w:val="bottom"/>
            <w:tcBorders>
              <w:top w:val="single" w:sz="8" w:color="auto"/>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rPr>
              <w:t>Amount</w:t>
            </w:r>
          </w:p>
        </w:tc>
        <w:tc>
          <w:tcPr>
            <w:tcW w:w="380" w:type="dxa"/>
            <w:vAlign w:val="bottom"/>
            <w:tcBorders>
              <w:top w:val="single" w:sz="8" w:color="auto"/>
              <w:bottom w:val="single" w:sz="8" w:color="CCEEFF"/>
            </w:tcBorders>
          </w:tcPr>
          <w:p>
            <w:pPr>
              <w:spacing w:after="0"/>
              <w:rPr>
                <w:sz w:val="12"/>
                <w:szCs w:val="12"/>
                <w:color w:val="auto"/>
              </w:rPr>
            </w:pPr>
          </w:p>
        </w:tc>
        <w:tc>
          <w:tcPr>
            <w:tcW w:w="380" w:type="dxa"/>
            <w:vAlign w:val="bottom"/>
            <w:tcBorders>
              <w:top w:val="single" w:sz="8" w:color="auto"/>
              <w:bottom w:val="single" w:sz="8" w:color="auto"/>
            </w:tcBorders>
          </w:tcPr>
          <w:p>
            <w:pPr>
              <w:jc w:val="right"/>
              <w:ind w:right="34"/>
              <w:spacing w:after="0" w:line="142" w:lineRule="exact"/>
              <w:rPr>
                <w:sz w:val="20"/>
                <w:szCs w:val="20"/>
                <w:color w:val="auto"/>
              </w:rPr>
            </w:pPr>
            <w:r>
              <w:rPr>
                <w:rFonts w:ascii="Arial" w:cs="Arial" w:eastAsia="Arial" w:hAnsi="Arial"/>
                <w:sz w:val="14"/>
                <w:szCs w:val="14"/>
                <w:b w:val="1"/>
                <w:bCs w:val="1"/>
                <w:color w:val="auto"/>
              </w:rPr>
              <w:t>%</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900" w:type="dxa"/>
            <w:vAlign w:val="bottom"/>
            <w:shd w:val="clear" w:color="auto" w:fill="CCEEFF"/>
          </w:tcPr>
          <w:p>
            <w:pPr>
              <w:spacing w:after="0"/>
              <w:rPr>
                <w:sz w:val="20"/>
                <w:szCs w:val="20"/>
                <w:color w:val="auto"/>
              </w:rPr>
            </w:pPr>
            <w:r>
              <w:rPr>
                <w:rFonts w:ascii="Arial" w:cs="Arial" w:eastAsia="Arial" w:hAnsi="Arial"/>
                <w:sz w:val="18"/>
                <w:szCs w:val="18"/>
                <w:color w:val="auto"/>
              </w:rPr>
              <w:t>New homes delivered</w:t>
            </w:r>
          </w:p>
        </w:tc>
        <w:tc>
          <w:tcPr>
            <w:tcW w:w="20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w:t>
            </w: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3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92%</w:t>
            </w:r>
          </w:p>
        </w:tc>
        <w:tc>
          <w:tcPr>
            <w:tcW w:w="0" w:type="dxa"/>
            <w:vAlign w:val="bottom"/>
          </w:tcPr>
          <w:p>
            <w:pPr>
              <w:spacing w:after="0"/>
              <w:rPr>
                <w:sz w:val="1"/>
                <w:szCs w:val="1"/>
                <w:color w:val="auto"/>
              </w:rPr>
            </w:pPr>
          </w:p>
        </w:tc>
      </w:tr>
      <w:tr>
        <w:trPr>
          <w:trHeight w:val="216"/>
        </w:trPr>
        <w:tc>
          <w:tcPr>
            <w:tcW w:w="4900" w:type="dxa"/>
            <w:vAlign w:val="bottom"/>
          </w:tcPr>
          <w:p>
            <w:pPr>
              <w:spacing w:after="0"/>
              <w:rPr>
                <w:sz w:val="20"/>
                <w:szCs w:val="20"/>
                <w:color w:val="auto"/>
              </w:rPr>
            </w:pPr>
            <w:r>
              <w:rPr>
                <w:rFonts w:ascii="Arial" w:cs="Arial" w:eastAsia="Arial" w:hAnsi="Arial"/>
                <w:sz w:val="18"/>
                <w:szCs w:val="18"/>
                <w:color w:val="auto"/>
              </w:rPr>
              <w:t>Home sales</w:t>
            </w:r>
          </w:p>
        </w:tc>
        <w:tc>
          <w:tcPr>
            <w:tcW w:w="2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380"/>
              <w:spacing w:after="0"/>
              <w:rPr>
                <w:sz w:val="20"/>
                <w:szCs w:val="20"/>
                <w:color w:val="auto"/>
              </w:rPr>
            </w:pPr>
            <w:r>
              <w:rPr>
                <w:rFonts w:ascii="Arial" w:cs="Arial" w:eastAsia="Arial" w:hAnsi="Arial"/>
                <w:sz w:val="18"/>
                <w:szCs w:val="18"/>
                <w:color w:val="auto"/>
                <w:w w:val="87"/>
              </w:rPr>
              <w:t>72,812</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380"/>
              <w:spacing w:after="0"/>
              <w:rPr>
                <w:sz w:val="20"/>
                <w:szCs w:val="20"/>
                <w:color w:val="auto"/>
              </w:rPr>
            </w:pPr>
            <w:r>
              <w:rPr>
                <w:rFonts w:ascii="Arial" w:cs="Arial" w:eastAsia="Arial" w:hAnsi="Arial"/>
                <w:sz w:val="18"/>
                <w:szCs w:val="18"/>
                <w:color w:val="auto"/>
                <w:w w:val="87"/>
              </w:rPr>
              <w:t>23,857</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tcPr>
          <w:p>
            <w:pPr>
              <w:jc w:val="right"/>
              <w:ind w:right="380"/>
              <w:spacing w:after="0"/>
              <w:rPr>
                <w:sz w:val="20"/>
                <w:szCs w:val="20"/>
                <w:color w:val="auto"/>
              </w:rPr>
            </w:pPr>
            <w:r>
              <w:rPr>
                <w:rFonts w:ascii="Arial" w:cs="Arial" w:eastAsia="Arial" w:hAnsi="Arial"/>
                <w:sz w:val="18"/>
                <w:szCs w:val="18"/>
                <w:color w:val="auto"/>
                <w:w w:val="94"/>
              </w:rPr>
              <w:t>48,955</w:t>
            </w:r>
          </w:p>
        </w:tc>
        <w:tc>
          <w:tcPr>
            <w:tcW w:w="580" w:type="dxa"/>
            <w:vAlign w:val="bottom"/>
            <w:gridSpan w:val="2"/>
          </w:tcPr>
          <w:p>
            <w:pPr>
              <w:jc w:val="right"/>
              <w:ind w:right="60"/>
              <w:spacing w:after="0"/>
              <w:rPr>
                <w:sz w:val="20"/>
                <w:szCs w:val="20"/>
                <w:color w:val="auto"/>
              </w:rPr>
            </w:pPr>
            <w:r>
              <w:rPr>
                <w:rFonts w:ascii="Arial" w:cs="Arial" w:eastAsia="Arial" w:hAnsi="Arial"/>
                <w:sz w:val="18"/>
                <w:szCs w:val="18"/>
                <w:color w:val="auto"/>
              </w:rPr>
              <w:t>205%</w:t>
            </w:r>
          </w:p>
        </w:tc>
        <w:tc>
          <w:tcPr>
            <w:tcW w:w="0" w:type="dxa"/>
            <w:vAlign w:val="bottom"/>
          </w:tcPr>
          <w:p>
            <w:pPr>
              <w:spacing w:after="0"/>
              <w:rPr>
                <w:sz w:val="1"/>
                <w:szCs w:val="1"/>
                <w:color w:val="auto"/>
              </w:rPr>
            </w:pPr>
          </w:p>
        </w:tc>
      </w:tr>
      <w:tr>
        <w:trPr>
          <w:trHeight w:val="216"/>
        </w:trPr>
        <w:tc>
          <w:tcPr>
            <w:tcW w:w="4900" w:type="dxa"/>
            <w:vAlign w:val="bottom"/>
            <w:shd w:val="clear" w:color="auto" w:fill="CCEEFF"/>
          </w:tcPr>
          <w:p>
            <w:pPr>
              <w:spacing w:after="0"/>
              <w:rPr>
                <w:sz w:val="20"/>
                <w:szCs w:val="20"/>
                <w:color w:val="auto"/>
              </w:rPr>
            </w:pPr>
            <w:r>
              <w:rPr>
                <w:rFonts w:ascii="Arial" w:cs="Arial" w:eastAsia="Arial" w:hAnsi="Arial"/>
                <w:sz w:val="18"/>
                <w:szCs w:val="18"/>
                <w:color w:val="auto"/>
              </w:rPr>
              <w:t>Average sales price of homes delivered</w:t>
            </w:r>
          </w:p>
        </w:tc>
        <w:tc>
          <w:tcPr>
            <w:tcW w:w="2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791</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497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294</w:t>
            </w:r>
          </w:p>
        </w:tc>
        <w:tc>
          <w:tcPr>
            <w:tcW w:w="5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59%</w:t>
            </w:r>
          </w:p>
        </w:tc>
        <w:tc>
          <w:tcPr>
            <w:tcW w:w="0" w:type="dxa"/>
            <w:vAlign w:val="bottom"/>
          </w:tcPr>
          <w:p>
            <w:pPr>
              <w:spacing w:after="0"/>
              <w:rPr>
                <w:sz w:val="1"/>
                <w:szCs w:val="1"/>
                <w:color w:val="auto"/>
              </w:rPr>
            </w:pPr>
          </w:p>
        </w:tc>
      </w:tr>
    </w:tbl>
    <w:p>
      <w:pPr>
        <w:spacing w:after="0" w:line="202" w:lineRule="exact"/>
        <w:rPr>
          <w:sz w:val="20"/>
          <w:szCs w:val="20"/>
          <w:color w:val="auto"/>
        </w:rPr>
      </w:pPr>
    </w:p>
    <w:p>
      <w:pPr>
        <w:jc w:val="both"/>
        <w:ind w:right="60" w:firstLine="456"/>
        <w:spacing w:after="0" w:line="288" w:lineRule="auto"/>
        <w:rPr>
          <w:sz w:val="20"/>
          <w:szCs w:val="20"/>
          <w:color w:val="auto"/>
        </w:rPr>
      </w:pPr>
      <w:r>
        <w:rPr>
          <w:rFonts w:ascii="Arial" w:cs="Arial" w:eastAsia="Arial" w:hAnsi="Arial"/>
          <w:sz w:val="16"/>
          <w:szCs w:val="16"/>
          <w:color w:val="auto"/>
        </w:rPr>
        <w:t>New home deliveries increased by 44, or 92%, to 92 during the three months ended March 31, 2014 from 48 during the prior year period. The increase in new home deliveries was primarily attributable to the increase in backlog at the start of the quarter compared to the same period in the prior year due to the increase in the average number of selling communities and higher net new home orders. Home sales revenue increased $48.9 million, or 205%, to</w:t>
      </w:r>
    </w:p>
    <w:p>
      <w:pPr>
        <w:spacing w:after="0" w:line="271" w:lineRule="auto"/>
        <w:rPr>
          <w:sz w:val="20"/>
          <w:szCs w:val="20"/>
          <w:color w:val="auto"/>
        </w:rPr>
      </w:pPr>
      <w:r>
        <w:rPr>
          <w:rFonts w:ascii="Arial" w:cs="Arial" w:eastAsia="Arial" w:hAnsi="Arial"/>
          <w:sz w:val="17"/>
          <w:szCs w:val="17"/>
          <w:color w:val="auto"/>
        </w:rPr>
        <w:t>$72.8 million for the three months ended March 31, 2014 from $23.9 million for the prior year. The increase was primarily attributable to: (i) an increase in revenue of $21.9 million due to a 92% increase in homes closed to 92 for the three months ended March 31, 2014 from 48 for the prior year, and (ii) an increase in revenues of $27.0 million related to an increase in average sales price of $294,000 per unit to $791,000 for the three months ended March 31, 2014 from $497,000 for the prior year. The increase in the average sales price of homes delivered was attributable to a change in product mix to more move-up product at our new communities and increased pricing for the three months ended March 31, 2014.</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- 21 -</w:t>
      </w:r>
    </w:p>
    <w:p>
      <w:pPr>
        <w:sectPr>
          <w:pgSz w:w="11900" w:h="16838" w:orient="portrait"/>
          <w:cols w:equalWidth="0" w:num="1">
            <w:col w:w="11420"/>
          </w:cols>
          <w:pgMar w:left="240" w:top="459" w:right="2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Homebuilding (dollars in thousands)</w:t>
      </w:r>
    </w:p>
    <w:p>
      <w:pPr>
        <w:spacing w:after="0" w:line="244" w:lineRule="exact"/>
        <w:rPr>
          <w:sz w:val="20"/>
          <w:szCs w:val="20"/>
          <w:color w:val="auto"/>
        </w:rPr>
      </w:pPr>
    </w:p>
    <w:p>
      <w:pPr>
        <w:jc w:val="center"/>
        <w:ind w:left="6320"/>
        <w:spacing w:after="0"/>
        <w:rPr>
          <w:sz w:val="20"/>
          <w:szCs w:val="20"/>
          <w:color w:val="auto"/>
        </w:rPr>
      </w:pPr>
      <w:r>
        <w:rPr>
          <w:rFonts w:ascii="Arial" w:cs="Arial" w:eastAsia="Arial" w:hAnsi="Arial"/>
          <w:sz w:val="14"/>
          <w:szCs w:val="14"/>
          <w:b w:val="1"/>
          <w:bCs w:val="1"/>
          <w:color w:val="auto"/>
        </w:rPr>
        <w:t>Three Months Ended</w:t>
      </w:r>
    </w:p>
    <w:p>
      <w:pPr>
        <w:jc w:val="center"/>
        <w:ind w:left="6320"/>
        <w:spacing w:after="0" w:line="236" w:lineRule="auto"/>
        <w:rPr>
          <w:sz w:val="20"/>
          <w:szCs w:val="20"/>
          <w:color w:val="auto"/>
        </w:rPr>
      </w:pPr>
      <w:r>
        <w:rPr>
          <w:rFonts w:ascii="Arial" w:cs="Arial" w:eastAsia="Arial" w:hAnsi="Arial"/>
          <w:sz w:val="14"/>
          <w:szCs w:val="14"/>
          <w:b w:val="1"/>
          <w:bCs w:val="1"/>
          <w:color w:val="auto"/>
        </w:rPr>
        <w:t>March 31,</w:t>
      </w:r>
    </w:p>
    <w:p>
      <w:pPr>
        <w:spacing w:after="0" w:line="1" w:lineRule="exact"/>
        <w:rPr>
          <w:sz w:val="20"/>
          <w:szCs w:val="20"/>
          <w:color w:val="auto"/>
        </w:rPr>
      </w:pPr>
    </w:p>
    <w:tbl>
      <w:tblPr>
        <w:tblLayout w:type="fixed"/>
        <w:tblInd w:w="46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5080" w:type="dxa"/>
            <w:vAlign w:val="bottom"/>
            <w:tcBorders>
              <w:bottom w:val="single" w:sz="8" w:color="CCEEFF"/>
            </w:tcBorders>
          </w:tcPr>
          <w:p>
            <w:pPr>
              <w:spacing w:after="0"/>
              <w:rPr>
                <w:sz w:val="12"/>
                <w:szCs w:val="12"/>
                <w:color w:val="auto"/>
              </w:rPr>
            </w:pPr>
          </w:p>
        </w:tc>
        <w:tc>
          <w:tcPr>
            <w:tcW w:w="1440" w:type="dxa"/>
            <w:vAlign w:val="bottom"/>
            <w:tcBorders>
              <w:bottom w:val="single" w:sz="8" w:color="CCEEFF"/>
            </w:tcBorders>
          </w:tcPr>
          <w:p>
            <w:pPr>
              <w:spacing w:after="0"/>
              <w:rPr>
                <w:sz w:val="12"/>
                <w:szCs w:val="12"/>
                <w:color w:val="auto"/>
              </w:rPr>
            </w:pPr>
          </w:p>
        </w:tc>
        <w:tc>
          <w:tcPr>
            <w:tcW w:w="580" w:type="dxa"/>
            <w:vAlign w:val="bottom"/>
            <w:tcBorders>
              <w:top w:val="single" w:sz="8" w:color="auto"/>
              <w:bottom w:val="single" w:sz="8" w:color="auto"/>
            </w:tcBorders>
          </w:tcPr>
          <w:p>
            <w:pPr>
              <w:jc w:val="right"/>
              <w:ind w:right="53"/>
              <w:spacing w:after="0" w:line="142" w:lineRule="exact"/>
              <w:rPr>
                <w:sz w:val="20"/>
                <w:szCs w:val="20"/>
                <w:color w:val="auto"/>
              </w:rPr>
            </w:pPr>
            <w:r>
              <w:rPr>
                <w:rFonts w:ascii="Arial" w:cs="Arial" w:eastAsia="Arial" w:hAnsi="Arial"/>
                <w:sz w:val="14"/>
                <w:szCs w:val="14"/>
                <w:b w:val="1"/>
                <w:bCs w:val="1"/>
                <w:color w:val="auto"/>
              </w:rPr>
              <w:t>2014</w:t>
            </w:r>
          </w:p>
        </w:tc>
        <w:tc>
          <w:tcPr>
            <w:tcW w:w="560" w:type="dxa"/>
            <w:vAlign w:val="bottom"/>
            <w:tcBorders>
              <w:top w:val="single" w:sz="8" w:color="auto"/>
              <w:bottom w:val="single" w:sz="8" w:color="CCEEFF"/>
            </w:tcBorders>
          </w:tcPr>
          <w:p>
            <w:pPr>
              <w:spacing w:after="0"/>
              <w:rPr>
                <w:sz w:val="12"/>
                <w:szCs w:val="12"/>
                <w:color w:val="auto"/>
              </w:rPr>
            </w:pPr>
          </w:p>
        </w:tc>
        <w:tc>
          <w:tcPr>
            <w:tcW w:w="460" w:type="dxa"/>
            <w:vAlign w:val="bottom"/>
            <w:tcBorders>
              <w:top w:val="single" w:sz="8" w:color="auto"/>
              <w:bottom w:val="single" w:sz="8" w:color="auto"/>
            </w:tcBorders>
          </w:tcPr>
          <w:p>
            <w:pPr>
              <w:jc w:val="right"/>
              <w:ind w:right="73"/>
              <w:spacing w:after="0" w:line="142" w:lineRule="exact"/>
              <w:rPr>
                <w:sz w:val="20"/>
                <w:szCs w:val="20"/>
                <w:color w:val="auto"/>
              </w:rPr>
            </w:pPr>
            <w:r>
              <w:rPr>
                <w:rFonts w:ascii="Arial" w:cs="Arial" w:eastAsia="Arial" w:hAnsi="Arial"/>
                <w:sz w:val="14"/>
                <w:szCs w:val="14"/>
                <w:b w:val="1"/>
                <w:bCs w:val="1"/>
                <w:color w:val="auto"/>
              </w:rPr>
              <w:t>%</w:t>
            </w:r>
          </w:p>
        </w:tc>
        <w:tc>
          <w:tcPr>
            <w:tcW w:w="340" w:type="dxa"/>
            <w:vAlign w:val="bottom"/>
            <w:tcBorders>
              <w:top w:val="single" w:sz="8" w:color="auto"/>
              <w:bottom w:val="single" w:sz="8" w:color="CCEEFF"/>
            </w:tcBorders>
          </w:tcPr>
          <w:p>
            <w:pPr>
              <w:spacing w:after="0"/>
              <w:rPr>
                <w:sz w:val="12"/>
                <w:szCs w:val="12"/>
                <w:color w:val="auto"/>
              </w:rPr>
            </w:pPr>
          </w:p>
        </w:tc>
        <w:tc>
          <w:tcPr>
            <w:tcW w:w="220" w:type="dxa"/>
            <w:vAlign w:val="bottom"/>
            <w:tcBorders>
              <w:top w:val="single" w:sz="8" w:color="auto"/>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52"/>
              <w:spacing w:after="0" w:line="142" w:lineRule="exact"/>
              <w:rPr>
                <w:sz w:val="20"/>
                <w:szCs w:val="20"/>
                <w:color w:val="auto"/>
              </w:rPr>
            </w:pPr>
            <w:r>
              <w:rPr>
                <w:rFonts w:ascii="Arial" w:cs="Arial" w:eastAsia="Arial" w:hAnsi="Arial"/>
                <w:sz w:val="14"/>
                <w:szCs w:val="14"/>
                <w:b w:val="1"/>
                <w:bCs w:val="1"/>
                <w:color w:val="auto"/>
              </w:rPr>
              <w:t>2013</w:t>
            </w:r>
          </w:p>
        </w:tc>
        <w:tc>
          <w:tcPr>
            <w:tcW w:w="560" w:type="dxa"/>
            <w:vAlign w:val="bottom"/>
            <w:tcBorders>
              <w:top w:val="single" w:sz="8" w:color="auto"/>
              <w:bottom w:val="single" w:sz="8" w:color="CCEEFF"/>
            </w:tcBorders>
          </w:tcPr>
          <w:p>
            <w:pPr>
              <w:spacing w:after="0"/>
              <w:rPr>
                <w:sz w:val="12"/>
                <w:szCs w:val="12"/>
                <w:color w:val="auto"/>
              </w:rPr>
            </w:pPr>
          </w:p>
        </w:tc>
        <w:tc>
          <w:tcPr>
            <w:tcW w:w="460" w:type="dxa"/>
            <w:vAlign w:val="bottom"/>
            <w:tcBorders>
              <w:top w:val="single" w:sz="8" w:color="auto"/>
              <w:bottom w:val="single" w:sz="8" w:color="auto"/>
            </w:tcBorders>
          </w:tcPr>
          <w:p>
            <w:pPr>
              <w:jc w:val="right"/>
              <w:ind w:right="73"/>
              <w:spacing w:after="0" w:line="142" w:lineRule="exact"/>
              <w:rPr>
                <w:sz w:val="20"/>
                <w:szCs w:val="20"/>
                <w:color w:val="auto"/>
              </w:rPr>
            </w:pPr>
            <w:r>
              <w:rPr>
                <w:rFonts w:ascii="Arial" w:cs="Arial" w:eastAsia="Arial" w:hAnsi="Arial"/>
                <w:sz w:val="14"/>
                <w:szCs w:val="14"/>
                <w:b w:val="1"/>
                <w:bCs w:val="1"/>
                <w:color w:val="auto"/>
              </w:rPr>
              <w:t>%</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Home sales</w:t>
            </w:r>
          </w:p>
        </w:tc>
        <w:tc>
          <w:tcPr>
            <w:tcW w:w="144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$72,812</w:t>
            </w:r>
          </w:p>
        </w:tc>
        <w:tc>
          <w:tcPr>
            <w:tcW w:w="5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4"/>
              </w:rPr>
              <w:t>100.0%</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23,857</w:t>
            </w:r>
          </w:p>
        </w:tc>
        <w:tc>
          <w:tcPr>
            <w:tcW w:w="56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4"/>
              </w:rPr>
              <w:t>100.0%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spacing w:after="0"/>
              <w:rPr>
                <w:sz w:val="20"/>
                <w:szCs w:val="20"/>
                <w:color w:val="auto"/>
              </w:rPr>
            </w:pPr>
            <w:r>
              <w:rPr>
                <w:rFonts w:ascii="Arial" w:cs="Arial" w:eastAsia="Arial" w:hAnsi="Arial"/>
                <w:sz w:val="18"/>
                <w:szCs w:val="18"/>
                <w:color w:val="auto"/>
              </w:rPr>
              <w:t>Cost of home sales</w:t>
            </w:r>
          </w:p>
        </w:tc>
        <w:tc>
          <w:tcPr>
            <w:tcW w:w="1440" w:type="dxa"/>
            <w:vAlign w:val="bottom"/>
          </w:tcPr>
          <w:p>
            <w:pPr>
              <w:spacing w:after="0"/>
              <w:rPr>
                <w:sz w:val="18"/>
                <w:szCs w:val="18"/>
                <w:color w:val="auto"/>
              </w:rPr>
            </w:pPr>
          </w:p>
        </w:tc>
        <w:tc>
          <w:tcPr>
            <w:tcW w:w="1140" w:type="dxa"/>
            <w:vAlign w:val="bottom"/>
            <w:gridSpan w:val="2"/>
          </w:tcPr>
          <w:p>
            <w:pPr>
              <w:jc w:val="right"/>
              <w:ind w:right="560"/>
              <w:spacing w:after="0"/>
              <w:rPr>
                <w:sz w:val="20"/>
                <w:szCs w:val="20"/>
                <w:color w:val="auto"/>
              </w:rPr>
            </w:pPr>
            <w:r>
              <w:rPr>
                <w:rFonts w:ascii="Arial" w:cs="Arial" w:eastAsia="Arial" w:hAnsi="Arial"/>
                <w:sz w:val="18"/>
                <w:szCs w:val="18"/>
                <w:color w:val="auto"/>
              </w:rPr>
              <w:t>56,432</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77.5%</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gridSpan w:val="2"/>
          </w:tcPr>
          <w:p>
            <w:pPr>
              <w:jc w:val="right"/>
              <w:ind w:right="560"/>
              <w:spacing w:after="0"/>
              <w:rPr>
                <w:sz w:val="20"/>
                <w:szCs w:val="20"/>
                <w:color w:val="auto"/>
              </w:rPr>
            </w:pPr>
            <w:r>
              <w:rPr>
                <w:rFonts w:ascii="Arial" w:cs="Arial" w:eastAsia="Arial" w:hAnsi="Arial"/>
                <w:sz w:val="18"/>
                <w:szCs w:val="18"/>
                <w:color w:val="auto"/>
                <w:w w:val="87"/>
              </w:rPr>
              <w:t>19,449</w:t>
            </w: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81.5%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0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Homebuilding gross margin</w:t>
            </w:r>
          </w:p>
        </w:tc>
        <w:tc>
          <w:tcPr>
            <w:tcW w:w="14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16,380</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22.5%</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4,408</w:t>
            </w: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18.5%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ind w:left="340"/>
              <w:spacing w:after="0"/>
              <w:rPr>
                <w:sz w:val="20"/>
                <w:szCs w:val="20"/>
                <w:color w:val="auto"/>
              </w:rPr>
            </w:pPr>
            <w:r>
              <w:rPr>
                <w:rFonts w:ascii="Arial" w:cs="Arial" w:eastAsia="Arial" w:hAnsi="Arial"/>
                <w:sz w:val="18"/>
                <w:szCs w:val="18"/>
                <w:color w:val="auto"/>
              </w:rPr>
              <w:t>Add: interest in cost of home sales</w:t>
            </w:r>
          </w:p>
        </w:tc>
        <w:tc>
          <w:tcPr>
            <w:tcW w:w="1440" w:type="dxa"/>
            <w:vAlign w:val="bottom"/>
          </w:tcPr>
          <w:p>
            <w:pPr>
              <w:spacing w:after="0"/>
              <w:rPr>
                <w:sz w:val="18"/>
                <w:szCs w:val="18"/>
                <w:color w:val="auto"/>
              </w:rPr>
            </w:pPr>
          </w:p>
        </w:tc>
        <w:tc>
          <w:tcPr>
            <w:tcW w:w="1140" w:type="dxa"/>
            <w:vAlign w:val="bottom"/>
            <w:gridSpan w:val="2"/>
          </w:tcPr>
          <w:p>
            <w:pPr>
              <w:jc w:val="right"/>
              <w:ind w:right="560"/>
              <w:spacing w:after="0"/>
              <w:rPr>
                <w:sz w:val="20"/>
                <w:szCs w:val="20"/>
                <w:color w:val="auto"/>
              </w:rPr>
            </w:pPr>
            <w:r>
              <w:rPr>
                <w:rFonts w:ascii="Arial" w:cs="Arial" w:eastAsia="Arial" w:hAnsi="Arial"/>
                <w:sz w:val="18"/>
                <w:szCs w:val="18"/>
                <w:color w:val="auto"/>
              </w:rPr>
              <w:t>422</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0.6%</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gridSpan w:val="2"/>
          </w:tcPr>
          <w:p>
            <w:pPr>
              <w:jc w:val="right"/>
              <w:ind w:right="560"/>
              <w:spacing w:after="0"/>
              <w:rPr>
                <w:sz w:val="20"/>
                <w:szCs w:val="20"/>
                <w:color w:val="auto"/>
              </w:rPr>
            </w:pPr>
            <w:r>
              <w:rPr>
                <w:rFonts w:ascii="Arial" w:cs="Arial" w:eastAsia="Arial" w:hAnsi="Arial"/>
                <w:sz w:val="18"/>
                <w:szCs w:val="18"/>
                <w:color w:val="auto"/>
              </w:rPr>
              <w:t>256</w:t>
            </w: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0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Adjusted homebuilding gross margin</w:t>
            </w:r>
            <w:r>
              <w:rPr>
                <w:rFonts w:ascii="Arial" w:cs="Arial" w:eastAsia="Arial" w:hAnsi="Arial"/>
                <w:sz w:val="15"/>
                <w:szCs w:val="15"/>
                <w:color w:val="auto"/>
              </w:rPr>
              <w:t>(1)</w:t>
            </w:r>
          </w:p>
        </w:tc>
        <w:tc>
          <w:tcPr>
            <w:tcW w:w="2580" w:type="dxa"/>
            <w:vAlign w:val="bottom"/>
            <w:gridSpan w:val="3"/>
            <w:shd w:val="clear" w:color="auto" w:fill="CCEEFF"/>
          </w:tcPr>
          <w:p>
            <w:pPr>
              <w:jc w:val="right"/>
              <w:ind w:right="56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16,802</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23.1%</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4,664</w:t>
            </w: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19.5%</w:t>
            </w:r>
          </w:p>
        </w:tc>
        <w:tc>
          <w:tcPr>
            <w:tcW w:w="0" w:type="dxa"/>
            <w:vAlign w:val="bottom"/>
          </w:tcPr>
          <w:p>
            <w:pPr>
              <w:spacing w:after="0"/>
              <w:rPr>
                <w:sz w:val="1"/>
                <w:szCs w:val="1"/>
                <w:color w:val="auto"/>
              </w:rPr>
            </w:pPr>
          </w:p>
        </w:tc>
      </w:tr>
      <w:tr>
        <w:trPr>
          <w:trHeight w:val="20"/>
        </w:trPr>
        <w:tc>
          <w:tcPr>
            <w:tcW w:w="5100" w:type="dxa"/>
            <w:vAlign w:val="bottom"/>
            <w:gridSpan w:val="2"/>
            <w:vMerge w:val="restart"/>
          </w:tcPr>
          <w:p>
            <w:pPr>
              <w:spacing w:after="0"/>
              <w:rPr>
                <w:sz w:val="20"/>
                <w:szCs w:val="20"/>
                <w:color w:val="auto"/>
              </w:rPr>
            </w:pPr>
            <w:r>
              <w:rPr>
                <w:rFonts w:ascii="Arial" w:cs="Arial" w:eastAsia="Arial" w:hAnsi="Arial"/>
                <w:sz w:val="18"/>
                <w:szCs w:val="18"/>
                <w:color w:val="auto"/>
              </w:rPr>
              <w:t>Homebuilding gross margin percentage</w:t>
            </w:r>
          </w:p>
        </w:tc>
        <w:tc>
          <w:tcPr>
            <w:tcW w:w="14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100" w:type="dxa"/>
            <w:vAlign w:val="bottom"/>
            <w:gridSpan w:val="2"/>
            <w:vMerge w:val="continue"/>
          </w:tcPr>
          <w:p>
            <w:pPr>
              <w:spacing w:after="0"/>
              <w:rPr>
                <w:sz w:val="18"/>
                <w:szCs w:val="18"/>
                <w:color w:val="auto"/>
              </w:rPr>
            </w:pPr>
          </w:p>
        </w:tc>
        <w:tc>
          <w:tcPr>
            <w:tcW w:w="1440" w:type="dxa"/>
            <w:vAlign w:val="bottom"/>
          </w:tcPr>
          <w:p>
            <w:pPr>
              <w:spacing w:after="0"/>
              <w:rPr>
                <w:sz w:val="18"/>
                <w:szCs w:val="18"/>
                <w:color w:val="auto"/>
              </w:rPr>
            </w:pPr>
          </w:p>
        </w:tc>
        <w:tc>
          <w:tcPr>
            <w:tcW w:w="1140" w:type="dxa"/>
            <w:vAlign w:val="bottom"/>
            <w:gridSpan w:val="2"/>
          </w:tcPr>
          <w:p>
            <w:pPr>
              <w:jc w:val="right"/>
              <w:ind w:right="400"/>
              <w:spacing w:after="0"/>
              <w:rPr>
                <w:sz w:val="20"/>
                <w:szCs w:val="20"/>
                <w:color w:val="auto"/>
              </w:rPr>
            </w:pPr>
            <w:r>
              <w:rPr>
                <w:rFonts w:ascii="Arial" w:cs="Arial" w:eastAsia="Arial" w:hAnsi="Arial"/>
                <w:sz w:val="18"/>
                <w:szCs w:val="18"/>
                <w:color w:val="auto"/>
              </w:rPr>
              <w:t>22.5%</w:t>
            </w:r>
          </w:p>
        </w:tc>
        <w:tc>
          <w:tcPr>
            <w:tcW w:w="4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gridSpan w:val="2"/>
          </w:tcPr>
          <w:p>
            <w:pPr>
              <w:jc w:val="right"/>
              <w:ind w:right="400"/>
              <w:spacing w:after="0"/>
              <w:rPr>
                <w:sz w:val="20"/>
                <w:szCs w:val="20"/>
                <w:color w:val="auto"/>
              </w:rPr>
            </w:pPr>
            <w:r>
              <w:rPr>
                <w:rFonts w:ascii="Arial" w:cs="Arial" w:eastAsia="Arial" w:hAnsi="Arial"/>
                <w:sz w:val="18"/>
                <w:szCs w:val="18"/>
                <w:color w:val="auto"/>
              </w:rPr>
              <w:t>18.5%</w:t>
            </w:r>
          </w:p>
        </w:tc>
        <w:tc>
          <w:tcPr>
            <w:tcW w:w="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8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Adjusted homebuilding gross margin percentage</w:t>
            </w:r>
            <w:r>
              <w:rPr>
                <w:rFonts w:ascii="Arial" w:cs="Arial" w:eastAsia="Arial" w:hAnsi="Arial"/>
                <w:sz w:val="15"/>
                <w:szCs w:val="15"/>
                <w:color w:val="auto"/>
              </w:rPr>
              <w:t>(1)</w:t>
            </w:r>
          </w:p>
        </w:tc>
        <w:tc>
          <w:tcPr>
            <w:tcW w:w="258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23.1%</w:t>
            </w:r>
          </w:p>
        </w:tc>
        <w:tc>
          <w:tcPr>
            <w:tcW w:w="4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19.5%</w:t>
            </w:r>
          </w:p>
        </w:tc>
        <w:tc>
          <w:tcPr>
            <w:tcW w:w="4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8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460" w:hanging="452"/>
        <w:spacing w:after="0"/>
        <w:tabs>
          <w:tab w:leader="none" w:pos="460" w:val="left"/>
        </w:tabs>
        <w:numPr>
          <w:ilvl w:val="0"/>
          <w:numId w:val="14"/>
        </w:numPr>
        <w:rPr>
          <w:rFonts w:ascii="Arial" w:cs="Arial" w:eastAsia="Arial" w:hAnsi="Arial"/>
          <w:sz w:val="15"/>
          <w:szCs w:val="15"/>
          <w:color w:val="auto"/>
        </w:rPr>
      </w:pPr>
      <w:r>
        <w:rPr>
          <w:rFonts w:ascii="Arial" w:cs="Arial" w:eastAsia="Arial" w:hAnsi="Arial"/>
          <w:sz w:val="18"/>
          <w:szCs w:val="18"/>
          <w:color w:val="auto"/>
        </w:rPr>
        <w:t>Non-GAAP financial measure (as discussed below).</w:t>
      </w:r>
    </w:p>
    <w:p>
      <w:pPr>
        <w:spacing w:after="0" w:line="225" w:lineRule="exact"/>
        <w:rPr>
          <w:sz w:val="20"/>
          <w:szCs w:val="20"/>
          <w:color w:val="auto"/>
        </w:rPr>
      </w:pPr>
    </w:p>
    <w:p>
      <w:pPr>
        <w:ind w:right="80" w:firstLine="456"/>
        <w:spacing w:after="0" w:line="257" w:lineRule="auto"/>
        <w:rPr>
          <w:sz w:val="20"/>
          <w:szCs w:val="20"/>
          <w:color w:val="auto"/>
        </w:rPr>
      </w:pPr>
      <w:r>
        <w:rPr>
          <w:rFonts w:ascii="Arial" w:cs="Arial" w:eastAsia="Arial" w:hAnsi="Arial"/>
          <w:sz w:val="18"/>
          <w:szCs w:val="18"/>
          <w:color w:val="auto"/>
        </w:rPr>
        <w:t>Homebuilding gross margin represents home sales revenue less cost of home sales. Cost of home sales increased $37.0 million, or 190%, to $56.4 million for the three months ended March 31, 2014 from $19.4 million for the prior period. The increase was primarily due to a 92% increase in the number of homes delivered and the product mix of homes delivered from new communities in 2014. Our homebuilding gross margin percentage increased to 22.5% for the three months ended March 31, 2014 as compared to 18.5% for the prior year, primarily due to price increases and the product mix of homes delivered from new communities in 2014.</w:t>
      </w:r>
    </w:p>
    <w:p>
      <w:pPr>
        <w:spacing w:after="0" w:line="188"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Excluding interest in cost of home sales, adjusted homebuilding gross margin percentage was 23.1% for the three months ended March 31, 2014, compared to 19.5% for the prior period. Adjusted homebuilding gross margin is a non-GAAP financial measure. We believe this information is meaningful as it isolates the impact that leverage has on homebuilding gross margin and permits investors to make better comparisons with our competitors, who adjust gross margins in a similar fashion. See the table above reconciling this non-GAAP financial measure to homebuilding gross margin, the nearest GAAP equivalent.</w:t>
      </w:r>
    </w:p>
    <w:p>
      <w:pPr>
        <w:spacing w:after="0" w:line="296"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Fee Building (dollars in thousands)</w:t>
      </w:r>
    </w:p>
    <w:p>
      <w:pPr>
        <w:spacing w:after="0" w:line="231"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4840" w:type="dxa"/>
            <w:vAlign w:val="bottom"/>
          </w:tcPr>
          <w:p>
            <w:pPr>
              <w:spacing w:after="0"/>
              <w:rPr>
                <w:sz w:val="14"/>
                <w:szCs w:val="14"/>
                <w:color w:val="auto"/>
              </w:rPr>
            </w:pPr>
          </w:p>
        </w:tc>
        <w:tc>
          <w:tcPr>
            <w:tcW w:w="25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000" w:type="dxa"/>
            <w:vAlign w:val="bottom"/>
            <w:gridSpan w:val="5"/>
          </w:tcPr>
          <w:p>
            <w:pPr>
              <w:jc w:val="right"/>
              <w:ind w:right="340"/>
              <w:spacing w:after="0"/>
              <w:rPr>
                <w:sz w:val="20"/>
                <w:szCs w:val="20"/>
                <w:color w:val="auto"/>
              </w:rPr>
            </w:pPr>
            <w:r>
              <w:rPr>
                <w:rFonts w:ascii="Arial" w:cs="Arial" w:eastAsia="Arial" w:hAnsi="Arial"/>
                <w:sz w:val="14"/>
                <w:szCs w:val="14"/>
                <w:b w:val="1"/>
                <w:bCs w:val="1"/>
                <w:color w:val="auto"/>
              </w:rPr>
              <w:t>Three Months Ended</w:t>
            </w:r>
          </w:p>
        </w:tc>
        <w:tc>
          <w:tcPr>
            <w:tcW w:w="460" w:type="dxa"/>
            <w:vAlign w:val="bottom"/>
          </w:tcPr>
          <w:p>
            <w:pPr>
              <w:spacing w:after="0"/>
              <w:rPr>
                <w:sz w:val="14"/>
                <w:szCs w:val="14"/>
                <w:color w:val="auto"/>
              </w:rPr>
            </w:pPr>
          </w:p>
        </w:tc>
        <w:tc>
          <w:tcPr>
            <w:tcW w:w="200" w:type="dxa"/>
            <w:vAlign w:val="bottom"/>
          </w:tcPr>
          <w:p>
            <w:pPr>
              <w:spacing w:after="0"/>
              <w:rPr>
                <w:sz w:val="14"/>
                <w:szCs w:val="14"/>
                <w:color w:val="auto"/>
              </w:rPr>
            </w:pPr>
          </w:p>
        </w:tc>
      </w:tr>
      <w:tr>
        <w:trPr>
          <w:trHeight w:val="171"/>
        </w:trPr>
        <w:tc>
          <w:tcPr>
            <w:tcW w:w="4840" w:type="dxa"/>
            <w:vAlign w:val="bottom"/>
          </w:tcPr>
          <w:p>
            <w:pPr>
              <w:spacing w:after="0"/>
              <w:rPr>
                <w:sz w:val="14"/>
                <w:szCs w:val="14"/>
                <w:color w:val="auto"/>
              </w:rPr>
            </w:pPr>
          </w:p>
        </w:tc>
        <w:tc>
          <w:tcPr>
            <w:tcW w:w="2540" w:type="dxa"/>
            <w:vAlign w:val="bottom"/>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gridSpan w:val="4"/>
          </w:tcPr>
          <w:p>
            <w:pPr>
              <w:jc w:val="right"/>
              <w:ind w:right="680"/>
              <w:spacing w:after="0"/>
              <w:rPr>
                <w:sz w:val="20"/>
                <w:szCs w:val="20"/>
                <w:color w:val="auto"/>
              </w:rPr>
            </w:pPr>
            <w:r>
              <w:rPr>
                <w:rFonts w:ascii="Arial" w:cs="Arial" w:eastAsia="Arial" w:hAnsi="Arial"/>
                <w:sz w:val="14"/>
                <w:szCs w:val="14"/>
                <w:b w:val="1"/>
                <w:bCs w:val="1"/>
                <w:color w:val="auto"/>
              </w:rPr>
              <w:t>March 31,</w:t>
            </w:r>
          </w:p>
        </w:tc>
        <w:tc>
          <w:tcPr>
            <w:tcW w:w="46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r>
      <w:tr>
        <w:trPr>
          <w:trHeight w:val="142"/>
        </w:trPr>
        <w:tc>
          <w:tcPr>
            <w:tcW w:w="4840" w:type="dxa"/>
            <w:vAlign w:val="bottom"/>
            <w:tcBorders>
              <w:bottom w:val="single" w:sz="8" w:color="CCEEFF"/>
            </w:tcBorders>
          </w:tcPr>
          <w:p>
            <w:pPr>
              <w:spacing w:after="0"/>
              <w:rPr>
                <w:sz w:val="12"/>
                <w:szCs w:val="12"/>
                <w:color w:val="auto"/>
              </w:rPr>
            </w:pPr>
          </w:p>
        </w:tc>
        <w:tc>
          <w:tcPr>
            <w:tcW w:w="2540" w:type="dxa"/>
            <w:vAlign w:val="bottom"/>
            <w:tcBorders>
              <w:bottom w:val="single" w:sz="8" w:color="CCEEFF"/>
            </w:tcBorders>
          </w:tcPr>
          <w:p>
            <w:pPr>
              <w:spacing w:after="0"/>
              <w:rPr>
                <w:sz w:val="12"/>
                <w:szCs w:val="12"/>
                <w:color w:val="auto"/>
              </w:rPr>
            </w:pPr>
          </w:p>
        </w:tc>
        <w:tc>
          <w:tcPr>
            <w:tcW w:w="4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2014</w:t>
            </w:r>
          </w:p>
        </w:tc>
        <w:tc>
          <w:tcPr>
            <w:tcW w:w="380" w:type="dxa"/>
            <w:vAlign w:val="bottom"/>
            <w:tcBorders>
              <w:bottom w:val="single" w:sz="8" w:color="CCEEFF"/>
            </w:tcBorders>
          </w:tcPr>
          <w:p>
            <w:pPr>
              <w:spacing w:after="0"/>
              <w:rPr>
                <w:sz w:val="12"/>
                <w:szCs w:val="12"/>
                <w:color w:val="auto"/>
              </w:rPr>
            </w:pPr>
          </w:p>
        </w:tc>
        <w:tc>
          <w:tcPr>
            <w:tcW w:w="360" w:type="dxa"/>
            <w:vAlign w:val="bottom"/>
            <w:tcBorders>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rPr>
              <w:t>%</w:t>
            </w:r>
          </w:p>
        </w:tc>
        <w:tc>
          <w:tcPr>
            <w:tcW w:w="380" w:type="dxa"/>
            <w:vAlign w:val="bottom"/>
            <w:tcBorders>
              <w:bottom w:val="single" w:sz="8" w:color="CCEEFF"/>
            </w:tcBorders>
          </w:tcPr>
          <w:p>
            <w:pPr>
              <w:spacing w:after="0"/>
              <w:rPr>
                <w:sz w:val="12"/>
                <w:szCs w:val="12"/>
                <w:color w:val="auto"/>
              </w:rPr>
            </w:pPr>
          </w:p>
        </w:tc>
        <w:tc>
          <w:tcPr>
            <w:tcW w:w="500" w:type="dxa"/>
            <w:vAlign w:val="bottom"/>
            <w:tcBorders>
              <w:bottom w:val="single" w:sz="8" w:color="auto"/>
            </w:tcBorders>
          </w:tcPr>
          <w:p>
            <w:pPr>
              <w:jc w:val="right"/>
              <w:ind w:right="14"/>
              <w:spacing w:after="0" w:line="142" w:lineRule="exact"/>
              <w:rPr>
                <w:sz w:val="20"/>
                <w:szCs w:val="20"/>
                <w:color w:val="auto"/>
              </w:rPr>
            </w:pPr>
            <w:r>
              <w:rPr>
                <w:rFonts w:ascii="Arial" w:cs="Arial" w:eastAsia="Arial" w:hAnsi="Arial"/>
                <w:sz w:val="14"/>
                <w:szCs w:val="14"/>
                <w:b w:val="1"/>
                <w:bCs w:val="1"/>
                <w:color w:val="auto"/>
              </w:rPr>
              <w:t>2013</w:t>
            </w:r>
          </w:p>
        </w:tc>
        <w:tc>
          <w:tcPr>
            <w:tcW w:w="380" w:type="dxa"/>
            <w:vAlign w:val="bottom"/>
            <w:tcBorders>
              <w:bottom w:val="single" w:sz="8" w:color="CCEEFF"/>
            </w:tcBorders>
          </w:tcPr>
          <w:p>
            <w:pPr>
              <w:spacing w:after="0"/>
              <w:rPr>
                <w:sz w:val="12"/>
                <w:szCs w:val="12"/>
                <w:color w:val="auto"/>
              </w:rPr>
            </w:pPr>
          </w:p>
        </w:tc>
        <w:tc>
          <w:tcPr>
            <w:tcW w:w="460" w:type="dxa"/>
            <w:vAlign w:val="bottom"/>
            <w:tcBorders>
              <w:bottom w:val="single" w:sz="8" w:color="auto"/>
            </w:tcBorders>
          </w:tcPr>
          <w:p>
            <w:pPr>
              <w:jc w:val="right"/>
              <w:ind w:right="74"/>
              <w:spacing w:after="0" w:line="142" w:lineRule="exact"/>
              <w:rPr>
                <w:sz w:val="20"/>
                <w:szCs w:val="20"/>
                <w:color w:val="auto"/>
              </w:rPr>
            </w:pPr>
            <w:r>
              <w:rPr>
                <w:rFonts w:ascii="Arial" w:cs="Arial" w:eastAsia="Arial" w:hAnsi="Arial"/>
                <w:sz w:val="14"/>
                <w:szCs w:val="14"/>
                <w:b w:val="1"/>
                <w:bCs w:val="1"/>
                <w:color w:val="auto"/>
              </w:rPr>
              <w:t>%</w:t>
            </w:r>
          </w:p>
        </w:tc>
        <w:tc>
          <w:tcPr>
            <w:tcW w:w="200" w:type="dxa"/>
            <w:vAlign w:val="bottom"/>
            <w:tcBorders>
              <w:bottom w:val="single" w:sz="8" w:color="CCEEFF"/>
            </w:tcBorders>
          </w:tcPr>
          <w:p>
            <w:pPr>
              <w:spacing w:after="0"/>
              <w:rPr>
                <w:sz w:val="12"/>
                <w:szCs w:val="12"/>
                <w:color w:val="auto"/>
              </w:rPr>
            </w:pPr>
          </w:p>
        </w:tc>
      </w:tr>
      <w:tr>
        <w:trPr>
          <w:trHeight w:val="210"/>
        </w:trPr>
        <w:tc>
          <w:tcPr>
            <w:tcW w:w="4840" w:type="dxa"/>
            <w:vAlign w:val="bottom"/>
            <w:shd w:val="clear" w:color="auto" w:fill="CCEEFF"/>
          </w:tcPr>
          <w:p>
            <w:pPr>
              <w:spacing w:after="0"/>
              <w:rPr>
                <w:sz w:val="20"/>
                <w:szCs w:val="20"/>
                <w:color w:val="auto"/>
              </w:rPr>
            </w:pPr>
            <w:r>
              <w:rPr>
                <w:rFonts w:ascii="Arial" w:cs="Arial" w:eastAsia="Arial" w:hAnsi="Arial"/>
                <w:sz w:val="18"/>
                <w:szCs w:val="18"/>
                <w:color w:val="auto"/>
              </w:rPr>
              <w:t>Fee building home sales</w:t>
            </w:r>
          </w:p>
        </w:tc>
        <w:tc>
          <w:tcPr>
            <w:tcW w:w="254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 —</w:t>
            </w:r>
          </w:p>
        </w:tc>
        <w:tc>
          <w:tcPr>
            <w:tcW w:w="380" w:type="dxa"/>
            <w:vAlign w:val="bottom"/>
            <w:shd w:val="clear" w:color="auto" w:fill="CCEEFF"/>
          </w:tcPr>
          <w:p>
            <w:pPr>
              <w:spacing w:after="0"/>
              <w:rPr>
                <w:sz w:val="18"/>
                <w:szCs w:val="18"/>
                <w:color w:val="auto"/>
              </w:rPr>
            </w:pPr>
          </w:p>
        </w:tc>
        <w:tc>
          <w:tcPr>
            <w:tcW w:w="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N/A</w:t>
            </w:r>
          </w:p>
        </w:tc>
        <w:tc>
          <w:tcPr>
            <w:tcW w:w="3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$4,031</w:t>
            </w:r>
          </w:p>
        </w:tc>
        <w:tc>
          <w:tcPr>
            <w:tcW w:w="3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4"/>
              </w:rPr>
              <w:t>100.0%</w:t>
            </w:r>
          </w:p>
        </w:tc>
      </w:tr>
      <w:tr>
        <w:trPr>
          <w:trHeight w:val="216"/>
        </w:trPr>
        <w:tc>
          <w:tcPr>
            <w:tcW w:w="4840" w:type="dxa"/>
            <w:vAlign w:val="bottom"/>
          </w:tcPr>
          <w:p>
            <w:pPr>
              <w:spacing w:after="0"/>
              <w:rPr>
                <w:sz w:val="20"/>
                <w:szCs w:val="20"/>
                <w:color w:val="auto"/>
              </w:rPr>
            </w:pPr>
            <w:r>
              <w:rPr>
                <w:rFonts w:ascii="Arial" w:cs="Arial" w:eastAsia="Arial" w:hAnsi="Arial"/>
                <w:sz w:val="18"/>
                <w:szCs w:val="18"/>
                <w:color w:val="auto"/>
              </w:rPr>
              <w:t>Fee building cost of home sales</w:t>
            </w:r>
          </w:p>
        </w:tc>
        <w:tc>
          <w:tcPr>
            <w:tcW w:w="254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8"/>
                <w:szCs w:val="18"/>
                <w:color w:val="auto"/>
              </w:rPr>
            </w:pPr>
          </w:p>
        </w:tc>
        <w:tc>
          <w:tcPr>
            <w:tcW w:w="360" w:type="dxa"/>
            <w:vAlign w:val="bottom"/>
          </w:tcPr>
          <w:p>
            <w:pPr>
              <w:jc w:val="center"/>
              <w:spacing w:after="0"/>
              <w:rPr>
                <w:sz w:val="20"/>
                <w:szCs w:val="20"/>
                <w:color w:val="auto"/>
              </w:rPr>
            </w:pPr>
            <w:r>
              <w:rPr>
                <w:rFonts w:ascii="Arial" w:cs="Arial" w:eastAsia="Arial" w:hAnsi="Arial"/>
                <w:sz w:val="18"/>
                <w:szCs w:val="18"/>
                <w:color w:val="auto"/>
                <w:w w:val="99"/>
              </w:rPr>
              <w:t>N/A</w:t>
            </w:r>
          </w:p>
        </w:tc>
        <w:tc>
          <w:tcPr>
            <w:tcW w:w="380" w:type="dxa"/>
            <w:vAlign w:val="bottom"/>
          </w:tcPr>
          <w:p>
            <w:pPr>
              <w:spacing w:after="0"/>
              <w:rPr>
                <w:sz w:val="18"/>
                <w:szCs w:val="18"/>
                <w:color w:val="auto"/>
              </w:rPr>
            </w:pPr>
          </w:p>
        </w:tc>
        <w:tc>
          <w:tcPr>
            <w:tcW w:w="880" w:type="dxa"/>
            <w:vAlign w:val="bottom"/>
            <w:gridSpan w:val="2"/>
          </w:tcPr>
          <w:p>
            <w:pPr>
              <w:jc w:val="right"/>
              <w:ind w:right="380"/>
              <w:spacing w:after="0"/>
              <w:rPr>
                <w:sz w:val="20"/>
                <w:szCs w:val="20"/>
                <w:color w:val="auto"/>
              </w:rPr>
            </w:pPr>
            <w:r>
              <w:rPr>
                <w:rFonts w:ascii="Arial" w:cs="Arial" w:eastAsia="Arial" w:hAnsi="Arial"/>
                <w:sz w:val="18"/>
                <w:szCs w:val="18"/>
                <w:color w:val="auto"/>
              </w:rPr>
              <w:t>3,625</w:t>
            </w: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89.9%</w:t>
            </w:r>
          </w:p>
        </w:tc>
      </w:tr>
      <w:tr>
        <w:trPr>
          <w:trHeight w:val="27"/>
        </w:trPr>
        <w:tc>
          <w:tcPr>
            <w:tcW w:w="4840" w:type="dxa"/>
            <w:vAlign w:val="bottom"/>
          </w:tcPr>
          <w:p>
            <w:pPr>
              <w:spacing w:after="0"/>
              <w:rPr>
                <w:sz w:val="2"/>
                <w:szCs w:val="2"/>
                <w:color w:val="auto"/>
              </w:rPr>
            </w:pPr>
          </w:p>
        </w:tc>
        <w:tc>
          <w:tcPr>
            <w:tcW w:w="25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r>
      <w:tr>
        <w:trPr>
          <w:trHeight w:val="216"/>
        </w:trPr>
        <w:tc>
          <w:tcPr>
            <w:tcW w:w="48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Fee building gross margin</w:t>
            </w:r>
          </w:p>
        </w:tc>
        <w:tc>
          <w:tcPr>
            <w:tcW w:w="254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8"/>
                <w:szCs w:val="18"/>
                <w:color w:val="auto"/>
              </w:rPr>
            </w:pPr>
          </w:p>
        </w:tc>
        <w:tc>
          <w:tcPr>
            <w:tcW w:w="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N/A</w:t>
            </w:r>
          </w:p>
        </w:tc>
        <w:tc>
          <w:tcPr>
            <w:tcW w:w="3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406</w:t>
            </w: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10.1%</w:t>
            </w:r>
          </w:p>
        </w:tc>
      </w:tr>
      <w:tr>
        <w:trPr>
          <w:trHeight w:val="20"/>
        </w:trPr>
        <w:tc>
          <w:tcPr>
            <w:tcW w:w="4840" w:type="dxa"/>
            <w:vAlign w:val="bottom"/>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bl>
    <w:p>
      <w:pPr>
        <w:spacing w:after="0" w:line="215" w:lineRule="exact"/>
        <w:rPr>
          <w:sz w:val="20"/>
          <w:szCs w:val="20"/>
          <w:color w:val="auto"/>
        </w:rPr>
      </w:pPr>
    </w:p>
    <w:p>
      <w:pPr>
        <w:jc w:val="both"/>
        <w:ind w:right="360" w:firstLine="456"/>
        <w:spacing w:after="0" w:line="264" w:lineRule="auto"/>
        <w:rPr>
          <w:sz w:val="20"/>
          <w:szCs w:val="20"/>
          <w:color w:val="auto"/>
        </w:rPr>
      </w:pPr>
      <w:r>
        <w:rPr>
          <w:rFonts w:ascii="Arial" w:cs="Arial" w:eastAsia="Arial" w:hAnsi="Arial"/>
          <w:sz w:val="18"/>
          <w:szCs w:val="18"/>
          <w:color w:val="auto"/>
        </w:rPr>
        <w:t>As of March 31, 2013, we had two construction management agreements to build 83 homes in Moorpark, California and 73 homes in Carpinteria, California. There was no fee building activity for the three months ended March 31, 2014 as we had completed all construction activity related to our fee building projects on or before December 31, 2013. We do not expect material fee building activity in the future.</w:t>
      </w:r>
    </w:p>
    <w:p>
      <w:pPr>
        <w:spacing w:after="0" w:line="28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Selling, General and Administrative Expense (dollars in thousands)</w:t>
      </w:r>
    </w:p>
    <w:p>
      <w:pPr>
        <w:spacing w:after="0" w:line="231"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4820" w:type="dxa"/>
            <w:vAlign w:val="bottom"/>
          </w:tcPr>
          <w:p>
            <w:pPr>
              <w:spacing w:after="0"/>
              <w:rPr>
                <w:sz w:val="14"/>
                <w:szCs w:val="14"/>
                <w:color w:val="auto"/>
              </w:rPr>
            </w:pPr>
          </w:p>
        </w:tc>
        <w:tc>
          <w:tcPr>
            <w:tcW w:w="1860" w:type="dxa"/>
            <w:vAlign w:val="bottom"/>
          </w:tcPr>
          <w:p>
            <w:pPr>
              <w:spacing w:after="0"/>
              <w:rPr>
                <w:sz w:val="14"/>
                <w:szCs w:val="14"/>
                <w:color w:val="auto"/>
              </w:rPr>
            </w:pPr>
          </w:p>
        </w:tc>
        <w:tc>
          <w:tcPr>
            <w:tcW w:w="2040" w:type="dxa"/>
            <w:vAlign w:val="bottom"/>
            <w:gridSpan w:val="5"/>
          </w:tcPr>
          <w:p>
            <w:pPr>
              <w:ind w:left="140"/>
              <w:spacing w:after="0"/>
              <w:rPr>
                <w:sz w:val="20"/>
                <w:szCs w:val="20"/>
                <w:color w:val="auto"/>
              </w:rPr>
            </w:pPr>
            <w:r>
              <w:rPr>
                <w:rFonts w:ascii="Arial" w:cs="Arial" w:eastAsia="Arial" w:hAnsi="Arial"/>
                <w:sz w:val="14"/>
                <w:szCs w:val="14"/>
                <w:b w:val="1"/>
                <w:bCs w:val="1"/>
                <w:color w:val="auto"/>
              </w:rPr>
              <w:t>Three Months Ended</w:t>
            </w:r>
          </w:p>
        </w:tc>
        <w:tc>
          <w:tcPr>
            <w:tcW w:w="1780" w:type="dxa"/>
            <w:vAlign w:val="bottom"/>
            <w:gridSpan w:val="4"/>
          </w:tcPr>
          <w:p>
            <w:pPr>
              <w:jc w:val="right"/>
              <w:ind w:right="420"/>
              <w:spacing w:after="0"/>
              <w:rPr>
                <w:sz w:val="20"/>
                <w:szCs w:val="20"/>
                <w:color w:val="auto"/>
              </w:rPr>
            </w:pPr>
            <w:r>
              <w:rPr>
                <w:rFonts w:ascii="Arial" w:cs="Arial" w:eastAsia="Arial" w:hAnsi="Arial"/>
                <w:sz w:val="14"/>
                <w:szCs w:val="14"/>
                <w:b w:val="1"/>
                <w:bCs w:val="1"/>
                <w:color w:val="auto"/>
              </w:rPr>
              <w:t>As a Percentage of</w:t>
            </w:r>
          </w:p>
        </w:tc>
      </w:tr>
      <w:tr>
        <w:trPr>
          <w:trHeight w:val="171"/>
        </w:trPr>
        <w:tc>
          <w:tcPr>
            <w:tcW w:w="4820" w:type="dxa"/>
            <w:vAlign w:val="bottom"/>
          </w:tcPr>
          <w:p>
            <w:pPr>
              <w:spacing w:after="0"/>
              <w:rPr>
                <w:sz w:val="14"/>
                <w:szCs w:val="14"/>
                <w:color w:val="auto"/>
              </w:rPr>
            </w:pPr>
          </w:p>
        </w:tc>
        <w:tc>
          <w:tcPr>
            <w:tcW w:w="1860" w:type="dxa"/>
            <w:vAlign w:val="bottom"/>
          </w:tcPr>
          <w:p>
            <w:pPr>
              <w:spacing w:after="0"/>
              <w:rPr>
                <w:sz w:val="14"/>
                <w:szCs w:val="14"/>
                <w:color w:val="auto"/>
              </w:rPr>
            </w:pPr>
          </w:p>
        </w:tc>
        <w:tc>
          <w:tcPr>
            <w:tcW w:w="1120" w:type="dxa"/>
            <w:vAlign w:val="bottom"/>
            <w:gridSpan w:val="3"/>
          </w:tcPr>
          <w:p>
            <w:pPr>
              <w:jc w:val="right"/>
              <w:spacing w:after="0"/>
              <w:rPr>
                <w:sz w:val="20"/>
                <w:szCs w:val="20"/>
                <w:color w:val="auto"/>
              </w:rPr>
            </w:pPr>
            <w:r>
              <w:rPr>
                <w:rFonts w:ascii="Arial" w:cs="Arial" w:eastAsia="Arial" w:hAnsi="Arial"/>
                <w:sz w:val="14"/>
                <w:szCs w:val="14"/>
                <w:b w:val="1"/>
                <w:bCs w:val="1"/>
                <w:color w:val="auto"/>
              </w:rPr>
              <w:t>March 31,</w:t>
            </w:r>
          </w:p>
        </w:tc>
        <w:tc>
          <w:tcPr>
            <w:tcW w:w="4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780" w:type="dxa"/>
            <w:vAlign w:val="bottom"/>
            <w:gridSpan w:val="4"/>
          </w:tcPr>
          <w:p>
            <w:pPr>
              <w:jc w:val="right"/>
              <w:ind w:right="360"/>
              <w:spacing w:after="0"/>
              <w:rPr>
                <w:sz w:val="20"/>
                <w:szCs w:val="20"/>
                <w:color w:val="auto"/>
              </w:rPr>
            </w:pPr>
            <w:r>
              <w:rPr>
                <w:rFonts w:ascii="Arial" w:cs="Arial" w:eastAsia="Arial" w:hAnsi="Arial"/>
                <w:sz w:val="14"/>
                <w:szCs w:val="14"/>
                <w:b w:val="1"/>
                <w:bCs w:val="1"/>
                <w:color w:val="auto"/>
                <w:w w:val="98"/>
              </w:rPr>
              <w:t>Home Sales Revenue</w:t>
            </w:r>
          </w:p>
        </w:tc>
      </w:tr>
      <w:tr>
        <w:trPr>
          <w:trHeight w:val="142"/>
        </w:trPr>
        <w:tc>
          <w:tcPr>
            <w:tcW w:w="4820" w:type="dxa"/>
            <w:vAlign w:val="bottom"/>
            <w:tcBorders>
              <w:bottom w:val="single" w:sz="8" w:color="CCEEFF"/>
            </w:tcBorders>
          </w:tcPr>
          <w:p>
            <w:pPr>
              <w:spacing w:after="0"/>
              <w:rPr>
                <w:sz w:val="12"/>
                <w:szCs w:val="12"/>
                <w:color w:val="auto"/>
              </w:rPr>
            </w:pPr>
          </w:p>
        </w:tc>
        <w:tc>
          <w:tcPr>
            <w:tcW w:w="1860" w:type="dxa"/>
            <w:vAlign w:val="bottom"/>
            <w:tcBorders>
              <w:bottom w:val="single" w:sz="8" w:color="CCEEFF"/>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41"/>
              <w:spacing w:after="0" w:line="142" w:lineRule="exact"/>
              <w:rPr>
                <w:sz w:val="20"/>
                <w:szCs w:val="20"/>
                <w:color w:val="auto"/>
              </w:rPr>
            </w:pPr>
            <w:r>
              <w:rPr>
                <w:rFonts w:ascii="Arial" w:cs="Arial" w:eastAsia="Arial" w:hAnsi="Arial"/>
                <w:sz w:val="14"/>
                <w:szCs w:val="14"/>
                <w:b w:val="1"/>
                <w:bCs w:val="1"/>
                <w:color w:val="auto"/>
              </w:rPr>
              <w:t>2014</w:t>
            </w:r>
          </w:p>
        </w:tc>
        <w:tc>
          <w:tcPr>
            <w:tcW w:w="46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ind w:right="54"/>
              <w:spacing w:after="0" w:line="142" w:lineRule="exact"/>
              <w:rPr>
                <w:sz w:val="20"/>
                <w:szCs w:val="20"/>
                <w:color w:val="auto"/>
              </w:rPr>
            </w:pPr>
            <w:r>
              <w:rPr>
                <w:rFonts w:ascii="Arial" w:cs="Arial" w:eastAsia="Arial" w:hAnsi="Arial"/>
                <w:sz w:val="14"/>
                <w:szCs w:val="14"/>
                <w:b w:val="1"/>
                <w:bCs w:val="1"/>
                <w:color w:val="auto"/>
                <w:w w:val="96"/>
              </w:rPr>
              <w:t>2013</w:t>
            </w:r>
          </w:p>
        </w:tc>
        <w:tc>
          <w:tcPr>
            <w:tcW w:w="460" w:type="dxa"/>
            <w:vAlign w:val="bottom"/>
            <w:tcBorders>
              <w:bottom w:val="single" w:sz="8" w:color="CCEEFF"/>
            </w:tcBorders>
          </w:tcPr>
          <w:p>
            <w:pPr>
              <w:spacing w:after="0"/>
              <w:rPr>
                <w:sz w:val="12"/>
                <w:szCs w:val="12"/>
                <w:color w:val="auto"/>
              </w:rPr>
            </w:pP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2014</w:t>
            </w:r>
          </w:p>
        </w:tc>
        <w:tc>
          <w:tcPr>
            <w:tcW w:w="620" w:type="dxa"/>
            <w:vAlign w:val="bottom"/>
            <w:tcBorders>
              <w:top w:val="single" w:sz="8" w:color="auto"/>
              <w:bottom w:val="single" w:sz="8" w:color="CCEEFF"/>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14"/>
              <w:spacing w:after="0" w:line="142" w:lineRule="exact"/>
              <w:rPr>
                <w:sz w:val="20"/>
                <w:szCs w:val="20"/>
                <w:color w:val="auto"/>
              </w:rPr>
            </w:pPr>
            <w:r>
              <w:rPr>
                <w:rFonts w:ascii="Arial" w:cs="Arial" w:eastAsia="Arial" w:hAnsi="Arial"/>
                <w:sz w:val="14"/>
                <w:szCs w:val="14"/>
                <w:b w:val="1"/>
                <w:bCs w:val="1"/>
                <w:color w:val="auto"/>
              </w:rPr>
              <w:t>2013</w:t>
            </w:r>
          </w:p>
        </w:tc>
        <w:tc>
          <w:tcPr>
            <w:tcW w:w="200" w:type="dxa"/>
            <w:vAlign w:val="bottom"/>
            <w:tcBorders>
              <w:bottom w:val="single" w:sz="8" w:color="CCEEFF"/>
            </w:tcBorders>
          </w:tcPr>
          <w:p>
            <w:pPr>
              <w:spacing w:after="0"/>
              <w:rPr>
                <w:sz w:val="12"/>
                <w:szCs w:val="12"/>
                <w:color w:val="auto"/>
              </w:rPr>
            </w:pPr>
          </w:p>
        </w:tc>
      </w:tr>
      <w:tr>
        <w:trPr>
          <w:trHeight w:val="210"/>
        </w:trPr>
        <w:tc>
          <w:tcPr>
            <w:tcW w:w="4820" w:type="dxa"/>
            <w:vAlign w:val="bottom"/>
            <w:shd w:val="clear" w:color="auto" w:fill="CCEEFF"/>
          </w:tcPr>
          <w:p>
            <w:pPr>
              <w:spacing w:after="0"/>
              <w:rPr>
                <w:sz w:val="20"/>
                <w:szCs w:val="20"/>
                <w:color w:val="auto"/>
              </w:rPr>
            </w:pPr>
            <w:r>
              <w:rPr>
                <w:rFonts w:ascii="Arial" w:cs="Arial" w:eastAsia="Arial" w:hAnsi="Arial"/>
                <w:sz w:val="18"/>
                <w:szCs w:val="18"/>
                <w:color w:val="auto"/>
              </w:rPr>
              <w:t>Sales and marketing</w:t>
            </w:r>
          </w:p>
        </w:tc>
        <w:tc>
          <w:tcPr>
            <w:tcW w:w="18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$ 2,486</w:t>
            </w:r>
          </w:p>
        </w:tc>
        <w:tc>
          <w:tcPr>
            <w:tcW w:w="4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1,330</w:t>
            </w:r>
          </w:p>
        </w:tc>
        <w:tc>
          <w:tcPr>
            <w:tcW w:w="4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3.4%</w:t>
            </w:r>
          </w:p>
        </w:tc>
        <w:tc>
          <w:tcPr>
            <w:tcW w:w="7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5.6%</w:t>
            </w:r>
          </w:p>
        </w:tc>
      </w:tr>
      <w:tr>
        <w:trPr>
          <w:trHeight w:val="216"/>
        </w:trPr>
        <w:tc>
          <w:tcPr>
            <w:tcW w:w="4820" w:type="dxa"/>
            <w:vAlign w:val="bottom"/>
          </w:tcPr>
          <w:p>
            <w:pPr>
              <w:spacing w:after="0"/>
              <w:rPr>
                <w:sz w:val="20"/>
                <w:szCs w:val="20"/>
                <w:color w:val="auto"/>
              </w:rPr>
            </w:pPr>
            <w:r>
              <w:rPr>
                <w:rFonts w:ascii="Arial" w:cs="Arial" w:eastAsia="Arial" w:hAnsi="Arial"/>
                <w:sz w:val="18"/>
                <w:szCs w:val="18"/>
                <w:color w:val="auto"/>
              </w:rPr>
              <w:t>General and administrative (“G&amp;A”)</w:t>
            </w:r>
          </w:p>
        </w:tc>
        <w:tc>
          <w:tcPr>
            <w:tcW w:w="186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5,892</w:t>
            </w: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w w:val="97"/>
              </w:rPr>
              <w:t>3,313</w:t>
            </w:r>
          </w:p>
        </w:tc>
        <w:tc>
          <w:tcPr>
            <w:tcW w:w="460" w:type="dxa"/>
            <w:vAlign w:val="bottom"/>
          </w:tcPr>
          <w:p>
            <w:pPr>
              <w:spacing w:after="0"/>
              <w:rPr>
                <w:sz w:val="18"/>
                <w:szCs w:val="18"/>
                <w:color w:val="auto"/>
              </w:rPr>
            </w:pPr>
          </w:p>
        </w:tc>
        <w:tc>
          <w:tcPr>
            <w:tcW w:w="1080" w:type="dxa"/>
            <w:vAlign w:val="bottom"/>
            <w:gridSpan w:val="2"/>
          </w:tcPr>
          <w:p>
            <w:pPr>
              <w:jc w:val="right"/>
              <w:ind w:right="480"/>
              <w:spacing w:after="0"/>
              <w:rPr>
                <w:sz w:val="20"/>
                <w:szCs w:val="20"/>
                <w:color w:val="auto"/>
              </w:rPr>
            </w:pPr>
            <w:r>
              <w:rPr>
                <w:rFonts w:ascii="Arial" w:cs="Arial" w:eastAsia="Arial" w:hAnsi="Arial"/>
                <w:sz w:val="18"/>
                <w:szCs w:val="18"/>
                <w:color w:val="auto"/>
              </w:rPr>
              <w:t>8.1%</w:t>
            </w:r>
          </w:p>
        </w:tc>
        <w:tc>
          <w:tcPr>
            <w:tcW w:w="700" w:type="dxa"/>
            <w:vAlign w:val="bottom"/>
            <w:gridSpan w:val="2"/>
          </w:tcPr>
          <w:p>
            <w:pPr>
              <w:jc w:val="right"/>
              <w:ind w:right="60"/>
              <w:spacing w:after="0"/>
              <w:rPr>
                <w:sz w:val="20"/>
                <w:szCs w:val="20"/>
                <w:color w:val="auto"/>
              </w:rPr>
            </w:pPr>
            <w:r>
              <w:rPr>
                <w:rFonts w:ascii="Arial" w:cs="Arial" w:eastAsia="Arial" w:hAnsi="Arial"/>
                <w:sz w:val="18"/>
                <w:szCs w:val="18"/>
                <w:color w:val="auto"/>
              </w:rPr>
              <w:t>13.9%</w:t>
            </w:r>
          </w:p>
        </w:tc>
      </w:tr>
      <w:tr>
        <w:trPr>
          <w:trHeight w:val="27"/>
        </w:trPr>
        <w:tc>
          <w:tcPr>
            <w:tcW w:w="4820" w:type="dxa"/>
            <w:vAlign w:val="bottom"/>
          </w:tcPr>
          <w:p>
            <w:pPr>
              <w:spacing w:after="0"/>
              <w:rPr>
                <w:sz w:val="2"/>
                <w:szCs w:val="2"/>
                <w:color w:val="auto"/>
              </w:rPr>
            </w:pPr>
          </w:p>
        </w:tc>
        <w:tc>
          <w:tcPr>
            <w:tcW w:w="186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62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r>
      <w:tr>
        <w:trPr>
          <w:trHeight w:val="216"/>
        </w:trPr>
        <w:tc>
          <w:tcPr>
            <w:tcW w:w="48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 sales and marketing and G&amp;A</w:t>
            </w:r>
          </w:p>
        </w:tc>
        <w:tc>
          <w:tcPr>
            <w:tcW w:w="2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$ 8,378</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97"/>
              </w:rPr>
              <w:t>4,643</w:t>
            </w:r>
          </w:p>
        </w:tc>
        <w:tc>
          <w:tcPr>
            <w:tcW w:w="10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11.5%</w:t>
            </w:r>
          </w:p>
        </w:tc>
        <w:tc>
          <w:tcPr>
            <w:tcW w:w="7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19.5%</w:t>
            </w:r>
          </w:p>
        </w:tc>
      </w:tr>
      <w:tr>
        <w:trPr>
          <w:trHeight w:val="20"/>
        </w:trPr>
        <w:tc>
          <w:tcPr>
            <w:tcW w:w="482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bl>
    <w:p>
      <w:pPr>
        <w:spacing w:after="0" w:line="215" w:lineRule="exact"/>
        <w:rPr>
          <w:sz w:val="20"/>
          <w:szCs w:val="20"/>
          <w:color w:val="auto"/>
        </w:rPr>
      </w:pPr>
    </w:p>
    <w:p>
      <w:pPr>
        <w:ind w:firstLine="456"/>
        <w:spacing w:after="0" w:line="302" w:lineRule="auto"/>
        <w:rPr>
          <w:sz w:val="20"/>
          <w:szCs w:val="20"/>
          <w:color w:val="auto"/>
        </w:rPr>
      </w:pPr>
      <w:r>
        <w:rPr>
          <w:rFonts w:ascii="Arial" w:cs="Arial" w:eastAsia="Arial" w:hAnsi="Arial"/>
          <w:sz w:val="16"/>
          <w:szCs w:val="16"/>
          <w:color w:val="auto"/>
        </w:rPr>
        <w:t>Sales and marketing expense increased $1.2 million, or 87%, to $2.5 million for the three months ended March 31, 2014 from $1.3 million for the prior year period. The increase in sales and marketing expense was primarily attributable to the increase in the number of net new homes ordered and homes delivered and a 37% increase in the average number of selling communities during the three months ended March 31, 2014 compared to the prior year period. Sales and marketing expense was 3.4% and 5.6% of home sales revenue for the three months ended March 31, 2014 and 2013, respectively.</w:t>
      </w:r>
    </w:p>
    <w:p>
      <w:pPr>
        <w:spacing w:after="0" w:line="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- 22 -</w:t>
      </w:r>
    </w:p>
    <w:p>
      <w:pPr>
        <w:sectPr>
          <w:pgSz w:w="11900" w:h="16838" w:orient="portrait"/>
          <w:cols w:equalWidth="0" w:num="1">
            <w:col w:w="11380"/>
          </w:cols>
          <w:pgMar w:left="240" w:top="459" w:right="27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General and administrative expenses increased $2.6 million, or 78%, to $5.9 million for the three months ended March 31, 2014 from $3.3 million for the prior year period. The increase was primarily attributed to (i) an increase of $1.9 million in our compensation-related expenses resulting largely from a 70% increase in our office headcount to 78 employees as of March 31, 2014 compared to 46 as of March 31, 2013, (ii) an increase of $240,000 in stock-based compensation primarily due to option and restricted stock unit awards granted, (iii) an increase of $305,000 in legal, accounting and other professional fees to support our continued growth, and (iv) an increase of $154,000 in insurance, rent, office, business taxes and other related costs to support our continued growth. Our general and administrative expense as a percentage of home sales revenue was 8.1% and 13.9% for the three months ended March 31, 2014 and 2013, respectively.</w:t>
      </w:r>
    </w:p>
    <w:p>
      <w:pPr>
        <w:spacing w:after="0" w:line="189" w:lineRule="exact"/>
        <w:rPr>
          <w:sz w:val="20"/>
          <w:szCs w:val="20"/>
          <w:color w:val="auto"/>
        </w:rPr>
      </w:pPr>
    </w:p>
    <w:p>
      <w:pPr>
        <w:ind w:right="20" w:firstLine="456"/>
        <w:spacing w:after="0" w:line="264" w:lineRule="auto"/>
        <w:rPr>
          <w:sz w:val="20"/>
          <w:szCs w:val="20"/>
          <w:color w:val="auto"/>
        </w:rPr>
      </w:pPr>
      <w:r>
        <w:rPr>
          <w:rFonts w:ascii="Arial" w:cs="Arial" w:eastAsia="Arial" w:hAnsi="Arial"/>
          <w:sz w:val="18"/>
          <w:szCs w:val="18"/>
          <w:color w:val="auto"/>
        </w:rPr>
        <w:t>Total sales and marketing and G&amp;A expenses (“SG&amp;A”) increased $3.7 million, or 80%, to $8.4 million for the three months ended March 31, 2014 from $4.6 million in the prior year period. Total SG&amp;A expense was 11.5% and 19.5% of home sales revenue for the three months ended March 31, 2014 and 2013, respectively.</w:t>
      </w:r>
    </w:p>
    <w:p>
      <w:pPr>
        <w:spacing w:after="0" w:line="28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Transaction Expenses</w:t>
      </w:r>
    </w:p>
    <w:p>
      <w:pPr>
        <w:spacing w:after="0" w:line="117" w:lineRule="exact"/>
        <w:rPr>
          <w:sz w:val="20"/>
          <w:szCs w:val="20"/>
          <w:color w:val="auto"/>
        </w:rPr>
      </w:pPr>
    </w:p>
    <w:p>
      <w:pPr>
        <w:ind w:right="40" w:firstLine="456"/>
        <w:spacing w:after="0" w:line="277" w:lineRule="auto"/>
        <w:rPr>
          <w:sz w:val="20"/>
          <w:szCs w:val="20"/>
          <w:color w:val="auto"/>
        </w:rPr>
      </w:pPr>
      <w:r>
        <w:rPr>
          <w:rFonts w:ascii="Arial" w:cs="Arial" w:eastAsia="Arial" w:hAnsi="Arial"/>
          <w:sz w:val="18"/>
          <w:szCs w:val="18"/>
          <w:color w:val="auto"/>
        </w:rPr>
        <w:t>As a result of the WRECO Transactions, the Company has incurred due diligence and other related transaction expenses during the three months ended March 31, 2014 of $548,000. We expect to incur additional expense during 2014 related to the WRECO Transactions.</w:t>
      </w:r>
    </w:p>
    <w:p>
      <w:pPr>
        <w:spacing w:after="0" w:line="27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Other Income (Expense), Net</w:t>
      </w:r>
    </w:p>
    <w:p>
      <w:pPr>
        <w:spacing w:after="0" w:line="117" w:lineRule="exact"/>
        <w:rPr>
          <w:sz w:val="20"/>
          <w:szCs w:val="20"/>
          <w:color w:val="auto"/>
        </w:rPr>
      </w:pPr>
    </w:p>
    <w:p>
      <w:pPr>
        <w:ind w:right="40" w:firstLine="456"/>
        <w:spacing w:after="0" w:line="264" w:lineRule="auto"/>
        <w:rPr>
          <w:sz w:val="20"/>
          <w:szCs w:val="20"/>
          <w:color w:val="auto"/>
        </w:rPr>
      </w:pPr>
      <w:r>
        <w:rPr>
          <w:rFonts w:ascii="Arial" w:cs="Arial" w:eastAsia="Arial" w:hAnsi="Arial"/>
          <w:sz w:val="18"/>
          <w:szCs w:val="18"/>
          <w:color w:val="auto"/>
        </w:rPr>
        <w:t>Other income (expense), net, decreased to ($9,000) of other expense for the three months ended March 31, 2014 compared to $172,000 of income for the prior year period. The change was primarily due to decreased interest and dividend income as result of lower cash and cash equivalent balances due to the increase in our selling communities and real estate inventory.</w:t>
      </w:r>
    </w:p>
    <w:p>
      <w:pPr>
        <w:spacing w:after="0" w:line="28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Interest</w:t>
      </w:r>
    </w:p>
    <w:p>
      <w:pPr>
        <w:spacing w:after="0" w:line="117" w:lineRule="exact"/>
        <w:rPr>
          <w:sz w:val="20"/>
          <w:szCs w:val="20"/>
          <w:color w:val="auto"/>
        </w:rPr>
      </w:pPr>
    </w:p>
    <w:p>
      <w:pPr>
        <w:ind w:right="160" w:firstLine="456"/>
        <w:spacing w:after="0" w:line="279" w:lineRule="auto"/>
        <w:rPr>
          <w:sz w:val="20"/>
          <w:szCs w:val="20"/>
          <w:color w:val="auto"/>
        </w:rPr>
      </w:pPr>
      <w:r>
        <w:rPr>
          <w:rFonts w:ascii="Arial" w:cs="Arial" w:eastAsia="Arial" w:hAnsi="Arial"/>
          <w:sz w:val="17"/>
          <w:szCs w:val="17"/>
          <w:color w:val="auto"/>
        </w:rPr>
        <w:t>Interest, which was incurred principally to finance land acquisitions, land development and home construction, totaled $1.2 million and $734,000 for the three months ended March 31, 2014 and 2013, respectively, all of which was capitalized to real estate inventory. The increase in interest incurred during the three months ended March 31, 2014 as compared to the prior year period was primarily attributable to our increase in outstanding debt, which was the result of the increase in the number of active projects and the growth in our real estate inventory.</w:t>
      </w:r>
    </w:p>
    <w:p>
      <w:pPr>
        <w:spacing w:after="0" w:line="280"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Income Tax</w:t>
      </w:r>
    </w:p>
    <w:p>
      <w:pPr>
        <w:spacing w:after="0" w:line="117" w:lineRule="exact"/>
        <w:rPr>
          <w:sz w:val="20"/>
          <w:szCs w:val="20"/>
          <w:color w:val="auto"/>
        </w:rPr>
      </w:pPr>
    </w:p>
    <w:p>
      <w:pPr>
        <w:ind w:right="40" w:firstLine="456"/>
        <w:spacing w:after="0" w:line="257" w:lineRule="auto"/>
        <w:rPr>
          <w:sz w:val="20"/>
          <w:szCs w:val="20"/>
          <w:color w:val="auto"/>
        </w:rPr>
      </w:pPr>
      <w:r>
        <w:rPr>
          <w:rFonts w:ascii="Arial" w:cs="Arial" w:eastAsia="Arial" w:hAnsi="Arial"/>
          <w:sz w:val="18"/>
          <w:szCs w:val="18"/>
          <w:color w:val="auto"/>
        </w:rPr>
        <w:t>For the three months ended March 31, 2014, we have recorded a tax provision of $3.1 million based on an effective tax rate of 42%. For the three months ended March 31, 2013 we recorded a tax provision of $73,000. The increase in our provision for income tax was primarily the result of the $7.1 million increase in income before income taxes to $7.4 million for the three months ended March 31, 2014 compared to $343,000 in the prior year period and the fact that our income earned in January 2013 was not subject to corporate income tax because we were a Delaware limited liability company until we reorganized to a Delaware corporation as part of our IPO on January 30, 2013.</w:t>
      </w:r>
    </w:p>
    <w:p>
      <w:pPr>
        <w:spacing w:after="0" w:line="29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Net Income</w:t>
      </w:r>
    </w:p>
    <w:p>
      <w:pPr>
        <w:spacing w:after="0" w:line="117" w:lineRule="exact"/>
        <w:rPr>
          <w:sz w:val="20"/>
          <w:szCs w:val="20"/>
          <w:color w:val="auto"/>
        </w:rPr>
      </w:pPr>
    </w:p>
    <w:p>
      <w:pPr>
        <w:ind w:right="420" w:firstLine="456"/>
        <w:spacing w:after="0" w:line="277" w:lineRule="auto"/>
        <w:rPr>
          <w:sz w:val="20"/>
          <w:szCs w:val="20"/>
          <w:color w:val="auto"/>
        </w:rPr>
      </w:pPr>
      <w:r>
        <w:rPr>
          <w:rFonts w:ascii="Arial" w:cs="Arial" w:eastAsia="Arial" w:hAnsi="Arial"/>
          <w:sz w:val="18"/>
          <w:szCs w:val="18"/>
          <w:color w:val="auto"/>
        </w:rPr>
        <w:t>As a result of the foregoing factors, net income for the three months ended March 31, 2014 was $4.3 million compared to net income for the three months ended March 31, 2013 of $270,000.</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- 23 -</w:t>
      </w:r>
    </w:p>
    <w:p>
      <w:pPr>
        <w:sectPr>
          <w:pgSz w:w="11900" w:h="16838" w:orient="portrait"/>
          <w:cols w:equalWidth="0" w:num="1">
            <w:col w:w="11400"/>
          </w:cols>
          <w:pgMar w:left="240" w:top="459" w:right="25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Lots Owned and Controlled</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table below summarizes our lots owned and controlled as of the dates presented:</w:t>
      </w:r>
    </w:p>
    <w:p>
      <w:pPr>
        <w:spacing w:after="0" w:line="244" w:lineRule="exact"/>
        <w:rPr>
          <w:sz w:val="20"/>
          <w:szCs w:val="20"/>
          <w:color w:val="auto"/>
        </w:rPr>
      </w:pPr>
    </w:p>
    <w:tbl>
      <w:tblPr>
        <w:tblLayout w:type="fixed"/>
        <w:tblInd w:w="46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7140" w:type="dxa"/>
            <w:vAlign w:val="bottom"/>
          </w:tcPr>
          <w:p>
            <w:pPr>
              <w:spacing w:after="0"/>
              <w:rPr>
                <w:sz w:val="14"/>
                <w:szCs w:val="14"/>
                <w:color w:val="auto"/>
              </w:rPr>
            </w:pPr>
          </w:p>
        </w:tc>
        <w:tc>
          <w:tcPr>
            <w:tcW w:w="1660" w:type="dxa"/>
            <w:vAlign w:val="bottom"/>
            <w:gridSpan w:val="4"/>
          </w:tcPr>
          <w:p>
            <w:pPr>
              <w:jc w:val="right"/>
              <w:ind w:right="700"/>
              <w:spacing w:after="0"/>
              <w:rPr>
                <w:sz w:val="20"/>
                <w:szCs w:val="20"/>
                <w:color w:val="auto"/>
              </w:rPr>
            </w:pPr>
            <w:r>
              <w:rPr>
                <w:rFonts w:ascii="Arial" w:cs="Arial" w:eastAsia="Arial" w:hAnsi="Arial"/>
                <w:sz w:val="14"/>
                <w:szCs w:val="14"/>
                <w:b w:val="1"/>
                <w:bCs w:val="1"/>
                <w:color w:val="auto"/>
              </w:rPr>
              <w:t>March 31,</w:t>
            </w:r>
          </w:p>
        </w:tc>
        <w:tc>
          <w:tcPr>
            <w:tcW w:w="1680" w:type="dxa"/>
            <w:vAlign w:val="bottom"/>
            <w:gridSpan w:val="4"/>
          </w:tcPr>
          <w:p>
            <w:pPr>
              <w:jc w:val="right"/>
              <w:ind w:right="360"/>
              <w:spacing w:after="0"/>
              <w:rPr>
                <w:sz w:val="20"/>
                <w:szCs w:val="20"/>
                <w:color w:val="auto"/>
              </w:rPr>
            </w:pPr>
            <w:r>
              <w:rPr>
                <w:rFonts w:ascii="Arial" w:cs="Arial" w:eastAsia="Arial" w:hAnsi="Arial"/>
                <w:sz w:val="14"/>
                <w:szCs w:val="14"/>
                <w:b w:val="1"/>
                <w:bCs w:val="1"/>
                <w:color w:val="auto"/>
                <w:w w:val="98"/>
              </w:rPr>
              <w:t>Increase (Decrease)</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140" w:type="dxa"/>
            <w:vAlign w:val="bottom"/>
          </w:tcPr>
          <w:p>
            <w:pPr>
              <w:spacing w:after="0"/>
              <w:rPr>
                <w:sz w:val="12"/>
                <w:szCs w:val="12"/>
                <w:color w:val="auto"/>
              </w:rPr>
            </w:pPr>
          </w:p>
        </w:tc>
        <w:tc>
          <w:tcPr>
            <w:tcW w:w="460" w:type="dxa"/>
            <w:vAlign w:val="bottom"/>
            <w:tcBorders>
              <w:top w:val="single" w:sz="8" w:color="auto"/>
            </w:tcBorders>
          </w:tcPr>
          <w:p>
            <w:pPr>
              <w:jc w:val="right"/>
              <w:ind w:right="13"/>
              <w:spacing w:after="0" w:line="142" w:lineRule="exact"/>
              <w:rPr>
                <w:sz w:val="20"/>
                <w:szCs w:val="20"/>
                <w:color w:val="auto"/>
              </w:rPr>
            </w:pPr>
            <w:r>
              <w:rPr>
                <w:rFonts w:ascii="Arial" w:cs="Arial" w:eastAsia="Arial" w:hAnsi="Arial"/>
                <w:sz w:val="14"/>
                <w:szCs w:val="14"/>
                <w:b w:val="1"/>
                <w:bCs w:val="1"/>
                <w:color w:val="auto"/>
              </w:rPr>
              <w:t>2014</w:t>
            </w:r>
          </w:p>
        </w:tc>
        <w:tc>
          <w:tcPr>
            <w:tcW w:w="360" w:type="dxa"/>
            <w:vAlign w:val="bottom"/>
            <w:tcBorders>
              <w:top w:val="single" w:sz="8" w:color="auto"/>
            </w:tcBorders>
          </w:tcPr>
          <w:p>
            <w:pPr>
              <w:spacing w:after="0"/>
              <w:rPr>
                <w:sz w:val="12"/>
                <w:szCs w:val="12"/>
                <w:color w:val="auto"/>
              </w:rPr>
            </w:pPr>
          </w:p>
        </w:tc>
        <w:tc>
          <w:tcPr>
            <w:tcW w:w="4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2013</w:t>
            </w:r>
          </w:p>
        </w:tc>
        <w:tc>
          <w:tcPr>
            <w:tcW w:w="380" w:type="dxa"/>
            <w:vAlign w:val="bottom"/>
          </w:tcPr>
          <w:p>
            <w:pPr>
              <w:spacing w:after="0"/>
              <w:rPr>
                <w:sz w:val="12"/>
                <w:szCs w:val="12"/>
                <w:color w:val="auto"/>
              </w:rPr>
            </w:pPr>
          </w:p>
        </w:tc>
        <w:tc>
          <w:tcPr>
            <w:tcW w:w="1020" w:type="dxa"/>
            <w:vAlign w:val="bottom"/>
            <w:tcBorders>
              <w:top w:val="single" w:sz="8" w:color="auto"/>
            </w:tcBorders>
            <w:gridSpan w:val="2"/>
          </w:tcPr>
          <w:p>
            <w:pPr>
              <w:jc w:val="right"/>
              <w:ind w:right="460"/>
              <w:spacing w:after="0" w:line="142" w:lineRule="exact"/>
              <w:rPr>
                <w:sz w:val="20"/>
                <w:szCs w:val="20"/>
                <w:color w:val="auto"/>
              </w:rPr>
            </w:pPr>
            <w:r>
              <w:rPr>
                <w:rFonts w:ascii="Arial" w:cs="Arial" w:eastAsia="Arial" w:hAnsi="Arial"/>
                <w:sz w:val="14"/>
                <w:szCs w:val="14"/>
                <w:b w:val="1"/>
                <w:bCs w:val="1"/>
                <w:color w:val="auto"/>
              </w:rPr>
              <w:t>Amount</w:t>
            </w:r>
          </w:p>
        </w:tc>
        <w:tc>
          <w:tcPr>
            <w:tcW w:w="400" w:type="dxa"/>
            <w:vAlign w:val="bottom"/>
            <w:tcBorders>
              <w:top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rPr>
              <w:t>%</w:t>
            </w: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714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Lots Owned</w:t>
            </w:r>
          </w:p>
        </w:tc>
        <w:tc>
          <w:tcPr>
            <w:tcW w:w="460" w:type="dxa"/>
            <w:vAlign w:val="bottom"/>
            <w:tcBorders>
              <w:top w:val="single" w:sz="8" w:color="auto"/>
            </w:tcBorders>
            <w:shd w:val="clear" w:color="auto" w:fill="CCEEFF"/>
          </w:tcPr>
          <w:p>
            <w:pPr>
              <w:spacing w:after="0"/>
              <w:rPr>
                <w:sz w:val="17"/>
                <w:szCs w:val="17"/>
                <w:color w:val="auto"/>
              </w:rPr>
            </w:pPr>
          </w:p>
        </w:tc>
        <w:tc>
          <w:tcPr>
            <w:tcW w:w="360" w:type="dxa"/>
            <w:vAlign w:val="bottom"/>
            <w:tcBorders>
              <w:top w:val="single" w:sz="8" w:color="CCEEFF"/>
            </w:tcBorders>
            <w:shd w:val="clear" w:color="auto" w:fill="CCEEFF"/>
          </w:tcPr>
          <w:p>
            <w:pPr>
              <w:spacing w:after="0"/>
              <w:rPr>
                <w:sz w:val="17"/>
                <w:szCs w:val="17"/>
                <w:color w:val="auto"/>
              </w:rPr>
            </w:pPr>
          </w:p>
        </w:tc>
        <w:tc>
          <w:tcPr>
            <w:tcW w:w="460" w:type="dxa"/>
            <w:vAlign w:val="bottom"/>
            <w:tcBorders>
              <w:top w:val="single" w:sz="8" w:color="auto"/>
            </w:tcBorders>
            <w:shd w:val="clear" w:color="auto" w:fill="CCEEFF"/>
          </w:tcPr>
          <w:p>
            <w:pPr>
              <w:spacing w:after="0"/>
              <w:rPr>
                <w:sz w:val="17"/>
                <w:szCs w:val="17"/>
                <w:color w:val="auto"/>
              </w:rPr>
            </w:pPr>
          </w:p>
        </w:tc>
        <w:tc>
          <w:tcPr>
            <w:tcW w:w="380" w:type="dxa"/>
            <w:vAlign w:val="bottom"/>
            <w:tcBorders>
              <w:top w:val="single" w:sz="8" w:color="CCEEFF"/>
            </w:tcBorders>
            <w:shd w:val="clear" w:color="auto" w:fill="CCEEFF"/>
          </w:tcPr>
          <w:p>
            <w:pPr>
              <w:spacing w:after="0"/>
              <w:rPr>
                <w:sz w:val="17"/>
                <w:szCs w:val="17"/>
                <w:color w:val="auto"/>
              </w:rPr>
            </w:pPr>
          </w:p>
        </w:tc>
        <w:tc>
          <w:tcPr>
            <w:tcW w:w="620" w:type="dxa"/>
            <w:vAlign w:val="bottom"/>
            <w:tcBorders>
              <w:top w:val="single" w:sz="8" w:color="auto"/>
            </w:tcBorders>
            <w:shd w:val="clear" w:color="auto" w:fill="CCEEFF"/>
          </w:tcPr>
          <w:p>
            <w:pPr>
              <w:spacing w:after="0"/>
              <w:rPr>
                <w:sz w:val="17"/>
                <w:szCs w:val="17"/>
                <w:color w:val="auto"/>
              </w:rPr>
            </w:pPr>
          </w:p>
        </w:tc>
        <w:tc>
          <w:tcPr>
            <w:tcW w:w="400" w:type="dxa"/>
            <w:vAlign w:val="bottom"/>
            <w:tcBorders>
              <w:top w:val="single" w:sz="8" w:color="CCEEFF"/>
            </w:tcBorders>
            <w:shd w:val="clear" w:color="auto" w:fill="CCEEFF"/>
          </w:tcPr>
          <w:p>
            <w:pPr>
              <w:spacing w:after="0"/>
              <w:rPr>
                <w:sz w:val="17"/>
                <w:szCs w:val="17"/>
                <w:color w:val="auto"/>
              </w:rPr>
            </w:pPr>
          </w:p>
        </w:tc>
        <w:tc>
          <w:tcPr>
            <w:tcW w:w="40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340"/>
              <w:spacing w:after="0"/>
              <w:rPr>
                <w:sz w:val="20"/>
                <w:szCs w:val="20"/>
                <w:color w:val="auto"/>
              </w:rPr>
            </w:pPr>
            <w:r>
              <w:rPr>
                <w:rFonts w:ascii="Arial" w:cs="Arial" w:eastAsia="Arial" w:hAnsi="Arial"/>
                <w:sz w:val="18"/>
                <w:szCs w:val="18"/>
                <w:color w:val="auto"/>
              </w:rPr>
              <w:t>Southern California</w:t>
            </w:r>
          </w:p>
        </w:tc>
        <w:tc>
          <w:tcPr>
            <w:tcW w:w="820" w:type="dxa"/>
            <w:vAlign w:val="bottom"/>
            <w:gridSpan w:val="2"/>
          </w:tcPr>
          <w:p>
            <w:pPr>
              <w:jc w:val="right"/>
              <w:ind w:right="360"/>
              <w:spacing w:after="0"/>
              <w:rPr>
                <w:sz w:val="20"/>
                <w:szCs w:val="20"/>
                <w:color w:val="auto"/>
              </w:rPr>
            </w:pPr>
            <w:r>
              <w:rPr>
                <w:rFonts w:ascii="Arial" w:cs="Arial" w:eastAsia="Arial" w:hAnsi="Arial"/>
                <w:sz w:val="18"/>
                <w:szCs w:val="18"/>
                <w:color w:val="auto"/>
                <w:w w:val="97"/>
              </w:rPr>
              <w:t>1,210</w:t>
            </w:r>
          </w:p>
        </w:tc>
        <w:tc>
          <w:tcPr>
            <w:tcW w:w="840" w:type="dxa"/>
            <w:vAlign w:val="bottom"/>
            <w:gridSpan w:val="2"/>
          </w:tcPr>
          <w:p>
            <w:pPr>
              <w:jc w:val="right"/>
              <w:ind w:right="380"/>
              <w:spacing w:after="0"/>
              <w:rPr>
                <w:sz w:val="20"/>
                <w:szCs w:val="20"/>
                <w:color w:val="auto"/>
              </w:rPr>
            </w:pPr>
            <w:r>
              <w:rPr>
                <w:rFonts w:ascii="Arial" w:cs="Arial" w:eastAsia="Arial" w:hAnsi="Arial"/>
                <w:sz w:val="18"/>
                <w:szCs w:val="18"/>
                <w:color w:val="auto"/>
              </w:rPr>
              <w:t>778</w:t>
            </w:r>
          </w:p>
        </w:tc>
        <w:tc>
          <w:tcPr>
            <w:tcW w:w="1020" w:type="dxa"/>
            <w:vAlign w:val="bottom"/>
            <w:gridSpan w:val="2"/>
          </w:tcPr>
          <w:p>
            <w:pPr>
              <w:jc w:val="right"/>
              <w:ind w:right="400"/>
              <w:spacing w:after="0"/>
              <w:rPr>
                <w:sz w:val="20"/>
                <w:szCs w:val="20"/>
                <w:color w:val="auto"/>
              </w:rPr>
            </w:pPr>
            <w:r>
              <w:rPr>
                <w:rFonts w:ascii="Arial" w:cs="Arial" w:eastAsia="Arial" w:hAnsi="Arial"/>
                <w:sz w:val="18"/>
                <w:szCs w:val="18"/>
                <w:color w:val="auto"/>
              </w:rPr>
              <w:t>432</w:t>
            </w: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Northern California</w:t>
            </w:r>
          </w:p>
        </w:tc>
        <w:tc>
          <w:tcPr>
            <w:tcW w:w="8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930</w:t>
            </w:r>
          </w:p>
        </w:tc>
        <w:tc>
          <w:tcPr>
            <w:tcW w:w="8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193</w:t>
            </w:r>
          </w:p>
        </w:tc>
        <w:tc>
          <w:tcPr>
            <w:tcW w:w="10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737</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340"/>
              <w:spacing w:after="0"/>
              <w:rPr>
                <w:sz w:val="20"/>
                <w:szCs w:val="20"/>
                <w:color w:val="auto"/>
              </w:rPr>
            </w:pPr>
            <w:r>
              <w:rPr>
                <w:rFonts w:ascii="Arial" w:cs="Arial" w:eastAsia="Arial" w:hAnsi="Arial"/>
                <w:sz w:val="18"/>
                <w:szCs w:val="18"/>
                <w:color w:val="auto"/>
              </w:rPr>
              <w:t>Colorado</w:t>
            </w:r>
          </w:p>
        </w:tc>
        <w:tc>
          <w:tcPr>
            <w:tcW w:w="460" w:type="dxa"/>
            <w:vAlign w:val="bottom"/>
          </w:tcPr>
          <w:p>
            <w:pPr>
              <w:jc w:val="right"/>
              <w:spacing w:after="0"/>
              <w:rPr>
                <w:sz w:val="20"/>
                <w:szCs w:val="20"/>
                <w:color w:val="auto"/>
              </w:rPr>
            </w:pPr>
            <w:r>
              <w:rPr>
                <w:rFonts w:ascii="Arial" w:cs="Arial" w:eastAsia="Arial" w:hAnsi="Arial"/>
                <w:sz w:val="18"/>
                <w:szCs w:val="18"/>
                <w:color w:val="auto"/>
              </w:rPr>
              <w:t>369</w:t>
            </w:r>
          </w:p>
        </w:tc>
        <w:tc>
          <w:tcPr>
            <w:tcW w:w="360" w:type="dxa"/>
            <w:vAlign w:val="bottom"/>
          </w:tcPr>
          <w:p>
            <w:pPr>
              <w:spacing w:after="0"/>
              <w:rPr>
                <w:sz w:val="18"/>
                <w:szCs w:val="18"/>
                <w:color w:val="auto"/>
              </w:rPr>
            </w:pPr>
          </w:p>
        </w:tc>
        <w:tc>
          <w:tcPr>
            <w:tcW w:w="840" w:type="dxa"/>
            <w:vAlign w:val="bottom"/>
            <w:gridSpan w:val="2"/>
          </w:tcPr>
          <w:p>
            <w:pPr>
              <w:jc w:val="right"/>
              <w:ind w:right="380"/>
              <w:spacing w:after="0"/>
              <w:rPr>
                <w:sz w:val="20"/>
                <w:szCs w:val="20"/>
                <w:color w:val="auto"/>
              </w:rPr>
            </w:pPr>
            <w:r>
              <w:rPr>
                <w:rFonts w:ascii="Arial" w:cs="Arial" w:eastAsia="Arial" w:hAnsi="Arial"/>
                <w:sz w:val="18"/>
                <w:szCs w:val="18"/>
                <w:color w:val="auto"/>
              </w:rPr>
              <w:t>57</w:t>
            </w:r>
          </w:p>
        </w:tc>
        <w:tc>
          <w:tcPr>
            <w:tcW w:w="1020" w:type="dxa"/>
            <w:vAlign w:val="bottom"/>
            <w:gridSpan w:val="2"/>
          </w:tcPr>
          <w:p>
            <w:pPr>
              <w:jc w:val="right"/>
              <w:ind w:right="400"/>
              <w:spacing w:after="0"/>
              <w:rPr>
                <w:sz w:val="20"/>
                <w:szCs w:val="20"/>
                <w:color w:val="auto"/>
              </w:rPr>
            </w:pPr>
            <w:r>
              <w:rPr>
                <w:rFonts w:ascii="Arial" w:cs="Arial" w:eastAsia="Arial" w:hAnsi="Arial"/>
                <w:sz w:val="18"/>
                <w:szCs w:val="18"/>
                <w:color w:val="auto"/>
              </w:rPr>
              <w:t>312</w:t>
            </w: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547%</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1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700"/>
              <w:spacing w:after="0"/>
              <w:rPr>
                <w:sz w:val="20"/>
                <w:szCs w:val="20"/>
                <w:color w:val="auto"/>
              </w:rPr>
            </w:pPr>
            <w:r>
              <w:rPr>
                <w:rFonts w:ascii="Arial" w:cs="Arial" w:eastAsia="Arial" w:hAnsi="Arial"/>
                <w:sz w:val="18"/>
                <w:szCs w:val="18"/>
                <w:color w:val="auto"/>
              </w:rPr>
              <w:t>Total</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2,509</w:t>
            </w:r>
          </w:p>
        </w:tc>
        <w:tc>
          <w:tcPr>
            <w:tcW w:w="3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w w:val="97"/>
              </w:rPr>
              <w:t>1,028</w:t>
            </w:r>
          </w:p>
        </w:tc>
        <w:tc>
          <w:tcPr>
            <w:tcW w:w="10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1,481</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144%</w:t>
            </w:r>
          </w:p>
        </w:tc>
        <w:tc>
          <w:tcPr>
            <w:tcW w:w="0" w:type="dxa"/>
            <w:vAlign w:val="bottom"/>
          </w:tcPr>
          <w:p>
            <w:pPr>
              <w:spacing w:after="0"/>
              <w:rPr>
                <w:sz w:val="1"/>
                <w:szCs w:val="1"/>
                <w:color w:val="auto"/>
              </w:rPr>
            </w:pPr>
          </w:p>
        </w:tc>
      </w:tr>
      <w:tr>
        <w:trPr>
          <w:trHeight w:val="223"/>
        </w:trPr>
        <w:tc>
          <w:tcPr>
            <w:tcW w:w="7160" w:type="dxa"/>
            <w:vAlign w:val="bottom"/>
            <w:gridSpan w:val="2"/>
          </w:tcPr>
          <w:p>
            <w:pPr>
              <w:spacing w:after="0"/>
              <w:rPr>
                <w:sz w:val="20"/>
                <w:szCs w:val="20"/>
                <w:color w:val="auto"/>
              </w:rPr>
            </w:pPr>
            <w:r>
              <w:rPr>
                <w:rFonts w:ascii="Arial" w:cs="Arial" w:eastAsia="Arial" w:hAnsi="Arial"/>
                <w:sz w:val="18"/>
                <w:szCs w:val="18"/>
                <w:b w:val="1"/>
                <w:bCs w:val="1"/>
                <w:color w:val="auto"/>
              </w:rPr>
              <w:t>Lots Controlled</w:t>
            </w:r>
            <w:r>
              <w:rPr>
                <w:rFonts w:ascii="Arial" w:cs="Arial" w:eastAsia="Arial" w:hAnsi="Arial"/>
                <w:sz w:val="15"/>
                <w:szCs w:val="15"/>
                <w:b w:val="1"/>
                <w:bCs w:val="1"/>
                <w:color w:val="auto"/>
              </w:rPr>
              <w:t>(1)</w:t>
            </w:r>
          </w:p>
        </w:tc>
        <w:tc>
          <w:tcPr>
            <w:tcW w:w="460" w:type="dxa"/>
            <w:vAlign w:val="bottom"/>
            <w:tcBorders>
              <w:top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460" w:type="dxa"/>
            <w:vAlign w:val="bottom"/>
            <w:tcBorders>
              <w:top w:val="single" w:sz="8" w:color="auto"/>
            </w:tcBorders>
          </w:tcPr>
          <w:p>
            <w:pPr>
              <w:spacing w:after="0"/>
              <w:rPr>
                <w:sz w:val="19"/>
                <w:szCs w:val="19"/>
                <w:color w:val="auto"/>
              </w:rPr>
            </w:pPr>
          </w:p>
        </w:tc>
        <w:tc>
          <w:tcPr>
            <w:tcW w:w="380" w:type="dxa"/>
            <w:vAlign w:val="bottom"/>
          </w:tcPr>
          <w:p>
            <w:pPr>
              <w:spacing w:after="0"/>
              <w:rPr>
                <w:sz w:val="19"/>
                <w:szCs w:val="19"/>
                <w:color w:val="auto"/>
              </w:rPr>
            </w:pPr>
          </w:p>
        </w:tc>
        <w:tc>
          <w:tcPr>
            <w:tcW w:w="620" w:type="dxa"/>
            <w:vAlign w:val="bottom"/>
            <w:tcBorders>
              <w:top w:val="single" w:sz="8" w:color="auto"/>
            </w:tcBorders>
          </w:tcPr>
          <w:p>
            <w:pPr>
              <w:spacing w:after="0"/>
              <w:rPr>
                <w:sz w:val="19"/>
                <w:szCs w:val="19"/>
                <w:color w:val="auto"/>
              </w:rPr>
            </w:pPr>
          </w:p>
        </w:tc>
        <w:tc>
          <w:tcPr>
            <w:tcW w:w="400" w:type="dxa"/>
            <w:vAlign w:val="bottom"/>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Southern California</w:t>
            </w:r>
          </w:p>
        </w:tc>
        <w:tc>
          <w:tcPr>
            <w:tcW w:w="8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558</w:t>
            </w:r>
          </w:p>
        </w:tc>
        <w:tc>
          <w:tcPr>
            <w:tcW w:w="8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142</w:t>
            </w:r>
          </w:p>
        </w:tc>
        <w:tc>
          <w:tcPr>
            <w:tcW w:w="10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416</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340"/>
              <w:spacing w:after="0"/>
              <w:rPr>
                <w:sz w:val="20"/>
                <w:szCs w:val="20"/>
                <w:color w:val="auto"/>
              </w:rPr>
            </w:pPr>
            <w:r>
              <w:rPr>
                <w:rFonts w:ascii="Arial" w:cs="Arial" w:eastAsia="Arial" w:hAnsi="Arial"/>
                <w:sz w:val="18"/>
                <w:szCs w:val="18"/>
                <w:color w:val="auto"/>
              </w:rPr>
              <w:t>Northern California</w:t>
            </w:r>
          </w:p>
        </w:tc>
        <w:tc>
          <w:tcPr>
            <w:tcW w:w="820" w:type="dxa"/>
            <w:vAlign w:val="bottom"/>
            <w:gridSpan w:val="2"/>
          </w:tcPr>
          <w:p>
            <w:pPr>
              <w:jc w:val="right"/>
              <w:ind w:right="360"/>
              <w:spacing w:after="0"/>
              <w:rPr>
                <w:sz w:val="20"/>
                <w:szCs w:val="20"/>
                <w:color w:val="auto"/>
              </w:rPr>
            </w:pPr>
            <w:r>
              <w:rPr>
                <w:rFonts w:ascii="Arial" w:cs="Arial" w:eastAsia="Arial" w:hAnsi="Arial"/>
                <w:sz w:val="18"/>
                <w:szCs w:val="18"/>
                <w:color w:val="auto"/>
              </w:rPr>
              <w:t>203</w:t>
            </w:r>
          </w:p>
        </w:tc>
        <w:tc>
          <w:tcPr>
            <w:tcW w:w="840" w:type="dxa"/>
            <w:vAlign w:val="bottom"/>
            <w:gridSpan w:val="2"/>
          </w:tcPr>
          <w:p>
            <w:pPr>
              <w:jc w:val="right"/>
              <w:ind w:right="380"/>
              <w:spacing w:after="0"/>
              <w:rPr>
                <w:sz w:val="20"/>
                <w:szCs w:val="20"/>
                <w:color w:val="auto"/>
              </w:rPr>
            </w:pPr>
            <w:r>
              <w:rPr>
                <w:rFonts w:ascii="Arial" w:cs="Arial" w:eastAsia="Arial" w:hAnsi="Arial"/>
                <w:sz w:val="18"/>
                <w:szCs w:val="18"/>
                <w:color w:val="auto"/>
              </w:rPr>
              <w:t>745</w:t>
            </w:r>
          </w:p>
        </w:tc>
        <w:tc>
          <w:tcPr>
            <w:tcW w:w="1020" w:type="dxa"/>
            <w:vAlign w:val="bottom"/>
            <w:gridSpan w:val="2"/>
          </w:tcPr>
          <w:p>
            <w:pPr>
              <w:jc w:val="right"/>
              <w:ind w:right="340"/>
              <w:spacing w:after="0"/>
              <w:rPr>
                <w:sz w:val="20"/>
                <w:szCs w:val="20"/>
                <w:color w:val="auto"/>
              </w:rPr>
            </w:pPr>
            <w:r>
              <w:rPr>
                <w:rFonts w:ascii="Arial" w:cs="Arial" w:eastAsia="Arial" w:hAnsi="Arial"/>
                <w:sz w:val="18"/>
                <w:szCs w:val="18"/>
                <w:color w:val="auto"/>
              </w:rPr>
              <w:t>(542)</w:t>
            </w: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Colorado</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w:t>
            </w:r>
          </w:p>
        </w:tc>
        <w:tc>
          <w:tcPr>
            <w:tcW w:w="3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247</w:t>
            </w:r>
          </w:p>
        </w:tc>
        <w:tc>
          <w:tcPr>
            <w:tcW w:w="10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(45)</w:t>
            </w: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140" w:type="dxa"/>
            <w:vAlign w:val="bottom"/>
            <w:vMerge w:val="restart"/>
          </w:tcPr>
          <w:p>
            <w:pPr>
              <w:ind w:left="700"/>
              <w:spacing w:after="0"/>
              <w:rPr>
                <w:sz w:val="20"/>
                <w:szCs w:val="20"/>
                <w:color w:val="auto"/>
              </w:rPr>
            </w:pPr>
            <w:r>
              <w:rPr>
                <w:rFonts w:ascii="Arial" w:cs="Arial" w:eastAsia="Arial" w:hAnsi="Arial"/>
                <w:sz w:val="18"/>
                <w:szCs w:val="18"/>
                <w:color w:val="auto"/>
              </w:rPr>
              <w:t>Total</w:t>
            </w:r>
          </w:p>
        </w:tc>
        <w:tc>
          <w:tcPr>
            <w:tcW w:w="460" w:type="dxa"/>
            <w:vAlign w:val="bottom"/>
            <w:shd w:val="clear" w:color="auto" w:fill="000000"/>
          </w:tcPr>
          <w:p>
            <w:pPr>
              <w:spacing w:after="0" w:line="20" w:lineRule="exact"/>
              <w:rPr>
                <w:sz w:val="1"/>
                <w:szCs w:val="1"/>
                <w:color w:val="auto"/>
              </w:rPr>
            </w:pPr>
          </w:p>
        </w:tc>
        <w:tc>
          <w:tcPr>
            <w:tcW w:w="360" w:type="dxa"/>
            <w:vAlign w:val="bottom"/>
            <w:vMerge w:val="restart"/>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vMerge w:val="restart"/>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400" w:type="dxa"/>
            <w:vAlign w:val="bottom"/>
            <w:vMerge w:val="restart"/>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7140" w:type="dxa"/>
            <w:vAlign w:val="bottom"/>
            <w:vMerge w:val="continue"/>
          </w:tcPr>
          <w:p>
            <w:pPr>
              <w:spacing w:after="0"/>
              <w:rPr>
                <w:sz w:val="19"/>
                <w:szCs w:val="19"/>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963</w:t>
            </w:r>
          </w:p>
        </w:tc>
        <w:tc>
          <w:tcPr>
            <w:tcW w:w="360" w:type="dxa"/>
            <w:vAlign w:val="bottom"/>
            <w:vMerge w:val="continue"/>
          </w:tcPr>
          <w:p>
            <w:pPr>
              <w:spacing w:after="0"/>
              <w:rPr>
                <w:sz w:val="19"/>
                <w:szCs w:val="19"/>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w w:val="97"/>
              </w:rPr>
              <w:t>1,134</w:t>
            </w:r>
          </w:p>
        </w:tc>
        <w:tc>
          <w:tcPr>
            <w:tcW w:w="380" w:type="dxa"/>
            <w:vAlign w:val="bottom"/>
            <w:vMerge w:val="continue"/>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(171)</w:t>
            </w:r>
          </w:p>
        </w:tc>
        <w:tc>
          <w:tcPr>
            <w:tcW w:w="400" w:type="dxa"/>
            <w:vAlign w:val="bottom"/>
            <w:vMerge w:val="continue"/>
          </w:tcPr>
          <w:p>
            <w:pPr>
              <w:spacing w:after="0"/>
              <w:rPr>
                <w:sz w:val="19"/>
                <w:szCs w:val="19"/>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71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Lots Owned and Controlled</w:t>
            </w:r>
            <w:r>
              <w:rPr>
                <w:rFonts w:ascii="Arial" w:cs="Arial" w:eastAsia="Arial" w:hAnsi="Arial"/>
                <w:sz w:val="15"/>
                <w:szCs w:val="15"/>
                <w:b w:val="1"/>
                <w:bCs w:val="1"/>
                <w:color w:val="auto"/>
              </w:rPr>
              <w:t>(1)</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3,472</w:t>
            </w:r>
          </w:p>
        </w:tc>
        <w:tc>
          <w:tcPr>
            <w:tcW w:w="3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w w:val="97"/>
              </w:rPr>
              <w:t>2,162</w:t>
            </w:r>
          </w:p>
        </w:tc>
        <w:tc>
          <w:tcPr>
            <w:tcW w:w="10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1,310</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14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1" w:lineRule="exact"/>
        <w:rPr>
          <w:sz w:val="20"/>
          <w:szCs w:val="20"/>
          <w:color w:val="auto"/>
        </w:rPr>
      </w:pPr>
    </w:p>
    <w:p>
      <w:pPr>
        <w:ind w:left="460" w:right="180" w:hanging="452"/>
        <w:spacing w:after="0" w:line="277" w:lineRule="auto"/>
        <w:tabs>
          <w:tab w:leader="none" w:pos="460" w:val="left"/>
        </w:tabs>
        <w:numPr>
          <w:ilvl w:val="0"/>
          <w:numId w:val="15"/>
        </w:numPr>
        <w:rPr>
          <w:rFonts w:ascii="Arial" w:cs="Arial" w:eastAsia="Arial" w:hAnsi="Arial"/>
          <w:sz w:val="15"/>
          <w:szCs w:val="15"/>
          <w:color w:val="auto"/>
        </w:rPr>
      </w:pPr>
      <w:r>
        <w:rPr>
          <w:rFonts w:ascii="Arial" w:cs="Arial" w:eastAsia="Arial" w:hAnsi="Arial"/>
          <w:sz w:val="18"/>
          <w:szCs w:val="18"/>
          <w:color w:val="auto"/>
        </w:rPr>
        <w:t>As of March 31, 2014, lots controlled includes lots that are under a land option contracts or purchase contracts. As of March 31, 2013, lots controlled included lots that were under a land option contract, purchase contract or a non-binding letter of intent.</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Overview</w:t>
      </w:r>
    </w:p>
    <w:p>
      <w:pPr>
        <w:spacing w:after="0" w:line="117" w:lineRule="exact"/>
        <w:rPr>
          <w:sz w:val="20"/>
          <w:szCs w:val="20"/>
          <w:color w:val="auto"/>
        </w:rPr>
      </w:pPr>
    </w:p>
    <w:p>
      <w:pPr>
        <w:ind w:right="120" w:firstLine="456"/>
        <w:spacing w:after="0" w:line="257" w:lineRule="auto"/>
        <w:rPr>
          <w:sz w:val="20"/>
          <w:szCs w:val="20"/>
          <w:color w:val="auto"/>
        </w:rPr>
      </w:pPr>
      <w:r>
        <w:rPr>
          <w:rFonts w:ascii="Arial" w:cs="Arial" w:eastAsia="Arial" w:hAnsi="Arial"/>
          <w:sz w:val="18"/>
          <w:szCs w:val="18"/>
          <w:color w:val="auto"/>
        </w:rPr>
        <w:t>Our principal uses of capital for the three months ended March 31, 2014 were operating expenses, land purchases, land development, home construction and the payment of routine liabilities. We used funds generated by our operations and available borrowings to meet our short-term working capital requirements. We remain focused on generating positive margins in our homebuilding operations and acquiring desirable land positions in order to maintain a strong balance sheet and keep us poised for growth. As of March 31, 2014, we had $32.0 million of cash. We believe we have sufficient cash and sources of financing for at least twelve months.</w:t>
      </w:r>
    </w:p>
    <w:p>
      <w:pPr>
        <w:spacing w:after="0" w:line="188"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On November 3, 2013, WRECO and certain financial institutions executed a commitment letter pursuant to which the financial institutions have agreed to provide debt financing to WRECO in an aggregate principal amount of $800 million on the terms and conditions set forth therein. WRECO will use the proceeds of the debt financing to pay approximately $739 million in cash to Weyerhaeuser NR Company, the current direct parent of WRECO and a wholly owned subsidiary of Weyerhaeuser, which cash will be retained after consummation of the Merger by Weyerhaeuser and its subsidiaries (other than WRECO and its subsidiaries). The amount of the cash payment is subject to adjustment based on the terms set forth in the Transaction Agreement. For additional information regarding this debt financing, please see the section of the Registration Statement entitled “Debt Financing.”</w:t>
      </w:r>
    </w:p>
    <w:p>
      <w:pPr>
        <w:spacing w:after="0" w:line="178" w:lineRule="exact"/>
        <w:rPr>
          <w:sz w:val="20"/>
          <w:szCs w:val="20"/>
          <w:color w:val="auto"/>
        </w:rPr>
      </w:pPr>
    </w:p>
    <w:p>
      <w:pPr>
        <w:ind w:right="20" w:firstLine="456"/>
        <w:spacing w:after="0" w:line="297" w:lineRule="auto"/>
        <w:rPr>
          <w:sz w:val="20"/>
          <w:szCs w:val="20"/>
          <w:color w:val="auto"/>
        </w:rPr>
      </w:pPr>
      <w:r>
        <w:rPr>
          <w:rFonts w:ascii="Arial" w:cs="Arial" w:eastAsia="Arial" w:hAnsi="Arial"/>
          <w:sz w:val="16"/>
          <w:szCs w:val="16"/>
          <w:color w:val="auto"/>
        </w:rPr>
        <w:t>Our board of directors will consider a number of factors when evaluating our level of indebtedness and when making decisions regarding the incurrence of new indebtedness, including the purchase price of assets to be acquired with debt financing, the estimated market value of our assets and the ability of particular assets, and our company as a whole, to generate cash flow to cover the expected debt service. Our charter does not contain a limitation on the amount of debt we may incur and our board of directors may change our target debt levels at any time without the approval of our stockholders. As a result of the WRECO Transactions, our debt levels will significantly increase as described in the “Debt Financing” section of the Registration Statement.</w:t>
      </w:r>
    </w:p>
    <w:p>
      <w:pPr>
        <w:spacing w:after="0" w:line="26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Secured Revolving Credit Facilities</w:t>
      </w:r>
    </w:p>
    <w:p>
      <w:pPr>
        <w:spacing w:after="0" w:line="117" w:lineRule="exact"/>
        <w:rPr>
          <w:sz w:val="20"/>
          <w:szCs w:val="20"/>
          <w:color w:val="auto"/>
        </w:rPr>
      </w:pPr>
    </w:p>
    <w:p>
      <w:pPr>
        <w:ind w:right="60" w:firstLine="456"/>
        <w:spacing w:after="0" w:line="255" w:lineRule="auto"/>
        <w:rPr>
          <w:sz w:val="20"/>
          <w:szCs w:val="20"/>
          <w:color w:val="auto"/>
        </w:rPr>
      </w:pPr>
      <w:r>
        <w:rPr>
          <w:rFonts w:ascii="Arial" w:cs="Arial" w:eastAsia="Arial" w:hAnsi="Arial"/>
          <w:sz w:val="18"/>
          <w:szCs w:val="18"/>
          <w:color w:val="auto"/>
        </w:rPr>
        <w:t>As of March 31, 2014, we were party to a secured revolving credit facility which has a maximum loan commitment of $50 million, an initial maturity date of April 2015 and a final maturity date of April 2016. We may borrow under the secured revolving credit facility in the ordinary course of business to fund our operations, including our land development and homebuilding activities. Interest on the secured revolving credit facility is paid monthly at a rate based on LIBOR or prime rate pricing, subject to a minimum interest rate floor. As of March 31, 2014, the outstanding balance was $30.4 million with an interest rate of 3.75% per annum, and $10.1 million of availability under the secured revolving credit facility after considering the borrowing base provisions and outstanding letters of credit.</w:t>
      </w:r>
    </w:p>
    <w:p>
      <w:pPr>
        <w:spacing w:after="0" w:line="12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- 24 -</w:t>
      </w:r>
    </w:p>
    <w:p>
      <w:pPr>
        <w:sectPr>
          <w:pgSz w:w="11900" w:h="16838" w:orient="portrait"/>
          <w:cols w:equalWidth="0" w:num="1">
            <w:col w:w="11380"/>
          </w:cols>
          <w:pgMar w:left="240" w:top="459" w:right="27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The Company has an additional secured, three-year revolving credit facility with a maturity date of July 2016 and the potential for a one-year extension of the term of the loan, subject to specified conditions and payment of an extension fee. The facility provides for a maximum loan commitment of $175 million. Borrowings under the facility are secured by a first priority lien on borrowing base properties and will be subject to, among other things, a borrowing base formula. Subject to the satisfaction of the conditions to advances set forth in the facility, the Company may borrow solely for the payment or reimbursement of costs or return of capital related to: (a) land acquisition, development and construction of single-family residential lots and homes on and with respect to borrowing base properties (as defined in the facility), or (b) paying off any existing financing secured by the initial borrowing base properties. The interest rate on borrowings will be at a rate based on applicable LIBOR plus a margin, ranging from 250 to 370 basis points depending on our leverage ratio. As of March 31, 2014, the outstanding balance was $120.2 million with an interest rate of 2.69% per annum, and $44.2 million of availability under the facility after considering the borrowing base provisions and outstanding letters of credit.</w:t>
      </w:r>
    </w:p>
    <w:p>
      <w:pPr>
        <w:spacing w:after="0" w:line="290"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Secured Acquisition and Development Loans and Construction Loans</w:t>
      </w:r>
    </w:p>
    <w:p>
      <w:pPr>
        <w:spacing w:after="0" w:line="117" w:lineRule="exact"/>
        <w:rPr>
          <w:sz w:val="20"/>
          <w:szCs w:val="20"/>
          <w:color w:val="auto"/>
        </w:rPr>
      </w:pPr>
    </w:p>
    <w:p>
      <w:pPr>
        <w:ind w:right="60" w:firstLine="456"/>
        <w:spacing w:after="0" w:line="271" w:lineRule="auto"/>
        <w:rPr>
          <w:sz w:val="20"/>
          <w:szCs w:val="20"/>
          <w:color w:val="auto"/>
        </w:rPr>
      </w:pPr>
      <w:r>
        <w:rPr>
          <w:rFonts w:ascii="Arial" w:cs="Arial" w:eastAsia="Arial" w:hAnsi="Arial"/>
          <w:sz w:val="17"/>
          <w:szCs w:val="17"/>
          <w:color w:val="auto"/>
        </w:rPr>
        <w:t>As of March 31, 2014, we were party to two secured acquisition and development loan agreements to purchase and develop land parcels. In addition, we were party to five secured construction loan agreements for the construction of our model and production homes. As of March 31, 2014, the total aggregate commitment of our acquisition and development loans and our construction loans was $59.1 million, of which $26.4 million was outstanding. The acquisition and development loans will be repaid as lots are released from the loans based upon a specific release price, as defined in each respective loan agreement. Our construction loans will be repaid with proceeds from home sales based upon a specific release price, as defined in each respective loan agreement. These loans range in maturity between December 2014 and August 2016, including the six month extensions which are at our election (subject to certain conditions) and bear interest at a rate based on applicable LIBOR or Prime Rate pricing options plus an applicable margin. As of March 31, 2014, the weighted average interest rate was 3.6% per annum.</w:t>
      </w:r>
    </w:p>
    <w:p>
      <w:pPr>
        <w:spacing w:after="0" w:line="287"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Covenant Compliance</w:t>
      </w:r>
    </w:p>
    <w:p>
      <w:pPr>
        <w:spacing w:after="0" w:line="117" w:lineRule="exact"/>
        <w:rPr>
          <w:sz w:val="20"/>
          <w:szCs w:val="20"/>
          <w:color w:val="auto"/>
        </w:rPr>
      </w:pPr>
    </w:p>
    <w:p>
      <w:pPr>
        <w:ind w:right="40" w:firstLine="456"/>
        <w:spacing w:after="0" w:line="277" w:lineRule="auto"/>
        <w:rPr>
          <w:sz w:val="20"/>
          <w:szCs w:val="20"/>
          <w:color w:val="auto"/>
        </w:rPr>
      </w:pPr>
      <w:r>
        <w:rPr>
          <w:rFonts w:ascii="Arial" w:cs="Arial" w:eastAsia="Arial" w:hAnsi="Arial"/>
          <w:sz w:val="18"/>
          <w:szCs w:val="18"/>
          <w:color w:val="auto"/>
        </w:rPr>
        <w:t>Under our secured revolving credit facilities, our acquisition and development loans and our construction loans, we are required to comply with certain financial covenants, including but not limited to those set forth in the table below:</w:t>
      </w:r>
    </w:p>
    <w:p>
      <w:pPr>
        <w:spacing w:after="0" w:line="177"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59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8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8"/>
              </w:rPr>
              <w:t>Actual at</w:t>
            </w:r>
          </w:p>
        </w:tc>
        <w:tc>
          <w:tcPr>
            <w:tcW w:w="5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Covenant</w:t>
            </w:r>
          </w:p>
        </w:tc>
        <w:tc>
          <w:tcPr>
            <w:tcW w:w="0" w:type="dxa"/>
            <w:vAlign w:val="bottom"/>
          </w:tcPr>
          <w:p>
            <w:pPr>
              <w:spacing w:after="0"/>
              <w:rPr>
                <w:sz w:val="1"/>
                <w:szCs w:val="1"/>
                <w:color w:val="auto"/>
              </w:rPr>
            </w:pPr>
          </w:p>
        </w:tc>
      </w:tr>
      <w:tr>
        <w:trPr>
          <w:trHeight w:val="149"/>
        </w:trPr>
        <w:tc>
          <w:tcPr>
            <w:tcW w:w="59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80" w:type="dxa"/>
            <w:vAlign w:val="bottom"/>
            <w:gridSpan w:val="2"/>
            <w:vMerge w:val="continue"/>
          </w:tcPr>
          <w:p>
            <w:pPr>
              <w:spacing w:after="0"/>
              <w:rPr>
                <w:sz w:val="12"/>
                <w:szCs w:val="12"/>
                <w:color w:val="auto"/>
              </w:rPr>
            </w:pPr>
          </w:p>
        </w:tc>
        <w:tc>
          <w:tcPr>
            <w:tcW w:w="1640" w:type="dxa"/>
            <w:vAlign w:val="bottom"/>
            <w:gridSpan w:val="4"/>
          </w:tcPr>
          <w:p>
            <w:pPr>
              <w:jc w:val="center"/>
              <w:ind w:left="359"/>
              <w:spacing w:after="0" w:line="149" w:lineRule="exact"/>
              <w:rPr>
                <w:sz w:val="20"/>
                <w:szCs w:val="20"/>
                <w:color w:val="auto"/>
              </w:rPr>
            </w:pPr>
            <w:r>
              <w:rPr>
                <w:rFonts w:ascii="Arial" w:cs="Arial" w:eastAsia="Arial" w:hAnsi="Arial"/>
                <w:sz w:val="14"/>
                <w:szCs w:val="14"/>
                <w:b w:val="1"/>
                <w:bCs w:val="1"/>
                <w:color w:val="auto"/>
                <w:w w:val="94"/>
              </w:rPr>
              <w:t>Requirement at</w:t>
            </w:r>
          </w:p>
        </w:tc>
        <w:tc>
          <w:tcPr>
            <w:tcW w:w="0" w:type="dxa"/>
            <w:vAlign w:val="bottom"/>
          </w:tcPr>
          <w:p>
            <w:pPr>
              <w:spacing w:after="0"/>
              <w:rPr>
                <w:sz w:val="1"/>
                <w:szCs w:val="1"/>
                <w:color w:val="auto"/>
              </w:rPr>
            </w:pPr>
          </w:p>
        </w:tc>
      </w:tr>
      <w:tr>
        <w:trPr>
          <w:trHeight w:val="171"/>
        </w:trPr>
        <w:tc>
          <w:tcPr>
            <w:tcW w:w="5980" w:type="dxa"/>
            <w:vAlign w:val="bottom"/>
            <w:vMerge w:val="restart"/>
          </w:tcPr>
          <w:p>
            <w:pPr>
              <w:spacing w:after="0"/>
              <w:rPr>
                <w:sz w:val="20"/>
                <w:szCs w:val="20"/>
                <w:color w:val="auto"/>
              </w:rPr>
            </w:pPr>
            <w:r>
              <w:rPr>
                <w:rFonts w:ascii="Arial" w:cs="Arial" w:eastAsia="Arial" w:hAnsi="Arial"/>
                <w:sz w:val="14"/>
                <w:szCs w:val="14"/>
                <w:b w:val="1"/>
                <w:bCs w:val="1"/>
                <w:color w:val="auto"/>
              </w:rPr>
              <w:t>Financial Covenants</w:t>
            </w:r>
          </w:p>
        </w:tc>
        <w:tc>
          <w:tcPr>
            <w:tcW w:w="380" w:type="dxa"/>
            <w:vAlign w:val="bottom"/>
          </w:tcPr>
          <w:p>
            <w:pPr>
              <w:spacing w:after="0"/>
              <w:rPr>
                <w:sz w:val="14"/>
                <w:szCs w:val="14"/>
                <w:color w:val="auto"/>
              </w:rPr>
            </w:pPr>
          </w:p>
        </w:tc>
        <w:tc>
          <w:tcPr>
            <w:tcW w:w="680" w:type="dxa"/>
            <w:vAlign w:val="bottom"/>
            <w:gridSpan w:val="2"/>
          </w:tcPr>
          <w:p>
            <w:pPr>
              <w:jc w:val="center"/>
              <w:spacing w:after="0"/>
              <w:rPr>
                <w:sz w:val="20"/>
                <w:szCs w:val="20"/>
                <w:color w:val="auto"/>
              </w:rPr>
            </w:pPr>
            <w:r>
              <w:rPr>
                <w:rFonts w:ascii="Arial" w:cs="Arial" w:eastAsia="Arial" w:hAnsi="Arial"/>
                <w:sz w:val="14"/>
                <w:szCs w:val="14"/>
                <w:b w:val="1"/>
                <w:bCs w:val="1"/>
                <w:color w:val="auto"/>
                <w:w w:val="95"/>
              </w:rPr>
              <w:t>March 31,</w:t>
            </w:r>
          </w:p>
        </w:tc>
        <w:tc>
          <w:tcPr>
            <w:tcW w:w="5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5"/>
              </w:rPr>
              <w:t>March 31,</w:t>
            </w:r>
          </w:p>
        </w:tc>
        <w:tc>
          <w:tcPr>
            <w:tcW w:w="0" w:type="dxa"/>
            <w:vAlign w:val="bottom"/>
          </w:tcPr>
          <w:p>
            <w:pPr>
              <w:spacing w:after="0"/>
              <w:rPr>
                <w:sz w:val="1"/>
                <w:szCs w:val="1"/>
                <w:color w:val="auto"/>
              </w:rPr>
            </w:pPr>
          </w:p>
        </w:tc>
      </w:tr>
      <w:tr>
        <w:trPr>
          <w:trHeight w:val="142"/>
        </w:trPr>
        <w:tc>
          <w:tcPr>
            <w:tcW w:w="5980" w:type="dxa"/>
            <w:vAlign w:val="bottom"/>
            <w:tcBorders>
              <w:bottom w:val="single" w:sz="8" w:color="CCEEFF"/>
            </w:tcBorders>
            <w:vMerge w:val="continue"/>
          </w:tcPr>
          <w:p>
            <w:pPr>
              <w:spacing w:after="0"/>
              <w:rPr>
                <w:sz w:val="12"/>
                <w:szCs w:val="12"/>
                <w:color w:val="auto"/>
              </w:rPr>
            </w:pPr>
          </w:p>
        </w:tc>
        <w:tc>
          <w:tcPr>
            <w:tcW w:w="380" w:type="dxa"/>
            <w:vAlign w:val="bottom"/>
            <w:tcBorders>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center"/>
              <w:ind w:right="13"/>
              <w:spacing w:after="0" w:line="142" w:lineRule="exact"/>
              <w:rPr>
                <w:sz w:val="20"/>
                <w:szCs w:val="20"/>
                <w:color w:val="auto"/>
              </w:rPr>
            </w:pPr>
            <w:r>
              <w:rPr>
                <w:rFonts w:ascii="Arial" w:cs="Arial" w:eastAsia="Arial" w:hAnsi="Arial"/>
                <w:sz w:val="14"/>
                <w:szCs w:val="14"/>
                <w:b w:val="1"/>
                <w:bCs w:val="1"/>
                <w:color w:val="auto"/>
                <w:w w:val="96"/>
              </w:rPr>
              <w:t>2014</w:t>
            </w:r>
          </w:p>
        </w:tc>
        <w:tc>
          <w:tcPr>
            <w:tcW w:w="560" w:type="dxa"/>
            <w:vAlign w:val="bottom"/>
            <w:tcBorders>
              <w:bottom w:val="single" w:sz="8" w:color="CCEEFF"/>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center"/>
              <w:ind w:right="57"/>
              <w:spacing w:after="0" w:line="142" w:lineRule="exact"/>
              <w:rPr>
                <w:sz w:val="20"/>
                <w:szCs w:val="20"/>
                <w:color w:val="auto"/>
              </w:rPr>
            </w:pPr>
            <w:r>
              <w:rPr>
                <w:rFonts w:ascii="Arial" w:cs="Arial" w:eastAsia="Arial" w:hAnsi="Arial"/>
                <w:sz w:val="14"/>
                <w:szCs w:val="14"/>
                <w:b w:val="1"/>
                <w:bCs w:val="1"/>
                <w:color w:val="auto"/>
                <w:w w:val="96"/>
              </w:rPr>
              <w:t>2014</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Liquidity</w:t>
            </w:r>
            <w:r>
              <w:rPr>
                <w:rFonts w:ascii="Arial" w:cs="Arial" w:eastAsia="Arial" w:hAnsi="Arial"/>
                <w:sz w:val="15"/>
                <w:szCs w:val="15"/>
                <w:color w:val="auto"/>
              </w:rPr>
              <w:t>(1)</w:t>
            </w: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86,384</w:t>
            </w: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21,170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80" w:type="dxa"/>
            <w:vAlign w:val="bottom"/>
          </w:tcPr>
          <w:p>
            <w:pPr>
              <w:ind w:left="360"/>
              <w:spacing w:after="0"/>
              <w:rPr>
                <w:sz w:val="20"/>
                <w:szCs w:val="20"/>
                <w:color w:val="auto"/>
              </w:rPr>
            </w:pPr>
            <w:r>
              <w:rPr>
                <w:rFonts w:ascii="Arial" w:cs="Arial" w:eastAsia="Arial" w:hAnsi="Arial"/>
                <w:sz w:val="18"/>
                <w:szCs w:val="18"/>
                <w:color w:val="auto"/>
              </w:rPr>
              <w:t>(Greater of $10.0 million or 10% of total liabilities)</w:t>
            </w: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Tangible Net Worth</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326,867</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209,836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5980" w:type="dxa"/>
            <w:vAlign w:val="bottom"/>
          </w:tcPr>
          <w:p>
            <w:pPr>
              <w:ind w:left="360"/>
              <w:spacing w:after="0" w:line="201" w:lineRule="exact"/>
              <w:rPr>
                <w:sz w:val="20"/>
                <w:szCs w:val="20"/>
                <w:color w:val="auto"/>
              </w:rPr>
            </w:pPr>
            <w:r>
              <w:rPr>
                <w:rFonts w:ascii="Arial" w:cs="Arial" w:eastAsia="Arial" w:hAnsi="Arial"/>
                <w:sz w:val="18"/>
                <w:szCs w:val="18"/>
                <w:color w:val="auto"/>
                <w:w w:val="97"/>
              </w:rPr>
              <w:t>(Not less than $200.0 million plus 50% of annual net income and 50% of</w:t>
            </w:r>
          </w:p>
        </w:tc>
        <w:tc>
          <w:tcPr>
            <w:tcW w:w="3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980" w:type="dxa"/>
            <w:vAlign w:val="bottom"/>
          </w:tcPr>
          <w:p>
            <w:pPr>
              <w:ind w:left="540"/>
              <w:spacing w:after="0"/>
              <w:rPr>
                <w:sz w:val="20"/>
                <w:szCs w:val="20"/>
                <w:color w:val="auto"/>
              </w:rPr>
            </w:pPr>
            <w:r>
              <w:rPr>
                <w:rFonts w:ascii="Arial" w:cs="Arial" w:eastAsia="Arial" w:hAnsi="Arial"/>
                <w:sz w:val="18"/>
                <w:szCs w:val="18"/>
                <w:color w:val="auto"/>
              </w:rPr>
              <w:t>the net proceeds from equity offerings after December 31, 2012)</w:t>
            </w:r>
          </w:p>
        </w:tc>
        <w:tc>
          <w:tcPr>
            <w:tcW w:w="3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Maximum Total Liabilities to Tangible Net Worth Ratio</w:t>
            </w: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0.65</w:t>
            </w: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&lt;1.5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80" w:type="dxa"/>
            <w:vAlign w:val="bottom"/>
          </w:tcPr>
          <w:p>
            <w:pPr>
              <w:ind w:left="360"/>
              <w:spacing w:after="0"/>
              <w:rPr>
                <w:sz w:val="20"/>
                <w:szCs w:val="20"/>
                <w:color w:val="auto"/>
              </w:rPr>
            </w:pPr>
            <w:r>
              <w:rPr>
                <w:rFonts w:ascii="Arial" w:cs="Arial" w:eastAsia="Arial" w:hAnsi="Arial"/>
                <w:sz w:val="18"/>
                <w:szCs w:val="18"/>
                <w:color w:val="auto"/>
              </w:rPr>
              <w:t>(Not in excess of 1.5:1.0)</w:t>
            </w: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Maximum Fixed Charge Coverage Ratio</w:t>
            </w: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10.86</w:t>
            </w: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³1.6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80" w:type="dxa"/>
            <w:vAlign w:val="bottom"/>
          </w:tcPr>
          <w:p>
            <w:pPr>
              <w:ind w:left="360"/>
              <w:spacing w:after="0"/>
              <w:rPr>
                <w:sz w:val="20"/>
                <w:szCs w:val="20"/>
                <w:color w:val="auto"/>
              </w:rPr>
            </w:pPr>
            <w:r>
              <w:rPr>
                <w:rFonts w:ascii="Arial" w:cs="Arial" w:eastAsia="Arial" w:hAnsi="Arial"/>
                <w:sz w:val="18"/>
                <w:szCs w:val="18"/>
                <w:color w:val="auto"/>
              </w:rPr>
              <w:t>(Equal to or greater than 1.6:1.0)</w:t>
            </w: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Maximum Land Assets to Tangible Net Worth Ratio</w:t>
            </w: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w:t>
            </w: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&lt;1.5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980" w:type="dxa"/>
            <w:vAlign w:val="bottom"/>
          </w:tcPr>
          <w:p>
            <w:pPr>
              <w:ind w:left="360"/>
              <w:spacing w:after="0"/>
              <w:rPr>
                <w:sz w:val="20"/>
                <w:szCs w:val="20"/>
                <w:color w:val="auto"/>
              </w:rPr>
            </w:pPr>
            <w:r>
              <w:rPr>
                <w:rFonts w:ascii="Arial" w:cs="Arial" w:eastAsia="Arial" w:hAnsi="Arial"/>
                <w:sz w:val="18"/>
                <w:szCs w:val="18"/>
                <w:color w:val="auto"/>
              </w:rPr>
              <w:t>(Not in excess of 1.5:1.0)</w:t>
            </w:r>
          </w:p>
        </w:tc>
        <w:tc>
          <w:tcPr>
            <w:tcW w:w="3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93" w:lineRule="exact"/>
        <w:rPr>
          <w:sz w:val="20"/>
          <w:szCs w:val="20"/>
          <w:color w:val="auto"/>
        </w:rPr>
      </w:pPr>
    </w:p>
    <w:p>
      <w:pPr>
        <w:ind w:left="460" w:right="2360" w:hanging="452"/>
        <w:spacing w:after="0" w:line="399" w:lineRule="auto"/>
        <w:tabs>
          <w:tab w:leader="none" w:pos="449" w:val="left"/>
        </w:tabs>
        <w:numPr>
          <w:ilvl w:val="0"/>
          <w:numId w:val="16"/>
        </w:numPr>
        <w:rPr>
          <w:rFonts w:ascii="Arial" w:cs="Arial" w:eastAsia="Arial" w:hAnsi="Arial"/>
          <w:sz w:val="15"/>
          <w:szCs w:val="15"/>
          <w:color w:val="auto"/>
        </w:rPr>
      </w:pPr>
      <w:r>
        <w:rPr>
          <w:rFonts w:ascii="Arial" w:cs="Arial" w:eastAsia="Arial" w:hAnsi="Arial"/>
          <w:sz w:val="18"/>
          <w:szCs w:val="18"/>
          <w:color w:val="auto"/>
        </w:rPr>
        <w:t>Liquidity is defined as cash and cash equivalents on hand plus availability under our secured revolving credit facilities. As of March 31, 2014 we were in compliance with all of these financial covenants.</w:t>
      </w:r>
    </w:p>
    <w:p>
      <w:pPr>
        <w:ind w:left="5620" w:hanging="101"/>
        <w:spacing w:after="0"/>
        <w:tabs>
          <w:tab w:leader="none" w:pos="5620" w:val="left"/>
        </w:tabs>
        <w:numPr>
          <w:ilvl w:val="1"/>
          <w:numId w:val="16"/>
        </w:numPr>
        <w:rPr>
          <w:rFonts w:ascii="Arial" w:cs="Arial" w:eastAsia="Arial" w:hAnsi="Arial"/>
          <w:sz w:val="18"/>
          <w:szCs w:val="18"/>
          <w:color w:val="auto"/>
        </w:rPr>
      </w:pPr>
      <w:r>
        <w:rPr>
          <w:rFonts w:ascii="Arial" w:cs="Arial" w:eastAsia="Arial" w:hAnsi="Arial"/>
          <w:sz w:val="18"/>
          <w:szCs w:val="18"/>
          <w:color w:val="auto"/>
        </w:rPr>
        <w:t>25 -</w:t>
      </w:r>
    </w:p>
    <w:p>
      <w:pPr>
        <w:sectPr>
          <w:pgSz w:w="11900" w:h="16838" w:orient="portrait"/>
          <w:cols w:equalWidth="0" w:num="1">
            <w:col w:w="11380"/>
          </w:cols>
          <w:pgMar w:left="240" w:top="459" w:right="27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We believe that our leverage ratios provide useful information to the users of our financial statements regarding our financial position and cash and debt management. The ratio of debt-to-capital and the ratio of net debt-to-capital are calculated as follows (dollars in thousands):</w:t>
      </w:r>
    </w:p>
    <w:p>
      <w:pPr>
        <w:spacing w:after="0" w:line="189" w:lineRule="exact"/>
        <w:rPr>
          <w:sz w:val="20"/>
          <w:szCs w:val="20"/>
          <w:color w:val="auto"/>
        </w:rPr>
      </w:pPr>
    </w:p>
    <w:tbl>
      <w:tblPr>
        <w:tblLayout w:type="fixed"/>
        <w:tblInd w:w="138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114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w w:val="95"/>
              </w:rPr>
              <w:t>March 31,</w:t>
            </w:r>
          </w:p>
        </w:tc>
        <w:tc>
          <w:tcPr>
            <w:tcW w:w="1380" w:type="dxa"/>
            <w:vAlign w:val="bottom"/>
            <w:gridSpan w:val="4"/>
          </w:tcPr>
          <w:p>
            <w:pPr>
              <w:jc w:val="right"/>
              <w:ind w:right="22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380" w:type="dxa"/>
            <w:vAlign w:val="bottom"/>
            <w:tcBorders>
              <w:bottom w:val="single" w:sz="8" w:color="CCEEFF"/>
            </w:tcBorders>
          </w:tcPr>
          <w:p>
            <w:pPr>
              <w:spacing w:after="0"/>
              <w:rPr>
                <w:sz w:val="12"/>
                <w:szCs w:val="12"/>
                <w:color w:val="auto"/>
              </w:rPr>
            </w:pPr>
          </w:p>
        </w:tc>
        <w:tc>
          <w:tcPr>
            <w:tcW w:w="1760" w:type="dxa"/>
            <w:vAlign w:val="bottom"/>
            <w:tcBorders>
              <w:bottom w:val="single" w:sz="8" w:color="CCEEFF"/>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14"/>
              <w:spacing w:after="0" w:line="142" w:lineRule="exact"/>
              <w:rPr>
                <w:sz w:val="20"/>
                <w:szCs w:val="20"/>
                <w:color w:val="auto"/>
              </w:rPr>
            </w:pPr>
            <w:r>
              <w:rPr>
                <w:rFonts w:ascii="Arial" w:cs="Arial" w:eastAsia="Arial" w:hAnsi="Arial"/>
                <w:sz w:val="14"/>
                <w:szCs w:val="14"/>
                <w:b w:val="1"/>
                <w:bCs w:val="1"/>
                <w:color w:val="auto"/>
              </w:rPr>
              <w:t>2014</w:t>
            </w:r>
          </w:p>
        </w:tc>
        <w:tc>
          <w:tcPr>
            <w:tcW w:w="460" w:type="dxa"/>
            <w:vAlign w:val="bottom"/>
            <w:tcBorders>
              <w:bottom w:val="single" w:sz="8" w:color="CCEEFF"/>
            </w:tcBorders>
          </w:tcPr>
          <w:p>
            <w:pPr>
              <w:spacing w:after="0"/>
              <w:rPr>
                <w:sz w:val="12"/>
                <w:szCs w:val="12"/>
                <w:color w:val="auto"/>
              </w:rPr>
            </w:pPr>
          </w:p>
        </w:tc>
        <w:tc>
          <w:tcPr>
            <w:tcW w:w="340" w:type="dxa"/>
            <w:vAlign w:val="bottom"/>
            <w:tcBorders>
              <w:bottom w:val="single" w:sz="8" w:color="CCEEFF"/>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92"/>
              <w:spacing w:after="0" w:line="142" w:lineRule="exact"/>
              <w:rPr>
                <w:sz w:val="20"/>
                <w:szCs w:val="20"/>
                <w:color w:val="auto"/>
              </w:rPr>
            </w:pPr>
            <w:r>
              <w:rPr>
                <w:rFonts w:ascii="Arial" w:cs="Arial" w:eastAsia="Arial" w:hAnsi="Arial"/>
                <w:sz w:val="14"/>
                <w:szCs w:val="14"/>
                <w:b w:val="1"/>
                <w:bCs w:val="1"/>
                <w:color w:val="auto"/>
              </w:rPr>
              <w:t>2013</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Debt</w:t>
            </w:r>
          </w:p>
        </w:tc>
        <w:tc>
          <w:tcPr>
            <w:tcW w:w="17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$176,933</w:t>
            </w:r>
          </w:p>
        </w:tc>
        <w:tc>
          <w:tcPr>
            <w:tcW w:w="4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138,112</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Equity</w:t>
            </w:r>
          </w:p>
        </w:tc>
        <w:tc>
          <w:tcPr>
            <w:tcW w:w="1760" w:type="dxa"/>
            <w:vAlign w:val="bottom"/>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326,867</w:t>
            </w:r>
          </w:p>
        </w:tc>
        <w:tc>
          <w:tcPr>
            <w:tcW w:w="4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322,306</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ind w:left="700"/>
              <w:spacing w:after="0"/>
              <w:rPr>
                <w:sz w:val="20"/>
                <w:szCs w:val="20"/>
                <w:color w:val="auto"/>
              </w:rPr>
            </w:pPr>
            <w:r>
              <w:rPr>
                <w:rFonts w:ascii="Arial" w:cs="Arial" w:eastAsia="Arial" w:hAnsi="Arial"/>
                <w:sz w:val="18"/>
                <w:szCs w:val="18"/>
                <w:color w:val="auto"/>
              </w:rPr>
              <w:t>Total</w:t>
            </w:r>
          </w:p>
        </w:tc>
        <w:tc>
          <w:tcPr>
            <w:tcW w:w="1760" w:type="dxa"/>
            <w:vAlign w:val="bottom"/>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503,800</w:t>
            </w:r>
          </w:p>
        </w:tc>
        <w:tc>
          <w:tcPr>
            <w:tcW w:w="4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460,418</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400" w:type="dxa"/>
            <w:vAlign w:val="bottom"/>
            <w:gridSpan w:val="2"/>
            <w:vMerge w:val="restart"/>
          </w:tcPr>
          <w:p>
            <w:pPr>
              <w:spacing w:after="0"/>
              <w:rPr>
                <w:sz w:val="20"/>
                <w:szCs w:val="20"/>
                <w:color w:val="auto"/>
              </w:rPr>
            </w:pPr>
            <w:r>
              <w:rPr>
                <w:rFonts w:ascii="Arial" w:cs="Arial" w:eastAsia="Arial" w:hAnsi="Arial"/>
                <w:sz w:val="18"/>
                <w:szCs w:val="18"/>
                <w:color w:val="auto"/>
              </w:rPr>
              <w:t>Ratio of debt-to-capital</w:t>
            </w:r>
            <w:r>
              <w:rPr>
                <w:rFonts w:ascii="Arial" w:cs="Arial" w:eastAsia="Arial" w:hAnsi="Arial"/>
                <w:sz w:val="15"/>
                <w:szCs w:val="15"/>
                <w:color w:val="auto"/>
              </w:rPr>
              <w:t>(1)</w:t>
            </w:r>
          </w:p>
        </w:tc>
        <w:tc>
          <w:tcPr>
            <w:tcW w:w="176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400" w:type="dxa"/>
            <w:vAlign w:val="bottom"/>
            <w:gridSpan w:val="2"/>
            <w:vMerge w:val="continue"/>
          </w:tcPr>
          <w:p>
            <w:pPr>
              <w:spacing w:after="0"/>
              <w:rPr>
                <w:sz w:val="18"/>
                <w:szCs w:val="18"/>
                <w:color w:val="auto"/>
              </w:rPr>
            </w:pPr>
          </w:p>
        </w:tc>
        <w:tc>
          <w:tcPr>
            <w:tcW w:w="1760" w:type="dxa"/>
            <w:vAlign w:val="bottom"/>
          </w:tcPr>
          <w:p>
            <w:pPr>
              <w:spacing w:after="0"/>
              <w:rPr>
                <w:sz w:val="18"/>
                <w:szCs w:val="18"/>
                <w:color w:val="auto"/>
              </w:rPr>
            </w:pPr>
          </w:p>
        </w:tc>
        <w:tc>
          <w:tcPr>
            <w:tcW w:w="1140" w:type="dxa"/>
            <w:vAlign w:val="bottom"/>
            <w:gridSpan w:val="2"/>
          </w:tcPr>
          <w:p>
            <w:pPr>
              <w:jc w:val="right"/>
              <w:ind w:right="320"/>
              <w:spacing w:after="0"/>
              <w:rPr>
                <w:sz w:val="20"/>
                <w:szCs w:val="20"/>
                <w:color w:val="auto"/>
              </w:rPr>
            </w:pPr>
            <w:r>
              <w:rPr>
                <w:rFonts w:ascii="Arial" w:cs="Arial" w:eastAsia="Arial" w:hAnsi="Arial"/>
                <w:sz w:val="18"/>
                <w:szCs w:val="18"/>
                <w:color w:val="auto"/>
              </w:rPr>
              <w:t>35.1%</w:t>
            </w: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30.0%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Debt</w:t>
            </w:r>
          </w:p>
        </w:tc>
        <w:tc>
          <w:tcPr>
            <w:tcW w:w="2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$176,933</w:t>
            </w:r>
          </w:p>
        </w:tc>
        <w:tc>
          <w:tcPr>
            <w:tcW w:w="46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138,112</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380" w:type="dxa"/>
            <w:vAlign w:val="bottom"/>
          </w:tcPr>
          <w:p>
            <w:pPr>
              <w:ind w:left="340"/>
              <w:spacing w:after="0"/>
              <w:rPr>
                <w:sz w:val="20"/>
                <w:szCs w:val="20"/>
                <w:color w:val="auto"/>
              </w:rPr>
            </w:pPr>
            <w:r>
              <w:rPr>
                <w:rFonts w:ascii="Arial" w:cs="Arial" w:eastAsia="Arial" w:hAnsi="Arial"/>
                <w:sz w:val="18"/>
                <w:szCs w:val="18"/>
                <w:color w:val="auto"/>
              </w:rPr>
              <w:t>Less: cash and cash equivalents</w:t>
            </w:r>
          </w:p>
        </w:tc>
        <w:tc>
          <w:tcPr>
            <w:tcW w:w="1760" w:type="dxa"/>
            <w:vAlign w:val="bottom"/>
          </w:tcPr>
          <w:p>
            <w:pPr>
              <w:spacing w:after="0"/>
              <w:rPr>
                <w:sz w:val="19"/>
                <w:szCs w:val="19"/>
                <w:color w:val="auto"/>
              </w:rPr>
            </w:pPr>
          </w:p>
        </w:tc>
        <w:tc>
          <w:tcPr>
            <w:tcW w:w="1140" w:type="dxa"/>
            <w:vAlign w:val="bottom"/>
            <w:gridSpan w:val="2"/>
          </w:tcPr>
          <w:p>
            <w:pPr>
              <w:jc w:val="right"/>
              <w:ind w:right="400"/>
              <w:spacing w:after="0"/>
              <w:rPr>
                <w:sz w:val="20"/>
                <w:szCs w:val="20"/>
                <w:color w:val="auto"/>
              </w:rPr>
            </w:pPr>
            <w:r>
              <w:rPr>
                <w:rFonts w:ascii="Arial" w:cs="Arial" w:eastAsia="Arial" w:hAnsi="Arial"/>
                <w:sz w:val="18"/>
                <w:szCs w:val="18"/>
                <w:color w:val="auto"/>
              </w:rPr>
              <w:t>(32,046)</w:t>
            </w:r>
          </w:p>
        </w:tc>
        <w:tc>
          <w:tcPr>
            <w:tcW w:w="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(35,261)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Net debt</w:t>
            </w:r>
          </w:p>
        </w:tc>
        <w:tc>
          <w:tcPr>
            <w:tcW w:w="1760" w:type="dxa"/>
            <w:vAlign w:val="bottom"/>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144,887</w:t>
            </w:r>
          </w:p>
        </w:tc>
        <w:tc>
          <w:tcPr>
            <w:tcW w:w="4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102,851</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Equity</w:t>
            </w:r>
          </w:p>
        </w:tc>
        <w:tc>
          <w:tcPr>
            <w:tcW w:w="1760" w:type="dxa"/>
            <w:vAlign w:val="bottom"/>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326,867</w:t>
            </w:r>
          </w:p>
        </w:tc>
        <w:tc>
          <w:tcPr>
            <w:tcW w:w="4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322,306</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shd w:val="clear" w:color="auto" w:fill="CCEEFF"/>
          </w:tcPr>
          <w:p>
            <w:pPr>
              <w:ind w:left="700"/>
              <w:spacing w:after="0"/>
              <w:rPr>
                <w:sz w:val="20"/>
                <w:szCs w:val="20"/>
                <w:color w:val="auto"/>
              </w:rPr>
            </w:pPr>
            <w:r>
              <w:rPr>
                <w:rFonts w:ascii="Arial" w:cs="Arial" w:eastAsia="Arial" w:hAnsi="Arial"/>
                <w:sz w:val="18"/>
                <w:szCs w:val="18"/>
                <w:color w:val="auto"/>
              </w:rPr>
              <w:t>Total</w:t>
            </w:r>
          </w:p>
        </w:tc>
        <w:tc>
          <w:tcPr>
            <w:tcW w:w="244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471,754</w:t>
            </w:r>
          </w:p>
        </w:tc>
        <w:tc>
          <w:tcPr>
            <w:tcW w:w="46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425,157</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400" w:type="dxa"/>
            <w:vAlign w:val="bottom"/>
            <w:gridSpan w:val="2"/>
            <w:vMerge w:val="restart"/>
          </w:tcPr>
          <w:p>
            <w:pPr>
              <w:spacing w:after="0"/>
              <w:rPr>
                <w:sz w:val="20"/>
                <w:szCs w:val="20"/>
                <w:color w:val="auto"/>
              </w:rPr>
            </w:pPr>
            <w:r>
              <w:rPr>
                <w:rFonts w:ascii="Arial" w:cs="Arial" w:eastAsia="Arial" w:hAnsi="Arial"/>
                <w:sz w:val="18"/>
                <w:szCs w:val="18"/>
                <w:color w:val="auto"/>
              </w:rPr>
              <w:t>Ratio of net debt-to-capital</w:t>
            </w:r>
            <w:r>
              <w:rPr>
                <w:rFonts w:ascii="Arial" w:cs="Arial" w:eastAsia="Arial" w:hAnsi="Arial"/>
                <w:sz w:val="15"/>
                <w:szCs w:val="15"/>
                <w:color w:val="auto"/>
              </w:rPr>
              <w:t>(2)</w:t>
            </w:r>
          </w:p>
        </w:tc>
        <w:tc>
          <w:tcPr>
            <w:tcW w:w="176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400" w:type="dxa"/>
            <w:vAlign w:val="bottom"/>
            <w:gridSpan w:val="2"/>
            <w:vMerge w:val="continue"/>
          </w:tcPr>
          <w:p>
            <w:pPr>
              <w:spacing w:after="0"/>
              <w:rPr>
                <w:sz w:val="18"/>
                <w:szCs w:val="18"/>
                <w:color w:val="auto"/>
              </w:rPr>
            </w:pPr>
          </w:p>
        </w:tc>
        <w:tc>
          <w:tcPr>
            <w:tcW w:w="1760" w:type="dxa"/>
            <w:vAlign w:val="bottom"/>
          </w:tcPr>
          <w:p>
            <w:pPr>
              <w:spacing w:after="0"/>
              <w:rPr>
                <w:sz w:val="18"/>
                <w:szCs w:val="18"/>
                <w:color w:val="auto"/>
              </w:rPr>
            </w:pPr>
          </w:p>
        </w:tc>
        <w:tc>
          <w:tcPr>
            <w:tcW w:w="1140" w:type="dxa"/>
            <w:vAlign w:val="bottom"/>
            <w:gridSpan w:val="2"/>
          </w:tcPr>
          <w:p>
            <w:pPr>
              <w:jc w:val="right"/>
              <w:ind w:right="320"/>
              <w:spacing w:after="0"/>
              <w:rPr>
                <w:sz w:val="20"/>
                <w:szCs w:val="20"/>
                <w:color w:val="auto"/>
              </w:rPr>
            </w:pPr>
            <w:r>
              <w:rPr>
                <w:rFonts w:ascii="Arial" w:cs="Arial" w:eastAsia="Arial" w:hAnsi="Arial"/>
                <w:sz w:val="18"/>
                <w:szCs w:val="18"/>
                <w:color w:val="auto"/>
              </w:rPr>
              <w:t>30.7%</w:t>
            </w: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24.2%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1" w:lineRule="exact"/>
        <w:rPr>
          <w:sz w:val="20"/>
          <w:szCs w:val="20"/>
          <w:color w:val="auto"/>
        </w:rPr>
      </w:pPr>
    </w:p>
    <w:p>
      <w:pPr>
        <w:ind w:left="460" w:hanging="452"/>
        <w:spacing w:after="0"/>
        <w:tabs>
          <w:tab w:leader="none" w:pos="4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ratio of debt-to-capital is computed as the quotient obtained by dividing debt by the sum of total debt plus equity.</w:t>
      </w:r>
    </w:p>
    <w:p>
      <w:pPr>
        <w:spacing w:after="0" w:line="23" w:lineRule="exact"/>
        <w:rPr>
          <w:rFonts w:ascii="Arial" w:cs="Arial" w:eastAsia="Arial" w:hAnsi="Arial"/>
          <w:sz w:val="18"/>
          <w:szCs w:val="18"/>
          <w:color w:val="auto"/>
        </w:rPr>
      </w:pPr>
    </w:p>
    <w:p>
      <w:pPr>
        <w:ind w:left="460" w:right="120" w:hanging="452"/>
        <w:spacing w:after="0" w:line="273" w:lineRule="auto"/>
        <w:tabs>
          <w:tab w:leader="none" w:pos="4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ratio of net debt-to-capital is computed as the quotient obtained by dividing net debt (which is debt less cash and cash equivalents) by the sum of net debt plus equity. The most directly comparable GAAP financial measure is the ratio of debt-to-capital. We believe the ratio of net debt-to-capital is a relevant financial measure for investors to understand the leverage employed in our operations and as an indicator of our ability to obtain financing. See the table above reconciling this non-GAAP financial measure to the ratio of debt-to-capital.</w:t>
      </w:r>
    </w:p>
    <w:p>
      <w:pPr>
        <w:spacing w:after="0" w:line="284" w:lineRule="exact"/>
        <w:rPr>
          <w:rFonts w:ascii="Arial" w:cs="Arial" w:eastAsia="Arial" w:hAnsi="Arial"/>
          <w:sz w:val="17"/>
          <w:szCs w:val="17"/>
          <w:color w:val="auto"/>
        </w:rPr>
      </w:pPr>
    </w:p>
    <w:p>
      <w:pPr>
        <w:ind w:left="460"/>
        <w:spacing w:after="0"/>
        <w:rPr>
          <w:rFonts w:ascii="Arial" w:cs="Arial" w:eastAsia="Arial" w:hAnsi="Arial"/>
          <w:sz w:val="17"/>
          <w:szCs w:val="17"/>
          <w:color w:val="auto"/>
        </w:rPr>
      </w:pPr>
      <w:r>
        <w:rPr>
          <w:rFonts w:ascii="Arial" w:cs="Arial" w:eastAsia="Arial" w:hAnsi="Arial"/>
          <w:sz w:val="18"/>
          <w:szCs w:val="18"/>
          <w:b w:val="1"/>
          <w:bCs w:val="1"/>
          <w:i w:val="1"/>
          <w:iCs w:val="1"/>
          <w:color w:val="auto"/>
        </w:rPr>
        <w:t>Cash Flows—Three Months Ended March 31, 2014 to Three Months Ended March 31, 2013</w:t>
      </w:r>
    </w:p>
    <w:p>
      <w:pPr>
        <w:spacing w:after="0" w:line="117" w:lineRule="exact"/>
        <w:rPr>
          <w:rFonts w:ascii="Arial" w:cs="Arial" w:eastAsia="Arial" w:hAnsi="Arial"/>
          <w:sz w:val="17"/>
          <w:szCs w:val="17"/>
          <w:color w:val="auto"/>
        </w:rPr>
      </w:pPr>
    </w:p>
    <w:p>
      <w:pPr>
        <w:ind w:left="460"/>
        <w:spacing w:after="0"/>
        <w:rPr>
          <w:rFonts w:ascii="Arial" w:cs="Arial" w:eastAsia="Arial" w:hAnsi="Arial"/>
          <w:sz w:val="17"/>
          <w:szCs w:val="17"/>
          <w:color w:val="auto"/>
        </w:rPr>
      </w:pPr>
      <w:r>
        <w:rPr>
          <w:rFonts w:ascii="Arial" w:cs="Arial" w:eastAsia="Arial" w:hAnsi="Arial"/>
          <w:sz w:val="17"/>
          <w:szCs w:val="17"/>
          <w:color w:val="auto"/>
        </w:rPr>
        <w:t>For the three months ended March 31, 2014 as compared to the three months ended March 31, 2013, the comparison of cash flows is as follows:</w:t>
      </w:r>
    </w:p>
    <w:p>
      <w:pPr>
        <w:spacing w:after="0" w:line="142" w:lineRule="exact"/>
        <w:rPr>
          <w:rFonts w:ascii="Arial" w:cs="Arial" w:eastAsia="Arial" w:hAnsi="Arial"/>
          <w:sz w:val="17"/>
          <w:szCs w:val="17"/>
          <w:color w:val="auto"/>
        </w:rPr>
      </w:pPr>
    </w:p>
    <w:p>
      <w:pPr>
        <w:ind w:left="900" w:right="100" w:hanging="325"/>
        <w:spacing w:after="0" w:line="273" w:lineRule="auto"/>
        <w:tabs>
          <w:tab w:leader="none" w:pos="900" w:val="left"/>
        </w:tabs>
        <w:numPr>
          <w:ilvl w:val="1"/>
          <w:numId w:val="17"/>
        </w:numPr>
        <w:rPr>
          <w:rFonts w:ascii="Arial" w:cs="Arial" w:eastAsia="Arial" w:hAnsi="Arial"/>
          <w:sz w:val="17"/>
          <w:szCs w:val="17"/>
          <w:color w:val="auto"/>
        </w:rPr>
      </w:pPr>
      <w:r>
        <w:rPr>
          <w:rFonts w:ascii="Arial" w:cs="Arial" w:eastAsia="Arial" w:hAnsi="Arial"/>
          <w:sz w:val="17"/>
          <w:szCs w:val="17"/>
          <w:color w:val="auto"/>
        </w:rPr>
        <w:t>Net cash used in operating activities decreased to $41.6 million in the first three months of 2014 from a use of $47.4 million during the same period in 2013. The change was primarily a result of (i) an increase in real estate inventories of $28.8 million in 2014 compared to an increase of $51.1 million in 2013, primarily driven by the timing of land acquisition and development spending, (ii) the increase in net income of $4.3 million in 2014 compared to net income of $270,000 in 2013 mainly due to the 92% increase in new home deliveries in 2014 compared to 2013, offset by (iii) a decrease of accounts payable due to the timing of payments, (iv) a decrease in accrued liabilities primarily due to income tax payments during the three months ended March 31, 2014 and (v) and increase in other assets.</w:t>
      </w:r>
    </w:p>
    <w:p>
      <w:pPr>
        <w:spacing w:after="0" w:line="83" w:lineRule="exact"/>
        <w:rPr>
          <w:rFonts w:ascii="Arial" w:cs="Arial" w:eastAsia="Arial" w:hAnsi="Arial"/>
          <w:sz w:val="17"/>
          <w:szCs w:val="17"/>
          <w:color w:val="auto"/>
        </w:rPr>
      </w:pPr>
    </w:p>
    <w:p>
      <w:pPr>
        <w:ind w:left="900" w:right="20" w:hanging="325"/>
        <w:spacing w:after="0" w:line="259" w:lineRule="auto"/>
        <w:tabs>
          <w:tab w:leader="none" w:pos="900" w:val="left"/>
        </w:tabs>
        <w:numPr>
          <w:ilvl w:val="1"/>
          <w:numId w:val="17"/>
        </w:numPr>
        <w:rPr>
          <w:rFonts w:ascii="Arial" w:cs="Arial" w:eastAsia="Arial" w:hAnsi="Arial"/>
          <w:sz w:val="18"/>
          <w:szCs w:val="18"/>
          <w:color w:val="auto"/>
        </w:rPr>
      </w:pPr>
      <w:r>
        <w:rPr>
          <w:rFonts w:ascii="Arial" w:cs="Arial" w:eastAsia="Arial" w:hAnsi="Arial"/>
          <w:sz w:val="18"/>
          <w:szCs w:val="18"/>
          <w:color w:val="auto"/>
        </w:rPr>
        <w:t>Net cash used in investing activities was $103,000 in the first three months of 2014 as compared to $60.1 million during the same period in 2013. Net cash used in investing activities for 2014 was primarily related to purchases of fixed assets. Net cash used in investing activities for 2013 was primarily the result of purchases and sales of marketable securities related to the investment of the proceeds from our initial public offering in January 2013.</w:t>
      </w:r>
    </w:p>
    <w:p>
      <w:pPr>
        <w:spacing w:after="0" w:line="92" w:lineRule="exact"/>
        <w:rPr>
          <w:rFonts w:ascii="Arial" w:cs="Arial" w:eastAsia="Arial" w:hAnsi="Arial"/>
          <w:sz w:val="18"/>
          <w:szCs w:val="18"/>
          <w:color w:val="auto"/>
        </w:rPr>
      </w:pPr>
    </w:p>
    <w:p>
      <w:pPr>
        <w:ind w:left="900" w:right="40" w:hanging="325"/>
        <w:spacing w:after="0" w:line="259" w:lineRule="auto"/>
        <w:tabs>
          <w:tab w:leader="none" w:pos="900" w:val="left"/>
        </w:tabs>
        <w:numPr>
          <w:ilvl w:val="1"/>
          <w:numId w:val="17"/>
        </w:numPr>
        <w:rPr>
          <w:rFonts w:ascii="Arial" w:cs="Arial" w:eastAsia="Arial" w:hAnsi="Arial"/>
          <w:sz w:val="18"/>
          <w:szCs w:val="18"/>
          <w:color w:val="auto"/>
        </w:rPr>
      </w:pPr>
      <w:r>
        <w:rPr>
          <w:rFonts w:ascii="Arial" w:cs="Arial" w:eastAsia="Arial" w:hAnsi="Arial"/>
          <w:sz w:val="18"/>
          <w:szCs w:val="18"/>
          <w:color w:val="auto"/>
        </w:rPr>
        <w:t>Net cash provided by financing activities decreased to $38.5 million in the first three months of 2014 from $158.9 million during the same period in 2013. The change was primarily a result of (i) an decrease in the net proceeds from the issuance of common stock of $155.4 million as a result of the completion of the Company’s IPO in January 2013, offset by (ii) an increase in net borrowings on notes payable of $38.8 million in 2014 as compared to an increase of $3.5 million in 2013.</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 and Contractual Obligations</w:t>
      </w:r>
    </w:p>
    <w:p>
      <w:pPr>
        <w:spacing w:after="0" w:line="121" w:lineRule="exact"/>
        <w:rPr>
          <w:sz w:val="20"/>
          <w:szCs w:val="20"/>
          <w:color w:val="auto"/>
        </w:rPr>
      </w:pPr>
    </w:p>
    <w:p>
      <w:pPr>
        <w:ind w:right="300" w:firstLine="456"/>
        <w:spacing w:after="0" w:line="297" w:lineRule="auto"/>
        <w:rPr>
          <w:sz w:val="20"/>
          <w:szCs w:val="20"/>
          <w:color w:val="auto"/>
        </w:rPr>
      </w:pPr>
      <w:r>
        <w:rPr>
          <w:rFonts w:ascii="Arial" w:cs="Arial" w:eastAsia="Arial" w:hAnsi="Arial"/>
          <w:sz w:val="16"/>
          <w:szCs w:val="16"/>
          <w:color w:val="auto"/>
        </w:rPr>
        <w:t>In the ordinary course of business, we enter into land option contracts in order to procure lots for the construction of our homes. We are subject to customary obligations associated with entering into contracts for the purchase of land and improved lots. These purchase contracts typically require a cash deposit and the purchase of properties under these contracts is generally contingent upon satisfaction of certain requirements by the sellers, including obtaining applicable property and development entitlements. We also utilize option contracts with land sellers as a method of acquiring land in staged takedowns, to help us manage the financial and market risk associated with land holdings, and to reduce the use of funds</w:t>
      </w:r>
    </w:p>
    <w:p>
      <w:pPr>
        <w:spacing w:after="0" w:line="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- 26 -</w:t>
      </w:r>
    </w:p>
    <w:p>
      <w:pPr>
        <w:sectPr>
          <w:pgSz w:w="11900" w:h="16838" w:orient="portrait"/>
          <w:cols w:equalWidth="0" w:num="1">
            <w:col w:w="11420"/>
          </w:cols>
          <w:pgMar w:left="240" w:top="459" w:right="23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from our corporate financing sources. Option contracts generally require a non-refundable deposit for the right to acquire lots over a specified period of time at pre-determined prices. We generally have the right, at our discretion, to terminate our obligations under both purchase contracts and option contracts by forfeiting our cash deposit with no further financial responsibility to the land seller. As of March 31, 2014, we had $18.9 million of non-refundable cash deposits pertaining to land option contracts and purchase contracts for 963 lots with an aggregate remaining purchase price of approximately $241.4 million (net of deposits).</w:t>
      </w:r>
    </w:p>
    <w:p>
      <w:pPr>
        <w:spacing w:after="0" w:line="188" w:lineRule="exact"/>
        <w:rPr>
          <w:sz w:val="20"/>
          <w:szCs w:val="20"/>
          <w:color w:val="auto"/>
        </w:rPr>
      </w:pPr>
    </w:p>
    <w:p>
      <w:pPr>
        <w:ind w:right="40" w:firstLine="456"/>
        <w:spacing w:after="0" w:line="312" w:lineRule="auto"/>
        <w:rPr>
          <w:sz w:val="20"/>
          <w:szCs w:val="20"/>
          <w:color w:val="auto"/>
        </w:rPr>
      </w:pPr>
      <w:r>
        <w:rPr>
          <w:rFonts w:ascii="Arial" w:cs="Arial" w:eastAsia="Arial" w:hAnsi="Arial"/>
          <w:sz w:val="16"/>
          <w:szCs w:val="16"/>
          <w:color w:val="auto"/>
        </w:rPr>
        <w:t>Our utilization of land option contracts is dependent on, among other things, the availability of land sellers willing to enter into option takedown arrangements, the availability of capital to financial intermediaries to finance the development of optioned lots, general housing market conditions, and local market dynamics. Options may be more difficult to procure from land sellers in strong housing markets and are more prevalent in certain geographic regions.</w:t>
      </w:r>
    </w:p>
    <w:p>
      <w:pPr>
        <w:spacing w:after="0" w:line="14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As of March 31, 2014, we had $54.3 million of availability under our secured revolving credit facilities after considering the borrowing base provisions and outstanding letters of credit. As of March 31, 2014, we also were party to two secured acquisition and development loan agreements to purchase and develop land parcels. In addition, we were party to five secured construction loan agreements for the construction of our model and production homes. As of March 31, 2014, the total aggregate commitments of our acquisition and development loans and our construction loans were $59.1 million, of which $26.4 million was outstanding. We expect that the loan agreements generally will be satisfied in the ordinary course of business and in accordance with applicable contractual terms.</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Inflation</w:t>
      </w:r>
    </w:p>
    <w:p>
      <w:pPr>
        <w:spacing w:after="0" w:line="121" w:lineRule="exact"/>
        <w:rPr>
          <w:sz w:val="20"/>
          <w:szCs w:val="20"/>
          <w:color w:val="auto"/>
        </w:rPr>
      </w:pPr>
    </w:p>
    <w:p>
      <w:pPr>
        <w:ind w:right="340" w:firstLine="456"/>
        <w:spacing w:after="0" w:line="259" w:lineRule="auto"/>
        <w:rPr>
          <w:sz w:val="20"/>
          <w:szCs w:val="20"/>
          <w:color w:val="auto"/>
        </w:rPr>
      </w:pPr>
      <w:r>
        <w:rPr>
          <w:rFonts w:ascii="Arial" w:cs="Arial" w:eastAsia="Arial" w:hAnsi="Arial"/>
          <w:sz w:val="18"/>
          <w:szCs w:val="18"/>
          <w:color w:val="auto"/>
        </w:rPr>
        <w:t>Our homebuilding and fee building segments can be adversely impacted by inflation, primarily from higher land, financing, labor, material and construction costs. In addition, inflation can lead to higher mortgage rates, which can significantly affect the affordability of mortgage financing to homebuyers. While we attempt to pass on cost increases to customers through increased prices, when weak housing market conditions exist, we are often unable to offset cost increases with higher selling prices.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121"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Historically, the homebuilding industry experiences seasonal fluctuations in quarterly operating results and capital requirements. We typically experience the highest new home order activity in spring and summer, although this activity is also highly dependent on the number of active selling communities, timing of new community openings and other market factors. Since it typically takes four to six months to construct a new home, we deliver more homes in the second half of the year as spring and summer home orders convert to home deliveries. Because of this seasonality, home starts, construction costs and related cash outflows have historically been highest in the second and third quarters, and the majority of cash receipts from home deliveries occur during the second half of the year. We expect this seasonal pattern to continue over the long-term, although it may be affected by volatility in the homebuilding industry.</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Description of Projects and Communities under Development</w:t>
      </w:r>
    </w:p>
    <w:p>
      <w:pPr>
        <w:spacing w:after="0" w:line="121" w:lineRule="exact"/>
        <w:rPr>
          <w:sz w:val="20"/>
          <w:szCs w:val="20"/>
          <w:color w:val="auto"/>
        </w:rPr>
      </w:pPr>
    </w:p>
    <w:p>
      <w:pPr>
        <w:ind w:right="80" w:firstLine="456"/>
        <w:spacing w:after="0" w:line="264" w:lineRule="auto"/>
        <w:rPr>
          <w:sz w:val="20"/>
          <w:szCs w:val="20"/>
          <w:color w:val="auto"/>
        </w:rPr>
      </w:pPr>
      <w:r>
        <w:rPr>
          <w:rFonts w:ascii="Arial" w:cs="Arial" w:eastAsia="Arial" w:hAnsi="Arial"/>
          <w:sz w:val="18"/>
          <w:szCs w:val="18"/>
          <w:color w:val="auto"/>
        </w:rPr>
        <w:t>Our homebuilding projects usually take approximately 24 to 36 months to complete from the start of sales. The following table presents project information relating to each of our markets as of March 31, 2014 and includes information on current projects under development where we are building and selling homes for our own account and current projects under development where we are active as a fee builder.</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- 27 -</w:t>
      </w:r>
    </w:p>
    <w:p>
      <w:pPr>
        <w:sectPr>
          <w:pgSz w:w="11900" w:h="16838" w:orient="portrait"/>
          <w:cols w:equalWidth="0" w:num="1">
            <w:col w:w="11380"/>
          </w:cols>
          <w:pgMar w:left="240" w:top="459" w:right="27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3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5"/>
              </w:rPr>
              <w:t>Cumulative</w:t>
            </w:r>
          </w:p>
        </w:tc>
        <w:tc>
          <w:tcPr>
            <w:tcW w:w="6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90"/>
              </w:rPr>
              <w:t>Homes Closed</w:t>
            </w:r>
          </w:p>
        </w:tc>
        <w:tc>
          <w:tcPr>
            <w:tcW w:w="2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3120" w:type="dxa"/>
            <w:vAlign w:val="bottom"/>
          </w:tcPr>
          <w:p>
            <w:pPr>
              <w:spacing w:after="0"/>
              <w:rPr>
                <w:sz w:val="12"/>
                <w:szCs w:val="12"/>
                <w:color w:val="auto"/>
              </w:rPr>
            </w:pPr>
          </w:p>
        </w:tc>
        <w:tc>
          <w:tcPr>
            <w:tcW w:w="80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2"/>
              </w:rPr>
              <w:t>Year of</w:t>
            </w:r>
          </w:p>
        </w:tc>
        <w:tc>
          <w:tcPr>
            <w:tcW w:w="90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5"/>
              </w:rPr>
              <w:t>Total</w:t>
            </w:r>
          </w:p>
        </w:tc>
        <w:tc>
          <w:tcPr>
            <w:tcW w:w="11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Homes</w:t>
            </w:r>
          </w:p>
        </w:tc>
        <w:tc>
          <w:tcPr>
            <w:tcW w:w="88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0"/>
              </w:rPr>
              <w:t>Lots as of</w:t>
            </w:r>
          </w:p>
        </w:tc>
        <w:tc>
          <w:tcPr>
            <w:tcW w:w="104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0"/>
              </w:rPr>
              <w:t>Backlog as of</w:t>
            </w: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for the Three</w:t>
            </w:r>
          </w:p>
        </w:tc>
        <w:tc>
          <w:tcPr>
            <w:tcW w:w="240" w:type="dxa"/>
            <w:vAlign w:val="bottom"/>
          </w:tcPr>
          <w:p>
            <w:pPr>
              <w:spacing w:after="0"/>
              <w:rPr>
                <w:sz w:val="12"/>
                <w:szCs w:val="12"/>
                <w:color w:val="auto"/>
              </w:rPr>
            </w:pPr>
          </w:p>
        </w:tc>
        <w:tc>
          <w:tcPr>
            <w:tcW w:w="1060" w:type="dxa"/>
            <w:vAlign w:val="bottom"/>
            <w:gridSpan w:val="2"/>
            <w:vMerge w:val="restart"/>
          </w:tcPr>
          <w:p>
            <w:pPr>
              <w:jc w:val="center"/>
              <w:ind w:right="80"/>
              <w:spacing w:after="0"/>
              <w:rPr>
                <w:sz w:val="20"/>
                <w:szCs w:val="20"/>
                <w:color w:val="auto"/>
              </w:rPr>
            </w:pPr>
            <w:r>
              <w:rPr>
                <w:rFonts w:ascii="Arial" w:cs="Arial" w:eastAsia="Arial" w:hAnsi="Arial"/>
                <w:sz w:val="14"/>
                <w:szCs w:val="14"/>
                <w:b w:val="1"/>
                <w:bCs w:val="1"/>
                <w:color w:val="auto"/>
                <w:w w:val="88"/>
              </w:rPr>
              <w:t>Sales Price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312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11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Delivered as of</w:t>
            </w:r>
          </w:p>
        </w:tc>
        <w:tc>
          <w:tcPr>
            <w:tcW w:w="880" w:type="dxa"/>
            <w:vAlign w:val="bottom"/>
            <w:gridSpan w:val="2"/>
            <w:vMerge w:val="continue"/>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Months Ended</w:t>
            </w:r>
          </w:p>
        </w:tc>
        <w:tc>
          <w:tcPr>
            <w:tcW w:w="24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44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County, Project, City</w:t>
            </w:r>
          </w:p>
        </w:tc>
        <w:tc>
          <w:tcPr>
            <w:tcW w:w="80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8"/>
              </w:rPr>
              <w:t>First</w:t>
            </w:r>
          </w:p>
        </w:tc>
        <w:tc>
          <w:tcPr>
            <w:tcW w:w="90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4"/>
              </w:rPr>
              <w:t>Number of</w:t>
            </w:r>
          </w:p>
        </w:tc>
        <w:tc>
          <w:tcPr>
            <w:tcW w:w="11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9"/>
              </w:rPr>
              <w:t>March 31,</w:t>
            </w:r>
          </w:p>
        </w:tc>
        <w:tc>
          <w:tcPr>
            <w:tcW w:w="8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5"/>
              </w:rPr>
              <w:t>March 31,</w:t>
            </w: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9"/>
              </w:rPr>
              <w:t>March 31,</w:t>
            </w: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99"/>
              </w:rPr>
              <w:t>March 31,</w:t>
            </w:r>
          </w:p>
        </w:tc>
        <w:tc>
          <w:tcPr>
            <w:tcW w:w="240" w:type="dxa"/>
            <w:vAlign w:val="bottom"/>
          </w:tcPr>
          <w:p>
            <w:pPr>
              <w:spacing w:after="0"/>
              <w:rPr>
                <w:sz w:val="14"/>
                <w:szCs w:val="14"/>
                <w:color w:val="auto"/>
              </w:rPr>
            </w:pPr>
          </w:p>
        </w:tc>
        <w:tc>
          <w:tcPr>
            <w:tcW w:w="106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88"/>
              </w:rPr>
              <w:t>Range</w:t>
            </w:r>
          </w:p>
        </w:tc>
        <w:tc>
          <w:tcPr>
            <w:tcW w:w="0" w:type="dxa"/>
            <w:vAlign w:val="bottom"/>
          </w:tcPr>
          <w:p>
            <w:pPr>
              <w:spacing w:after="0"/>
              <w:rPr>
                <w:sz w:val="1"/>
                <w:szCs w:val="1"/>
                <w:color w:val="auto"/>
              </w:rPr>
            </w:pPr>
          </w:p>
        </w:tc>
      </w:tr>
      <w:tr>
        <w:trPr>
          <w:trHeight w:val="171"/>
        </w:trPr>
        <w:tc>
          <w:tcPr>
            <w:tcW w:w="4440" w:type="dxa"/>
            <w:vAlign w:val="bottom"/>
            <w:gridSpan w:val="3"/>
            <w:vMerge w:val="continue"/>
          </w:tcPr>
          <w:p>
            <w:pPr>
              <w:spacing w:after="0"/>
              <w:rPr>
                <w:sz w:val="14"/>
                <w:szCs w:val="14"/>
                <w:color w:val="auto"/>
              </w:rPr>
            </w:pPr>
          </w:p>
        </w:tc>
        <w:tc>
          <w:tcPr>
            <w:tcW w:w="80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5"/>
              </w:rPr>
              <w:t>Delivery</w:t>
            </w:r>
            <w:r>
              <w:rPr>
                <w:rFonts w:ascii="Arial" w:cs="Arial" w:eastAsia="Arial" w:hAnsi="Arial"/>
                <w:sz w:val="12"/>
                <w:szCs w:val="12"/>
                <w:b w:val="1"/>
                <w:bCs w:val="1"/>
                <w:color w:val="auto"/>
                <w:w w:val="95"/>
              </w:rPr>
              <w:t>(1)</w:t>
            </w:r>
          </w:p>
        </w:tc>
        <w:tc>
          <w:tcPr>
            <w:tcW w:w="9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1"/>
              </w:rPr>
              <w:t>Homes</w:t>
            </w:r>
            <w:r>
              <w:rPr>
                <w:rFonts w:ascii="Arial" w:cs="Arial" w:eastAsia="Arial" w:hAnsi="Arial"/>
                <w:sz w:val="12"/>
                <w:szCs w:val="12"/>
                <w:b w:val="1"/>
                <w:bCs w:val="1"/>
                <w:color w:val="auto"/>
                <w:w w:val="91"/>
              </w:rPr>
              <w:t>(2)</w:t>
            </w: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89"/>
              </w:rPr>
              <w:t>2014</w:t>
            </w:r>
          </w:p>
        </w:tc>
        <w:tc>
          <w:tcPr>
            <w:tcW w:w="22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b w:val="1"/>
                <w:bCs w:val="1"/>
                <w:color w:val="auto"/>
                <w:w w:val="95"/>
              </w:rPr>
              <w:t>2014</w:t>
            </w:r>
            <w:r>
              <w:rPr>
                <w:rFonts w:ascii="Arial" w:cs="Arial" w:eastAsia="Arial" w:hAnsi="Arial"/>
                <w:sz w:val="12"/>
                <w:szCs w:val="12"/>
                <w:b w:val="1"/>
                <w:bCs w:val="1"/>
                <w:color w:val="auto"/>
                <w:w w:val="95"/>
              </w:rPr>
              <w:t>(3)</w:t>
            </w:r>
          </w:p>
        </w:tc>
        <w:tc>
          <w:tcPr>
            <w:tcW w:w="240" w:type="dxa"/>
            <w:vAlign w:val="bottom"/>
          </w:tcPr>
          <w:p>
            <w:pPr>
              <w:spacing w:after="0"/>
              <w:rPr>
                <w:sz w:val="14"/>
                <w:szCs w:val="14"/>
                <w:color w:val="auto"/>
              </w:rPr>
            </w:pP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95"/>
              </w:rPr>
              <w:t>2014</w:t>
            </w:r>
            <w:r>
              <w:rPr>
                <w:rFonts w:ascii="Arial" w:cs="Arial" w:eastAsia="Arial" w:hAnsi="Arial"/>
                <w:sz w:val="12"/>
                <w:szCs w:val="12"/>
                <w:b w:val="1"/>
                <w:bCs w:val="1"/>
                <w:color w:val="auto"/>
                <w:w w:val="95"/>
              </w:rPr>
              <w:t>(4)(5)</w:t>
            </w:r>
          </w:p>
        </w:tc>
        <w:tc>
          <w:tcPr>
            <w:tcW w:w="220" w:type="dxa"/>
            <w:vAlign w:val="bottom"/>
          </w:tcPr>
          <w:p>
            <w:pPr>
              <w:spacing w:after="0"/>
              <w:rPr>
                <w:sz w:val="14"/>
                <w:szCs w:val="14"/>
                <w:color w:val="auto"/>
              </w:rPr>
            </w:pP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89"/>
              </w:rPr>
              <w:t>2014</w:t>
            </w:r>
          </w:p>
        </w:tc>
        <w:tc>
          <w:tcPr>
            <w:tcW w:w="240" w:type="dxa"/>
            <w:vAlign w:val="bottom"/>
          </w:tcPr>
          <w:p>
            <w:pPr>
              <w:spacing w:after="0"/>
              <w:rPr>
                <w:sz w:val="14"/>
                <w:szCs w:val="14"/>
                <w:color w:val="auto"/>
              </w:rPr>
            </w:pPr>
          </w:p>
        </w:tc>
        <w:tc>
          <w:tcPr>
            <w:tcW w:w="106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2"/>
              </w:rPr>
              <w:t>(in 000’s)</w:t>
            </w:r>
            <w:r>
              <w:rPr>
                <w:rFonts w:ascii="Arial" w:cs="Arial" w:eastAsia="Arial" w:hAnsi="Arial"/>
                <w:sz w:val="12"/>
                <w:szCs w:val="12"/>
                <w:b w:val="1"/>
                <w:bCs w:val="1"/>
                <w:color w:val="auto"/>
                <w:w w:val="92"/>
              </w:rPr>
              <w:t>(6)</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00" w:type="dxa"/>
            <w:vAlign w:val="bottom"/>
            <w:tcBorders>
              <w:top w:val="single" w:sz="8" w:color="auto"/>
            </w:tcBorders>
            <w:shd w:val="clear" w:color="auto" w:fill="CCEEFF"/>
          </w:tcPr>
          <w:p>
            <w:pPr>
              <w:spacing w:after="0" w:line="129" w:lineRule="exact"/>
              <w:rPr>
                <w:sz w:val="20"/>
                <w:szCs w:val="20"/>
                <w:color w:val="auto"/>
              </w:rPr>
            </w:pPr>
            <w:r>
              <w:rPr>
                <w:rFonts w:ascii="Arial" w:cs="Arial" w:eastAsia="Arial" w:hAnsi="Arial"/>
                <w:sz w:val="14"/>
                <w:szCs w:val="14"/>
                <w:b w:val="1"/>
                <w:bCs w:val="1"/>
                <w:color w:val="auto"/>
                <w:w w:val="98"/>
              </w:rPr>
              <w:t>Southern California</w:t>
            </w:r>
          </w:p>
        </w:tc>
        <w:tc>
          <w:tcPr>
            <w:tcW w:w="3120" w:type="dxa"/>
            <w:vAlign w:val="bottom"/>
            <w:tcBorders>
              <w:top w:val="single" w:sz="8" w:color="CCEEFF"/>
            </w:tcBorders>
            <w:shd w:val="clear" w:color="auto" w:fill="CCEEFF"/>
          </w:tcPr>
          <w:p>
            <w:pPr>
              <w:spacing w:after="0"/>
              <w:rPr>
                <w:sz w:val="11"/>
                <w:szCs w:val="11"/>
                <w:color w:val="auto"/>
              </w:rPr>
            </w:pPr>
          </w:p>
        </w:tc>
        <w:tc>
          <w:tcPr>
            <w:tcW w:w="680" w:type="dxa"/>
            <w:vAlign w:val="bottom"/>
            <w:tcBorders>
              <w:top w:val="single" w:sz="8" w:color="auto"/>
            </w:tcBorders>
            <w:shd w:val="clear" w:color="auto" w:fill="CCEEFF"/>
          </w:tcPr>
          <w:p>
            <w:pPr>
              <w:spacing w:after="0"/>
              <w:rPr>
                <w:sz w:val="11"/>
                <w:szCs w:val="11"/>
                <w:color w:val="auto"/>
              </w:rPr>
            </w:pPr>
          </w:p>
        </w:tc>
        <w:tc>
          <w:tcPr>
            <w:tcW w:w="120" w:type="dxa"/>
            <w:vAlign w:val="bottom"/>
            <w:tcBorders>
              <w:top w:val="single" w:sz="8" w:color="CCEEFF"/>
            </w:tcBorders>
            <w:shd w:val="clear" w:color="auto" w:fill="CCEEFF"/>
          </w:tcPr>
          <w:p>
            <w:pPr>
              <w:spacing w:after="0"/>
              <w:rPr>
                <w:sz w:val="11"/>
                <w:szCs w:val="11"/>
                <w:color w:val="auto"/>
              </w:rPr>
            </w:pPr>
          </w:p>
        </w:tc>
        <w:tc>
          <w:tcPr>
            <w:tcW w:w="68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CCEEFF"/>
            </w:tcBorders>
            <w:shd w:val="clear" w:color="auto" w:fill="CCEEFF"/>
          </w:tcPr>
          <w:p>
            <w:pPr>
              <w:spacing w:after="0"/>
              <w:rPr>
                <w:sz w:val="11"/>
                <w:szCs w:val="11"/>
                <w:color w:val="auto"/>
              </w:rPr>
            </w:pPr>
          </w:p>
        </w:tc>
        <w:tc>
          <w:tcPr>
            <w:tcW w:w="92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CCEEFF"/>
            </w:tcBorders>
            <w:shd w:val="clear" w:color="auto" w:fill="CCEEFF"/>
          </w:tcPr>
          <w:p>
            <w:pPr>
              <w:spacing w:after="0"/>
              <w:rPr>
                <w:sz w:val="11"/>
                <w:szCs w:val="11"/>
                <w:color w:val="auto"/>
              </w:rPr>
            </w:pPr>
          </w:p>
        </w:tc>
        <w:tc>
          <w:tcPr>
            <w:tcW w:w="64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CCEEFF"/>
            </w:tcBorders>
            <w:shd w:val="clear" w:color="auto" w:fill="CCEEFF"/>
          </w:tcPr>
          <w:p>
            <w:pPr>
              <w:spacing w:after="0"/>
              <w:rPr>
                <w:sz w:val="11"/>
                <w:szCs w:val="11"/>
                <w:color w:val="auto"/>
              </w:rPr>
            </w:pPr>
          </w:p>
        </w:tc>
        <w:tc>
          <w:tcPr>
            <w:tcW w:w="820" w:type="dxa"/>
            <w:vAlign w:val="bottom"/>
            <w:tcBorders>
              <w:top w:val="single" w:sz="8" w:color="auto"/>
            </w:tcBorders>
            <w:shd w:val="clear" w:color="auto" w:fill="CCEEFF"/>
          </w:tcPr>
          <w:p>
            <w:pPr>
              <w:spacing w:after="0"/>
              <w:rPr>
                <w:sz w:val="11"/>
                <w:szCs w:val="11"/>
                <w:color w:val="auto"/>
              </w:rPr>
            </w:pPr>
          </w:p>
        </w:tc>
        <w:tc>
          <w:tcPr>
            <w:tcW w:w="220" w:type="dxa"/>
            <w:vAlign w:val="bottom"/>
            <w:tcBorders>
              <w:top w:val="single" w:sz="8" w:color="CCEEFF"/>
            </w:tcBorders>
            <w:shd w:val="clear" w:color="auto" w:fill="CCEEFF"/>
          </w:tcPr>
          <w:p>
            <w:pPr>
              <w:spacing w:after="0"/>
              <w:rPr>
                <w:sz w:val="11"/>
                <w:szCs w:val="11"/>
                <w:color w:val="auto"/>
              </w:rPr>
            </w:pPr>
          </w:p>
        </w:tc>
        <w:tc>
          <w:tcPr>
            <w:tcW w:w="920" w:type="dxa"/>
            <w:vAlign w:val="bottom"/>
            <w:tcBorders>
              <w:top w:val="single" w:sz="8" w:color="auto"/>
            </w:tcBorders>
            <w:shd w:val="clear" w:color="auto" w:fill="CCEEFF"/>
          </w:tcPr>
          <w:p>
            <w:pPr>
              <w:spacing w:after="0"/>
              <w:rPr>
                <w:sz w:val="11"/>
                <w:szCs w:val="11"/>
                <w:color w:val="auto"/>
              </w:rPr>
            </w:pPr>
          </w:p>
        </w:tc>
        <w:tc>
          <w:tcPr>
            <w:tcW w:w="240" w:type="dxa"/>
            <w:vAlign w:val="bottom"/>
            <w:tcBorders>
              <w:top w:val="single" w:sz="8" w:color="CCEEFF"/>
            </w:tcBorders>
            <w:shd w:val="clear" w:color="auto" w:fill="CCEEFF"/>
          </w:tcPr>
          <w:p>
            <w:pPr>
              <w:spacing w:after="0"/>
              <w:rPr>
                <w:sz w:val="11"/>
                <w:szCs w:val="11"/>
                <w:color w:val="auto"/>
              </w:rPr>
            </w:pPr>
          </w:p>
        </w:tc>
        <w:tc>
          <w:tcPr>
            <w:tcW w:w="980" w:type="dxa"/>
            <w:vAlign w:val="bottom"/>
            <w:tcBorders>
              <w:top w:val="single" w:sz="8" w:color="auto"/>
            </w:tcBorders>
            <w:shd w:val="clear" w:color="auto" w:fill="CCEEFF"/>
          </w:tcPr>
          <w:p>
            <w:pPr>
              <w:spacing w:after="0"/>
              <w:rPr>
                <w:sz w:val="11"/>
                <w:szCs w:val="11"/>
                <w:color w:val="auto"/>
              </w:rPr>
            </w:pPr>
          </w:p>
        </w:tc>
        <w:tc>
          <w:tcPr>
            <w:tcW w:w="80" w:type="dxa"/>
            <w:vAlign w:val="bottom"/>
            <w:tcBorders>
              <w:top w:val="single" w:sz="8" w:color="CCEEFF"/>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spacing w:after="0" w:line="149" w:lineRule="exact"/>
              <w:rPr>
                <w:sz w:val="20"/>
                <w:szCs w:val="20"/>
                <w:color w:val="auto"/>
              </w:rPr>
            </w:pPr>
            <w:r>
              <w:rPr>
                <w:rFonts w:ascii="Arial" w:cs="Arial" w:eastAsia="Arial" w:hAnsi="Arial"/>
                <w:sz w:val="14"/>
                <w:szCs w:val="14"/>
                <w:color w:val="auto"/>
              </w:rPr>
              <w:t>Los Angeles County:</w:t>
            </w: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Tamarind Lane, Azusa</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2012</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62</w:t>
            </w:r>
          </w:p>
        </w:tc>
        <w:tc>
          <w:tcPr>
            <w:tcW w:w="11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56</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6</w:t>
            </w:r>
          </w:p>
        </w:tc>
        <w:tc>
          <w:tcPr>
            <w:tcW w:w="10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1</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$490 – $502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Tamarind Lane II, Azusa</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89"/>
              </w:rPr>
              <w:t>2014</w:t>
            </w:r>
          </w:p>
        </w:tc>
        <w:tc>
          <w:tcPr>
            <w:tcW w:w="120" w:type="dxa"/>
            <w:vAlign w:val="bottom"/>
          </w:tcPr>
          <w:p>
            <w:pPr>
              <w:spacing w:after="0"/>
              <w:rPr>
                <w:sz w:val="12"/>
                <w:szCs w:val="12"/>
                <w:color w:val="auto"/>
              </w:rPr>
            </w:pPr>
          </w:p>
        </w:tc>
        <w:tc>
          <w:tcPr>
            <w:tcW w:w="9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26</w:t>
            </w:r>
          </w:p>
        </w:tc>
        <w:tc>
          <w:tcPr>
            <w:tcW w:w="1140" w:type="dxa"/>
            <w:vAlign w:val="bottom"/>
            <w:gridSpan w:val="2"/>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26</w:t>
            </w:r>
          </w:p>
        </w:tc>
        <w:tc>
          <w:tcPr>
            <w:tcW w:w="10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22</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10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$490 – $502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Avenswood, Azusa</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2014</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66</w:t>
            </w:r>
          </w:p>
        </w:tc>
        <w:tc>
          <w:tcPr>
            <w:tcW w:w="11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1</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65</w:t>
            </w:r>
          </w:p>
        </w:tc>
        <w:tc>
          <w:tcPr>
            <w:tcW w:w="10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24</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$648 – $714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Woodson, Los Angeles</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89"/>
              </w:rPr>
              <w:t>2014</w:t>
            </w:r>
          </w:p>
        </w:tc>
        <w:tc>
          <w:tcPr>
            <w:tcW w:w="120" w:type="dxa"/>
            <w:vAlign w:val="bottom"/>
          </w:tcPr>
          <w:p>
            <w:pPr>
              <w:spacing w:after="0"/>
              <w:rPr>
                <w:sz w:val="12"/>
                <w:szCs w:val="12"/>
                <w:color w:val="auto"/>
              </w:rPr>
            </w:pPr>
          </w:p>
        </w:tc>
        <w:tc>
          <w:tcPr>
            <w:tcW w:w="9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66</w:t>
            </w:r>
          </w:p>
        </w:tc>
        <w:tc>
          <w:tcPr>
            <w:tcW w:w="1140" w:type="dxa"/>
            <w:vAlign w:val="bottom"/>
            <w:gridSpan w:val="2"/>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66</w:t>
            </w:r>
          </w:p>
        </w:tc>
        <w:tc>
          <w:tcPr>
            <w:tcW w:w="10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20</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10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w w:val="94"/>
              </w:rPr>
              <w:t>$1,190 – $1,300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Orange County:</w:t>
            </w: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Brio, La Habra</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89"/>
              </w:rPr>
              <w:t>2013</w:t>
            </w:r>
          </w:p>
        </w:tc>
        <w:tc>
          <w:tcPr>
            <w:tcW w:w="120" w:type="dxa"/>
            <w:vAlign w:val="bottom"/>
          </w:tcPr>
          <w:p>
            <w:pPr>
              <w:spacing w:after="0"/>
              <w:rPr>
                <w:sz w:val="12"/>
                <w:szCs w:val="12"/>
                <w:color w:val="auto"/>
              </w:rPr>
            </w:pPr>
          </w:p>
        </w:tc>
        <w:tc>
          <w:tcPr>
            <w:tcW w:w="9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91</w:t>
            </w:r>
          </w:p>
        </w:tc>
        <w:tc>
          <w:tcPr>
            <w:tcW w:w="11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83</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8</w:t>
            </w:r>
          </w:p>
        </w:tc>
        <w:tc>
          <w:tcPr>
            <w:tcW w:w="10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8</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22</w:t>
            </w:r>
          </w:p>
        </w:tc>
        <w:tc>
          <w:tcPr>
            <w:tcW w:w="240" w:type="dxa"/>
            <w:vAlign w:val="bottom"/>
          </w:tcPr>
          <w:p>
            <w:pPr>
              <w:spacing w:after="0"/>
              <w:rPr>
                <w:sz w:val="12"/>
                <w:szCs w:val="12"/>
                <w:color w:val="auto"/>
              </w:rPr>
            </w:pPr>
          </w:p>
        </w:tc>
        <w:tc>
          <w:tcPr>
            <w:tcW w:w="10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$520 – $577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Rancho Mission Viejo</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2013</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105</w:t>
            </w:r>
          </w:p>
        </w:tc>
        <w:tc>
          <w:tcPr>
            <w:tcW w:w="11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37</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68</w:t>
            </w:r>
          </w:p>
        </w:tc>
        <w:tc>
          <w:tcPr>
            <w:tcW w:w="10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16</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$657 – $719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Arcadia, Irvine</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89"/>
              </w:rPr>
              <w:t>2013</w:t>
            </w:r>
          </w:p>
        </w:tc>
        <w:tc>
          <w:tcPr>
            <w:tcW w:w="120" w:type="dxa"/>
            <w:vAlign w:val="bottom"/>
          </w:tcPr>
          <w:p>
            <w:pPr>
              <w:spacing w:after="0"/>
              <w:rPr>
                <w:sz w:val="12"/>
                <w:szCs w:val="12"/>
                <w:color w:val="auto"/>
              </w:rPr>
            </w:pPr>
          </w:p>
        </w:tc>
        <w:tc>
          <w:tcPr>
            <w:tcW w:w="9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61</w:t>
            </w:r>
          </w:p>
        </w:tc>
        <w:tc>
          <w:tcPr>
            <w:tcW w:w="11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32</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6</w:t>
            </w:r>
          </w:p>
        </w:tc>
        <w:tc>
          <w:tcPr>
            <w:tcW w:w="10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3</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19</w:t>
            </w:r>
          </w:p>
        </w:tc>
        <w:tc>
          <w:tcPr>
            <w:tcW w:w="240" w:type="dxa"/>
            <w:vAlign w:val="bottom"/>
          </w:tcPr>
          <w:p>
            <w:pPr>
              <w:spacing w:after="0"/>
              <w:rPr>
                <w:sz w:val="12"/>
                <w:szCs w:val="12"/>
                <w:color w:val="auto"/>
              </w:rPr>
            </w:pPr>
          </w:p>
        </w:tc>
        <w:tc>
          <w:tcPr>
            <w:tcW w:w="10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w w:val="94"/>
              </w:rPr>
              <w:t>$1,190 – $1,420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Truewind, Huntington Beach</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2014</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49</w:t>
            </w:r>
          </w:p>
        </w:tc>
        <w:tc>
          <w:tcPr>
            <w:tcW w:w="1140" w:type="dxa"/>
            <w:vAlign w:val="bottom"/>
            <w:gridSpan w:val="2"/>
            <w:shd w:val="clear" w:color="auto" w:fill="CCEEFF"/>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49</w:t>
            </w:r>
          </w:p>
        </w:tc>
        <w:tc>
          <w:tcPr>
            <w:tcW w:w="1040" w:type="dxa"/>
            <w:vAlign w:val="bottom"/>
            <w:gridSpan w:val="2"/>
            <w:shd w:val="clear" w:color="auto" w:fill="CCEEFF"/>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w w:val="94"/>
              </w:rPr>
              <w:t>$1,085 – $1,210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Fairwind, Huntington Beach</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89"/>
              </w:rPr>
              <w:t>2015</w:t>
            </w:r>
          </w:p>
        </w:tc>
        <w:tc>
          <w:tcPr>
            <w:tcW w:w="120" w:type="dxa"/>
            <w:vAlign w:val="bottom"/>
          </w:tcPr>
          <w:p>
            <w:pPr>
              <w:spacing w:after="0"/>
              <w:rPr>
                <w:sz w:val="12"/>
                <w:szCs w:val="12"/>
                <w:color w:val="auto"/>
              </w:rPr>
            </w:pPr>
          </w:p>
        </w:tc>
        <w:tc>
          <w:tcPr>
            <w:tcW w:w="9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80</w:t>
            </w:r>
          </w:p>
        </w:tc>
        <w:tc>
          <w:tcPr>
            <w:tcW w:w="1140" w:type="dxa"/>
            <w:vAlign w:val="bottom"/>
            <w:gridSpan w:val="2"/>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80</w:t>
            </w:r>
          </w:p>
        </w:tc>
        <w:tc>
          <w:tcPr>
            <w:tcW w:w="1040" w:type="dxa"/>
            <w:vAlign w:val="bottom"/>
            <w:gridSpan w:val="2"/>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10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$910 – $1,100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Riverside County:</w:t>
            </w: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Topazridge, Riverside</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89"/>
              </w:rPr>
              <w:t>2012</w:t>
            </w:r>
          </w:p>
        </w:tc>
        <w:tc>
          <w:tcPr>
            <w:tcW w:w="120" w:type="dxa"/>
            <w:vAlign w:val="bottom"/>
          </w:tcPr>
          <w:p>
            <w:pPr>
              <w:spacing w:after="0"/>
              <w:rPr>
                <w:sz w:val="12"/>
                <w:szCs w:val="12"/>
                <w:color w:val="auto"/>
              </w:rPr>
            </w:pPr>
          </w:p>
        </w:tc>
        <w:tc>
          <w:tcPr>
            <w:tcW w:w="9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68</w:t>
            </w:r>
          </w:p>
        </w:tc>
        <w:tc>
          <w:tcPr>
            <w:tcW w:w="11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63</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5</w:t>
            </w:r>
          </w:p>
        </w:tc>
        <w:tc>
          <w:tcPr>
            <w:tcW w:w="1040" w:type="dxa"/>
            <w:vAlign w:val="bottom"/>
            <w:gridSpan w:val="2"/>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2</w:t>
            </w:r>
          </w:p>
        </w:tc>
        <w:tc>
          <w:tcPr>
            <w:tcW w:w="240" w:type="dxa"/>
            <w:vAlign w:val="bottom"/>
          </w:tcPr>
          <w:p>
            <w:pPr>
              <w:spacing w:after="0"/>
              <w:rPr>
                <w:sz w:val="12"/>
                <w:szCs w:val="12"/>
                <w:color w:val="auto"/>
              </w:rPr>
            </w:pPr>
          </w:p>
        </w:tc>
        <w:tc>
          <w:tcPr>
            <w:tcW w:w="10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$433 – $497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Topazridge II, Riverside</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2014</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49</w:t>
            </w:r>
          </w:p>
        </w:tc>
        <w:tc>
          <w:tcPr>
            <w:tcW w:w="1140" w:type="dxa"/>
            <w:vAlign w:val="bottom"/>
            <w:gridSpan w:val="2"/>
            <w:shd w:val="clear" w:color="auto" w:fill="CCEEFF"/>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49</w:t>
            </w:r>
          </w:p>
        </w:tc>
        <w:tc>
          <w:tcPr>
            <w:tcW w:w="10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8</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$464 – $537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Alegre, Temecula</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89"/>
              </w:rPr>
              <w:t>2014</w:t>
            </w:r>
          </w:p>
        </w:tc>
        <w:tc>
          <w:tcPr>
            <w:tcW w:w="120" w:type="dxa"/>
            <w:vAlign w:val="bottom"/>
          </w:tcPr>
          <w:p>
            <w:pPr>
              <w:spacing w:after="0"/>
              <w:rPr>
                <w:sz w:val="12"/>
                <w:szCs w:val="12"/>
                <w:color w:val="auto"/>
              </w:rPr>
            </w:pPr>
          </w:p>
        </w:tc>
        <w:tc>
          <w:tcPr>
            <w:tcW w:w="9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96</w:t>
            </w:r>
          </w:p>
        </w:tc>
        <w:tc>
          <w:tcPr>
            <w:tcW w:w="1140" w:type="dxa"/>
            <w:vAlign w:val="bottom"/>
            <w:gridSpan w:val="2"/>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96</w:t>
            </w:r>
          </w:p>
        </w:tc>
        <w:tc>
          <w:tcPr>
            <w:tcW w:w="1040" w:type="dxa"/>
            <w:vAlign w:val="bottom"/>
            <w:gridSpan w:val="2"/>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10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$280 – $305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Aldea, Temecula</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2014</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90</w:t>
            </w:r>
          </w:p>
        </w:tc>
        <w:tc>
          <w:tcPr>
            <w:tcW w:w="1140" w:type="dxa"/>
            <w:vAlign w:val="bottom"/>
            <w:gridSpan w:val="2"/>
            <w:shd w:val="clear" w:color="auto" w:fill="CCEEFF"/>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90</w:t>
            </w:r>
          </w:p>
        </w:tc>
        <w:tc>
          <w:tcPr>
            <w:tcW w:w="1040" w:type="dxa"/>
            <w:vAlign w:val="bottom"/>
            <w:gridSpan w:val="2"/>
            <w:shd w:val="clear" w:color="auto" w:fill="CCEEFF"/>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$265 – $300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Kite Ridge, Riverside</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89"/>
              </w:rPr>
              <w:t>2015</w:t>
            </w:r>
          </w:p>
        </w:tc>
        <w:tc>
          <w:tcPr>
            <w:tcW w:w="120" w:type="dxa"/>
            <w:vAlign w:val="bottom"/>
          </w:tcPr>
          <w:p>
            <w:pPr>
              <w:spacing w:after="0"/>
              <w:rPr>
                <w:sz w:val="12"/>
                <w:szCs w:val="12"/>
                <w:color w:val="auto"/>
              </w:rPr>
            </w:pPr>
          </w:p>
        </w:tc>
        <w:tc>
          <w:tcPr>
            <w:tcW w:w="9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87</w:t>
            </w:r>
          </w:p>
        </w:tc>
        <w:tc>
          <w:tcPr>
            <w:tcW w:w="1140" w:type="dxa"/>
            <w:vAlign w:val="bottom"/>
            <w:gridSpan w:val="2"/>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87</w:t>
            </w:r>
          </w:p>
        </w:tc>
        <w:tc>
          <w:tcPr>
            <w:tcW w:w="1040" w:type="dxa"/>
            <w:vAlign w:val="bottom"/>
            <w:gridSpan w:val="2"/>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10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$485 – $505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Sycamore Creek, Riverside</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2015</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87</w:t>
            </w:r>
          </w:p>
        </w:tc>
        <w:tc>
          <w:tcPr>
            <w:tcW w:w="1140" w:type="dxa"/>
            <w:vAlign w:val="bottom"/>
            <w:gridSpan w:val="2"/>
            <w:shd w:val="clear" w:color="auto" w:fill="CCEEFF"/>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87</w:t>
            </w:r>
          </w:p>
        </w:tc>
        <w:tc>
          <w:tcPr>
            <w:tcW w:w="1040" w:type="dxa"/>
            <w:vAlign w:val="bottom"/>
            <w:gridSpan w:val="2"/>
            <w:shd w:val="clear" w:color="auto" w:fill="CCEEFF"/>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$355 – $395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spacing w:after="0" w:line="149" w:lineRule="exact"/>
              <w:rPr>
                <w:sz w:val="20"/>
                <w:szCs w:val="20"/>
                <w:color w:val="auto"/>
              </w:rPr>
            </w:pPr>
            <w:r>
              <w:rPr>
                <w:rFonts w:ascii="Arial" w:cs="Arial" w:eastAsia="Arial" w:hAnsi="Arial"/>
                <w:sz w:val="14"/>
                <w:szCs w:val="14"/>
                <w:color w:val="auto"/>
              </w:rPr>
              <w:t>San Bernardino County:</w:t>
            </w: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Sedona at Parkside, Ontario</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2015</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152</w:t>
            </w:r>
          </w:p>
        </w:tc>
        <w:tc>
          <w:tcPr>
            <w:tcW w:w="1140" w:type="dxa"/>
            <w:vAlign w:val="bottom"/>
            <w:gridSpan w:val="2"/>
            <w:shd w:val="clear" w:color="auto" w:fill="CCEEFF"/>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152</w:t>
            </w:r>
          </w:p>
        </w:tc>
        <w:tc>
          <w:tcPr>
            <w:tcW w:w="1040" w:type="dxa"/>
            <w:vAlign w:val="bottom"/>
            <w:gridSpan w:val="2"/>
            <w:shd w:val="clear" w:color="auto" w:fill="CCEEFF"/>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$369 – $413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Kensington at Park Place, Ontario</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89"/>
              </w:rPr>
              <w:t>2015</w:t>
            </w:r>
          </w:p>
        </w:tc>
        <w:tc>
          <w:tcPr>
            <w:tcW w:w="120" w:type="dxa"/>
            <w:vAlign w:val="bottom"/>
          </w:tcPr>
          <w:p>
            <w:pPr>
              <w:spacing w:after="0"/>
              <w:rPr>
                <w:sz w:val="12"/>
                <w:szCs w:val="12"/>
                <w:color w:val="auto"/>
              </w:rPr>
            </w:pPr>
          </w:p>
        </w:tc>
        <w:tc>
          <w:tcPr>
            <w:tcW w:w="9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67</w:t>
            </w:r>
          </w:p>
        </w:tc>
        <w:tc>
          <w:tcPr>
            <w:tcW w:w="1140" w:type="dxa"/>
            <w:vAlign w:val="bottom"/>
            <w:gridSpan w:val="2"/>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67</w:t>
            </w:r>
          </w:p>
        </w:tc>
        <w:tc>
          <w:tcPr>
            <w:tcW w:w="1040" w:type="dxa"/>
            <w:vAlign w:val="bottom"/>
            <w:gridSpan w:val="2"/>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10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$531 – $567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St. James at Park Place, Ontario</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2015</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57</w:t>
            </w:r>
          </w:p>
        </w:tc>
        <w:tc>
          <w:tcPr>
            <w:tcW w:w="1140" w:type="dxa"/>
            <w:vAlign w:val="bottom"/>
            <w:gridSpan w:val="2"/>
            <w:shd w:val="clear" w:color="auto" w:fill="CCEEFF"/>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57</w:t>
            </w:r>
          </w:p>
        </w:tc>
        <w:tc>
          <w:tcPr>
            <w:tcW w:w="1040" w:type="dxa"/>
            <w:vAlign w:val="bottom"/>
            <w:gridSpan w:val="2"/>
            <w:shd w:val="clear" w:color="auto" w:fill="CCEEFF"/>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$450 – $485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spacing w:after="0" w:line="149" w:lineRule="exact"/>
              <w:rPr>
                <w:sz w:val="20"/>
                <w:szCs w:val="20"/>
                <w:color w:val="auto"/>
              </w:rPr>
            </w:pPr>
            <w:r>
              <w:rPr>
                <w:rFonts w:ascii="Arial" w:cs="Arial" w:eastAsia="Arial" w:hAnsi="Arial"/>
                <w:sz w:val="14"/>
                <w:szCs w:val="14"/>
                <w:color w:val="auto"/>
              </w:rPr>
              <w:t>San Diego County:</w:t>
            </w: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Altana, San Diego</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2013</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45</w:t>
            </w:r>
          </w:p>
        </w:tc>
        <w:tc>
          <w:tcPr>
            <w:tcW w:w="11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15</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30</w:t>
            </w:r>
          </w:p>
        </w:tc>
        <w:tc>
          <w:tcPr>
            <w:tcW w:w="10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20</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$630 – $728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spacing w:after="0" w:line="149" w:lineRule="exact"/>
              <w:rPr>
                <w:sz w:val="20"/>
                <w:szCs w:val="20"/>
                <w:color w:val="auto"/>
              </w:rPr>
            </w:pPr>
            <w:r>
              <w:rPr>
                <w:rFonts w:ascii="Arial" w:cs="Arial" w:eastAsia="Arial" w:hAnsi="Arial"/>
                <w:sz w:val="14"/>
                <w:szCs w:val="14"/>
                <w:color w:val="auto"/>
              </w:rPr>
              <w:t>Ventura County:</w:t>
            </w: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The Westerlies, Oxnard</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2015</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116</w:t>
            </w:r>
          </w:p>
        </w:tc>
        <w:tc>
          <w:tcPr>
            <w:tcW w:w="1140" w:type="dxa"/>
            <w:vAlign w:val="bottom"/>
            <w:gridSpan w:val="2"/>
            <w:shd w:val="clear" w:color="auto" w:fill="CCEEFF"/>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116</w:t>
            </w:r>
          </w:p>
        </w:tc>
        <w:tc>
          <w:tcPr>
            <w:tcW w:w="1040" w:type="dxa"/>
            <w:vAlign w:val="bottom"/>
            <w:gridSpan w:val="2"/>
            <w:shd w:val="clear" w:color="auto" w:fill="CCEEFF"/>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$300 – $495</w:t>
            </w:r>
          </w:p>
        </w:tc>
        <w:tc>
          <w:tcPr>
            <w:tcW w:w="0" w:type="dxa"/>
            <w:vAlign w:val="bottom"/>
          </w:tcPr>
          <w:p>
            <w:pPr>
              <w:spacing w:after="0"/>
              <w:rPr>
                <w:sz w:val="1"/>
                <w:szCs w:val="1"/>
                <w:color w:val="auto"/>
              </w:rPr>
            </w:pPr>
          </w:p>
        </w:tc>
      </w:tr>
      <w:tr>
        <w:trPr>
          <w:trHeight w:val="163"/>
        </w:trPr>
        <w:tc>
          <w:tcPr>
            <w:tcW w:w="4440" w:type="dxa"/>
            <w:vAlign w:val="bottom"/>
            <w:gridSpan w:val="3"/>
          </w:tcPr>
          <w:p>
            <w:pPr>
              <w:spacing w:after="0" w:line="155" w:lineRule="exact"/>
              <w:rPr>
                <w:sz w:val="20"/>
                <w:szCs w:val="20"/>
                <w:color w:val="auto"/>
              </w:rPr>
            </w:pPr>
            <w:r>
              <w:rPr>
                <w:rFonts w:ascii="Arial" w:cs="Arial" w:eastAsia="Arial" w:hAnsi="Arial"/>
                <w:sz w:val="14"/>
                <w:szCs w:val="14"/>
                <w:b w:val="1"/>
                <w:bCs w:val="1"/>
                <w:color w:val="auto"/>
              </w:rPr>
              <w:t>Southern California Total</w:t>
            </w:r>
          </w:p>
        </w:tc>
        <w:tc>
          <w:tcPr>
            <w:tcW w:w="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1,520</w:t>
            </w:r>
          </w:p>
        </w:tc>
        <w:tc>
          <w:tcPr>
            <w:tcW w:w="220" w:type="dxa"/>
            <w:vAlign w:val="bottom"/>
          </w:tcPr>
          <w:p>
            <w:pPr>
              <w:spacing w:after="0"/>
              <w:rPr>
                <w:sz w:val="14"/>
                <w:szCs w:val="14"/>
                <w:color w:val="auto"/>
              </w:rPr>
            </w:pPr>
          </w:p>
        </w:tc>
        <w:tc>
          <w:tcPr>
            <w:tcW w:w="920" w:type="dxa"/>
            <w:vAlign w:val="bottom"/>
            <w:tcBorders>
              <w:top w:val="single" w:sz="8" w:color="auto"/>
              <w:bottom w:val="single" w:sz="8" w:color="auto"/>
            </w:tcBorders>
          </w:tcPr>
          <w:p>
            <w:pPr>
              <w:ind w:left="700"/>
              <w:spacing w:after="0" w:line="155" w:lineRule="exact"/>
              <w:rPr>
                <w:sz w:val="20"/>
                <w:szCs w:val="20"/>
                <w:color w:val="auto"/>
              </w:rPr>
            </w:pPr>
            <w:r>
              <w:rPr>
                <w:rFonts w:ascii="Arial" w:cs="Arial" w:eastAsia="Arial" w:hAnsi="Arial"/>
                <w:sz w:val="14"/>
                <w:szCs w:val="14"/>
                <w:b w:val="1"/>
                <w:bCs w:val="1"/>
                <w:color w:val="auto"/>
                <w:w w:val="85"/>
              </w:rPr>
              <w:t>287</w:t>
            </w:r>
          </w:p>
        </w:tc>
        <w:tc>
          <w:tcPr>
            <w:tcW w:w="220" w:type="dxa"/>
            <w:vAlign w:val="bottom"/>
          </w:tcPr>
          <w:p>
            <w:pPr>
              <w:spacing w:after="0"/>
              <w:rPr>
                <w:sz w:val="14"/>
                <w:szCs w:val="14"/>
                <w:color w:val="auto"/>
              </w:rPr>
            </w:pPr>
          </w:p>
        </w:tc>
        <w:tc>
          <w:tcPr>
            <w:tcW w:w="6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1,210</w:t>
            </w:r>
          </w:p>
        </w:tc>
        <w:tc>
          <w:tcPr>
            <w:tcW w:w="240" w:type="dxa"/>
            <w:vAlign w:val="bottom"/>
          </w:tcPr>
          <w:p>
            <w:pPr>
              <w:spacing w:after="0"/>
              <w:rPr>
                <w:sz w:val="14"/>
                <w:szCs w:val="14"/>
                <w:color w:val="auto"/>
              </w:rPr>
            </w:pPr>
          </w:p>
        </w:tc>
        <w:tc>
          <w:tcPr>
            <w:tcW w:w="820" w:type="dxa"/>
            <w:vAlign w:val="bottom"/>
            <w:tcBorders>
              <w:top w:val="single" w:sz="8" w:color="auto"/>
              <w:bottom w:val="single" w:sz="8" w:color="auto"/>
            </w:tcBorders>
          </w:tcPr>
          <w:p>
            <w:pPr>
              <w:ind w:left="600"/>
              <w:spacing w:after="0" w:line="155" w:lineRule="exact"/>
              <w:rPr>
                <w:sz w:val="20"/>
                <w:szCs w:val="20"/>
                <w:color w:val="auto"/>
              </w:rPr>
            </w:pPr>
            <w:r>
              <w:rPr>
                <w:rFonts w:ascii="Arial" w:cs="Arial" w:eastAsia="Arial" w:hAnsi="Arial"/>
                <w:sz w:val="14"/>
                <w:szCs w:val="14"/>
                <w:b w:val="1"/>
                <w:bCs w:val="1"/>
                <w:color w:val="auto"/>
                <w:w w:val="85"/>
              </w:rPr>
              <w:t>122</w:t>
            </w:r>
          </w:p>
        </w:tc>
        <w:tc>
          <w:tcPr>
            <w:tcW w:w="220" w:type="dxa"/>
            <w:vAlign w:val="bottom"/>
          </w:tcPr>
          <w:p>
            <w:pPr>
              <w:spacing w:after="0"/>
              <w:rPr>
                <w:sz w:val="14"/>
                <w:szCs w:val="14"/>
                <w:color w:val="auto"/>
              </w:rPr>
            </w:pPr>
          </w:p>
        </w:tc>
        <w:tc>
          <w:tcPr>
            <w:tcW w:w="9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65</w:t>
            </w:r>
          </w:p>
        </w:tc>
        <w:tc>
          <w:tcPr>
            <w:tcW w:w="2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Northern California</w:t>
            </w: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spacing w:after="0" w:line="149" w:lineRule="exact"/>
              <w:rPr>
                <w:sz w:val="20"/>
                <w:szCs w:val="20"/>
                <w:color w:val="auto"/>
              </w:rPr>
            </w:pPr>
            <w:r>
              <w:rPr>
                <w:rFonts w:ascii="Arial" w:cs="Arial" w:eastAsia="Arial" w:hAnsi="Arial"/>
                <w:sz w:val="14"/>
                <w:szCs w:val="14"/>
                <w:color w:val="auto"/>
              </w:rPr>
              <w:t>Alameda County:</w:t>
            </w: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Alameda Landing</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2015</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255</w:t>
            </w:r>
          </w:p>
        </w:tc>
        <w:tc>
          <w:tcPr>
            <w:tcW w:w="1140" w:type="dxa"/>
            <w:vAlign w:val="bottom"/>
            <w:gridSpan w:val="2"/>
            <w:shd w:val="clear" w:color="auto" w:fill="CCEEFF"/>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141</w:t>
            </w:r>
          </w:p>
        </w:tc>
        <w:tc>
          <w:tcPr>
            <w:tcW w:w="1040" w:type="dxa"/>
            <w:vAlign w:val="bottom"/>
            <w:gridSpan w:val="2"/>
            <w:shd w:val="clear" w:color="auto" w:fill="CCEEFF"/>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$575 – $895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spacing w:after="0" w:line="149" w:lineRule="exact"/>
              <w:rPr>
                <w:sz w:val="20"/>
                <w:szCs w:val="20"/>
                <w:color w:val="auto"/>
              </w:rPr>
            </w:pPr>
            <w:r>
              <w:rPr>
                <w:rFonts w:ascii="Arial" w:cs="Arial" w:eastAsia="Arial" w:hAnsi="Arial"/>
                <w:sz w:val="14"/>
                <w:szCs w:val="14"/>
                <w:color w:val="auto"/>
              </w:rPr>
              <w:t>Contra Costa County:</w:t>
            </w: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Berkshire at Barrington, Brentwood</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2014</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217</w:t>
            </w:r>
          </w:p>
        </w:tc>
        <w:tc>
          <w:tcPr>
            <w:tcW w:w="1140" w:type="dxa"/>
            <w:vAlign w:val="bottom"/>
            <w:gridSpan w:val="2"/>
            <w:shd w:val="clear" w:color="auto" w:fill="CCEEFF"/>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217</w:t>
            </w:r>
          </w:p>
        </w:tc>
        <w:tc>
          <w:tcPr>
            <w:tcW w:w="1040" w:type="dxa"/>
            <w:vAlign w:val="bottom"/>
            <w:gridSpan w:val="2"/>
            <w:shd w:val="clear" w:color="auto" w:fill="CCEEFF"/>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$475 – $525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Hawthorne at Barrington, Brentwood</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89"/>
              </w:rPr>
              <w:t>2014</w:t>
            </w:r>
          </w:p>
        </w:tc>
        <w:tc>
          <w:tcPr>
            <w:tcW w:w="120" w:type="dxa"/>
            <w:vAlign w:val="bottom"/>
          </w:tcPr>
          <w:p>
            <w:pPr>
              <w:spacing w:after="0"/>
              <w:rPr>
                <w:sz w:val="12"/>
                <w:szCs w:val="12"/>
                <w:color w:val="auto"/>
              </w:rPr>
            </w:pPr>
          </w:p>
        </w:tc>
        <w:tc>
          <w:tcPr>
            <w:tcW w:w="9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103</w:t>
            </w:r>
          </w:p>
        </w:tc>
        <w:tc>
          <w:tcPr>
            <w:tcW w:w="1140" w:type="dxa"/>
            <w:vAlign w:val="bottom"/>
            <w:gridSpan w:val="2"/>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103</w:t>
            </w:r>
          </w:p>
        </w:tc>
        <w:tc>
          <w:tcPr>
            <w:tcW w:w="1040" w:type="dxa"/>
            <w:vAlign w:val="bottom"/>
            <w:gridSpan w:val="2"/>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10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$530 – $560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Marquette at Barrington, Brentwood</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2014</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90</w:t>
            </w:r>
          </w:p>
        </w:tc>
        <w:tc>
          <w:tcPr>
            <w:tcW w:w="1140" w:type="dxa"/>
            <w:vAlign w:val="bottom"/>
            <w:gridSpan w:val="2"/>
            <w:shd w:val="clear" w:color="auto" w:fill="CCEEFF"/>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90</w:t>
            </w:r>
          </w:p>
        </w:tc>
        <w:tc>
          <w:tcPr>
            <w:tcW w:w="1040" w:type="dxa"/>
            <w:vAlign w:val="bottom"/>
            <w:gridSpan w:val="2"/>
            <w:shd w:val="clear" w:color="auto" w:fill="CCEEFF"/>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$560 – $638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spacing w:after="0" w:line="149" w:lineRule="exact"/>
              <w:rPr>
                <w:sz w:val="20"/>
                <w:szCs w:val="20"/>
                <w:color w:val="auto"/>
              </w:rPr>
            </w:pPr>
            <w:r>
              <w:rPr>
                <w:rFonts w:ascii="Arial" w:cs="Arial" w:eastAsia="Arial" w:hAnsi="Arial"/>
                <w:sz w:val="14"/>
                <w:szCs w:val="14"/>
                <w:color w:val="auto"/>
              </w:rPr>
              <w:t>San Joaquin County:</w:t>
            </w: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Ventana, Tracy</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2015</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93</w:t>
            </w:r>
          </w:p>
        </w:tc>
        <w:tc>
          <w:tcPr>
            <w:tcW w:w="1140" w:type="dxa"/>
            <w:vAlign w:val="bottom"/>
            <w:gridSpan w:val="2"/>
            <w:shd w:val="clear" w:color="auto" w:fill="CCEEFF"/>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93</w:t>
            </w:r>
          </w:p>
        </w:tc>
        <w:tc>
          <w:tcPr>
            <w:tcW w:w="1040" w:type="dxa"/>
            <w:vAlign w:val="bottom"/>
            <w:gridSpan w:val="2"/>
            <w:shd w:val="clear" w:color="auto" w:fill="CCEEFF"/>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$450 – $538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spacing w:after="0" w:line="149" w:lineRule="exact"/>
              <w:rPr>
                <w:sz w:val="20"/>
                <w:szCs w:val="20"/>
                <w:color w:val="auto"/>
              </w:rPr>
            </w:pPr>
            <w:r>
              <w:rPr>
                <w:rFonts w:ascii="Arial" w:cs="Arial" w:eastAsia="Arial" w:hAnsi="Arial"/>
                <w:sz w:val="14"/>
                <w:szCs w:val="14"/>
                <w:color w:val="auto"/>
              </w:rPr>
              <w:t>San Mateo County:</w:t>
            </w: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Amelia, San Mateo</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2013</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63</w:t>
            </w:r>
          </w:p>
        </w:tc>
        <w:tc>
          <w:tcPr>
            <w:tcW w:w="11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49</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14</w:t>
            </w:r>
          </w:p>
        </w:tc>
        <w:tc>
          <w:tcPr>
            <w:tcW w:w="10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14</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$770 – $1,125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Canterbury, San Mateo</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89"/>
              </w:rPr>
              <w:t>2014</w:t>
            </w:r>
          </w:p>
        </w:tc>
        <w:tc>
          <w:tcPr>
            <w:tcW w:w="120" w:type="dxa"/>
            <w:vAlign w:val="bottom"/>
          </w:tcPr>
          <w:p>
            <w:pPr>
              <w:spacing w:after="0"/>
              <w:rPr>
                <w:sz w:val="12"/>
                <w:szCs w:val="12"/>
                <w:color w:val="auto"/>
              </w:rPr>
            </w:pPr>
          </w:p>
        </w:tc>
        <w:tc>
          <w:tcPr>
            <w:tcW w:w="9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76</w:t>
            </w:r>
          </w:p>
        </w:tc>
        <w:tc>
          <w:tcPr>
            <w:tcW w:w="1140" w:type="dxa"/>
            <w:vAlign w:val="bottom"/>
            <w:gridSpan w:val="2"/>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40</w:t>
            </w:r>
          </w:p>
        </w:tc>
        <w:tc>
          <w:tcPr>
            <w:tcW w:w="10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7</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10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$795 – $1,040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Santa Clara County:</w:t>
            </w: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Ironhorse South, Morgan Hill</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89"/>
              </w:rPr>
              <w:t>2012</w:t>
            </w:r>
          </w:p>
        </w:tc>
        <w:tc>
          <w:tcPr>
            <w:tcW w:w="120" w:type="dxa"/>
            <w:vAlign w:val="bottom"/>
          </w:tcPr>
          <w:p>
            <w:pPr>
              <w:spacing w:after="0"/>
              <w:rPr>
                <w:sz w:val="12"/>
                <w:szCs w:val="12"/>
                <w:color w:val="auto"/>
              </w:rPr>
            </w:pPr>
          </w:p>
        </w:tc>
        <w:tc>
          <w:tcPr>
            <w:tcW w:w="9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37</w:t>
            </w:r>
          </w:p>
        </w:tc>
        <w:tc>
          <w:tcPr>
            <w:tcW w:w="11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37</w:t>
            </w:r>
          </w:p>
        </w:tc>
        <w:tc>
          <w:tcPr>
            <w:tcW w:w="880" w:type="dxa"/>
            <w:vAlign w:val="bottom"/>
            <w:gridSpan w:val="2"/>
          </w:tcPr>
          <w:p>
            <w:pPr>
              <w:jc w:val="right"/>
              <w:ind w:right="300"/>
              <w:spacing w:after="0" w:line="149" w:lineRule="exact"/>
              <w:rPr>
                <w:sz w:val="20"/>
                <w:szCs w:val="20"/>
                <w:color w:val="auto"/>
              </w:rPr>
            </w:pPr>
            <w:r>
              <w:rPr>
                <w:rFonts w:ascii="Arial" w:cs="Arial" w:eastAsia="Arial" w:hAnsi="Arial"/>
                <w:sz w:val="14"/>
                <w:szCs w:val="14"/>
                <w:color w:val="auto"/>
              </w:rPr>
              <w:t>—</w:t>
            </w:r>
          </w:p>
        </w:tc>
        <w:tc>
          <w:tcPr>
            <w:tcW w:w="1040" w:type="dxa"/>
            <w:vAlign w:val="bottom"/>
            <w:gridSpan w:val="2"/>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2</w:t>
            </w:r>
          </w:p>
        </w:tc>
        <w:tc>
          <w:tcPr>
            <w:tcW w:w="240" w:type="dxa"/>
            <w:vAlign w:val="bottom"/>
          </w:tcPr>
          <w:p>
            <w:pPr>
              <w:spacing w:after="0"/>
              <w:rPr>
                <w:sz w:val="12"/>
                <w:szCs w:val="12"/>
                <w:color w:val="auto"/>
              </w:rPr>
            </w:pPr>
          </w:p>
        </w:tc>
        <w:tc>
          <w:tcPr>
            <w:tcW w:w="10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$515 – $781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Avellino, Mountain View</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2014</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59</w:t>
            </w:r>
          </w:p>
        </w:tc>
        <w:tc>
          <w:tcPr>
            <w:tcW w:w="1140" w:type="dxa"/>
            <w:vAlign w:val="bottom"/>
            <w:gridSpan w:val="2"/>
            <w:shd w:val="clear" w:color="auto" w:fill="CCEEFF"/>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59</w:t>
            </w:r>
          </w:p>
        </w:tc>
        <w:tc>
          <w:tcPr>
            <w:tcW w:w="10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31</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w w:val="94"/>
              </w:rPr>
              <w:t>$1,205 – $1,498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Cobblestone, Milpitas</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89"/>
              </w:rPr>
              <w:t>2015</w:t>
            </w:r>
          </w:p>
        </w:tc>
        <w:tc>
          <w:tcPr>
            <w:tcW w:w="120" w:type="dxa"/>
            <w:vAlign w:val="bottom"/>
          </w:tcPr>
          <w:p>
            <w:pPr>
              <w:spacing w:after="0"/>
              <w:rPr>
                <w:sz w:val="12"/>
                <w:szCs w:val="12"/>
                <w:color w:val="auto"/>
              </w:rPr>
            </w:pPr>
          </w:p>
        </w:tc>
        <w:tc>
          <w:tcPr>
            <w:tcW w:w="9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32</w:t>
            </w:r>
          </w:p>
        </w:tc>
        <w:tc>
          <w:tcPr>
            <w:tcW w:w="1140" w:type="dxa"/>
            <w:vAlign w:val="bottom"/>
            <w:gridSpan w:val="2"/>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32</w:t>
            </w:r>
          </w:p>
        </w:tc>
        <w:tc>
          <w:tcPr>
            <w:tcW w:w="1040" w:type="dxa"/>
            <w:vAlign w:val="bottom"/>
            <w:gridSpan w:val="2"/>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10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$795 – $950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Solano County:</w:t>
            </w: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Redstone, Vacaville</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89"/>
              </w:rPr>
              <w:t>2015</w:t>
            </w:r>
          </w:p>
        </w:tc>
        <w:tc>
          <w:tcPr>
            <w:tcW w:w="120" w:type="dxa"/>
            <w:vAlign w:val="bottom"/>
          </w:tcPr>
          <w:p>
            <w:pPr>
              <w:spacing w:after="0"/>
              <w:rPr>
                <w:sz w:val="12"/>
                <w:szCs w:val="12"/>
                <w:color w:val="auto"/>
              </w:rPr>
            </w:pPr>
          </w:p>
        </w:tc>
        <w:tc>
          <w:tcPr>
            <w:tcW w:w="9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141</w:t>
            </w:r>
          </w:p>
        </w:tc>
        <w:tc>
          <w:tcPr>
            <w:tcW w:w="1140" w:type="dxa"/>
            <w:vAlign w:val="bottom"/>
            <w:gridSpan w:val="2"/>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141</w:t>
            </w:r>
          </w:p>
        </w:tc>
        <w:tc>
          <w:tcPr>
            <w:tcW w:w="1040" w:type="dxa"/>
            <w:vAlign w:val="bottom"/>
            <w:gridSpan w:val="2"/>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10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$425 – $505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300" w:type="dxa"/>
            <w:vAlign w:val="bottom"/>
          </w:tcPr>
          <w:p>
            <w:pPr>
              <w:spacing w:after="0"/>
              <w:rPr>
                <w:sz w:val="2"/>
                <w:szCs w:val="2"/>
                <w:color w:val="auto"/>
              </w:rPr>
            </w:pPr>
          </w:p>
        </w:tc>
        <w:tc>
          <w:tcPr>
            <w:tcW w:w="3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98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20" w:type="dxa"/>
            <w:vAlign w:val="bottom"/>
            <w:vMerge w:val="continue"/>
          </w:tcPr>
          <w:p>
            <w:pPr>
              <w:spacing w:after="0"/>
              <w:rPr>
                <w:sz w:val="12"/>
                <w:szCs w:val="12"/>
                <w:color w:val="auto"/>
              </w:rPr>
            </w:pPr>
          </w:p>
        </w:tc>
        <w:tc>
          <w:tcPr>
            <w:tcW w:w="44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Northern California Total</w:t>
            </w: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1,166</w:t>
            </w:r>
          </w:p>
        </w:tc>
        <w:tc>
          <w:tcPr>
            <w:tcW w:w="11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86</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930</w:t>
            </w:r>
          </w:p>
        </w:tc>
        <w:tc>
          <w:tcPr>
            <w:tcW w:w="10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52</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17</w:t>
            </w:r>
          </w:p>
        </w:tc>
        <w:tc>
          <w:tcPr>
            <w:tcW w:w="24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4440" w:type="dxa"/>
            <w:vAlign w:val="bottom"/>
            <w:gridSpan w:val="3"/>
          </w:tcPr>
          <w:p>
            <w:pPr>
              <w:spacing w:after="0" w:line="155" w:lineRule="exact"/>
              <w:rPr>
                <w:sz w:val="20"/>
                <w:szCs w:val="20"/>
                <w:color w:val="auto"/>
              </w:rPr>
            </w:pPr>
            <w:r>
              <w:rPr>
                <w:rFonts w:ascii="Arial" w:cs="Arial" w:eastAsia="Arial" w:hAnsi="Arial"/>
                <w:sz w:val="14"/>
                <w:szCs w:val="14"/>
                <w:b w:val="1"/>
                <w:bCs w:val="1"/>
                <w:color w:val="auto"/>
              </w:rPr>
              <w:t>Colorado</w:t>
            </w: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Borders>
              <w:top w:val="single" w:sz="8" w:color="auto"/>
            </w:tcBorders>
          </w:tcPr>
          <w:p>
            <w:pPr>
              <w:spacing w:after="0"/>
              <w:rPr>
                <w:sz w:val="13"/>
                <w:szCs w:val="13"/>
                <w:color w:val="auto"/>
              </w:rPr>
            </w:pPr>
          </w:p>
        </w:tc>
        <w:tc>
          <w:tcPr>
            <w:tcW w:w="220" w:type="dxa"/>
            <w:vAlign w:val="bottom"/>
          </w:tcPr>
          <w:p>
            <w:pPr>
              <w:spacing w:after="0"/>
              <w:rPr>
                <w:sz w:val="13"/>
                <w:szCs w:val="13"/>
                <w:color w:val="auto"/>
              </w:rPr>
            </w:pPr>
          </w:p>
        </w:tc>
        <w:tc>
          <w:tcPr>
            <w:tcW w:w="920" w:type="dxa"/>
            <w:vAlign w:val="bottom"/>
            <w:tcBorders>
              <w:top w:val="single" w:sz="8" w:color="auto"/>
            </w:tcBorders>
          </w:tcPr>
          <w:p>
            <w:pPr>
              <w:spacing w:after="0"/>
              <w:rPr>
                <w:sz w:val="13"/>
                <w:szCs w:val="13"/>
                <w:color w:val="auto"/>
              </w:rPr>
            </w:pPr>
          </w:p>
        </w:tc>
        <w:tc>
          <w:tcPr>
            <w:tcW w:w="220" w:type="dxa"/>
            <w:vAlign w:val="bottom"/>
          </w:tcPr>
          <w:p>
            <w:pPr>
              <w:spacing w:after="0"/>
              <w:rPr>
                <w:sz w:val="13"/>
                <w:szCs w:val="13"/>
                <w:color w:val="auto"/>
              </w:rPr>
            </w:pPr>
          </w:p>
        </w:tc>
        <w:tc>
          <w:tcPr>
            <w:tcW w:w="640" w:type="dxa"/>
            <w:vAlign w:val="bottom"/>
            <w:tcBorders>
              <w:top w:val="single" w:sz="8" w:color="auto"/>
            </w:tcBorders>
          </w:tcPr>
          <w:p>
            <w:pPr>
              <w:spacing w:after="0"/>
              <w:rPr>
                <w:sz w:val="13"/>
                <w:szCs w:val="13"/>
                <w:color w:val="auto"/>
              </w:rPr>
            </w:pPr>
          </w:p>
        </w:tc>
        <w:tc>
          <w:tcPr>
            <w:tcW w:w="240" w:type="dxa"/>
            <w:vAlign w:val="bottom"/>
          </w:tcPr>
          <w:p>
            <w:pPr>
              <w:spacing w:after="0"/>
              <w:rPr>
                <w:sz w:val="13"/>
                <w:szCs w:val="13"/>
                <w:color w:val="auto"/>
              </w:rPr>
            </w:pPr>
          </w:p>
        </w:tc>
        <w:tc>
          <w:tcPr>
            <w:tcW w:w="820" w:type="dxa"/>
            <w:vAlign w:val="bottom"/>
            <w:tcBorders>
              <w:top w:val="single" w:sz="8" w:color="auto"/>
            </w:tcBorders>
          </w:tcPr>
          <w:p>
            <w:pPr>
              <w:spacing w:after="0"/>
              <w:rPr>
                <w:sz w:val="13"/>
                <w:szCs w:val="13"/>
                <w:color w:val="auto"/>
              </w:rPr>
            </w:pPr>
          </w:p>
        </w:tc>
        <w:tc>
          <w:tcPr>
            <w:tcW w:w="220" w:type="dxa"/>
            <w:vAlign w:val="bottom"/>
          </w:tcPr>
          <w:p>
            <w:pPr>
              <w:spacing w:after="0"/>
              <w:rPr>
                <w:sz w:val="13"/>
                <w:szCs w:val="13"/>
                <w:color w:val="auto"/>
              </w:rPr>
            </w:pPr>
          </w:p>
        </w:tc>
        <w:tc>
          <w:tcPr>
            <w:tcW w:w="920" w:type="dxa"/>
            <w:vAlign w:val="bottom"/>
            <w:tcBorders>
              <w:top w:val="single" w:sz="8" w:color="auto"/>
            </w:tcBorders>
          </w:tcPr>
          <w:p>
            <w:pPr>
              <w:spacing w:after="0"/>
              <w:rPr>
                <w:sz w:val="13"/>
                <w:szCs w:val="13"/>
                <w:color w:val="auto"/>
              </w:rPr>
            </w:pPr>
          </w:p>
        </w:tc>
        <w:tc>
          <w:tcPr>
            <w:tcW w:w="2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Denver County:</w:t>
            </w: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Platt Park North, Denver</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89"/>
              </w:rPr>
              <w:t>2014</w:t>
            </w:r>
          </w:p>
        </w:tc>
        <w:tc>
          <w:tcPr>
            <w:tcW w:w="120" w:type="dxa"/>
            <w:vAlign w:val="bottom"/>
          </w:tcPr>
          <w:p>
            <w:pPr>
              <w:spacing w:after="0"/>
              <w:rPr>
                <w:sz w:val="12"/>
                <w:szCs w:val="12"/>
                <w:color w:val="auto"/>
              </w:rPr>
            </w:pPr>
          </w:p>
        </w:tc>
        <w:tc>
          <w:tcPr>
            <w:tcW w:w="9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29</w:t>
            </w:r>
          </w:p>
        </w:tc>
        <w:tc>
          <w:tcPr>
            <w:tcW w:w="1140" w:type="dxa"/>
            <w:vAlign w:val="bottom"/>
            <w:gridSpan w:val="2"/>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29</w:t>
            </w:r>
          </w:p>
        </w:tc>
        <w:tc>
          <w:tcPr>
            <w:tcW w:w="1040" w:type="dxa"/>
            <w:vAlign w:val="bottom"/>
            <w:gridSpan w:val="2"/>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10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$606 – $610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Douglas County:</w:t>
            </w: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Terrain, Castle Rock</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89"/>
              </w:rPr>
              <w:t>2013</w:t>
            </w:r>
          </w:p>
        </w:tc>
        <w:tc>
          <w:tcPr>
            <w:tcW w:w="120" w:type="dxa"/>
            <w:vAlign w:val="bottom"/>
          </w:tcPr>
          <w:p>
            <w:pPr>
              <w:spacing w:after="0"/>
              <w:rPr>
                <w:sz w:val="12"/>
                <w:szCs w:val="12"/>
                <w:color w:val="auto"/>
              </w:rPr>
            </w:pPr>
          </w:p>
        </w:tc>
        <w:tc>
          <w:tcPr>
            <w:tcW w:w="9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149</w:t>
            </w:r>
          </w:p>
        </w:tc>
        <w:tc>
          <w:tcPr>
            <w:tcW w:w="11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18</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39</w:t>
            </w:r>
          </w:p>
        </w:tc>
        <w:tc>
          <w:tcPr>
            <w:tcW w:w="10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21</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10</w:t>
            </w:r>
          </w:p>
        </w:tc>
        <w:tc>
          <w:tcPr>
            <w:tcW w:w="240" w:type="dxa"/>
            <w:vAlign w:val="bottom"/>
          </w:tcPr>
          <w:p>
            <w:pPr>
              <w:spacing w:after="0"/>
              <w:rPr>
                <w:sz w:val="12"/>
                <w:szCs w:val="12"/>
                <w:color w:val="auto"/>
              </w:rPr>
            </w:pPr>
          </w:p>
        </w:tc>
        <w:tc>
          <w:tcPr>
            <w:tcW w:w="10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$294 – $350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Terrain 45’, Castle Rock</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2014</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67</w:t>
            </w:r>
          </w:p>
        </w:tc>
        <w:tc>
          <w:tcPr>
            <w:tcW w:w="1140" w:type="dxa"/>
            <w:vAlign w:val="bottom"/>
            <w:gridSpan w:val="2"/>
            <w:shd w:val="clear" w:color="auto" w:fill="CCEEFF"/>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67</w:t>
            </w:r>
          </w:p>
        </w:tc>
        <w:tc>
          <w:tcPr>
            <w:tcW w:w="1040" w:type="dxa"/>
            <w:vAlign w:val="bottom"/>
            <w:gridSpan w:val="2"/>
            <w:shd w:val="clear" w:color="auto" w:fill="CCEEFF"/>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$288 – $302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spacing w:after="0" w:line="149" w:lineRule="exact"/>
              <w:rPr>
                <w:sz w:val="20"/>
                <w:szCs w:val="20"/>
                <w:color w:val="auto"/>
              </w:rPr>
            </w:pPr>
            <w:r>
              <w:rPr>
                <w:rFonts w:ascii="Arial" w:cs="Arial" w:eastAsia="Arial" w:hAnsi="Arial"/>
                <w:sz w:val="14"/>
                <w:szCs w:val="14"/>
                <w:color w:val="auto"/>
              </w:rPr>
              <w:t>Jefferson County:</w:t>
            </w: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Leyden Rock 50’, Arvada</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2014</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51</w:t>
            </w:r>
          </w:p>
        </w:tc>
        <w:tc>
          <w:tcPr>
            <w:tcW w:w="1140" w:type="dxa"/>
            <w:vAlign w:val="bottom"/>
            <w:gridSpan w:val="2"/>
            <w:shd w:val="clear" w:color="auto" w:fill="CCEEFF"/>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51</w:t>
            </w:r>
          </w:p>
        </w:tc>
        <w:tc>
          <w:tcPr>
            <w:tcW w:w="1040" w:type="dxa"/>
            <w:vAlign w:val="bottom"/>
            <w:gridSpan w:val="2"/>
            <w:shd w:val="clear" w:color="auto" w:fill="CCEEFF"/>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$355 – $400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Leyden Rock 60’, Arvada</w:t>
            </w: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89"/>
              </w:rPr>
              <w:t>2014</w:t>
            </w:r>
          </w:p>
        </w:tc>
        <w:tc>
          <w:tcPr>
            <w:tcW w:w="120" w:type="dxa"/>
            <w:vAlign w:val="bottom"/>
          </w:tcPr>
          <w:p>
            <w:pPr>
              <w:spacing w:after="0"/>
              <w:rPr>
                <w:sz w:val="12"/>
                <w:szCs w:val="12"/>
                <w:color w:val="auto"/>
              </w:rPr>
            </w:pPr>
          </w:p>
        </w:tc>
        <w:tc>
          <w:tcPr>
            <w:tcW w:w="9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67</w:t>
            </w:r>
          </w:p>
        </w:tc>
        <w:tc>
          <w:tcPr>
            <w:tcW w:w="1140" w:type="dxa"/>
            <w:vAlign w:val="bottom"/>
            <w:gridSpan w:val="2"/>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67</w:t>
            </w:r>
          </w:p>
        </w:tc>
        <w:tc>
          <w:tcPr>
            <w:tcW w:w="1040" w:type="dxa"/>
            <w:vAlign w:val="bottom"/>
            <w:gridSpan w:val="2"/>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10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$410 – $470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Candelas, Arvada</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2014</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76</w:t>
            </w:r>
          </w:p>
        </w:tc>
        <w:tc>
          <w:tcPr>
            <w:tcW w:w="1140" w:type="dxa"/>
            <w:vAlign w:val="bottom"/>
            <w:gridSpan w:val="2"/>
            <w:shd w:val="clear" w:color="auto" w:fill="CCEEFF"/>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76</w:t>
            </w:r>
          </w:p>
        </w:tc>
        <w:tc>
          <w:tcPr>
            <w:tcW w:w="1040" w:type="dxa"/>
            <w:vAlign w:val="bottom"/>
            <w:gridSpan w:val="2"/>
            <w:shd w:val="clear" w:color="auto" w:fill="CCEEFF"/>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$548 – $595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tcPr>
          <w:p>
            <w:pPr>
              <w:spacing w:after="0" w:line="149" w:lineRule="exact"/>
              <w:rPr>
                <w:sz w:val="20"/>
                <w:szCs w:val="20"/>
                <w:color w:val="auto"/>
              </w:rPr>
            </w:pPr>
            <w:r>
              <w:rPr>
                <w:rFonts w:ascii="Arial" w:cs="Arial" w:eastAsia="Arial" w:hAnsi="Arial"/>
                <w:sz w:val="14"/>
                <w:szCs w:val="14"/>
                <w:color w:val="auto"/>
              </w:rPr>
              <w:t>Larimer County:</w:t>
            </w: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Centerra 5000 Series, Loveland</w:t>
            </w:r>
          </w:p>
        </w:tc>
        <w:tc>
          <w:tcPr>
            <w:tcW w:w="680" w:type="dxa"/>
            <w:vAlign w:val="bottom"/>
            <w:shd w:val="clear" w:color="auto" w:fill="CCEEFF"/>
          </w:tcPr>
          <w:p>
            <w:pPr>
              <w:jc w:val="center"/>
              <w:spacing w:after="0" w:line="149" w:lineRule="exact"/>
              <w:rPr>
                <w:sz w:val="20"/>
                <w:szCs w:val="20"/>
                <w:color w:val="auto"/>
              </w:rPr>
            </w:pPr>
            <w:r>
              <w:rPr>
                <w:rFonts w:ascii="Arial" w:cs="Arial" w:eastAsia="Arial" w:hAnsi="Arial"/>
                <w:sz w:val="14"/>
                <w:szCs w:val="14"/>
                <w:color w:val="auto"/>
                <w:w w:val="89"/>
              </w:rPr>
              <w:t>2014</w:t>
            </w: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150</w:t>
            </w:r>
          </w:p>
        </w:tc>
        <w:tc>
          <w:tcPr>
            <w:tcW w:w="1140" w:type="dxa"/>
            <w:vAlign w:val="bottom"/>
            <w:gridSpan w:val="2"/>
            <w:shd w:val="clear" w:color="auto" w:fill="CCEEFF"/>
          </w:tcPr>
          <w:p>
            <w:pPr>
              <w:ind w:left="70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40</w:t>
            </w:r>
          </w:p>
        </w:tc>
        <w:tc>
          <w:tcPr>
            <w:tcW w:w="1040" w:type="dxa"/>
            <w:vAlign w:val="bottom"/>
            <w:gridSpan w:val="2"/>
            <w:shd w:val="clear" w:color="auto" w:fill="CCEEFF"/>
          </w:tcPr>
          <w:p>
            <w:pPr>
              <w:ind w:left="600"/>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$393 – $415</w:t>
            </w:r>
          </w:p>
        </w:tc>
        <w:tc>
          <w:tcPr>
            <w:tcW w:w="0" w:type="dxa"/>
            <w:vAlign w:val="bottom"/>
          </w:tcPr>
          <w:p>
            <w:pPr>
              <w:spacing w:after="0"/>
              <w:rPr>
                <w:sz w:val="1"/>
                <w:szCs w:val="1"/>
                <w:color w:val="auto"/>
              </w:rPr>
            </w:pPr>
          </w:p>
        </w:tc>
      </w:tr>
      <w:tr>
        <w:trPr>
          <w:trHeight w:val="163"/>
        </w:trPr>
        <w:tc>
          <w:tcPr>
            <w:tcW w:w="4440" w:type="dxa"/>
            <w:vAlign w:val="bottom"/>
            <w:gridSpan w:val="3"/>
          </w:tcPr>
          <w:p>
            <w:pPr>
              <w:spacing w:after="0" w:line="155" w:lineRule="exact"/>
              <w:rPr>
                <w:sz w:val="20"/>
                <w:szCs w:val="20"/>
                <w:color w:val="auto"/>
              </w:rPr>
            </w:pPr>
            <w:r>
              <w:rPr>
                <w:rFonts w:ascii="Arial" w:cs="Arial" w:eastAsia="Arial" w:hAnsi="Arial"/>
                <w:sz w:val="14"/>
                <w:szCs w:val="14"/>
                <w:b w:val="1"/>
                <w:bCs w:val="1"/>
                <w:color w:val="auto"/>
              </w:rPr>
              <w:t>Colorado Total</w:t>
            </w:r>
          </w:p>
        </w:tc>
        <w:tc>
          <w:tcPr>
            <w:tcW w:w="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589</w:t>
            </w:r>
          </w:p>
        </w:tc>
        <w:tc>
          <w:tcPr>
            <w:tcW w:w="220" w:type="dxa"/>
            <w:vAlign w:val="bottom"/>
          </w:tcPr>
          <w:p>
            <w:pPr>
              <w:spacing w:after="0"/>
              <w:rPr>
                <w:sz w:val="14"/>
                <w:szCs w:val="14"/>
                <w:color w:val="auto"/>
              </w:rPr>
            </w:pPr>
          </w:p>
        </w:tc>
        <w:tc>
          <w:tcPr>
            <w:tcW w:w="9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18</w:t>
            </w:r>
          </w:p>
        </w:tc>
        <w:tc>
          <w:tcPr>
            <w:tcW w:w="220" w:type="dxa"/>
            <w:vAlign w:val="bottom"/>
          </w:tcPr>
          <w:p>
            <w:pPr>
              <w:spacing w:after="0"/>
              <w:rPr>
                <w:sz w:val="14"/>
                <w:szCs w:val="14"/>
                <w:color w:val="auto"/>
              </w:rPr>
            </w:pPr>
          </w:p>
        </w:tc>
        <w:tc>
          <w:tcPr>
            <w:tcW w:w="6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369</w:t>
            </w:r>
          </w:p>
        </w:tc>
        <w:tc>
          <w:tcPr>
            <w:tcW w:w="240" w:type="dxa"/>
            <w:vAlign w:val="bottom"/>
          </w:tcPr>
          <w:p>
            <w:pPr>
              <w:spacing w:after="0"/>
              <w:rPr>
                <w:sz w:val="14"/>
                <w:szCs w:val="14"/>
                <w:color w:val="auto"/>
              </w:rPr>
            </w:pPr>
          </w:p>
        </w:tc>
        <w:tc>
          <w:tcPr>
            <w:tcW w:w="8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21</w:t>
            </w:r>
          </w:p>
        </w:tc>
        <w:tc>
          <w:tcPr>
            <w:tcW w:w="220" w:type="dxa"/>
            <w:vAlign w:val="bottom"/>
          </w:tcPr>
          <w:p>
            <w:pPr>
              <w:spacing w:after="0"/>
              <w:rPr>
                <w:sz w:val="14"/>
                <w:szCs w:val="14"/>
                <w:color w:val="auto"/>
              </w:rPr>
            </w:pPr>
          </w:p>
        </w:tc>
        <w:tc>
          <w:tcPr>
            <w:tcW w:w="9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10</w:t>
            </w:r>
          </w:p>
        </w:tc>
        <w:tc>
          <w:tcPr>
            <w:tcW w:w="2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Company Total—Owned Projects</w:t>
            </w: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b w:val="1"/>
                <w:bCs w:val="1"/>
                <w:color w:val="auto"/>
              </w:rPr>
              <w:t>3,275</w:t>
            </w:r>
          </w:p>
        </w:tc>
        <w:tc>
          <w:tcPr>
            <w:tcW w:w="1140" w:type="dxa"/>
            <w:vAlign w:val="bottom"/>
            <w:gridSpan w:val="2"/>
            <w:shd w:val="clear" w:color="auto" w:fill="CCEEFF"/>
          </w:tcPr>
          <w:p>
            <w:pPr>
              <w:ind w:left="700"/>
              <w:spacing w:after="0" w:line="149" w:lineRule="exact"/>
              <w:rPr>
                <w:sz w:val="20"/>
                <w:szCs w:val="20"/>
                <w:color w:val="auto"/>
              </w:rPr>
            </w:pPr>
            <w:r>
              <w:rPr>
                <w:rFonts w:ascii="Arial" w:cs="Arial" w:eastAsia="Arial" w:hAnsi="Arial"/>
                <w:sz w:val="14"/>
                <w:szCs w:val="14"/>
                <w:b w:val="1"/>
                <w:bCs w:val="1"/>
                <w:color w:val="auto"/>
              </w:rPr>
              <w:t>391</w:t>
            </w:r>
          </w:p>
        </w:tc>
        <w:tc>
          <w:tcPr>
            <w:tcW w:w="88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b w:val="1"/>
                <w:bCs w:val="1"/>
                <w:color w:val="auto"/>
              </w:rPr>
              <w:t>2,509</w:t>
            </w:r>
          </w:p>
        </w:tc>
        <w:tc>
          <w:tcPr>
            <w:tcW w:w="1040" w:type="dxa"/>
            <w:vAlign w:val="bottom"/>
            <w:gridSpan w:val="2"/>
            <w:shd w:val="clear" w:color="auto" w:fill="CCEEFF"/>
          </w:tcPr>
          <w:p>
            <w:pPr>
              <w:ind w:left="600"/>
              <w:spacing w:after="0" w:line="149" w:lineRule="exact"/>
              <w:rPr>
                <w:sz w:val="20"/>
                <w:szCs w:val="20"/>
                <w:color w:val="auto"/>
              </w:rPr>
            </w:pPr>
            <w:r>
              <w:rPr>
                <w:rFonts w:ascii="Arial" w:cs="Arial" w:eastAsia="Arial" w:hAnsi="Arial"/>
                <w:sz w:val="14"/>
                <w:szCs w:val="14"/>
                <w:b w:val="1"/>
                <w:bCs w:val="1"/>
                <w:color w:val="auto"/>
              </w:rPr>
              <w:t>195</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b w:val="1"/>
                <w:bCs w:val="1"/>
                <w:color w:val="auto"/>
              </w:rPr>
              <w:t>92</w:t>
            </w:r>
          </w:p>
        </w:tc>
        <w:tc>
          <w:tcPr>
            <w:tcW w:w="240" w:type="dxa"/>
            <w:vAlign w:val="bottom"/>
            <w:shd w:val="clear" w:color="auto" w:fill="CCEEFF"/>
          </w:tcPr>
          <w:p>
            <w:pPr>
              <w:spacing w:after="0"/>
              <w:rPr>
                <w:sz w:val="12"/>
                <w:szCs w:val="12"/>
                <w:color w:val="auto"/>
              </w:rPr>
            </w:pPr>
          </w:p>
        </w:tc>
        <w:tc>
          <w:tcPr>
            <w:tcW w:w="9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31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460" w:hanging="452"/>
        <w:spacing w:after="0"/>
        <w:tabs>
          <w:tab w:leader="none" w:pos="4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Year of first delivery for future periods is based upon management’s estimates and is subject to change.</w:t>
      </w:r>
    </w:p>
    <w:p>
      <w:pPr>
        <w:spacing w:after="0" w:line="23" w:lineRule="exact"/>
        <w:rPr>
          <w:rFonts w:ascii="Arial" w:cs="Arial" w:eastAsia="Arial" w:hAnsi="Arial"/>
          <w:sz w:val="18"/>
          <w:szCs w:val="18"/>
          <w:color w:val="auto"/>
        </w:rPr>
      </w:pPr>
    </w:p>
    <w:p>
      <w:pPr>
        <w:ind w:left="460" w:hanging="452"/>
        <w:spacing w:after="0"/>
        <w:tabs>
          <w:tab w:leader="none" w:pos="4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number of homes to be built at completion is subject to change, and there can be no assurance that we will build these homes.</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Owned lots as of March 31, 2014 include owned lots in backlog as of March 31, 2014.</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Backlog consists of homes under sales contracts that had not yet closed, and there can be no assurance that closings of sold homes will occur.</w:t>
      </w:r>
    </w:p>
    <w:p>
      <w:pPr>
        <w:spacing w:after="0" w:line="20" w:lineRule="exact"/>
        <w:rPr>
          <w:rFonts w:ascii="Arial" w:cs="Arial" w:eastAsia="Arial" w:hAnsi="Arial"/>
          <w:sz w:val="17"/>
          <w:szCs w:val="17"/>
          <w:color w:val="auto"/>
        </w:rPr>
      </w:pPr>
    </w:p>
    <w:p>
      <w:pPr>
        <w:ind w:left="460" w:right="420" w:hanging="452"/>
        <w:spacing w:after="0" w:line="250" w:lineRule="auto"/>
        <w:tabs>
          <w:tab w:leader="none" w:pos="4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Of the total homes subject to pending sales contracts that have not closed as of March 31, 2014: 144 homes are under construction, 20 homes have completed construction, and 31 homes have not started construction.</w:t>
      </w:r>
    </w:p>
    <w:p>
      <w:pPr>
        <w:ind w:left="460" w:right="200" w:hanging="452"/>
        <w:spacing w:after="0" w:line="290" w:lineRule="auto"/>
        <w:tabs>
          <w:tab w:leader="none" w:pos="4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Sales price range reflects base price only and excludes any lot premium, buyer incentives and buyer selected options, which may vary from project to project. Sales prices for homes required to be sold pursuant to affordable housing requirements are excluded from sales price range.</w:t>
      </w:r>
    </w:p>
    <w:p>
      <w:pPr>
        <w:spacing w:after="0" w:line="94" w:lineRule="exact"/>
        <w:rPr>
          <w:rFonts w:ascii="Arial" w:cs="Arial" w:eastAsia="Arial" w:hAnsi="Arial"/>
          <w:sz w:val="17"/>
          <w:szCs w:val="17"/>
          <w:color w:val="auto"/>
        </w:rPr>
      </w:pPr>
    </w:p>
    <w:p>
      <w:pPr>
        <w:ind w:left="5620" w:hanging="101"/>
        <w:spacing w:after="0"/>
        <w:tabs>
          <w:tab w:leader="none" w:pos="5620" w:val="left"/>
        </w:tabs>
        <w:numPr>
          <w:ilvl w:val="1"/>
          <w:numId w:val="18"/>
        </w:numPr>
        <w:rPr>
          <w:rFonts w:ascii="Arial" w:cs="Arial" w:eastAsia="Arial" w:hAnsi="Arial"/>
          <w:sz w:val="18"/>
          <w:szCs w:val="18"/>
          <w:color w:val="auto"/>
        </w:rPr>
      </w:pPr>
      <w:r>
        <w:rPr>
          <w:rFonts w:ascii="Arial" w:cs="Arial" w:eastAsia="Arial" w:hAnsi="Arial"/>
          <w:sz w:val="18"/>
          <w:szCs w:val="18"/>
          <w:color w:val="auto"/>
        </w:rPr>
        <w:t>28 -</w:t>
      </w:r>
    </w:p>
    <w:p>
      <w:pPr>
        <w:sectPr>
          <w:pgSz w:w="11900" w:h="16838" w:orient="portrait"/>
          <w:cols w:equalWidth="0" w:num="1">
            <w:col w:w="11420"/>
          </w:cols>
          <w:pgMar w:left="240" w:top="459" w:right="2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w:t>
      </w:r>
    </w:p>
    <w:p>
      <w:pPr>
        <w:spacing w:after="0" w:line="121" w:lineRule="exact"/>
        <w:rPr>
          <w:sz w:val="20"/>
          <w:szCs w:val="20"/>
          <w:color w:val="auto"/>
        </w:rPr>
      </w:pPr>
    </w:p>
    <w:p>
      <w:pPr>
        <w:ind w:right="320" w:firstLine="456"/>
        <w:spacing w:after="0" w:line="277" w:lineRule="auto"/>
        <w:rPr>
          <w:sz w:val="20"/>
          <w:szCs w:val="20"/>
          <w:color w:val="auto"/>
        </w:rPr>
      </w:pPr>
      <w:r>
        <w:rPr>
          <w:rFonts w:ascii="Arial" w:cs="Arial" w:eastAsia="Arial" w:hAnsi="Arial"/>
          <w:sz w:val="18"/>
          <w:szCs w:val="18"/>
          <w:color w:val="auto"/>
        </w:rPr>
        <w:t>There have been no significant changes to our critical accounting policies from those described in Note 1 of our annual report on Form 10-K for the year ended December 31, 2013.</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See Note 1 to the accompanying notes to unaudited condensed consolidated financial statements included in this Quarterly Report on Form 10-Q.</w:t>
      </w:r>
    </w:p>
    <w:p>
      <w:pPr>
        <w:spacing w:after="0" w:line="3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Related Party Transactions</w:t>
      </w:r>
    </w:p>
    <w:p>
      <w:pPr>
        <w:spacing w:after="0" w:line="121"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In February 2014, we acquired 87 additional lots in the master planned community of Sycamore Creek in Riverside, CA, for a purchase price of approximately $7.8 million from an entity managed by an affiliate of the Starwood Capital Group. In September 2013, we initially acquired 87 lots located in the master planned community of Sycamore Creek in Riverside, CA, for a purchase price of approximately $11.8 million for an entity managed by an affiliate of the Starwood Capital Group. These acquisitions were approved by our independent directors.</w:t>
      </w:r>
    </w:p>
    <w:p>
      <w:pPr>
        <w:spacing w:after="0" w:line="3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121" w:lineRule="exact"/>
        <w:rPr>
          <w:sz w:val="20"/>
          <w:szCs w:val="20"/>
          <w:color w:val="auto"/>
        </w:rPr>
      </w:pPr>
    </w:p>
    <w:p>
      <w:pPr>
        <w:jc w:val="both"/>
        <w:ind w:firstLine="456"/>
        <w:spacing w:after="0" w:line="302" w:lineRule="auto"/>
        <w:rPr>
          <w:sz w:val="20"/>
          <w:szCs w:val="20"/>
          <w:color w:val="auto"/>
        </w:rPr>
      </w:pPr>
      <w:r>
        <w:rPr>
          <w:rFonts w:ascii="Arial" w:cs="Arial" w:eastAsia="Arial" w:hAnsi="Arial"/>
          <w:sz w:val="16"/>
          <w:szCs w:val="16"/>
          <w:color w:val="auto"/>
        </w:rPr>
        <w:t>We are exposed to market risks related to fluctuations in interest rates on our outstanding variable rate debt. We did not utilize swaps, forward or option contracts on interest rates or commodities, or other types of derivative financial instruments as of or during the three months ended March 31, 2014. We have not entered into and currently do not hold derivatives for trading or speculative purposes. Many of the statements contained in this section are forward looking and should be read in conjunction with our disclosures under the heading “Cautionary Note Concerning Forward-Looking Statements.”</w:t>
      </w:r>
    </w:p>
    <w:p>
      <w:pPr>
        <w:spacing w:after="0" w:line="154" w:lineRule="exact"/>
        <w:rPr>
          <w:sz w:val="20"/>
          <w:szCs w:val="20"/>
          <w:color w:val="auto"/>
        </w:rPr>
      </w:pPr>
    </w:p>
    <w:p>
      <w:pPr>
        <w:ind w:right="160" w:firstLine="456"/>
        <w:spacing w:after="0" w:line="308" w:lineRule="auto"/>
        <w:rPr>
          <w:sz w:val="20"/>
          <w:szCs w:val="20"/>
          <w:color w:val="auto"/>
        </w:rPr>
      </w:pPr>
      <w:r>
        <w:rPr>
          <w:rFonts w:ascii="Arial" w:cs="Arial" w:eastAsia="Arial" w:hAnsi="Arial"/>
          <w:sz w:val="17"/>
          <w:szCs w:val="17"/>
          <w:color w:val="auto"/>
        </w:rPr>
        <w:t>Based on the current interest rate management policies we have in place with respect to our outstanding debt, we do not believe that the future market rate risks related to the above securities will have a material adverse impact on our financial position, results of operations or liquidity.</w:t>
      </w:r>
    </w:p>
    <w:p>
      <w:pPr>
        <w:spacing w:after="0" w:line="29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Controls and Procedures</w:t>
      </w:r>
    </w:p>
    <w:p>
      <w:pPr>
        <w:spacing w:after="0" w:line="121"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Our management, with the participation of our chief executive officer and chief financial officer, has reviewed and evaluated the effectiveness of our disclosure controls and procedures, as defined in Securities Exchange Act Rules 13a-15(e) and 15d-15(e), as of the end of the period covered by this Form 10-Q (the “Evaluation Date”). Based on such evaluation, management has concluded that our disclosure controls and procedures were effective as of the Evaluation Date.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 Our disclosure controls and procedures are designed to provide a reasonable level of assurance of reaching our desired disclosure control objectives.</w:t>
      </w:r>
    </w:p>
    <w:p>
      <w:pPr>
        <w:spacing w:after="0" w:line="178" w:lineRule="exact"/>
        <w:rPr>
          <w:sz w:val="20"/>
          <w:szCs w:val="20"/>
          <w:color w:val="auto"/>
        </w:rPr>
      </w:pPr>
    </w:p>
    <w:p>
      <w:pPr>
        <w:ind w:right="200" w:firstLine="456"/>
        <w:spacing w:after="0" w:line="277" w:lineRule="auto"/>
        <w:rPr>
          <w:sz w:val="20"/>
          <w:szCs w:val="20"/>
          <w:color w:val="auto"/>
        </w:rPr>
      </w:pPr>
      <w:r>
        <w:rPr>
          <w:rFonts w:ascii="Arial" w:cs="Arial" w:eastAsia="Arial" w:hAnsi="Arial"/>
          <w:sz w:val="18"/>
          <w:szCs w:val="18"/>
          <w:color w:val="auto"/>
        </w:rPr>
        <w:t>During the fiscal quarter covered by this Form 10-Q, there has not been any change in our internal control over financial reporting that has materially affected, or that is reasonably likely to materially affect, our internal control over financial reporting.</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- 29 -</w:t>
      </w:r>
    </w:p>
    <w:p>
      <w:pPr>
        <w:sectPr>
          <w:pgSz w:w="11900" w:h="16838" w:orient="portrait"/>
          <w:cols w:equalWidth="0" w:num="1">
            <w:col w:w="11420"/>
          </w:cols>
          <w:pgMar w:left="240" w:top="459" w:right="2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 OTHER INFORMATION</w:t>
      </w:r>
    </w:p>
    <w:p>
      <w:pPr>
        <w:spacing w:after="0" w:line="13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color w:val="auto"/>
        </w:rPr>
        <w:t>Risk Factors</w:t>
      </w:r>
    </w:p>
    <w:p>
      <w:pPr>
        <w:spacing w:after="0" w:line="229" w:lineRule="exact"/>
        <w:rPr>
          <w:sz w:val="20"/>
          <w:szCs w:val="20"/>
          <w:color w:val="auto"/>
        </w:rPr>
      </w:pPr>
    </w:p>
    <w:p>
      <w:pPr>
        <w:ind w:right="80" w:firstLine="456"/>
        <w:spacing w:after="0" w:line="276" w:lineRule="auto"/>
        <w:rPr>
          <w:sz w:val="20"/>
          <w:szCs w:val="20"/>
          <w:color w:val="auto"/>
        </w:rPr>
      </w:pPr>
      <w:r>
        <w:rPr>
          <w:rFonts w:ascii="Arial" w:cs="Arial" w:eastAsia="Arial" w:hAnsi="Arial"/>
          <w:sz w:val="17"/>
          <w:szCs w:val="17"/>
          <w:color w:val="auto"/>
        </w:rPr>
        <w:t>A description of the risk factors associated with our business is contained in Part I, Item 1A, “Risk Factors,” of our Annual Report on Form 10-K for the fiscal year ended December 31, 2013, and there have been no material changes thereto since the filing of our Annual Report. These cautionary statements are to be used as a reference in connection with any forward-looking statements. The factors, risks and uncertainties identified in these cautionary statements are in addition to those contained in any other cautionary statements, written or oral, which may be made or otherwise addressed in connection with a forward-looking statement or contained in any of our subsequent filings with the SEC.</w:t>
      </w:r>
    </w:p>
    <w:p>
      <w:pPr>
        <w:spacing w:after="0" w:line="19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0" w:type="dxa"/>
            <w:vAlign w:val="bottom"/>
          </w:tcPr>
          <w:p>
            <w:pPr>
              <w:jc w:val="center"/>
              <w:ind w:right="112"/>
              <w:spacing w:after="0"/>
              <w:rPr>
                <w:sz w:val="20"/>
                <w:szCs w:val="20"/>
                <w:color w:val="auto"/>
              </w:rPr>
            </w:pPr>
            <w:r>
              <w:rPr>
                <w:rFonts w:ascii="Arial" w:cs="Arial" w:eastAsia="Arial" w:hAnsi="Arial"/>
                <w:sz w:val="18"/>
                <w:szCs w:val="18"/>
                <w:b w:val="1"/>
                <w:bCs w:val="1"/>
                <w:color w:val="auto"/>
                <w:w w:val="94"/>
              </w:rPr>
              <w:t>Item 6.</w:t>
            </w:r>
          </w:p>
        </w:tc>
        <w:tc>
          <w:tcPr>
            <w:tcW w:w="10680" w:type="dxa"/>
            <w:vAlign w:val="bottom"/>
            <w:gridSpan w:val="4"/>
          </w:tcPr>
          <w:p>
            <w:pPr>
              <w:ind w:left="180"/>
              <w:spacing w:after="0"/>
              <w:rPr>
                <w:sz w:val="20"/>
                <w:szCs w:val="20"/>
                <w:color w:val="auto"/>
              </w:rPr>
            </w:pPr>
            <w:r>
              <w:rPr>
                <w:rFonts w:ascii="Arial" w:cs="Arial" w:eastAsia="Arial" w:hAnsi="Arial"/>
                <w:sz w:val="18"/>
                <w:szCs w:val="18"/>
                <w:b w:val="1"/>
                <w:bCs w:val="1"/>
                <w:color w:val="auto"/>
              </w:rPr>
              <w:t>Exhibits</w:t>
            </w:r>
          </w:p>
        </w:tc>
      </w:tr>
      <w:tr>
        <w:trPr>
          <w:trHeight w:val="373"/>
        </w:trPr>
        <w:tc>
          <w:tcPr>
            <w:tcW w:w="740" w:type="dxa"/>
            <w:vAlign w:val="bottom"/>
          </w:tcPr>
          <w:p>
            <w:pPr>
              <w:jc w:val="center"/>
              <w:ind w:right="132"/>
              <w:spacing w:after="0"/>
              <w:rPr>
                <w:sz w:val="20"/>
                <w:szCs w:val="20"/>
                <w:color w:val="auto"/>
              </w:rPr>
            </w:pPr>
            <w:r>
              <w:rPr>
                <w:rFonts w:ascii="Arial" w:cs="Arial" w:eastAsia="Arial" w:hAnsi="Arial"/>
                <w:sz w:val="14"/>
                <w:szCs w:val="14"/>
                <w:b w:val="1"/>
                <w:bCs w:val="1"/>
                <w:i w:val="1"/>
                <w:iCs w:val="1"/>
                <w:color w:val="auto"/>
                <w:w w:val="94"/>
              </w:rPr>
              <w:t>Exhibit</w:t>
            </w: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40" w:type="dxa"/>
            <w:vAlign w:val="bottom"/>
          </w:tcPr>
          <w:p>
            <w:pPr>
              <w:spacing w:after="0"/>
              <w:rPr>
                <w:sz w:val="24"/>
                <w:szCs w:val="24"/>
                <w:color w:val="auto"/>
              </w:rPr>
            </w:pPr>
          </w:p>
        </w:tc>
        <w:tc>
          <w:tcPr>
            <w:tcW w:w="3780" w:type="dxa"/>
            <w:vAlign w:val="bottom"/>
          </w:tcPr>
          <w:p>
            <w:pPr>
              <w:spacing w:after="0"/>
              <w:rPr>
                <w:sz w:val="24"/>
                <w:szCs w:val="24"/>
                <w:color w:val="auto"/>
              </w:rPr>
            </w:pPr>
          </w:p>
        </w:tc>
      </w:tr>
      <w:tr>
        <w:trPr>
          <w:trHeight w:val="181"/>
        </w:trPr>
        <w:tc>
          <w:tcPr>
            <w:tcW w:w="740" w:type="dxa"/>
            <w:vAlign w:val="bottom"/>
          </w:tcPr>
          <w:p>
            <w:pPr>
              <w:jc w:val="center"/>
              <w:ind w:right="132"/>
              <w:spacing w:after="0"/>
              <w:rPr>
                <w:sz w:val="20"/>
                <w:szCs w:val="20"/>
                <w:color w:val="auto"/>
              </w:rPr>
            </w:pPr>
            <w:r>
              <w:rPr>
                <w:rFonts w:ascii="Arial" w:cs="Arial" w:eastAsia="Arial" w:hAnsi="Arial"/>
                <w:sz w:val="14"/>
                <w:szCs w:val="14"/>
                <w:b w:val="1"/>
                <w:bCs w:val="1"/>
                <w:i w:val="1"/>
                <w:iCs w:val="1"/>
                <w:color w:val="auto"/>
                <w:w w:val="90"/>
              </w:rPr>
              <w:t>Number</w:t>
            </w:r>
          </w:p>
        </w:tc>
        <w:tc>
          <w:tcPr>
            <w:tcW w:w="200" w:type="dxa"/>
            <w:vAlign w:val="bottom"/>
          </w:tcPr>
          <w:p>
            <w:pPr>
              <w:spacing w:after="0"/>
              <w:rPr>
                <w:sz w:val="15"/>
                <w:szCs w:val="15"/>
                <w:color w:val="auto"/>
              </w:rPr>
            </w:pPr>
          </w:p>
        </w:tc>
        <w:tc>
          <w:tcPr>
            <w:tcW w:w="10480" w:type="dxa"/>
            <w:vAlign w:val="bottom"/>
            <w:tcBorders>
              <w:bottom w:val="single" w:sz="8" w:color="auto"/>
            </w:tcBorders>
            <w:gridSpan w:val="3"/>
          </w:tcPr>
          <w:p>
            <w:pPr>
              <w:spacing w:after="0"/>
              <w:rPr>
                <w:sz w:val="20"/>
                <w:szCs w:val="20"/>
                <w:color w:val="auto"/>
              </w:rPr>
            </w:pPr>
            <w:r>
              <w:rPr>
                <w:rFonts w:ascii="Arial" w:cs="Arial" w:eastAsia="Arial" w:hAnsi="Arial"/>
                <w:sz w:val="14"/>
                <w:szCs w:val="14"/>
                <w:b w:val="1"/>
                <w:bCs w:val="1"/>
                <w:i w:val="1"/>
                <w:iCs w:val="1"/>
                <w:color w:val="auto"/>
              </w:rPr>
              <w:t>Exhibit Description</w:t>
            </w:r>
          </w:p>
        </w:tc>
      </w:tr>
      <w:tr>
        <w:trPr>
          <w:trHeight w:val="290"/>
        </w:trPr>
        <w:tc>
          <w:tcPr>
            <w:tcW w:w="740" w:type="dxa"/>
            <w:vAlign w:val="bottom"/>
          </w:tcPr>
          <w:p>
            <w:pPr>
              <w:jc w:val="right"/>
              <w:ind w:right="232"/>
              <w:spacing w:after="0"/>
              <w:rPr>
                <w:sz w:val="20"/>
                <w:szCs w:val="20"/>
                <w:color w:val="auto"/>
              </w:rPr>
            </w:pPr>
            <w:r>
              <w:rPr>
                <w:rFonts w:ascii="Arial" w:cs="Arial" w:eastAsia="Arial" w:hAnsi="Arial"/>
                <w:sz w:val="18"/>
                <w:szCs w:val="18"/>
                <w:color w:val="auto"/>
              </w:rPr>
              <w:t>2.1</w:t>
            </w:r>
          </w:p>
        </w:tc>
        <w:tc>
          <w:tcPr>
            <w:tcW w:w="200" w:type="dxa"/>
            <w:vAlign w:val="bottom"/>
          </w:tcPr>
          <w:p>
            <w:pPr>
              <w:spacing w:after="0"/>
              <w:rPr>
                <w:sz w:val="24"/>
                <w:szCs w:val="24"/>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w w:val="95"/>
              </w:rPr>
              <w:t>Plan of Conversion of TRI Pointe Homes, LLC (incorporated by reference to Exhibit 2.1 of the Company’s Quarterly Report on Form 10-Q</w:t>
            </w:r>
          </w:p>
        </w:tc>
      </w:tr>
      <w:tr>
        <w:trPr>
          <w:trHeight w:val="230"/>
        </w:trPr>
        <w:tc>
          <w:tcPr>
            <w:tcW w:w="7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rPr>
              <w:t>(filed Aug. 13, 2013))</w:t>
            </w:r>
          </w:p>
        </w:tc>
      </w:tr>
      <w:tr>
        <w:trPr>
          <w:trHeight w:val="310"/>
        </w:trPr>
        <w:tc>
          <w:tcPr>
            <w:tcW w:w="740" w:type="dxa"/>
            <w:vAlign w:val="bottom"/>
          </w:tcPr>
          <w:p>
            <w:pPr>
              <w:jc w:val="right"/>
              <w:ind w:right="232"/>
              <w:spacing w:after="0"/>
              <w:rPr>
                <w:sz w:val="20"/>
                <w:szCs w:val="20"/>
                <w:color w:val="auto"/>
              </w:rPr>
            </w:pPr>
            <w:r>
              <w:rPr>
                <w:rFonts w:ascii="Arial" w:cs="Arial" w:eastAsia="Arial" w:hAnsi="Arial"/>
                <w:sz w:val="18"/>
                <w:szCs w:val="18"/>
                <w:color w:val="auto"/>
              </w:rPr>
              <w:t>2.2</w:t>
            </w:r>
          </w:p>
        </w:tc>
        <w:tc>
          <w:tcPr>
            <w:tcW w:w="200" w:type="dxa"/>
            <w:vAlign w:val="bottom"/>
          </w:tcPr>
          <w:p>
            <w:pPr>
              <w:spacing w:after="0"/>
              <w:rPr>
                <w:sz w:val="24"/>
                <w:szCs w:val="24"/>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w w:val="92"/>
              </w:rPr>
              <w:t>Transaction Agreement, dated as of November 3, 2013, among TRI Pointe Homes, Inc., Weyerhaeuser Company, Weyerhaeuser Real Estate</w:t>
            </w:r>
          </w:p>
        </w:tc>
      </w:tr>
      <w:tr>
        <w:trPr>
          <w:trHeight w:val="216"/>
        </w:trPr>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w w:val="94"/>
              </w:rPr>
              <w:t>Company, and Topaz Acquisition, Inc. (incorporated by reference to Exhibit 2.1 of the Company’s Current Report on Form 8-K (filed Nov. 4,</w:t>
            </w:r>
          </w:p>
        </w:tc>
      </w:tr>
      <w:tr>
        <w:trPr>
          <w:trHeight w:val="230"/>
        </w:trPr>
        <w:tc>
          <w:tcPr>
            <w:tcW w:w="740" w:type="dxa"/>
            <w:vAlign w:val="bottom"/>
          </w:tcPr>
          <w:p>
            <w:pPr>
              <w:spacing w:after="0"/>
              <w:rPr>
                <w:sz w:val="20"/>
                <w:szCs w:val="20"/>
                <w:color w:val="auto"/>
              </w:rPr>
            </w:pPr>
          </w:p>
        </w:tc>
        <w:tc>
          <w:tcPr>
            <w:tcW w:w="6900" w:type="dxa"/>
            <w:vAlign w:val="bottom"/>
            <w:gridSpan w:val="3"/>
          </w:tcPr>
          <w:p>
            <w:pPr>
              <w:ind w:left="200"/>
              <w:spacing w:after="0"/>
              <w:rPr>
                <w:sz w:val="20"/>
                <w:szCs w:val="20"/>
                <w:color w:val="auto"/>
              </w:rPr>
            </w:pPr>
            <w:r>
              <w:rPr>
                <w:rFonts w:ascii="Arial" w:cs="Arial" w:eastAsia="Arial" w:hAnsi="Arial"/>
                <w:sz w:val="18"/>
                <w:szCs w:val="18"/>
                <w:color w:val="auto"/>
              </w:rPr>
              <w:t>2013))</w:t>
            </w:r>
          </w:p>
        </w:tc>
        <w:tc>
          <w:tcPr>
            <w:tcW w:w="3780" w:type="dxa"/>
            <w:vAlign w:val="bottom"/>
          </w:tcPr>
          <w:p>
            <w:pPr>
              <w:spacing w:after="0"/>
              <w:rPr>
                <w:sz w:val="20"/>
                <w:szCs w:val="20"/>
                <w:color w:val="auto"/>
              </w:rPr>
            </w:pPr>
          </w:p>
        </w:tc>
      </w:tr>
      <w:tr>
        <w:trPr>
          <w:trHeight w:val="310"/>
        </w:trPr>
        <w:tc>
          <w:tcPr>
            <w:tcW w:w="740" w:type="dxa"/>
            <w:vAlign w:val="bottom"/>
          </w:tcPr>
          <w:p>
            <w:pPr>
              <w:jc w:val="right"/>
              <w:ind w:right="232"/>
              <w:spacing w:after="0"/>
              <w:rPr>
                <w:sz w:val="20"/>
                <w:szCs w:val="20"/>
                <w:color w:val="auto"/>
              </w:rPr>
            </w:pPr>
            <w:r>
              <w:rPr>
                <w:rFonts w:ascii="Arial" w:cs="Arial" w:eastAsia="Arial" w:hAnsi="Arial"/>
                <w:sz w:val="18"/>
                <w:szCs w:val="18"/>
                <w:color w:val="auto"/>
              </w:rPr>
              <w:t>3.1</w:t>
            </w:r>
          </w:p>
        </w:tc>
        <w:tc>
          <w:tcPr>
            <w:tcW w:w="200" w:type="dxa"/>
            <w:vAlign w:val="bottom"/>
          </w:tcPr>
          <w:p>
            <w:pPr>
              <w:spacing w:after="0"/>
              <w:rPr>
                <w:sz w:val="24"/>
                <w:szCs w:val="24"/>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w w:val="96"/>
              </w:rPr>
              <w:t>Amended and Restated Certificate of Incorporation of TRI Pointe Homes, Inc.(incorporated by reference to Exhibit 3.1 of the Company’s</w:t>
            </w:r>
          </w:p>
        </w:tc>
      </w:tr>
      <w:tr>
        <w:trPr>
          <w:trHeight w:val="230"/>
        </w:trPr>
        <w:tc>
          <w:tcPr>
            <w:tcW w:w="7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rPr>
              <w:t>Annual Report on Form 10-K (filed Mar. 28, 2013))</w:t>
            </w:r>
          </w:p>
        </w:tc>
      </w:tr>
      <w:tr>
        <w:trPr>
          <w:trHeight w:val="310"/>
        </w:trPr>
        <w:tc>
          <w:tcPr>
            <w:tcW w:w="740" w:type="dxa"/>
            <w:vAlign w:val="bottom"/>
          </w:tcPr>
          <w:p>
            <w:pPr>
              <w:jc w:val="right"/>
              <w:ind w:right="232"/>
              <w:spacing w:after="0"/>
              <w:rPr>
                <w:sz w:val="20"/>
                <w:szCs w:val="20"/>
                <w:color w:val="auto"/>
              </w:rPr>
            </w:pPr>
            <w:r>
              <w:rPr>
                <w:rFonts w:ascii="Arial" w:cs="Arial" w:eastAsia="Arial" w:hAnsi="Arial"/>
                <w:sz w:val="18"/>
                <w:szCs w:val="18"/>
                <w:color w:val="auto"/>
              </w:rPr>
              <w:t>3.2</w:t>
            </w:r>
          </w:p>
        </w:tc>
        <w:tc>
          <w:tcPr>
            <w:tcW w:w="200" w:type="dxa"/>
            <w:vAlign w:val="bottom"/>
          </w:tcPr>
          <w:p>
            <w:pPr>
              <w:spacing w:after="0"/>
              <w:rPr>
                <w:sz w:val="24"/>
                <w:szCs w:val="24"/>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w w:val="91"/>
              </w:rPr>
              <w:t>Amended and Restated Bylaws of TRI Pointe Homes, Inc. (incorporated by reference to Exhibit 3.2 of the Company’s Quarterly Report on Form</w:t>
            </w:r>
          </w:p>
        </w:tc>
      </w:tr>
      <w:tr>
        <w:trPr>
          <w:trHeight w:val="230"/>
        </w:trPr>
        <w:tc>
          <w:tcPr>
            <w:tcW w:w="7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rPr>
              <w:t>10-Q (filed Aug. 13, 2013))</w:t>
            </w:r>
          </w:p>
        </w:tc>
      </w:tr>
      <w:tr>
        <w:trPr>
          <w:trHeight w:val="310"/>
        </w:trPr>
        <w:tc>
          <w:tcPr>
            <w:tcW w:w="740" w:type="dxa"/>
            <w:vAlign w:val="bottom"/>
          </w:tcPr>
          <w:p>
            <w:pPr>
              <w:jc w:val="right"/>
              <w:ind w:right="232"/>
              <w:spacing w:after="0"/>
              <w:rPr>
                <w:sz w:val="20"/>
                <w:szCs w:val="20"/>
                <w:color w:val="auto"/>
              </w:rPr>
            </w:pPr>
            <w:r>
              <w:rPr>
                <w:rFonts w:ascii="Arial" w:cs="Arial" w:eastAsia="Arial" w:hAnsi="Arial"/>
                <w:sz w:val="18"/>
                <w:szCs w:val="18"/>
                <w:color w:val="auto"/>
              </w:rPr>
              <w:t>4.1</w:t>
            </w:r>
          </w:p>
        </w:tc>
        <w:tc>
          <w:tcPr>
            <w:tcW w:w="200" w:type="dxa"/>
            <w:vAlign w:val="bottom"/>
          </w:tcPr>
          <w:p>
            <w:pPr>
              <w:spacing w:after="0"/>
              <w:rPr>
                <w:sz w:val="24"/>
                <w:szCs w:val="24"/>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w w:val="97"/>
              </w:rPr>
              <w:t>Specimen Common Stock Certificate of TRI Pointe Homes, Inc. (incorporated by reference to Exhibit 4.1 of the Company’s Registration</w:t>
            </w:r>
          </w:p>
        </w:tc>
      </w:tr>
      <w:tr>
        <w:trPr>
          <w:trHeight w:val="230"/>
        </w:trPr>
        <w:tc>
          <w:tcPr>
            <w:tcW w:w="7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rPr>
              <w:t>Statement on Form S-1 (filed Dec. 21, 2012))</w:t>
            </w:r>
          </w:p>
        </w:tc>
      </w:tr>
      <w:tr>
        <w:trPr>
          <w:trHeight w:val="310"/>
        </w:trPr>
        <w:tc>
          <w:tcPr>
            <w:tcW w:w="740" w:type="dxa"/>
            <w:vAlign w:val="bottom"/>
          </w:tcPr>
          <w:p>
            <w:pPr>
              <w:jc w:val="right"/>
              <w:ind w:right="232"/>
              <w:spacing w:after="0"/>
              <w:rPr>
                <w:sz w:val="20"/>
                <w:szCs w:val="20"/>
                <w:color w:val="auto"/>
              </w:rPr>
            </w:pPr>
            <w:r>
              <w:rPr>
                <w:rFonts w:ascii="Arial" w:cs="Arial" w:eastAsia="Arial" w:hAnsi="Arial"/>
                <w:sz w:val="18"/>
                <w:szCs w:val="18"/>
                <w:color w:val="auto"/>
              </w:rPr>
              <w:t>4.2</w:t>
            </w:r>
          </w:p>
        </w:tc>
        <w:tc>
          <w:tcPr>
            <w:tcW w:w="200" w:type="dxa"/>
            <w:vAlign w:val="bottom"/>
          </w:tcPr>
          <w:p>
            <w:pPr>
              <w:spacing w:after="0"/>
              <w:rPr>
                <w:sz w:val="24"/>
                <w:szCs w:val="24"/>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w w:val="95"/>
              </w:rPr>
              <w:t>Investor Rights Agreement between TRI Pointe Homes, Inc. and VIII/TPC Holdings, L.L.C., dated as of January 30, 2013 (incorporated by</w:t>
            </w:r>
          </w:p>
        </w:tc>
      </w:tr>
      <w:tr>
        <w:trPr>
          <w:trHeight w:val="230"/>
        </w:trPr>
        <w:tc>
          <w:tcPr>
            <w:tcW w:w="7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rPr>
              <w:t>reference to Exhibit 4.2 of the Company’s Quarterly Report on Form 10-Q (filed Aug. 13, 2013))</w:t>
            </w:r>
          </w:p>
        </w:tc>
      </w:tr>
      <w:tr>
        <w:trPr>
          <w:trHeight w:val="310"/>
        </w:trPr>
        <w:tc>
          <w:tcPr>
            <w:tcW w:w="740" w:type="dxa"/>
            <w:vAlign w:val="bottom"/>
          </w:tcPr>
          <w:p>
            <w:pPr>
              <w:jc w:val="right"/>
              <w:ind w:right="232"/>
              <w:spacing w:after="0"/>
              <w:rPr>
                <w:sz w:val="20"/>
                <w:szCs w:val="20"/>
                <w:color w:val="auto"/>
              </w:rPr>
            </w:pPr>
            <w:r>
              <w:rPr>
                <w:rFonts w:ascii="Arial" w:cs="Arial" w:eastAsia="Arial" w:hAnsi="Arial"/>
                <w:sz w:val="18"/>
                <w:szCs w:val="18"/>
                <w:color w:val="auto"/>
              </w:rPr>
              <w:t>4.3</w:t>
            </w:r>
          </w:p>
        </w:tc>
        <w:tc>
          <w:tcPr>
            <w:tcW w:w="200" w:type="dxa"/>
            <w:vAlign w:val="bottom"/>
          </w:tcPr>
          <w:p>
            <w:pPr>
              <w:spacing w:after="0"/>
              <w:rPr>
                <w:sz w:val="24"/>
                <w:szCs w:val="24"/>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w w:val="95"/>
              </w:rPr>
              <w:t>First Amendment to Investor Rights Agreement, dated as of November 3, 2013, by and among TRI Pointe Homes, Inc., VIII/TPC Holdings,</w:t>
            </w:r>
          </w:p>
        </w:tc>
      </w:tr>
      <w:tr>
        <w:trPr>
          <w:trHeight w:val="216"/>
        </w:trPr>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w w:val="96"/>
              </w:rPr>
              <w:t>L.L.C., BMG Homes, Inc., The Bauer Revocable Trust U/D/T Dated December 31, 2003, Grubbs Family Trust Dated June 22, 2012, The</w:t>
            </w:r>
          </w:p>
        </w:tc>
      </w:tr>
      <w:tr>
        <w:trPr>
          <w:trHeight w:val="216"/>
        </w:trPr>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w w:val="92"/>
              </w:rPr>
              <w:t>Mitchell Family Trust U/D/T Dated February 8, 2000, Douglas F. Bauer, Thomas J. Mitchell and Michael D. Grubbs (incorporated by reference</w:t>
            </w:r>
          </w:p>
        </w:tc>
      </w:tr>
      <w:tr>
        <w:trPr>
          <w:trHeight w:val="230"/>
        </w:trPr>
        <w:tc>
          <w:tcPr>
            <w:tcW w:w="7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rPr>
              <w:t>to Exhibit 10.9 of the Company’s Current Report on Form 8-K (filed Nov. 4, 2013))</w:t>
            </w:r>
          </w:p>
        </w:tc>
      </w:tr>
      <w:tr>
        <w:trPr>
          <w:trHeight w:val="310"/>
        </w:trPr>
        <w:tc>
          <w:tcPr>
            <w:tcW w:w="740" w:type="dxa"/>
            <w:vAlign w:val="bottom"/>
          </w:tcPr>
          <w:p>
            <w:pPr>
              <w:jc w:val="right"/>
              <w:ind w:right="232"/>
              <w:spacing w:after="0"/>
              <w:rPr>
                <w:sz w:val="20"/>
                <w:szCs w:val="20"/>
                <w:color w:val="auto"/>
              </w:rPr>
            </w:pPr>
            <w:r>
              <w:rPr>
                <w:rFonts w:ascii="Arial" w:cs="Arial" w:eastAsia="Arial" w:hAnsi="Arial"/>
                <w:sz w:val="18"/>
                <w:szCs w:val="18"/>
                <w:color w:val="auto"/>
              </w:rPr>
              <w:t>4.4</w:t>
            </w:r>
          </w:p>
        </w:tc>
        <w:tc>
          <w:tcPr>
            <w:tcW w:w="200" w:type="dxa"/>
            <w:vAlign w:val="bottom"/>
          </w:tcPr>
          <w:p>
            <w:pPr>
              <w:spacing w:after="0"/>
              <w:rPr>
                <w:sz w:val="24"/>
                <w:szCs w:val="24"/>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w w:val="95"/>
              </w:rPr>
              <w:t>Registration Rights Agreement among TRI Pointe Homes, Inc. and the members of TRI Pointe Homes, LLC, (incorporated by reference to</w:t>
            </w:r>
          </w:p>
        </w:tc>
      </w:tr>
      <w:tr>
        <w:trPr>
          <w:trHeight w:val="230"/>
        </w:trPr>
        <w:tc>
          <w:tcPr>
            <w:tcW w:w="7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rPr>
              <w:t>Exhibit 10.2 of the Company’s Quarterly Report on Form 10-Q (filed Aug. 13, 2013))</w:t>
            </w:r>
          </w:p>
        </w:tc>
      </w:tr>
      <w:tr>
        <w:trPr>
          <w:trHeight w:val="310"/>
        </w:trPr>
        <w:tc>
          <w:tcPr>
            <w:tcW w:w="740" w:type="dxa"/>
            <w:vAlign w:val="bottom"/>
          </w:tcPr>
          <w:p>
            <w:pPr>
              <w:jc w:val="right"/>
              <w:ind w:right="232"/>
              <w:spacing w:after="0"/>
              <w:rPr>
                <w:sz w:val="20"/>
                <w:szCs w:val="20"/>
                <w:color w:val="auto"/>
              </w:rPr>
            </w:pPr>
            <w:r>
              <w:rPr>
                <w:rFonts w:ascii="Arial" w:cs="Arial" w:eastAsia="Arial" w:hAnsi="Arial"/>
                <w:sz w:val="18"/>
                <w:szCs w:val="18"/>
                <w:color w:val="auto"/>
              </w:rPr>
              <w:t>10.1</w:t>
            </w:r>
          </w:p>
        </w:tc>
        <w:tc>
          <w:tcPr>
            <w:tcW w:w="200" w:type="dxa"/>
            <w:vAlign w:val="bottom"/>
          </w:tcPr>
          <w:p>
            <w:pPr>
              <w:spacing w:after="0"/>
              <w:rPr>
                <w:sz w:val="24"/>
                <w:szCs w:val="24"/>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w w:val="94"/>
              </w:rPr>
              <w:t>Second Agreement to Modify Loan Documents, dated as of March 25, 2014, by and between TRI Pointe Homes, Inc. and California Bank &amp;</w:t>
            </w:r>
          </w:p>
        </w:tc>
      </w:tr>
      <w:tr>
        <w:trPr>
          <w:trHeight w:val="230"/>
        </w:trPr>
        <w:tc>
          <w:tcPr>
            <w:tcW w:w="7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rPr>
              <w:t>Trust (incorporated by reference to Exhibit 10.1 of the Company’s Current Report on Form 8-K (filed Apr. 1, 2014)</w:t>
            </w:r>
          </w:p>
        </w:tc>
      </w:tr>
      <w:tr>
        <w:trPr>
          <w:trHeight w:val="324"/>
        </w:trPr>
        <w:tc>
          <w:tcPr>
            <w:tcW w:w="740" w:type="dxa"/>
            <w:vAlign w:val="bottom"/>
          </w:tcPr>
          <w:p>
            <w:pPr>
              <w:jc w:val="right"/>
              <w:ind w:right="232"/>
              <w:spacing w:after="0"/>
              <w:rPr>
                <w:sz w:val="20"/>
                <w:szCs w:val="20"/>
                <w:color w:val="auto"/>
              </w:rPr>
            </w:pPr>
            <w:r>
              <w:rPr>
                <w:rFonts w:ascii="Arial" w:cs="Arial" w:eastAsia="Arial" w:hAnsi="Arial"/>
                <w:sz w:val="18"/>
                <w:szCs w:val="18"/>
                <w:color w:val="auto"/>
              </w:rPr>
              <w:t>31.1</w:t>
            </w:r>
          </w:p>
        </w:tc>
        <w:tc>
          <w:tcPr>
            <w:tcW w:w="200" w:type="dxa"/>
            <w:vAlign w:val="bottom"/>
          </w:tcPr>
          <w:p>
            <w:pPr>
              <w:spacing w:after="0"/>
              <w:rPr>
                <w:sz w:val="24"/>
                <w:szCs w:val="24"/>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rPr>
              <w:t>Chief Executive Officer Section 302 Certification of the Sarbanes-Oxley Act of 2002</w:t>
            </w:r>
          </w:p>
        </w:tc>
      </w:tr>
      <w:tr>
        <w:trPr>
          <w:trHeight w:val="324"/>
        </w:trPr>
        <w:tc>
          <w:tcPr>
            <w:tcW w:w="740" w:type="dxa"/>
            <w:vAlign w:val="bottom"/>
          </w:tcPr>
          <w:p>
            <w:pPr>
              <w:jc w:val="right"/>
              <w:ind w:right="232"/>
              <w:spacing w:after="0"/>
              <w:rPr>
                <w:sz w:val="20"/>
                <w:szCs w:val="20"/>
                <w:color w:val="auto"/>
              </w:rPr>
            </w:pPr>
            <w:r>
              <w:rPr>
                <w:rFonts w:ascii="Arial" w:cs="Arial" w:eastAsia="Arial" w:hAnsi="Arial"/>
                <w:sz w:val="18"/>
                <w:szCs w:val="18"/>
                <w:color w:val="auto"/>
              </w:rPr>
              <w:t>31.2</w:t>
            </w:r>
          </w:p>
        </w:tc>
        <w:tc>
          <w:tcPr>
            <w:tcW w:w="200" w:type="dxa"/>
            <w:vAlign w:val="bottom"/>
          </w:tcPr>
          <w:p>
            <w:pPr>
              <w:spacing w:after="0"/>
              <w:rPr>
                <w:sz w:val="24"/>
                <w:szCs w:val="24"/>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rPr>
              <w:t>Chief Financial Officer Section 302 Certification of the Sarbanes-Oxley Act of 2002</w:t>
            </w:r>
          </w:p>
        </w:tc>
      </w:tr>
      <w:tr>
        <w:trPr>
          <w:trHeight w:val="324"/>
        </w:trPr>
        <w:tc>
          <w:tcPr>
            <w:tcW w:w="740" w:type="dxa"/>
            <w:vAlign w:val="bottom"/>
          </w:tcPr>
          <w:p>
            <w:pPr>
              <w:jc w:val="right"/>
              <w:ind w:right="232"/>
              <w:spacing w:after="0"/>
              <w:rPr>
                <w:sz w:val="20"/>
                <w:szCs w:val="20"/>
                <w:color w:val="auto"/>
              </w:rPr>
            </w:pPr>
            <w:r>
              <w:rPr>
                <w:rFonts w:ascii="Arial" w:cs="Arial" w:eastAsia="Arial" w:hAnsi="Arial"/>
                <w:sz w:val="18"/>
                <w:szCs w:val="18"/>
                <w:color w:val="auto"/>
              </w:rPr>
              <w:t>32.1</w:t>
            </w:r>
          </w:p>
        </w:tc>
        <w:tc>
          <w:tcPr>
            <w:tcW w:w="200" w:type="dxa"/>
            <w:vAlign w:val="bottom"/>
          </w:tcPr>
          <w:p>
            <w:pPr>
              <w:spacing w:after="0"/>
              <w:rPr>
                <w:sz w:val="24"/>
                <w:szCs w:val="24"/>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rPr>
              <w:t>Chief Executive Officer Section 906 Certification of the Sarbanes-Oxley Act of 2002</w:t>
            </w:r>
          </w:p>
        </w:tc>
      </w:tr>
      <w:tr>
        <w:trPr>
          <w:trHeight w:val="324"/>
        </w:trPr>
        <w:tc>
          <w:tcPr>
            <w:tcW w:w="740" w:type="dxa"/>
            <w:vAlign w:val="bottom"/>
          </w:tcPr>
          <w:p>
            <w:pPr>
              <w:jc w:val="right"/>
              <w:ind w:right="232"/>
              <w:spacing w:after="0"/>
              <w:rPr>
                <w:sz w:val="20"/>
                <w:szCs w:val="20"/>
                <w:color w:val="auto"/>
              </w:rPr>
            </w:pPr>
            <w:r>
              <w:rPr>
                <w:rFonts w:ascii="Arial" w:cs="Arial" w:eastAsia="Arial" w:hAnsi="Arial"/>
                <w:sz w:val="18"/>
                <w:szCs w:val="18"/>
                <w:color w:val="auto"/>
              </w:rPr>
              <w:t>32.2</w:t>
            </w:r>
          </w:p>
        </w:tc>
        <w:tc>
          <w:tcPr>
            <w:tcW w:w="200" w:type="dxa"/>
            <w:vAlign w:val="bottom"/>
          </w:tcPr>
          <w:p>
            <w:pPr>
              <w:spacing w:after="0"/>
              <w:rPr>
                <w:sz w:val="24"/>
                <w:szCs w:val="24"/>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rPr>
              <w:t>Chief Financial Officer Section 906 Certification of the Sarbanes-Oxley Act of 2002</w:t>
            </w:r>
          </w:p>
        </w:tc>
      </w:tr>
      <w:tr>
        <w:trPr>
          <w:trHeight w:val="310"/>
        </w:trPr>
        <w:tc>
          <w:tcPr>
            <w:tcW w:w="740" w:type="dxa"/>
            <w:vAlign w:val="bottom"/>
          </w:tcPr>
          <w:p>
            <w:pPr>
              <w:jc w:val="right"/>
              <w:ind w:right="232"/>
              <w:spacing w:after="0"/>
              <w:rPr>
                <w:sz w:val="20"/>
                <w:szCs w:val="20"/>
                <w:color w:val="auto"/>
              </w:rPr>
            </w:pPr>
            <w:r>
              <w:rPr>
                <w:rFonts w:ascii="Arial" w:cs="Arial" w:eastAsia="Arial" w:hAnsi="Arial"/>
                <w:sz w:val="18"/>
                <w:szCs w:val="18"/>
                <w:color w:val="auto"/>
              </w:rPr>
              <w:t>99.1</w:t>
            </w:r>
          </w:p>
        </w:tc>
        <w:tc>
          <w:tcPr>
            <w:tcW w:w="200" w:type="dxa"/>
            <w:vAlign w:val="bottom"/>
          </w:tcPr>
          <w:p>
            <w:pPr>
              <w:spacing w:after="0"/>
              <w:rPr>
                <w:sz w:val="24"/>
                <w:szCs w:val="24"/>
                <w:color w:val="auto"/>
              </w:rPr>
            </w:pPr>
          </w:p>
        </w:tc>
        <w:tc>
          <w:tcPr>
            <w:tcW w:w="10480" w:type="dxa"/>
            <w:vAlign w:val="bottom"/>
            <w:gridSpan w:val="3"/>
          </w:tcPr>
          <w:p>
            <w:pPr>
              <w:spacing w:after="0"/>
              <w:rPr>
                <w:sz w:val="20"/>
                <w:szCs w:val="20"/>
                <w:color w:val="auto"/>
              </w:rPr>
            </w:pPr>
            <w:r>
              <w:rPr>
                <w:rFonts w:ascii="Arial" w:cs="Arial" w:eastAsia="Arial" w:hAnsi="Arial"/>
                <w:sz w:val="18"/>
                <w:szCs w:val="18"/>
                <w:color w:val="auto"/>
              </w:rPr>
              <w:t>Registration Statement on Form S-4/A, filed by the Company on Mar. 28, 2014</w:t>
            </w:r>
          </w:p>
        </w:tc>
      </w:tr>
      <w:tr>
        <w:trPr>
          <w:trHeight w:val="190"/>
        </w:trPr>
        <w:tc>
          <w:tcPr>
            <w:tcW w:w="7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480" w:type="dxa"/>
            <w:vAlign w:val="bottom"/>
            <w:gridSpan w:val="3"/>
          </w:tcPr>
          <w:p>
            <w:pPr>
              <w:spacing w:after="0" w:line="190" w:lineRule="exact"/>
              <w:rPr>
                <w:sz w:val="20"/>
                <w:szCs w:val="20"/>
                <w:color w:val="auto"/>
              </w:rPr>
            </w:pPr>
            <w:r>
              <w:rPr>
                <w:rFonts w:ascii="Arial" w:cs="Arial" w:eastAsia="Arial" w:hAnsi="Arial"/>
                <w:sz w:val="18"/>
                <w:szCs w:val="18"/>
                <w:color w:val="auto"/>
              </w:rPr>
              <w:t>(https://www.sec.gov/Archives/edgar/data/1561680/000119312514121833/d699728ds4a.htm)</w:t>
            </w:r>
          </w:p>
        </w:tc>
      </w:tr>
      <w:tr>
        <w:trPr>
          <w:trHeight w:val="20"/>
        </w:trPr>
        <w:tc>
          <w:tcPr>
            <w:tcW w:w="7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40" w:type="dxa"/>
            <w:vAlign w:val="bottom"/>
            <w:shd w:val="clear" w:color="auto" w:fill="000000"/>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r>
    </w:tbl>
    <w:p>
      <w:pPr>
        <w:spacing w:after="0" w:line="121" w:lineRule="exact"/>
        <w:rPr>
          <w:sz w:val="20"/>
          <w:szCs w:val="20"/>
          <w:color w:val="auto"/>
        </w:rPr>
      </w:pPr>
    </w:p>
    <w:p>
      <w:pPr>
        <w:ind w:left="940" w:right="420" w:hanging="932"/>
        <w:spacing w:after="0" w:line="259" w:lineRule="auto"/>
        <w:tabs>
          <w:tab w:leader="none" w:pos="9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following materials from TRI Pointe Homes, Inc.’s Quarterly Report on Form 10-Q for the quarter ended March 31, 2014, formatted in eXtensible Business Reporting Language (XBRL): (i) Consolidated Balance Sheets, (ii) Consolidated Statements of Operations, (iii) Consolidated Statements of Comprehensive Income, (iv) Consolidated Statement of Cash Flows, and (v) Condensed Notes to Consolidated Financial Statement.</w:t>
      </w:r>
    </w:p>
    <w:p>
      <w:pPr>
        <w:spacing w:after="0" w:line="119" w:lineRule="exact"/>
        <w:rPr>
          <w:rFonts w:ascii="Arial" w:cs="Arial" w:eastAsia="Arial" w:hAnsi="Arial"/>
          <w:sz w:val="18"/>
          <w:szCs w:val="18"/>
          <w:color w:val="auto"/>
        </w:rPr>
      </w:pPr>
    </w:p>
    <w:p>
      <w:pPr>
        <w:ind w:left="5620" w:hanging="101"/>
        <w:spacing w:after="0"/>
        <w:tabs>
          <w:tab w:leader="none" w:pos="5620" w:val="left"/>
        </w:tabs>
        <w:numPr>
          <w:ilvl w:val="1"/>
          <w:numId w:val="19"/>
        </w:numPr>
        <w:rPr>
          <w:rFonts w:ascii="Arial" w:cs="Arial" w:eastAsia="Arial" w:hAnsi="Arial"/>
          <w:sz w:val="18"/>
          <w:szCs w:val="18"/>
          <w:color w:val="auto"/>
        </w:rPr>
      </w:pPr>
      <w:r>
        <w:rPr>
          <w:rFonts w:ascii="Arial" w:cs="Arial" w:eastAsia="Arial" w:hAnsi="Arial"/>
          <w:sz w:val="18"/>
          <w:szCs w:val="18"/>
          <w:color w:val="auto"/>
        </w:rPr>
        <w:t>30 -</w:t>
      </w:r>
    </w:p>
    <w:p>
      <w:pPr>
        <w:sectPr>
          <w:pgSz w:w="11900" w:h="16838" w:orient="portrait"/>
          <w:cols w:equalWidth="0" w:num="1">
            <w:col w:w="11420"/>
          </w:cols>
          <w:pgMar w:left="240" w:top="459" w:right="23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67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97"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TRI Pointe Homes, Inc.</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Douglas F. 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14605</wp:posOffset>
            </wp:positionV>
            <wp:extent cx="2658745"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Douglas F. Bauer</w:t>
      </w:r>
    </w:p>
    <w:p>
      <w:pPr>
        <w:spacing w:after="0" w:line="23"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Chief Executive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 May 6, 2014</w:t>
      </w:r>
    </w:p>
    <w:p>
      <w:pPr>
        <w:spacing w:after="0" w:line="158"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- 31 -</w:t>
      </w:r>
    </w:p>
    <w:p>
      <w:pPr>
        <w:sectPr>
          <w:pgSz w:w="11900" w:h="16838" w:orient="portrait"/>
          <w:cols w:equalWidth="0" w:num="1">
            <w:col w:w="10740"/>
          </w:cols>
          <w:pgMar w:left="240" w:top="459" w:right="919" w:bottom="1440" w:gutter="0" w:footer="0" w:header="0"/>
        </w:sectPr>
      </w:pPr>
    </w:p>
    <w:bookmarkStart w:id="31" w:name="page32"/>
    <w:bookmarkEnd w:id="31"/>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CERTIFICATION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 Douglas F. Bauer, certify that:</w:t>
      </w:r>
    </w:p>
    <w:p>
      <w:pPr>
        <w:spacing w:after="0" w:line="131" w:lineRule="exact"/>
        <w:rPr>
          <w:sz w:val="20"/>
          <w:szCs w:val="20"/>
          <w:color w:val="auto"/>
        </w:rPr>
      </w:pPr>
    </w:p>
    <w:p>
      <w:pPr>
        <w:ind w:left="460" w:hanging="452"/>
        <w:spacing w:after="0"/>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 have reviewed this report on Form 10-Q of TRI Pointe Homes, Inc.;</w:t>
      </w:r>
    </w:p>
    <w:p>
      <w:pPr>
        <w:spacing w:after="0" w:line="130" w:lineRule="exact"/>
        <w:rPr>
          <w:rFonts w:ascii="Arial" w:cs="Arial" w:eastAsia="Arial" w:hAnsi="Arial"/>
          <w:sz w:val="18"/>
          <w:szCs w:val="18"/>
          <w:color w:val="auto"/>
        </w:rPr>
      </w:pPr>
    </w:p>
    <w:p>
      <w:pPr>
        <w:jc w:val="both"/>
        <w:ind w:left="460" w:right="500" w:hanging="452"/>
        <w:spacing w:after="0" w:line="264" w:lineRule="auto"/>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86" w:lineRule="exact"/>
        <w:rPr>
          <w:rFonts w:ascii="Arial" w:cs="Arial" w:eastAsia="Arial" w:hAnsi="Arial"/>
          <w:sz w:val="18"/>
          <w:szCs w:val="18"/>
          <w:color w:val="auto"/>
        </w:rPr>
      </w:pPr>
    </w:p>
    <w:p>
      <w:pPr>
        <w:ind w:left="460" w:right="460" w:hanging="452"/>
        <w:spacing w:after="0" w:line="308" w:lineRule="auto"/>
        <w:tabs>
          <w:tab w:leader="none" w:pos="4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51" w:lineRule="exact"/>
        <w:rPr>
          <w:rFonts w:ascii="Arial" w:cs="Arial" w:eastAsia="Arial" w:hAnsi="Arial"/>
          <w:sz w:val="17"/>
          <w:szCs w:val="17"/>
          <w:color w:val="auto"/>
        </w:rPr>
      </w:pPr>
    </w:p>
    <w:p>
      <w:pPr>
        <w:ind w:left="460" w:right="80" w:hanging="452"/>
        <w:spacing w:after="0" w:line="264" w:lineRule="auto"/>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86" w:lineRule="exact"/>
        <w:rPr>
          <w:rFonts w:ascii="Arial" w:cs="Arial" w:eastAsia="Arial" w:hAnsi="Arial"/>
          <w:sz w:val="18"/>
          <w:szCs w:val="18"/>
          <w:color w:val="auto"/>
        </w:rPr>
      </w:pPr>
    </w:p>
    <w:p>
      <w:pPr>
        <w:ind w:left="900" w:right="300" w:hanging="446"/>
        <w:spacing w:after="0" w:line="264" w:lineRule="auto"/>
        <w:tabs>
          <w:tab w:leader="none" w:pos="900" w:val="left"/>
        </w:tabs>
        <w:numPr>
          <w:ilvl w:val="1"/>
          <w:numId w:val="2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86" w:lineRule="exact"/>
        <w:rPr>
          <w:rFonts w:ascii="Arial" w:cs="Arial" w:eastAsia="Arial" w:hAnsi="Arial"/>
          <w:sz w:val="18"/>
          <w:szCs w:val="18"/>
          <w:color w:val="auto"/>
        </w:rPr>
      </w:pPr>
    </w:p>
    <w:p>
      <w:pPr>
        <w:ind w:left="900" w:right="620" w:hanging="446"/>
        <w:spacing w:after="0" w:line="264" w:lineRule="auto"/>
        <w:tabs>
          <w:tab w:leader="none" w:pos="900" w:val="left"/>
        </w:tabs>
        <w:numPr>
          <w:ilvl w:val="1"/>
          <w:numId w:val="20"/>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86" w:lineRule="exact"/>
        <w:rPr>
          <w:rFonts w:ascii="Arial" w:cs="Arial" w:eastAsia="Arial" w:hAnsi="Arial"/>
          <w:sz w:val="18"/>
          <w:szCs w:val="18"/>
          <w:color w:val="auto"/>
        </w:rPr>
      </w:pPr>
    </w:p>
    <w:p>
      <w:pPr>
        <w:jc w:val="both"/>
        <w:ind w:left="900" w:right="800" w:hanging="446"/>
        <w:spacing w:after="0" w:line="342" w:lineRule="auto"/>
        <w:tabs>
          <w:tab w:leader="none" w:pos="900" w:val="left"/>
        </w:tabs>
        <w:numPr>
          <w:ilvl w:val="1"/>
          <w:numId w:val="20"/>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29" w:lineRule="exact"/>
        <w:rPr>
          <w:rFonts w:ascii="Arial" w:cs="Arial" w:eastAsia="Arial" w:hAnsi="Arial"/>
          <w:sz w:val="16"/>
          <w:szCs w:val="16"/>
          <w:color w:val="auto"/>
        </w:rPr>
      </w:pPr>
    </w:p>
    <w:p>
      <w:pPr>
        <w:ind w:left="900" w:right="20" w:hanging="446"/>
        <w:spacing w:after="0" w:line="264" w:lineRule="auto"/>
        <w:tabs>
          <w:tab w:leader="none" w:pos="900" w:val="left"/>
        </w:tabs>
        <w:numPr>
          <w:ilvl w:val="1"/>
          <w:numId w:val="2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86" w:lineRule="exact"/>
        <w:rPr>
          <w:rFonts w:ascii="Arial" w:cs="Arial" w:eastAsia="Arial" w:hAnsi="Arial"/>
          <w:sz w:val="18"/>
          <w:szCs w:val="18"/>
          <w:color w:val="auto"/>
        </w:rPr>
      </w:pPr>
    </w:p>
    <w:p>
      <w:pPr>
        <w:ind w:left="460" w:right="200" w:hanging="452"/>
        <w:spacing w:after="0" w:line="308" w:lineRule="auto"/>
        <w:tabs>
          <w:tab w:leader="none" w:pos="4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51" w:lineRule="exact"/>
        <w:rPr>
          <w:rFonts w:ascii="Arial" w:cs="Arial" w:eastAsia="Arial" w:hAnsi="Arial"/>
          <w:sz w:val="17"/>
          <w:szCs w:val="17"/>
          <w:color w:val="auto"/>
        </w:rPr>
      </w:pPr>
    </w:p>
    <w:p>
      <w:pPr>
        <w:ind w:left="900" w:right="200" w:hanging="446"/>
        <w:spacing w:after="0" w:line="277" w:lineRule="auto"/>
        <w:tabs>
          <w:tab w:leader="none" w:pos="900" w:val="left"/>
        </w:tabs>
        <w:numPr>
          <w:ilvl w:val="1"/>
          <w:numId w:val="20"/>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75" w:lineRule="exact"/>
        <w:rPr>
          <w:rFonts w:ascii="Arial" w:cs="Arial" w:eastAsia="Arial" w:hAnsi="Arial"/>
          <w:sz w:val="18"/>
          <w:szCs w:val="18"/>
          <w:color w:val="auto"/>
        </w:rPr>
      </w:pPr>
    </w:p>
    <w:p>
      <w:pPr>
        <w:ind w:left="900" w:right="160" w:hanging="446"/>
        <w:spacing w:after="0" w:line="277" w:lineRule="auto"/>
        <w:tabs>
          <w:tab w:leader="none" w:pos="900" w:val="left"/>
        </w:tabs>
        <w:numPr>
          <w:ilvl w:val="1"/>
          <w:numId w:val="2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p>
      <w:pPr>
        <w:spacing w:after="0"/>
        <w:tabs>
          <w:tab w:leader="none" w:pos="6060" w:val="left"/>
        </w:tabs>
        <w:rPr>
          <w:sz w:val="20"/>
          <w:szCs w:val="20"/>
          <w:color w:val="auto"/>
        </w:rPr>
      </w:pPr>
      <w:r>
        <w:rPr>
          <w:rFonts w:ascii="Arial" w:cs="Arial" w:eastAsia="Arial" w:hAnsi="Arial"/>
          <w:sz w:val="18"/>
          <w:szCs w:val="18"/>
          <w:color w:val="auto"/>
        </w:rPr>
        <w:t>Date: May 6, 2014</w:t>
      </w:r>
      <w:r>
        <w:rPr>
          <w:sz w:val="20"/>
          <w:szCs w:val="20"/>
          <w:color w:val="auto"/>
        </w:rPr>
        <w:tab/>
      </w:r>
      <w:r>
        <w:rPr>
          <w:rFonts w:ascii="Arial" w:cs="Arial" w:eastAsia="Arial" w:hAnsi="Arial"/>
          <w:sz w:val="16"/>
          <w:szCs w:val="16"/>
          <w:color w:val="auto"/>
        </w:rPr>
        <w:t>/s/ Douglas F. 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3855720</wp:posOffset>
            </wp:positionH>
            <wp:positionV relativeFrom="paragraph">
              <wp:posOffset>14605</wp:posOffset>
            </wp:positionV>
            <wp:extent cx="339598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3395980" cy="8890"/>
                    </a:xfrm>
                    <a:prstGeom prst="rect">
                      <a:avLst/>
                    </a:prstGeom>
                    <a:noFill/>
                  </pic:spPr>
                </pic:pic>
              </a:graphicData>
            </a:graphic>
          </wp:anchor>
        </w:drawing>
      </w:r>
    </w:p>
    <w:p>
      <w:pPr>
        <w:spacing w:after="0" w:line="16"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Douglas F. Bauer</w:t>
      </w:r>
    </w:p>
    <w:p>
      <w:pPr>
        <w:spacing w:after="0" w:line="23"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Chief Executive Officer (Principal Executive Officer)</w:t>
      </w:r>
    </w:p>
    <w:p>
      <w:pPr>
        <w:sectPr>
          <w:pgSz w:w="11900" w:h="16838" w:orient="portrait"/>
          <w:cols w:equalWidth="0" w:num="1">
            <w:col w:w="11420"/>
          </w:cols>
          <w:pgMar w:left="240" w:top="121" w:right="239" w:bottom="1440" w:gutter="0" w:footer="0" w:header="0"/>
        </w:sectPr>
      </w:pPr>
    </w:p>
    <w:bookmarkStart w:id="32" w:name="page33"/>
    <w:bookmarkEnd w:id="32"/>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CERTIFICATION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 Michael D. Grubbs, certify that:</w:t>
      </w:r>
    </w:p>
    <w:p>
      <w:pPr>
        <w:spacing w:after="0" w:line="131" w:lineRule="exact"/>
        <w:rPr>
          <w:sz w:val="20"/>
          <w:szCs w:val="20"/>
          <w:color w:val="auto"/>
        </w:rPr>
      </w:pPr>
    </w:p>
    <w:p>
      <w:pPr>
        <w:ind w:left="460" w:hanging="452"/>
        <w:spacing w:after="0"/>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 have reviewed this report on Form 10-Q of TRI Pointe Homes, Inc.;</w:t>
      </w:r>
    </w:p>
    <w:p>
      <w:pPr>
        <w:spacing w:after="0" w:line="130" w:lineRule="exact"/>
        <w:rPr>
          <w:rFonts w:ascii="Arial" w:cs="Arial" w:eastAsia="Arial" w:hAnsi="Arial"/>
          <w:sz w:val="18"/>
          <w:szCs w:val="18"/>
          <w:color w:val="auto"/>
        </w:rPr>
      </w:pPr>
    </w:p>
    <w:p>
      <w:pPr>
        <w:jc w:val="both"/>
        <w:ind w:left="460" w:right="500" w:hanging="452"/>
        <w:spacing w:after="0" w:line="264" w:lineRule="auto"/>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86" w:lineRule="exact"/>
        <w:rPr>
          <w:rFonts w:ascii="Arial" w:cs="Arial" w:eastAsia="Arial" w:hAnsi="Arial"/>
          <w:sz w:val="18"/>
          <w:szCs w:val="18"/>
          <w:color w:val="auto"/>
        </w:rPr>
      </w:pPr>
    </w:p>
    <w:p>
      <w:pPr>
        <w:ind w:left="460" w:right="460" w:hanging="452"/>
        <w:spacing w:after="0" w:line="308" w:lineRule="auto"/>
        <w:tabs>
          <w:tab w:leader="none" w:pos="4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51" w:lineRule="exact"/>
        <w:rPr>
          <w:rFonts w:ascii="Arial" w:cs="Arial" w:eastAsia="Arial" w:hAnsi="Arial"/>
          <w:sz w:val="17"/>
          <w:szCs w:val="17"/>
          <w:color w:val="auto"/>
        </w:rPr>
      </w:pPr>
    </w:p>
    <w:p>
      <w:pPr>
        <w:ind w:left="460" w:right="80" w:hanging="452"/>
        <w:spacing w:after="0" w:line="264" w:lineRule="auto"/>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86" w:lineRule="exact"/>
        <w:rPr>
          <w:rFonts w:ascii="Arial" w:cs="Arial" w:eastAsia="Arial" w:hAnsi="Arial"/>
          <w:sz w:val="18"/>
          <w:szCs w:val="18"/>
          <w:color w:val="auto"/>
        </w:rPr>
      </w:pPr>
    </w:p>
    <w:p>
      <w:pPr>
        <w:ind w:left="900" w:right="300" w:hanging="446"/>
        <w:spacing w:after="0" w:line="264" w:lineRule="auto"/>
        <w:tabs>
          <w:tab w:leader="none" w:pos="900" w:val="left"/>
        </w:tabs>
        <w:numPr>
          <w:ilvl w:val="1"/>
          <w:numId w:val="2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86" w:lineRule="exact"/>
        <w:rPr>
          <w:rFonts w:ascii="Arial" w:cs="Arial" w:eastAsia="Arial" w:hAnsi="Arial"/>
          <w:sz w:val="18"/>
          <w:szCs w:val="18"/>
          <w:color w:val="auto"/>
        </w:rPr>
      </w:pPr>
    </w:p>
    <w:p>
      <w:pPr>
        <w:ind w:left="900" w:right="620" w:hanging="446"/>
        <w:spacing w:after="0" w:line="264" w:lineRule="auto"/>
        <w:tabs>
          <w:tab w:leader="none" w:pos="900" w:val="left"/>
        </w:tabs>
        <w:numPr>
          <w:ilvl w:val="1"/>
          <w:numId w:val="2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86" w:lineRule="exact"/>
        <w:rPr>
          <w:rFonts w:ascii="Arial" w:cs="Arial" w:eastAsia="Arial" w:hAnsi="Arial"/>
          <w:sz w:val="18"/>
          <w:szCs w:val="18"/>
          <w:color w:val="auto"/>
        </w:rPr>
      </w:pPr>
    </w:p>
    <w:p>
      <w:pPr>
        <w:jc w:val="both"/>
        <w:ind w:left="900" w:right="800" w:hanging="446"/>
        <w:spacing w:after="0" w:line="342" w:lineRule="auto"/>
        <w:tabs>
          <w:tab w:leader="none" w:pos="900" w:val="left"/>
        </w:tabs>
        <w:numPr>
          <w:ilvl w:val="1"/>
          <w:numId w:val="2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29" w:lineRule="exact"/>
        <w:rPr>
          <w:rFonts w:ascii="Arial" w:cs="Arial" w:eastAsia="Arial" w:hAnsi="Arial"/>
          <w:sz w:val="16"/>
          <w:szCs w:val="16"/>
          <w:color w:val="auto"/>
        </w:rPr>
      </w:pPr>
    </w:p>
    <w:p>
      <w:pPr>
        <w:ind w:left="900" w:right="20" w:hanging="446"/>
        <w:spacing w:after="0" w:line="264" w:lineRule="auto"/>
        <w:tabs>
          <w:tab w:leader="none" w:pos="900" w:val="left"/>
        </w:tabs>
        <w:numPr>
          <w:ilvl w:val="1"/>
          <w:numId w:val="2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86" w:lineRule="exact"/>
        <w:rPr>
          <w:rFonts w:ascii="Arial" w:cs="Arial" w:eastAsia="Arial" w:hAnsi="Arial"/>
          <w:sz w:val="18"/>
          <w:szCs w:val="18"/>
          <w:color w:val="auto"/>
        </w:rPr>
      </w:pPr>
    </w:p>
    <w:p>
      <w:pPr>
        <w:ind w:left="460" w:right="200" w:hanging="452"/>
        <w:spacing w:after="0" w:line="308" w:lineRule="auto"/>
        <w:tabs>
          <w:tab w:leader="none" w:pos="4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51" w:lineRule="exact"/>
        <w:rPr>
          <w:rFonts w:ascii="Arial" w:cs="Arial" w:eastAsia="Arial" w:hAnsi="Arial"/>
          <w:sz w:val="17"/>
          <w:szCs w:val="17"/>
          <w:color w:val="auto"/>
        </w:rPr>
      </w:pPr>
    </w:p>
    <w:p>
      <w:pPr>
        <w:ind w:left="900" w:right="200" w:hanging="446"/>
        <w:spacing w:after="0" w:line="277" w:lineRule="auto"/>
        <w:tabs>
          <w:tab w:leader="none" w:pos="900" w:val="left"/>
        </w:tabs>
        <w:numPr>
          <w:ilvl w:val="1"/>
          <w:numId w:val="21"/>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75" w:lineRule="exact"/>
        <w:rPr>
          <w:rFonts w:ascii="Arial" w:cs="Arial" w:eastAsia="Arial" w:hAnsi="Arial"/>
          <w:sz w:val="18"/>
          <w:szCs w:val="18"/>
          <w:color w:val="auto"/>
        </w:rPr>
      </w:pPr>
    </w:p>
    <w:p>
      <w:pPr>
        <w:ind w:left="900" w:right="160" w:hanging="446"/>
        <w:spacing w:after="0" w:line="277" w:lineRule="auto"/>
        <w:tabs>
          <w:tab w:leader="none" w:pos="900" w:val="left"/>
        </w:tabs>
        <w:numPr>
          <w:ilvl w:val="1"/>
          <w:numId w:val="2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p>
      <w:pPr>
        <w:spacing w:after="0"/>
        <w:tabs>
          <w:tab w:leader="none" w:pos="7640" w:val="left"/>
        </w:tabs>
        <w:rPr>
          <w:sz w:val="20"/>
          <w:szCs w:val="20"/>
          <w:color w:val="auto"/>
        </w:rPr>
      </w:pPr>
      <w:r>
        <w:rPr>
          <w:rFonts w:ascii="Arial" w:cs="Arial" w:eastAsia="Arial" w:hAnsi="Arial"/>
          <w:sz w:val="18"/>
          <w:szCs w:val="18"/>
          <w:color w:val="auto"/>
        </w:rPr>
        <w:t>Date: May 6, 2014</w:t>
      </w:r>
      <w:r>
        <w:rPr>
          <w:sz w:val="20"/>
          <w:szCs w:val="20"/>
          <w:color w:val="auto"/>
        </w:rPr>
        <w:tab/>
      </w:r>
      <w:r>
        <w:rPr>
          <w:rFonts w:ascii="Arial" w:cs="Arial" w:eastAsia="Arial" w:hAnsi="Arial"/>
          <w:sz w:val="16"/>
          <w:szCs w:val="16"/>
          <w:color w:val="auto"/>
        </w:rPr>
        <w:t>/s/ Michael D. Grubbs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4859020</wp:posOffset>
            </wp:positionH>
            <wp:positionV relativeFrom="paragraph">
              <wp:posOffset>14605</wp:posOffset>
            </wp:positionV>
            <wp:extent cx="239268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2392680" cy="8890"/>
                    </a:xfrm>
                    <a:prstGeom prst="rect">
                      <a:avLst/>
                    </a:prstGeom>
                    <a:noFill/>
                  </pic:spPr>
                </pic:pic>
              </a:graphicData>
            </a:graphic>
          </wp:anchor>
        </w:drawing>
      </w:r>
    </w:p>
    <w:p>
      <w:pPr>
        <w:spacing w:after="0" w:line="16" w:lineRule="exact"/>
        <w:rPr>
          <w:sz w:val="20"/>
          <w:szCs w:val="20"/>
          <w:color w:val="auto"/>
        </w:rPr>
      </w:pPr>
    </w:p>
    <w:p>
      <w:pPr>
        <w:ind w:left="7660"/>
        <w:spacing w:after="0"/>
        <w:rPr>
          <w:sz w:val="20"/>
          <w:szCs w:val="20"/>
          <w:color w:val="auto"/>
        </w:rPr>
      </w:pPr>
      <w:r>
        <w:rPr>
          <w:rFonts w:ascii="Arial" w:cs="Arial" w:eastAsia="Arial" w:hAnsi="Arial"/>
          <w:sz w:val="18"/>
          <w:szCs w:val="18"/>
          <w:color w:val="auto"/>
        </w:rPr>
        <w:t>Michael D. Grubbs</w:t>
      </w:r>
    </w:p>
    <w:p>
      <w:pPr>
        <w:spacing w:after="0" w:line="23" w:lineRule="exact"/>
        <w:rPr>
          <w:sz w:val="20"/>
          <w:szCs w:val="20"/>
          <w:color w:val="auto"/>
        </w:rPr>
      </w:pPr>
    </w:p>
    <w:p>
      <w:pPr>
        <w:ind w:left="7660"/>
        <w:spacing w:after="0"/>
        <w:rPr>
          <w:sz w:val="20"/>
          <w:szCs w:val="20"/>
          <w:color w:val="auto"/>
        </w:rPr>
      </w:pPr>
      <w:r>
        <w:rPr>
          <w:rFonts w:ascii="Arial" w:cs="Arial" w:eastAsia="Arial" w:hAnsi="Arial"/>
          <w:sz w:val="16"/>
          <w:szCs w:val="16"/>
          <w:color w:val="auto"/>
        </w:rPr>
        <w:t>Chief Financial Officer (Principal Financial Officer)</w:t>
      </w:r>
    </w:p>
    <w:p>
      <w:pPr>
        <w:sectPr>
          <w:pgSz w:w="11900" w:h="16838" w:orient="portrait"/>
          <w:cols w:equalWidth="0" w:num="1">
            <w:col w:w="11420"/>
          </w:cols>
          <w:pgMar w:left="240" w:top="121" w:right="239" w:bottom="1440" w:gutter="0" w:footer="0" w:header="0"/>
        </w:sectPr>
      </w:pPr>
    </w:p>
    <w:bookmarkStart w:id="33" w:name="page34"/>
    <w:bookmarkEnd w:id="33"/>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jc w:val="both"/>
        <w:ind w:right="300"/>
        <w:spacing w:after="0" w:line="291" w:lineRule="auto"/>
        <w:rPr>
          <w:sz w:val="20"/>
          <w:szCs w:val="20"/>
          <w:color w:val="auto"/>
        </w:rPr>
      </w:pPr>
      <w:r>
        <w:rPr>
          <w:rFonts w:ascii="Arial" w:cs="Arial" w:eastAsia="Arial" w:hAnsi="Arial"/>
          <w:sz w:val="16"/>
          <w:szCs w:val="16"/>
          <w:color w:val="auto"/>
        </w:rPr>
        <w:t>In connection with the Report of TRI Pointe Homes, Inc. (the “Company”) on Form 10-Q for the period ended March 31, 2014 as filed with the Securities and Exchange Commission on the date hereof (the “Report”), I, Douglas F. Bauer, Chief Executive Officer of the Company, certify, pursuant to 18 U.S.C.</w:t>
      </w:r>
    </w:p>
    <w:p>
      <w:pPr>
        <w:ind w:left="140" w:hanging="132"/>
        <w:spacing w:after="0"/>
        <w:tabs>
          <w:tab w:leader="none" w:pos="1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1350, as adopted pursuant to § 906 of the Sarbanes-Oxley Act of 2002, that:</w:t>
      </w:r>
    </w:p>
    <w:p>
      <w:pPr>
        <w:spacing w:after="0" w:line="116" w:lineRule="exact"/>
        <w:rPr>
          <w:rFonts w:ascii="Arial" w:cs="Arial" w:eastAsia="Arial" w:hAnsi="Arial"/>
          <w:sz w:val="18"/>
          <w:szCs w:val="18"/>
          <w:color w:val="auto"/>
        </w:rPr>
      </w:pPr>
    </w:p>
    <w:p>
      <w:pPr>
        <w:ind w:left="900" w:hanging="446"/>
        <w:spacing w:after="0"/>
        <w:tabs>
          <w:tab w:leader="none" w:pos="900" w:val="left"/>
        </w:tabs>
        <w:numPr>
          <w:ilvl w:val="1"/>
          <w:numId w:val="22"/>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1"/>
          <w:numId w:val="22"/>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75" w:lineRule="exact"/>
        <w:rPr>
          <w:sz w:val="20"/>
          <w:szCs w:val="20"/>
          <w:color w:val="auto"/>
        </w:rPr>
      </w:pPr>
    </w:p>
    <w:p>
      <w:pPr>
        <w:spacing w:after="0"/>
        <w:tabs>
          <w:tab w:leader="none" w:pos="7520" w:val="left"/>
        </w:tabs>
        <w:rPr>
          <w:sz w:val="20"/>
          <w:szCs w:val="20"/>
          <w:color w:val="auto"/>
        </w:rPr>
      </w:pPr>
      <w:r>
        <w:rPr>
          <w:rFonts w:ascii="Arial" w:cs="Arial" w:eastAsia="Arial" w:hAnsi="Arial"/>
          <w:sz w:val="18"/>
          <w:szCs w:val="18"/>
          <w:color w:val="auto"/>
        </w:rPr>
        <w:t>Date: May 6, 2014</w:t>
      </w:r>
      <w:r>
        <w:rPr>
          <w:sz w:val="20"/>
          <w:szCs w:val="20"/>
          <w:color w:val="auto"/>
        </w:rPr>
        <w:tab/>
      </w:r>
      <w:r>
        <w:rPr>
          <w:rFonts w:ascii="Arial" w:cs="Arial" w:eastAsia="Arial" w:hAnsi="Arial"/>
          <w:sz w:val="16"/>
          <w:szCs w:val="16"/>
          <w:color w:val="auto"/>
        </w:rPr>
        <w:t>/s/ Douglas F. 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4790440</wp:posOffset>
            </wp:positionH>
            <wp:positionV relativeFrom="paragraph">
              <wp:posOffset>14605</wp:posOffset>
            </wp:positionV>
            <wp:extent cx="246126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2461260" cy="8890"/>
                    </a:xfrm>
                    <a:prstGeom prst="rect">
                      <a:avLst/>
                    </a:prstGeom>
                    <a:noFill/>
                  </pic:spPr>
                </pic:pic>
              </a:graphicData>
            </a:graphic>
          </wp:anchor>
        </w:drawing>
      </w:r>
    </w:p>
    <w:p>
      <w:pPr>
        <w:spacing w:after="0" w:line="16" w:lineRule="exact"/>
        <w:rPr>
          <w:sz w:val="20"/>
          <w:szCs w:val="20"/>
          <w:color w:val="auto"/>
        </w:rPr>
      </w:pPr>
    </w:p>
    <w:p>
      <w:pPr>
        <w:ind w:left="7540"/>
        <w:spacing w:after="0"/>
        <w:rPr>
          <w:sz w:val="20"/>
          <w:szCs w:val="20"/>
          <w:color w:val="auto"/>
        </w:rPr>
      </w:pPr>
      <w:r>
        <w:rPr>
          <w:rFonts w:ascii="Arial" w:cs="Arial" w:eastAsia="Arial" w:hAnsi="Arial"/>
          <w:sz w:val="18"/>
          <w:szCs w:val="18"/>
          <w:color w:val="auto"/>
        </w:rPr>
        <w:t>Douglas F. Bauer</w:t>
      </w:r>
    </w:p>
    <w:p>
      <w:pPr>
        <w:spacing w:after="0" w:line="23" w:lineRule="exact"/>
        <w:rPr>
          <w:sz w:val="20"/>
          <w:szCs w:val="20"/>
          <w:color w:val="auto"/>
        </w:rPr>
      </w:pPr>
    </w:p>
    <w:p>
      <w:pPr>
        <w:ind w:left="7540"/>
        <w:spacing w:after="0"/>
        <w:rPr>
          <w:sz w:val="20"/>
          <w:szCs w:val="20"/>
          <w:color w:val="auto"/>
        </w:rPr>
      </w:pPr>
      <w:r>
        <w:rPr>
          <w:rFonts w:ascii="Arial" w:cs="Arial" w:eastAsia="Arial" w:hAnsi="Arial"/>
          <w:sz w:val="17"/>
          <w:szCs w:val="17"/>
          <w:color w:val="auto"/>
        </w:rPr>
        <w:t>Chief Executive Officer (Principal Executive Officer)</w:t>
      </w:r>
    </w:p>
    <w:p>
      <w:pPr>
        <w:sectPr>
          <w:pgSz w:w="11900" w:h="16838" w:orient="portrait"/>
          <w:cols w:equalWidth="0" w:num="1">
            <w:col w:w="11420"/>
          </w:cols>
          <w:pgMar w:left="240" w:top="121" w:right="239" w:bottom="1440" w:gutter="0" w:footer="0" w:header="0"/>
        </w:sectPr>
      </w:pPr>
    </w:p>
    <w:bookmarkStart w:id="34" w:name="page35"/>
    <w:bookmarkEnd w:id="34"/>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jc w:val="both"/>
        <w:ind w:right="240"/>
        <w:spacing w:after="0" w:line="291" w:lineRule="auto"/>
        <w:rPr>
          <w:sz w:val="20"/>
          <w:szCs w:val="20"/>
          <w:color w:val="auto"/>
        </w:rPr>
      </w:pPr>
      <w:r>
        <w:rPr>
          <w:rFonts w:ascii="Arial" w:cs="Arial" w:eastAsia="Arial" w:hAnsi="Arial"/>
          <w:sz w:val="16"/>
          <w:szCs w:val="16"/>
          <w:color w:val="auto"/>
        </w:rPr>
        <w:t>In connection with the Report of TRI Pointe Homes, Inc. (the “Company”) on Form 10-Q for the period ended March 31, 2014 as filed with the Securities and Exchange Commission on the date hereof (the “Report”), I, Michael D. Grubbs, Chief Financial Officer of the Company, certify, pursuant to 18 U.S.C.</w:t>
      </w:r>
    </w:p>
    <w:p>
      <w:pPr>
        <w:ind w:left="140" w:hanging="132"/>
        <w:spacing w:after="0"/>
        <w:tabs>
          <w:tab w:leader="none" w:pos="1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1350, as adopted pursuant to § 906 of the Sarbanes-Oxley Act of 2002, that:</w:t>
      </w:r>
    </w:p>
    <w:p>
      <w:pPr>
        <w:spacing w:after="0" w:line="116" w:lineRule="exact"/>
        <w:rPr>
          <w:rFonts w:ascii="Arial" w:cs="Arial" w:eastAsia="Arial" w:hAnsi="Arial"/>
          <w:sz w:val="18"/>
          <w:szCs w:val="18"/>
          <w:color w:val="auto"/>
        </w:rPr>
      </w:pPr>
    </w:p>
    <w:p>
      <w:pPr>
        <w:ind w:left="900" w:hanging="446"/>
        <w:spacing w:after="0"/>
        <w:tabs>
          <w:tab w:leader="none" w:pos="900" w:val="left"/>
        </w:tabs>
        <w:numPr>
          <w:ilvl w:val="1"/>
          <w:numId w:val="23"/>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1"/>
          <w:numId w:val="23"/>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75" w:lineRule="exact"/>
        <w:rPr>
          <w:sz w:val="20"/>
          <w:szCs w:val="20"/>
          <w:color w:val="auto"/>
        </w:rPr>
      </w:pPr>
    </w:p>
    <w:p>
      <w:pPr>
        <w:spacing w:after="0"/>
        <w:tabs>
          <w:tab w:leader="none" w:pos="7640" w:val="left"/>
        </w:tabs>
        <w:rPr>
          <w:sz w:val="20"/>
          <w:szCs w:val="20"/>
          <w:color w:val="auto"/>
        </w:rPr>
      </w:pPr>
      <w:r>
        <w:rPr>
          <w:rFonts w:ascii="Arial" w:cs="Arial" w:eastAsia="Arial" w:hAnsi="Arial"/>
          <w:sz w:val="18"/>
          <w:szCs w:val="18"/>
          <w:color w:val="auto"/>
        </w:rPr>
        <w:t>Date: May 6, 2014</w:t>
      </w:r>
      <w:r>
        <w:rPr>
          <w:sz w:val="20"/>
          <w:szCs w:val="20"/>
          <w:color w:val="auto"/>
        </w:rPr>
        <w:tab/>
      </w:r>
      <w:r>
        <w:rPr>
          <w:rFonts w:ascii="Arial" w:cs="Arial" w:eastAsia="Arial" w:hAnsi="Arial"/>
          <w:sz w:val="16"/>
          <w:szCs w:val="16"/>
          <w:color w:val="auto"/>
        </w:rPr>
        <w:t>/s/ Michael D. Grubbs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4859020</wp:posOffset>
            </wp:positionH>
            <wp:positionV relativeFrom="paragraph">
              <wp:posOffset>14605</wp:posOffset>
            </wp:positionV>
            <wp:extent cx="239268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2392680" cy="8890"/>
                    </a:xfrm>
                    <a:prstGeom prst="rect">
                      <a:avLst/>
                    </a:prstGeom>
                    <a:noFill/>
                  </pic:spPr>
                </pic:pic>
              </a:graphicData>
            </a:graphic>
          </wp:anchor>
        </w:drawing>
      </w:r>
    </w:p>
    <w:p>
      <w:pPr>
        <w:spacing w:after="0" w:line="16" w:lineRule="exact"/>
        <w:rPr>
          <w:sz w:val="20"/>
          <w:szCs w:val="20"/>
          <w:color w:val="auto"/>
        </w:rPr>
      </w:pPr>
    </w:p>
    <w:p>
      <w:pPr>
        <w:ind w:left="7660"/>
        <w:spacing w:after="0"/>
        <w:rPr>
          <w:sz w:val="20"/>
          <w:szCs w:val="20"/>
          <w:color w:val="auto"/>
        </w:rPr>
      </w:pPr>
      <w:r>
        <w:rPr>
          <w:rFonts w:ascii="Arial" w:cs="Arial" w:eastAsia="Arial" w:hAnsi="Arial"/>
          <w:sz w:val="18"/>
          <w:szCs w:val="18"/>
          <w:color w:val="auto"/>
        </w:rPr>
        <w:t>Michael D. Grubbs</w:t>
      </w:r>
    </w:p>
    <w:p>
      <w:pPr>
        <w:spacing w:after="0" w:line="23" w:lineRule="exact"/>
        <w:rPr>
          <w:sz w:val="20"/>
          <w:szCs w:val="20"/>
          <w:color w:val="auto"/>
        </w:rPr>
      </w:pPr>
    </w:p>
    <w:p>
      <w:pPr>
        <w:ind w:left="7660"/>
        <w:spacing w:after="0"/>
        <w:rPr>
          <w:sz w:val="20"/>
          <w:szCs w:val="20"/>
          <w:color w:val="auto"/>
        </w:rPr>
      </w:pPr>
      <w:r>
        <w:rPr>
          <w:rFonts w:ascii="Arial" w:cs="Arial" w:eastAsia="Arial" w:hAnsi="Arial"/>
          <w:sz w:val="16"/>
          <w:szCs w:val="16"/>
          <w:color w:val="auto"/>
        </w:rPr>
        <w:t>Chief Financial Officer (Principal Financial Officer)</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EF438D"/>
    <w:multiLevelType w:val="hybridMultilevel"/>
    <w:lvl w:ilvl="0">
      <w:lvlJc w:val="left"/>
      <w:lvlText w:val="☒"/>
      <w:numFmt w:val="bullet"/>
      <w:start w:val="1"/>
    </w:lvl>
  </w:abstractNum>
  <w:abstractNum w:abstractNumId="1">
    <w:nsid w:val="140E0F76"/>
    <w:multiLevelType w:val="hybridMultilevel"/>
    <w:lvl w:ilvl="0">
      <w:lvlJc w:val="left"/>
      <w:lvlText w:val="☐"/>
      <w:numFmt w:val="bullet"/>
      <w:start w:val="1"/>
    </w:lvl>
  </w:abstractNum>
  <w:abstractNum w:abstractNumId="2">
    <w:nsid w:val="3352255A"/>
    <w:multiLevelType w:val="hybridMultilevel"/>
    <w:lvl w:ilvl="0">
      <w:lvlJc w:val="left"/>
      <w:lvlText w:val="%1."/>
      <w:numFmt w:val="decimal"/>
      <w:start w:val="1"/>
    </w:lvl>
  </w:abstractNum>
  <w:abstractNum w:abstractNumId="3">
    <w:nsid w:val="109CF92E"/>
    <w:multiLevelType w:val="hybridMultilevel"/>
    <w:lvl w:ilvl="0">
      <w:lvlJc w:val="left"/>
      <w:lvlText w:val="(%1)"/>
      <w:numFmt w:val="decimal"/>
      <w:start w:val="1"/>
    </w:lvl>
    <w:lvl w:ilvl="1">
      <w:lvlJc w:val="left"/>
      <w:lvlText w:val="-"/>
      <w:numFmt w:val="bullet"/>
      <w:start w:val="1"/>
    </w:lvl>
  </w:abstractNum>
  <w:abstractNum w:abstractNumId="4">
    <w:nsid w:val="DED7263"/>
    <w:multiLevelType w:val="hybridMultilevel"/>
    <w:lvl w:ilvl="0">
      <w:lvlJc w:val="left"/>
      <w:lvlText w:val="•"/>
      <w:numFmt w:val="bullet"/>
      <w:start w:val="1"/>
    </w:lvl>
  </w:abstractNum>
  <w:abstractNum w:abstractNumId="5">
    <w:nsid w:val="7FDCC233"/>
    <w:multiLevelType w:val="hybridMultilevel"/>
    <w:lvl w:ilvl="0">
      <w:lvlJc w:val="left"/>
      <w:lvlText w:val="%1."/>
      <w:numFmt w:val="decimal"/>
      <w:start w:val="7"/>
    </w:lvl>
  </w:abstractNum>
  <w:abstractNum w:abstractNumId="6">
    <w:nsid w:val="1BEFD79F"/>
    <w:multiLevelType w:val="hybridMultilevel"/>
    <w:lvl w:ilvl="0">
      <w:lvlJc w:val="left"/>
      <w:lvlText w:val="%1."/>
      <w:numFmt w:val="decimal"/>
      <w:start w:val="8"/>
    </w:lvl>
  </w:abstractNum>
  <w:abstractNum w:abstractNumId="7">
    <w:nsid w:val="41A7C4C9"/>
    <w:multiLevelType w:val="hybridMultilevel"/>
    <w:lvl w:ilvl="0">
      <w:lvlJc w:val="left"/>
      <w:lvlText w:val="(%1)"/>
      <w:numFmt w:val="decimal"/>
      <w:start w:val="3"/>
    </w:lvl>
  </w:abstractNum>
  <w:abstractNum w:abstractNumId="8">
    <w:nsid w:val="6B68079A"/>
    <w:multiLevelType w:val="hybridMultilevel"/>
    <w:lvl w:ilvl="0">
      <w:lvlJc w:val="left"/>
      <w:lvlText w:val="(%1)"/>
      <w:numFmt w:val="decimal"/>
      <w:start w:val="3"/>
    </w:lvl>
  </w:abstractNum>
  <w:abstractNum w:abstractNumId="9">
    <w:nsid w:val="4E6AFB66"/>
    <w:multiLevelType w:val="hybridMultilevel"/>
    <w:lvl w:ilvl="0">
      <w:lvlJc w:val="left"/>
      <w:lvlText w:val="•"/>
      <w:numFmt w:val="bullet"/>
      <w:start w:val="1"/>
    </w:lvl>
  </w:abstractNum>
  <w:abstractNum w:abstractNumId="10">
    <w:nsid w:val="25E45D32"/>
    <w:multiLevelType w:val="hybridMultilevel"/>
    <w:lvl w:ilvl="0">
      <w:lvlJc w:val="left"/>
      <w:lvlText w:val="•"/>
      <w:numFmt w:val="bullet"/>
      <w:start w:val="1"/>
    </w:lvl>
  </w:abstractNum>
  <w:abstractNum w:abstractNumId="11">
    <w:nsid w:val="519B500D"/>
    <w:multiLevelType w:val="hybridMultilevel"/>
    <w:lvl w:ilvl="0">
      <w:lvlJc w:val="left"/>
      <w:lvlText w:val="•"/>
      <w:numFmt w:val="bullet"/>
      <w:start w:val="1"/>
    </w:lvl>
    <w:lvl w:ilvl="1">
      <w:lvlJc w:val="left"/>
      <w:lvlText w:val="-"/>
      <w:numFmt w:val="bullet"/>
      <w:start w:val="1"/>
    </w:lvl>
  </w:abstractNum>
  <w:abstractNum w:abstractNumId="12">
    <w:nsid w:val="431BD7B7"/>
    <w:multiLevelType w:val="hybridMultilevel"/>
    <w:lvl w:ilvl="0">
      <w:lvlJc w:val="left"/>
      <w:lvlText w:val="•"/>
      <w:numFmt w:val="bullet"/>
      <w:start w:val="1"/>
    </w:lvl>
  </w:abstractNum>
  <w:abstractNum w:abstractNumId="13">
    <w:nsid w:val="3F2DBA31"/>
    <w:multiLevelType w:val="hybridMultilevel"/>
    <w:lvl w:ilvl="0">
      <w:lvlJc w:val="left"/>
      <w:lvlText w:val="(%1)"/>
      <w:numFmt w:val="decimal"/>
      <w:start w:val="1"/>
    </w:lvl>
  </w:abstractNum>
  <w:abstractNum w:abstractNumId="14">
    <w:nsid w:val="7C83E458"/>
    <w:multiLevelType w:val="hybridMultilevel"/>
    <w:lvl w:ilvl="0">
      <w:lvlJc w:val="left"/>
      <w:lvlText w:val="(%1)"/>
      <w:numFmt w:val="decimal"/>
      <w:start w:val="1"/>
    </w:lvl>
  </w:abstractNum>
  <w:abstractNum w:abstractNumId="15">
    <w:nsid w:val="257130A3"/>
    <w:multiLevelType w:val="hybridMultilevel"/>
    <w:lvl w:ilvl="0">
      <w:lvlJc w:val="left"/>
      <w:lvlText w:val="(%1)"/>
      <w:numFmt w:val="decimal"/>
      <w:start w:val="1"/>
    </w:lvl>
    <w:lvl w:ilvl="1">
      <w:lvlJc w:val="left"/>
      <w:lvlText w:val="-"/>
      <w:numFmt w:val="bullet"/>
      <w:start w:val="1"/>
    </w:lvl>
  </w:abstractNum>
  <w:abstractNum w:abstractNumId="16">
    <w:nsid w:val="62BBD95A"/>
    <w:multiLevelType w:val="hybridMultilevel"/>
    <w:lvl w:ilvl="0">
      <w:lvlJc w:val="left"/>
      <w:lvlText w:val="(%1)"/>
      <w:numFmt w:val="decimal"/>
      <w:start w:val="1"/>
    </w:lvl>
    <w:lvl w:ilvl="1">
      <w:lvlJc w:val="left"/>
      <w:lvlText w:val="•"/>
      <w:numFmt w:val="bullet"/>
      <w:start w:val="1"/>
    </w:lvl>
  </w:abstractNum>
  <w:abstractNum w:abstractNumId="17">
    <w:nsid w:val="436C6125"/>
    <w:multiLevelType w:val="hybridMultilevel"/>
    <w:lvl w:ilvl="0">
      <w:lvlJc w:val="left"/>
      <w:lvlText w:val="(%1)"/>
      <w:numFmt w:val="decimal"/>
      <w:start w:val="1"/>
    </w:lvl>
    <w:lvl w:ilvl="1">
      <w:lvlJc w:val="left"/>
      <w:lvlText w:val="-"/>
      <w:numFmt w:val="bullet"/>
      <w:start w:val="1"/>
    </w:lvl>
  </w:abstractNum>
  <w:abstractNum w:abstractNumId="18">
    <w:nsid w:val="628C895D"/>
    <w:multiLevelType w:val="hybridMultilevel"/>
    <w:lvl w:ilvl="0">
      <w:lvlJc w:val="left"/>
      <w:lvlText w:val="%1"/>
      <w:numFmt w:val="decimal"/>
      <w:start w:val="101"/>
    </w:lvl>
    <w:lvl w:ilvl="1">
      <w:lvlJc w:val="left"/>
      <w:lvlText w:val="-"/>
      <w:numFmt w:val="bullet"/>
      <w:start w:val="1"/>
    </w:lvl>
  </w:abstractNum>
  <w:abstractNum w:abstractNumId="19">
    <w:nsid w:val="333AB105"/>
    <w:multiLevelType w:val="hybridMultilevel"/>
    <w:lvl w:ilvl="0">
      <w:lvlJc w:val="left"/>
      <w:lvlText w:val="(%1)"/>
      <w:numFmt w:val="decimal"/>
      <w:start w:val="1"/>
    </w:lvl>
    <w:lvl w:ilvl="1">
      <w:lvlJc w:val="left"/>
      <w:lvlText w:val="%2."/>
      <w:numFmt w:val="lowerLetter"/>
      <w:start w:val="1"/>
    </w:lvl>
  </w:abstractNum>
  <w:abstractNum w:abstractNumId="20">
    <w:nsid w:val="721DA317"/>
    <w:multiLevelType w:val="hybridMultilevel"/>
    <w:lvl w:ilvl="0">
      <w:lvlJc w:val="left"/>
      <w:lvlText w:val="(%1)"/>
      <w:numFmt w:val="decimal"/>
      <w:start w:val="1"/>
    </w:lvl>
    <w:lvl w:ilvl="1">
      <w:lvlJc w:val="left"/>
      <w:lvlText w:val="%2."/>
      <w:numFmt w:val="lowerLetter"/>
      <w:start w:val="1"/>
    </w:lvl>
  </w:abstractNum>
  <w:abstractNum w:abstractNumId="21">
    <w:nsid w:val="2443A858"/>
    <w:multiLevelType w:val="hybridMultilevel"/>
    <w:lvl w:ilvl="0">
      <w:lvlJc w:val="left"/>
      <w:lvlText w:val="§"/>
      <w:numFmt w:val="bullet"/>
      <w:start w:val="1"/>
    </w:lvl>
    <w:lvl w:ilvl="1">
      <w:lvlJc w:val="left"/>
      <w:lvlText w:val="%2."/>
      <w:numFmt w:val="decimal"/>
      <w:start w:val="1"/>
    </w:lvl>
  </w:abstractNum>
  <w:abstractNum w:abstractNumId="22">
    <w:nsid w:val="2D1D5AE9"/>
    <w:multiLevelType w:val="hybridMultilevel"/>
    <w:lvl w:ilvl="0">
      <w:lvlJc w:val="left"/>
      <w:lvlText w:val="§"/>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2020-01-27T09:39:30Z</dcterms:created>
  <dcterms:modified xsi:type="dcterms:W3CDTF">2020-01-27T09:39:30Z</dcterms:modified>
</cp:coreProperties>
</file>