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9429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94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GRUBBS MICHAEL D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TRI POINTE HOMES,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19540 JAMBOREE ROAD, SUITE 300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TRI Pointe Homes,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TPH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8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01/30/2015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96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CFO and Treasurer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80" w:type="dxa"/>
            <w:vAlign w:val="bottom"/>
            <w:gridSpan w:val="8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620" w:type="dxa"/>
            <w:vAlign w:val="bottom"/>
            <w:gridSpan w:val="1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9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IRVINE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CA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92612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88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6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01/30/2015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2,885</w:t>
            </w:r>
          </w:p>
        </w:tc>
        <w:tc>
          <w:tcPr>
            <w:tcW w:w="7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14.33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945,421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2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The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41,681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ind w:right="2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Grubbs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Family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Trust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BMG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47,629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2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Homes,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Inc.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3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/s/Michael D. Grubbs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02/03/2015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360" w:type="dxa"/>
            <w:vAlign w:val="bottom"/>
            <w:gridSpan w:val="11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Reminder: Report on a separate line for each class of securities beneficially owned directly or indirectly.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740" w:type="dxa"/>
            <w:vAlign w:val="bottom"/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  <w:w w:val="96"/>
              </w:rPr>
              <w:t>see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 xml:space="preserve"> Instruction 4 (b)(v).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6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33473" TargetMode="External"/><Relationship Id="rId13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2020-01-22T06:09:19Z</dcterms:created>
  <dcterms:modified xsi:type="dcterms:W3CDTF">2020-01-22T06:09:19Z</dcterms:modified>
</cp:coreProperties>
</file>