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8"/>
          <w:szCs w:val="18"/>
          <w:color w:val="auto"/>
        </w:rPr>
        <w:t>Filed pursuant to Rule 433</w:t>
      </w:r>
    </w:p>
    <w:p>
      <w:pPr>
        <w:spacing w:after="0" w:line="23" w:lineRule="exact"/>
        <w:rPr>
          <w:sz w:val="24"/>
          <w:szCs w:val="24"/>
          <w:color w:val="auto"/>
        </w:rPr>
      </w:pPr>
    </w:p>
    <w:p>
      <w:pPr>
        <w:jc w:val="right"/>
        <w:spacing w:after="0"/>
        <w:rPr>
          <w:sz w:val="20"/>
          <w:szCs w:val="20"/>
          <w:color w:val="auto"/>
        </w:rPr>
      </w:pPr>
      <w:r>
        <w:rPr>
          <w:rFonts w:ascii="Arial" w:cs="Arial" w:eastAsia="Arial" w:hAnsi="Arial"/>
          <w:sz w:val="18"/>
          <w:szCs w:val="18"/>
          <w:color w:val="auto"/>
        </w:rPr>
        <w:t>Issuer Free Writing Prospectus, dated May 23, 2016</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Supplementing the Preliminary Prospectus Supplement, dated May 23, 2016</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color w:val="auto"/>
        </w:rPr>
        <w:t>Registration No. 333-211523</w:t>
      </w:r>
    </w:p>
    <w:p>
      <w:pPr>
        <w:spacing w:after="0" w:line="184"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TRI Pointe Group, Inc.</w:t>
      </w:r>
    </w:p>
    <w:p>
      <w:pPr>
        <w:spacing w:after="0" w:line="43" w:lineRule="exact"/>
        <w:rPr>
          <w:sz w:val="24"/>
          <w:szCs w:val="24"/>
          <w:color w:val="auto"/>
        </w:rPr>
      </w:pPr>
    </w:p>
    <w:p>
      <w:pPr>
        <w:jc w:val="center"/>
        <w:spacing w:after="0"/>
        <w:rPr>
          <w:sz w:val="20"/>
          <w:szCs w:val="20"/>
          <w:color w:val="auto"/>
        </w:rPr>
      </w:pPr>
      <w:r>
        <w:rPr>
          <w:rFonts w:ascii="Arial" w:cs="Arial" w:eastAsia="Arial" w:hAnsi="Arial"/>
          <w:sz w:val="25"/>
          <w:szCs w:val="25"/>
          <w:color w:val="auto"/>
        </w:rPr>
        <w:t>$300,000,000 4.875% Senior Notes due 2021</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Pricing Supplement</w:t>
      </w:r>
    </w:p>
    <w:p>
      <w:pPr>
        <w:spacing w:after="0" w:line="229" w:lineRule="exact"/>
        <w:rPr>
          <w:sz w:val="24"/>
          <w:szCs w:val="24"/>
          <w:color w:val="auto"/>
        </w:rPr>
      </w:pPr>
    </w:p>
    <w:p>
      <w:pPr>
        <w:ind w:right="220"/>
        <w:spacing w:after="0" w:line="279" w:lineRule="auto"/>
        <w:rPr>
          <w:sz w:val="20"/>
          <w:szCs w:val="20"/>
          <w:color w:val="auto"/>
        </w:rPr>
      </w:pPr>
      <w:r>
        <w:rPr>
          <w:rFonts w:ascii="Arial" w:cs="Arial" w:eastAsia="Arial" w:hAnsi="Arial"/>
          <w:sz w:val="17"/>
          <w:szCs w:val="17"/>
          <w:color w:val="auto"/>
        </w:rPr>
        <w:t>The information in this Pricing Supplement supplements the Preliminary Prospectus Supplement and supersedes the information in the Preliminary Prospectus Supplement to the extent it is inconsistent with the information in the Preliminary Prospectus Supplement. The Preliminary Prospectus Supplement, including the “Use of Proceeds” and “Capitalization” sections, is hereby supplemented to reflect that the Issuer shall receive gross proceeds of $298,311,000 from this offering. As a result, the Issuer’s cash and cash equivalents will be accordingly reduced.</w:t>
      </w:r>
    </w:p>
    <w:p>
      <w:pPr>
        <w:spacing w:after="0" w:line="303"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500" w:type="dxa"/>
            <w:vAlign w:val="bottom"/>
          </w:tcPr>
          <w:p>
            <w:pPr>
              <w:spacing w:after="0"/>
              <w:rPr>
                <w:sz w:val="20"/>
                <w:szCs w:val="20"/>
                <w:color w:val="auto"/>
              </w:rPr>
            </w:pPr>
            <w:r>
              <w:rPr>
                <w:rFonts w:ascii="Arial" w:cs="Arial" w:eastAsia="Arial" w:hAnsi="Arial"/>
                <w:sz w:val="18"/>
                <w:szCs w:val="18"/>
                <w:b w:val="1"/>
                <w:bCs w:val="1"/>
                <w:color w:val="auto"/>
              </w:rPr>
              <w:t>Issuer</w:t>
            </w:r>
          </w:p>
        </w:tc>
        <w:tc>
          <w:tcPr>
            <w:tcW w:w="3900" w:type="dxa"/>
            <w:vAlign w:val="bottom"/>
          </w:tcPr>
          <w:p>
            <w:pPr>
              <w:ind w:left="620"/>
              <w:spacing w:after="0"/>
              <w:rPr>
                <w:sz w:val="20"/>
                <w:szCs w:val="20"/>
                <w:color w:val="auto"/>
              </w:rPr>
            </w:pPr>
            <w:r>
              <w:rPr>
                <w:rFonts w:ascii="Arial" w:cs="Arial" w:eastAsia="Arial" w:hAnsi="Arial"/>
                <w:sz w:val="18"/>
                <w:szCs w:val="18"/>
                <w:color w:val="auto"/>
              </w:rPr>
              <w:t>TRI Pointe Group, Inc.</w:t>
            </w:r>
          </w:p>
        </w:tc>
        <w:tc>
          <w:tcPr>
            <w:tcW w:w="3960" w:type="dxa"/>
            <w:vAlign w:val="bottom"/>
          </w:tcPr>
          <w:p>
            <w:pPr>
              <w:spacing w:after="0"/>
              <w:rPr>
                <w:sz w:val="20"/>
                <w:szCs w:val="20"/>
                <w:color w:val="auto"/>
              </w:rPr>
            </w:pPr>
          </w:p>
        </w:tc>
      </w:tr>
      <w:tr>
        <w:trPr>
          <w:trHeight w:val="324"/>
        </w:trPr>
        <w:tc>
          <w:tcPr>
            <w:tcW w:w="3500" w:type="dxa"/>
            <w:vAlign w:val="bottom"/>
          </w:tcPr>
          <w:p>
            <w:pPr>
              <w:spacing w:after="0"/>
              <w:rPr>
                <w:sz w:val="20"/>
                <w:szCs w:val="20"/>
                <w:color w:val="auto"/>
              </w:rPr>
            </w:pPr>
            <w:r>
              <w:rPr>
                <w:rFonts w:ascii="Arial" w:cs="Arial" w:eastAsia="Arial" w:hAnsi="Arial"/>
                <w:sz w:val="18"/>
                <w:szCs w:val="18"/>
                <w:b w:val="1"/>
                <w:bCs w:val="1"/>
                <w:color w:val="auto"/>
              </w:rPr>
              <w:t>Title of Securities</w:t>
            </w:r>
          </w:p>
        </w:tc>
        <w:tc>
          <w:tcPr>
            <w:tcW w:w="3900" w:type="dxa"/>
            <w:vAlign w:val="bottom"/>
          </w:tcPr>
          <w:p>
            <w:pPr>
              <w:ind w:left="620"/>
              <w:spacing w:after="0"/>
              <w:rPr>
                <w:sz w:val="20"/>
                <w:szCs w:val="20"/>
                <w:color w:val="auto"/>
              </w:rPr>
            </w:pPr>
            <w:r>
              <w:rPr>
                <w:rFonts w:ascii="Arial" w:cs="Arial" w:eastAsia="Arial" w:hAnsi="Arial"/>
                <w:sz w:val="18"/>
                <w:szCs w:val="18"/>
                <w:color w:val="auto"/>
              </w:rPr>
              <w:t>4.875% Senior Notes due 2021</w:t>
            </w:r>
          </w:p>
        </w:tc>
        <w:tc>
          <w:tcPr>
            <w:tcW w:w="3960" w:type="dxa"/>
            <w:vAlign w:val="bottom"/>
          </w:tcPr>
          <w:p>
            <w:pPr>
              <w:spacing w:after="0"/>
              <w:rPr>
                <w:sz w:val="24"/>
                <w:szCs w:val="24"/>
                <w:color w:val="auto"/>
              </w:rPr>
            </w:pPr>
          </w:p>
        </w:tc>
      </w:tr>
      <w:tr>
        <w:trPr>
          <w:trHeight w:val="324"/>
        </w:trPr>
        <w:tc>
          <w:tcPr>
            <w:tcW w:w="3500" w:type="dxa"/>
            <w:vAlign w:val="bottom"/>
          </w:tcPr>
          <w:p>
            <w:pPr>
              <w:spacing w:after="0"/>
              <w:rPr>
                <w:sz w:val="20"/>
                <w:szCs w:val="20"/>
                <w:color w:val="auto"/>
              </w:rPr>
            </w:pPr>
            <w:r>
              <w:rPr>
                <w:rFonts w:ascii="Arial" w:cs="Arial" w:eastAsia="Arial" w:hAnsi="Arial"/>
                <w:sz w:val="18"/>
                <w:szCs w:val="18"/>
                <w:b w:val="1"/>
                <w:bCs w:val="1"/>
                <w:color w:val="auto"/>
              </w:rPr>
              <w:t>Aggregate Principal Amount</w:t>
            </w:r>
          </w:p>
        </w:tc>
        <w:tc>
          <w:tcPr>
            <w:tcW w:w="3900" w:type="dxa"/>
            <w:vAlign w:val="bottom"/>
          </w:tcPr>
          <w:p>
            <w:pPr>
              <w:ind w:left="620"/>
              <w:spacing w:after="0"/>
              <w:rPr>
                <w:sz w:val="20"/>
                <w:szCs w:val="20"/>
                <w:color w:val="auto"/>
              </w:rPr>
            </w:pPr>
            <w:r>
              <w:rPr>
                <w:rFonts w:ascii="Arial" w:cs="Arial" w:eastAsia="Arial" w:hAnsi="Arial"/>
                <w:sz w:val="18"/>
                <w:szCs w:val="18"/>
                <w:color w:val="auto"/>
              </w:rPr>
              <w:t>$300,000,000</w:t>
            </w:r>
          </w:p>
        </w:tc>
        <w:tc>
          <w:tcPr>
            <w:tcW w:w="3960" w:type="dxa"/>
            <w:vAlign w:val="bottom"/>
          </w:tcPr>
          <w:p>
            <w:pPr>
              <w:spacing w:after="0"/>
              <w:rPr>
                <w:sz w:val="24"/>
                <w:szCs w:val="24"/>
                <w:color w:val="auto"/>
              </w:rPr>
            </w:pPr>
          </w:p>
        </w:tc>
      </w:tr>
      <w:tr>
        <w:trPr>
          <w:trHeight w:val="324"/>
        </w:trPr>
        <w:tc>
          <w:tcPr>
            <w:tcW w:w="3500" w:type="dxa"/>
            <w:vAlign w:val="bottom"/>
          </w:tcPr>
          <w:p>
            <w:pPr>
              <w:spacing w:after="0"/>
              <w:rPr>
                <w:sz w:val="20"/>
                <w:szCs w:val="20"/>
                <w:color w:val="auto"/>
              </w:rPr>
            </w:pPr>
            <w:r>
              <w:rPr>
                <w:rFonts w:ascii="Arial" w:cs="Arial" w:eastAsia="Arial" w:hAnsi="Arial"/>
                <w:sz w:val="18"/>
                <w:szCs w:val="18"/>
                <w:b w:val="1"/>
                <w:bCs w:val="1"/>
                <w:color w:val="auto"/>
              </w:rPr>
              <w:t>Maturity Date</w:t>
            </w:r>
          </w:p>
        </w:tc>
        <w:tc>
          <w:tcPr>
            <w:tcW w:w="3900" w:type="dxa"/>
            <w:vAlign w:val="bottom"/>
          </w:tcPr>
          <w:p>
            <w:pPr>
              <w:ind w:left="620"/>
              <w:spacing w:after="0"/>
              <w:rPr>
                <w:sz w:val="20"/>
                <w:szCs w:val="20"/>
                <w:color w:val="auto"/>
              </w:rPr>
            </w:pPr>
            <w:r>
              <w:rPr>
                <w:rFonts w:ascii="Arial" w:cs="Arial" w:eastAsia="Arial" w:hAnsi="Arial"/>
                <w:sz w:val="18"/>
                <w:szCs w:val="18"/>
                <w:color w:val="auto"/>
              </w:rPr>
              <w:t>July 1, 2021</w:t>
            </w:r>
          </w:p>
        </w:tc>
        <w:tc>
          <w:tcPr>
            <w:tcW w:w="3960" w:type="dxa"/>
            <w:vAlign w:val="bottom"/>
          </w:tcPr>
          <w:p>
            <w:pPr>
              <w:spacing w:after="0"/>
              <w:rPr>
                <w:sz w:val="24"/>
                <w:szCs w:val="24"/>
                <w:color w:val="auto"/>
              </w:rPr>
            </w:pPr>
          </w:p>
        </w:tc>
      </w:tr>
      <w:tr>
        <w:trPr>
          <w:trHeight w:val="324"/>
        </w:trPr>
        <w:tc>
          <w:tcPr>
            <w:tcW w:w="3500" w:type="dxa"/>
            <w:vAlign w:val="bottom"/>
          </w:tcPr>
          <w:p>
            <w:pPr>
              <w:spacing w:after="0"/>
              <w:rPr>
                <w:sz w:val="20"/>
                <w:szCs w:val="20"/>
                <w:color w:val="auto"/>
              </w:rPr>
            </w:pPr>
            <w:r>
              <w:rPr>
                <w:rFonts w:ascii="Arial" w:cs="Arial" w:eastAsia="Arial" w:hAnsi="Arial"/>
                <w:sz w:val="18"/>
                <w:szCs w:val="18"/>
                <w:b w:val="1"/>
                <w:bCs w:val="1"/>
                <w:color w:val="auto"/>
              </w:rPr>
              <w:t>Coupon</w:t>
            </w:r>
          </w:p>
        </w:tc>
        <w:tc>
          <w:tcPr>
            <w:tcW w:w="3900" w:type="dxa"/>
            <w:vAlign w:val="bottom"/>
          </w:tcPr>
          <w:p>
            <w:pPr>
              <w:ind w:left="620"/>
              <w:spacing w:after="0"/>
              <w:rPr>
                <w:sz w:val="20"/>
                <w:szCs w:val="20"/>
                <w:color w:val="auto"/>
              </w:rPr>
            </w:pPr>
            <w:r>
              <w:rPr>
                <w:rFonts w:ascii="Arial" w:cs="Arial" w:eastAsia="Arial" w:hAnsi="Arial"/>
                <w:sz w:val="18"/>
                <w:szCs w:val="18"/>
                <w:color w:val="auto"/>
              </w:rPr>
              <w:t>4.875%</w:t>
            </w:r>
          </w:p>
        </w:tc>
        <w:tc>
          <w:tcPr>
            <w:tcW w:w="3960" w:type="dxa"/>
            <w:vAlign w:val="bottom"/>
          </w:tcPr>
          <w:p>
            <w:pPr>
              <w:spacing w:after="0"/>
              <w:rPr>
                <w:sz w:val="24"/>
                <w:szCs w:val="24"/>
                <w:color w:val="auto"/>
              </w:rPr>
            </w:pPr>
          </w:p>
        </w:tc>
      </w:tr>
      <w:tr>
        <w:trPr>
          <w:trHeight w:val="324"/>
        </w:trPr>
        <w:tc>
          <w:tcPr>
            <w:tcW w:w="3500" w:type="dxa"/>
            <w:vAlign w:val="bottom"/>
          </w:tcPr>
          <w:p>
            <w:pPr>
              <w:spacing w:after="0"/>
              <w:rPr>
                <w:sz w:val="20"/>
                <w:szCs w:val="20"/>
                <w:color w:val="auto"/>
              </w:rPr>
            </w:pPr>
            <w:r>
              <w:rPr>
                <w:rFonts w:ascii="Arial" w:cs="Arial" w:eastAsia="Arial" w:hAnsi="Arial"/>
                <w:sz w:val="18"/>
                <w:szCs w:val="18"/>
                <w:b w:val="1"/>
                <w:bCs w:val="1"/>
                <w:color w:val="auto"/>
              </w:rPr>
              <w:t>Public Offering Price</w:t>
            </w:r>
          </w:p>
        </w:tc>
        <w:tc>
          <w:tcPr>
            <w:tcW w:w="7860" w:type="dxa"/>
            <w:vAlign w:val="bottom"/>
            <w:gridSpan w:val="2"/>
          </w:tcPr>
          <w:p>
            <w:pPr>
              <w:ind w:left="620"/>
              <w:spacing w:after="0"/>
              <w:rPr>
                <w:sz w:val="20"/>
                <w:szCs w:val="20"/>
                <w:color w:val="auto"/>
              </w:rPr>
            </w:pPr>
            <w:r>
              <w:rPr>
                <w:rFonts w:ascii="Arial" w:cs="Arial" w:eastAsia="Arial" w:hAnsi="Arial"/>
                <w:sz w:val="18"/>
                <w:szCs w:val="18"/>
                <w:color w:val="auto"/>
              </w:rPr>
              <w:t>99.437% plus accrued interest, if any, from May 26, 2016</w:t>
            </w:r>
          </w:p>
        </w:tc>
      </w:tr>
      <w:tr>
        <w:trPr>
          <w:trHeight w:val="324"/>
        </w:trPr>
        <w:tc>
          <w:tcPr>
            <w:tcW w:w="3500" w:type="dxa"/>
            <w:vAlign w:val="bottom"/>
          </w:tcPr>
          <w:p>
            <w:pPr>
              <w:spacing w:after="0"/>
              <w:rPr>
                <w:sz w:val="20"/>
                <w:szCs w:val="20"/>
                <w:color w:val="auto"/>
              </w:rPr>
            </w:pPr>
            <w:r>
              <w:rPr>
                <w:rFonts w:ascii="Arial" w:cs="Arial" w:eastAsia="Arial" w:hAnsi="Arial"/>
                <w:sz w:val="18"/>
                <w:szCs w:val="18"/>
                <w:b w:val="1"/>
                <w:bCs w:val="1"/>
                <w:color w:val="auto"/>
              </w:rPr>
              <w:t>Yield to Maturity</w:t>
            </w:r>
          </w:p>
        </w:tc>
        <w:tc>
          <w:tcPr>
            <w:tcW w:w="3900" w:type="dxa"/>
            <w:vAlign w:val="bottom"/>
          </w:tcPr>
          <w:p>
            <w:pPr>
              <w:ind w:left="620"/>
              <w:spacing w:after="0"/>
              <w:rPr>
                <w:sz w:val="20"/>
                <w:szCs w:val="20"/>
                <w:color w:val="auto"/>
              </w:rPr>
            </w:pPr>
            <w:r>
              <w:rPr>
                <w:rFonts w:ascii="Arial" w:cs="Arial" w:eastAsia="Arial" w:hAnsi="Arial"/>
                <w:sz w:val="18"/>
                <w:szCs w:val="18"/>
                <w:color w:val="auto"/>
              </w:rPr>
              <w:t>5.000%</w:t>
            </w:r>
          </w:p>
        </w:tc>
        <w:tc>
          <w:tcPr>
            <w:tcW w:w="3960" w:type="dxa"/>
            <w:vAlign w:val="bottom"/>
          </w:tcPr>
          <w:p>
            <w:pPr>
              <w:spacing w:after="0"/>
              <w:rPr>
                <w:sz w:val="24"/>
                <w:szCs w:val="24"/>
                <w:color w:val="auto"/>
              </w:rPr>
            </w:pPr>
          </w:p>
        </w:tc>
      </w:tr>
      <w:tr>
        <w:trPr>
          <w:trHeight w:val="324"/>
        </w:trPr>
        <w:tc>
          <w:tcPr>
            <w:tcW w:w="3500" w:type="dxa"/>
            <w:vAlign w:val="bottom"/>
          </w:tcPr>
          <w:p>
            <w:pPr>
              <w:spacing w:after="0"/>
              <w:rPr>
                <w:sz w:val="20"/>
                <w:szCs w:val="20"/>
                <w:color w:val="auto"/>
              </w:rPr>
            </w:pPr>
            <w:r>
              <w:rPr>
                <w:rFonts w:ascii="Arial" w:cs="Arial" w:eastAsia="Arial" w:hAnsi="Arial"/>
                <w:sz w:val="18"/>
                <w:szCs w:val="18"/>
                <w:b w:val="1"/>
                <w:bCs w:val="1"/>
                <w:color w:val="auto"/>
              </w:rPr>
              <w:t>Spread to Benchmark Treasury</w:t>
            </w:r>
          </w:p>
        </w:tc>
        <w:tc>
          <w:tcPr>
            <w:tcW w:w="3900" w:type="dxa"/>
            <w:vAlign w:val="bottom"/>
          </w:tcPr>
          <w:p>
            <w:pPr>
              <w:ind w:left="620"/>
              <w:spacing w:after="0"/>
              <w:rPr>
                <w:sz w:val="20"/>
                <w:szCs w:val="20"/>
                <w:color w:val="auto"/>
              </w:rPr>
            </w:pPr>
            <w:r>
              <w:rPr>
                <w:rFonts w:ascii="Arial" w:cs="Arial" w:eastAsia="Arial" w:hAnsi="Arial"/>
                <w:sz w:val="18"/>
                <w:szCs w:val="18"/>
                <w:color w:val="auto"/>
              </w:rPr>
              <w:t>+363 basis points</w:t>
            </w:r>
          </w:p>
        </w:tc>
        <w:tc>
          <w:tcPr>
            <w:tcW w:w="3960" w:type="dxa"/>
            <w:vAlign w:val="bottom"/>
          </w:tcPr>
          <w:p>
            <w:pPr>
              <w:spacing w:after="0"/>
              <w:rPr>
                <w:sz w:val="24"/>
                <w:szCs w:val="24"/>
                <w:color w:val="auto"/>
              </w:rPr>
            </w:pPr>
          </w:p>
        </w:tc>
      </w:tr>
      <w:tr>
        <w:trPr>
          <w:trHeight w:val="324"/>
        </w:trPr>
        <w:tc>
          <w:tcPr>
            <w:tcW w:w="3500" w:type="dxa"/>
            <w:vAlign w:val="bottom"/>
          </w:tcPr>
          <w:p>
            <w:pPr>
              <w:spacing w:after="0"/>
              <w:rPr>
                <w:sz w:val="20"/>
                <w:szCs w:val="20"/>
                <w:color w:val="auto"/>
              </w:rPr>
            </w:pPr>
            <w:r>
              <w:rPr>
                <w:rFonts w:ascii="Arial" w:cs="Arial" w:eastAsia="Arial" w:hAnsi="Arial"/>
                <w:sz w:val="18"/>
                <w:szCs w:val="18"/>
                <w:b w:val="1"/>
                <w:bCs w:val="1"/>
                <w:color w:val="auto"/>
              </w:rPr>
              <w:t>Benchmark Treasury</w:t>
            </w:r>
          </w:p>
        </w:tc>
        <w:tc>
          <w:tcPr>
            <w:tcW w:w="3900" w:type="dxa"/>
            <w:vAlign w:val="bottom"/>
          </w:tcPr>
          <w:p>
            <w:pPr>
              <w:ind w:left="620"/>
              <w:spacing w:after="0"/>
              <w:rPr>
                <w:sz w:val="20"/>
                <w:szCs w:val="20"/>
                <w:color w:val="auto"/>
              </w:rPr>
            </w:pPr>
            <w:r>
              <w:rPr>
                <w:rFonts w:ascii="Arial" w:cs="Arial" w:eastAsia="Arial" w:hAnsi="Arial"/>
                <w:sz w:val="18"/>
                <w:szCs w:val="18"/>
                <w:color w:val="auto"/>
              </w:rPr>
              <w:t>1.375% due April 30, 2021</w:t>
            </w:r>
          </w:p>
        </w:tc>
        <w:tc>
          <w:tcPr>
            <w:tcW w:w="3960" w:type="dxa"/>
            <w:vAlign w:val="bottom"/>
          </w:tcPr>
          <w:p>
            <w:pPr>
              <w:spacing w:after="0"/>
              <w:rPr>
                <w:sz w:val="24"/>
                <w:szCs w:val="24"/>
                <w:color w:val="auto"/>
              </w:rPr>
            </w:pPr>
          </w:p>
        </w:tc>
      </w:tr>
      <w:tr>
        <w:trPr>
          <w:trHeight w:val="324"/>
        </w:trPr>
        <w:tc>
          <w:tcPr>
            <w:tcW w:w="3500" w:type="dxa"/>
            <w:vAlign w:val="bottom"/>
          </w:tcPr>
          <w:p>
            <w:pPr>
              <w:spacing w:after="0"/>
              <w:rPr>
                <w:sz w:val="20"/>
                <w:szCs w:val="20"/>
                <w:color w:val="auto"/>
              </w:rPr>
            </w:pPr>
            <w:r>
              <w:rPr>
                <w:rFonts w:ascii="Arial" w:cs="Arial" w:eastAsia="Arial" w:hAnsi="Arial"/>
                <w:sz w:val="18"/>
                <w:szCs w:val="18"/>
                <w:b w:val="1"/>
                <w:bCs w:val="1"/>
                <w:color w:val="auto"/>
              </w:rPr>
              <w:t>Benchmark Treasury Price and Yield</w:t>
            </w:r>
          </w:p>
        </w:tc>
        <w:tc>
          <w:tcPr>
            <w:tcW w:w="3900" w:type="dxa"/>
            <w:vAlign w:val="bottom"/>
          </w:tcPr>
          <w:p>
            <w:pPr>
              <w:ind w:left="620"/>
              <w:spacing w:after="0"/>
              <w:rPr>
                <w:sz w:val="20"/>
                <w:szCs w:val="20"/>
                <w:color w:val="auto"/>
              </w:rPr>
            </w:pPr>
            <w:r>
              <w:rPr>
                <w:rFonts w:ascii="Arial" w:cs="Arial" w:eastAsia="Arial" w:hAnsi="Arial"/>
                <w:sz w:val="18"/>
                <w:szCs w:val="18"/>
                <w:color w:val="auto"/>
              </w:rPr>
              <w:t>100.000; 1.375%</w:t>
            </w:r>
          </w:p>
        </w:tc>
        <w:tc>
          <w:tcPr>
            <w:tcW w:w="3960" w:type="dxa"/>
            <w:vAlign w:val="bottom"/>
          </w:tcPr>
          <w:p>
            <w:pPr>
              <w:spacing w:after="0"/>
              <w:rPr>
                <w:sz w:val="24"/>
                <w:szCs w:val="24"/>
                <w:color w:val="auto"/>
              </w:rPr>
            </w:pPr>
          </w:p>
        </w:tc>
      </w:tr>
      <w:tr>
        <w:trPr>
          <w:trHeight w:val="324"/>
        </w:trPr>
        <w:tc>
          <w:tcPr>
            <w:tcW w:w="3500" w:type="dxa"/>
            <w:vAlign w:val="bottom"/>
          </w:tcPr>
          <w:p>
            <w:pPr>
              <w:spacing w:after="0"/>
              <w:rPr>
                <w:sz w:val="20"/>
                <w:szCs w:val="20"/>
                <w:color w:val="auto"/>
              </w:rPr>
            </w:pPr>
            <w:r>
              <w:rPr>
                <w:rFonts w:ascii="Arial" w:cs="Arial" w:eastAsia="Arial" w:hAnsi="Arial"/>
                <w:sz w:val="18"/>
                <w:szCs w:val="18"/>
                <w:b w:val="1"/>
                <w:bCs w:val="1"/>
                <w:color w:val="auto"/>
              </w:rPr>
              <w:t>Interest Payment Dates</w:t>
            </w:r>
          </w:p>
        </w:tc>
        <w:tc>
          <w:tcPr>
            <w:tcW w:w="7860" w:type="dxa"/>
            <w:vAlign w:val="bottom"/>
            <w:gridSpan w:val="2"/>
          </w:tcPr>
          <w:p>
            <w:pPr>
              <w:ind w:left="620"/>
              <w:spacing w:after="0"/>
              <w:rPr>
                <w:sz w:val="20"/>
                <w:szCs w:val="20"/>
                <w:color w:val="auto"/>
              </w:rPr>
            </w:pPr>
            <w:r>
              <w:rPr>
                <w:rFonts w:ascii="Arial" w:cs="Arial" w:eastAsia="Arial" w:hAnsi="Arial"/>
                <w:sz w:val="18"/>
                <w:szCs w:val="18"/>
                <w:color w:val="auto"/>
              </w:rPr>
              <w:t>July 1 and January 1 of each year, beginning on January 1, 2017</w:t>
            </w:r>
          </w:p>
        </w:tc>
      </w:tr>
      <w:tr>
        <w:trPr>
          <w:trHeight w:val="324"/>
        </w:trPr>
        <w:tc>
          <w:tcPr>
            <w:tcW w:w="3500" w:type="dxa"/>
            <w:vAlign w:val="bottom"/>
          </w:tcPr>
          <w:p>
            <w:pPr>
              <w:spacing w:after="0"/>
              <w:rPr>
                <w:sz w:val="20"/>
                <w:szCs w:val="20"/>
                <w:color w:val="auto"/>
              </w:rPr>
            </w:pPr>
            <w:r>
              <w:rPr>
                <w:rFonts w:ascii="Arial" w:cs="Arial" w:eastAsia="Arial" w:hAnsi="Arial"/>
                <w:sz w:val="18"/>
                <w:szCs w:val="18"/>
                <w:b w:val="1"/>
                <w:bCs w:val="1"/>
                <w:color w:val="auto"/>
              </w:rPr>
              <w:t>Record Dates</w:t>
            </w:r>
          </w:p>
        </w:tc>
        <w:tc>
          <w:tcPr>
            <w:tcW w:w="3900" w:type="dxa"/>
            <w:vAlign w:val="bottom"/>
          </w:tcPr>
          <w:p>
            <w:pPr>
              <w:ind w:left="620"/>
              <w:spacing w:after="0"/>
              <w:rPr>
                <w:sz w:val="20"/>
                <w:szCs w:val="20"/>
                <w:color w:val="auto"/>
              </w:rPr>
            </w:pPr>
            <w:r>
              <w:rPr>
                <w:rFonts w:ascii="Arial" w:cs="Arial" w:eastAsia="Arial" w:hAnsi="Arial"/>
                <w:sz w:val="18"/>
                <w:szCs w:val="18"/>
                <w:color w:val="auto"/>
              </w:rPr>
              <w:t>June 15 and December 15 of each year</w:t>
            </w:r>
          </w:p>
        </w:tc>
        <w:tc>
          <w:tcPr>
            <w:tcW w:w="3960" w:type="dxa"/>
            <w:vAlign w:val="bottom"/>
          </w:tcPr>
          <w:p>
            <w:pPr>
              <w:spacing w:after="0"/>
              <w:rPr>
                <w:sz w:val="24"/>
                <w:szCs w:val="24"/>
                <w:color w:val="auto"/>
              </w:rPr>
            </w:pPr>
          </w:p>
        </w:tc>
      </w:tr>
      <w:tr>
        <w:trPr>
          <w:trHeight w:val="310"/>
        </w:trPr>
        <w:tc>
          <w:tcPr>
            <w:tcW w:w="3500" w:type="dxa"/>
            <w:vAlign w:val="bottom"/>
          </w:tcPr>
          <w:p>
            <w:pPr>
              <w:spacing w:after="0"/>
              <w:rPr>
                <w:sz w:val="20"/>
                <w:szCs w:val="20"/>
                <w:color w:val="auto"/>
              </w:rPr>
            </w:pPr>
            <w:r>
              <w:rPr>
                <w:rFonts w:ascii="Arial" w:cs="Arial" w:eastAsia="Arial" w:hAnsi="Arial"/>
                <w:sz w:val="18"/>
                <w:szCs w:val="18"/>
                <w:b w:val="1"/>
                <w:bCs w:val="1"/>
                <w:color w:val="auto"/>
              </w:rPr>
              <w:t>Optional Redemption</w:t>
            </w:r>
          </w:p>
        </w:tc>
        <w:tc>
          <w:tcPr>
            <w:tcW w:w="7860" w:type="dxa"/>
            <w:vAlign w:val="bottom"/>
            <w:gridSpan w:val="2"/>
          </w:tcPr>
          <w:p>
            <w:pPr>
              <w:ind w:left="620"/>
              <w:spacing w:after="0"/>
              <w:rPr>
                <w:sz w:val="20"/>
                <w:szCs w:val="20"/>
                <w:color w:val="auto"/>
              </w:rPr>
            </w:pPr>
            <w:r>
              <w:rPr>
                <w:rFonts w:ascii="Arial" w:cs="Arial" w:eastAsia="Arial" w:hAnsi="Arial"/>
                <w:sz w:val="18"/>
                <w:szCs w:val="18"/>
                <w:color w:val="auto"/>
                <w:w w:val="91"/>
              </w:rPr>
              <w:t>Make-whole call at T+50 bps. Par call on or after June 1, 2021 (one month prior to the maturity date</w:t>
            </w:r>
          </w:p>
        </w:tc>
      </w:tr>
      <w:tr>
        <w:trPr>
          <w:trHeight w:val="230"/>
        </w:trPr>
        <w:tc>
          <w:tcPr>
            <w:tcW w:w="3500" w:type="dxa"/>
            <w:vAlign w:val="bottom"/>
          </w:tcPr>
          <w:p>
            <w:pPr>
              <w:spacing w:after="0"/>
              <w:rPr>
                <w:sz w:val="20"/>
                <w:szCs w:val="20"/>
                <w:color w:val="auto"/>
              </w:rPr>
            </w:pPr>
          </w:p>
        </w:tc>
        <w:tc>
          <w:tcPr>
            <w:tcW w:w="3900" w:type="dxa"/>
            <w:vAlign w:val="bottom"/>
          </w:tcPr>
          <w:p>
            <w:pPr>
              <w:ind w:left="620"/>
              <w:spacing w:after="0"/>
              <w:rPr>
                <w:sz w:val="20"/>
                <w:szCs w:val="20"/>
                <w:color w:val="auto"/>
              </w:rPr>
            </w:pPr>
            <w:r>
              <w:rPr>
                <w:rFonts w:ascii="Arial" w:cs="Arial" w:eastAsia="Arial" w:hAnsi="Arial"/>
                <w:sz w:val="18"/>
                <w:szCs w:val="18"/>
                <w:color w:val="auto"/>
              </w:rPr>
              <w:t>of the notes)</w:t>
            </w:r>
          </w:p>
        </w:tc>
        <w:tc>
          <w:tcPr>
            <w:tcW w:w="3960" w:type="dxa"/>
            <w:vAlign w:val="bottom"/>
          </w:tcPr>
          <w:p>
            <w:pPr>
              <w:spacing w:after="0"/>
              <w:rPr>
                <w:sz w:val="20"/>
                <w:szCs w:val="20"/>
                <w:color w:val="auto"/>
              </w:rPr>
            </w:pPr>
          </w:p>
        </w:tc>
      </w:tr>
      <w:tr>
        <w:trPr>
          <w:trHeight w:val="324"/>
        </w:trPr>
        <w:tc>
          <w:tcPr>
            <w:tcW w:w="3500" w:type="dxa"/>
            <w:vAlign w:val="bottom"/>
          </w:tcPr>
          <w:p>
            <w:pPr>
              <w:spacing w:after="0"/>
              <w:rPr>
                <w:sz w:val="20"/>
                <w:szCs w:val="20"/>
                <w:color w:val="auto"/>
              </w:rPr>
            </w:pPr>
            <w:r>
              <w:rPr>
                <w:rFonts w:ascii="Arial" w:cs="Arial" w:eastAsia="Arial" w:hAnsi="Arial"/>
                <w:sz w:val="18"/>
                <w:szCs w:val="18"/>
                <w:b w:val="1"/>
                <w:bCs w:val="1"/>
                <w:color w:val="auto"/>
              </w:rPr>
              <w:t>Underwriting Discount</w:t>
            </w:r>
          </w:p>
        </w:tc>
        <w:tc>
          <w:tcPr>
            <w:tcW w:w="3900" w:type="dxa"/>
            <w:vAlign w:val="bottom"/>
          </w:tcPr>
          <w:p>
            <w:pPr>
              <w:ind w:left="620"/>
              <w:spacing w:after="0"/>
              <w:rPr>
                <w:sz w:val="20"/>
                <w:szCs w:val="20"/>
                <w:color w:val="auto"/>
              </w:rPr>
            </w:pPr>
            <w:r>
              <w:rPr>
                <w:rFonts w:ascii="Arial" w:cs="Arial" w:eastAsia="Arial" w:hAnsi="Arial"/>
                <w:sz w:val="18"/>
                <w:szCs w:val="18"/>
                <w:color w:val="auto"/>
              </w:rPr>
              <w:t>1.0833%</w:t>
            </w:r>
          </w:p>
        </w:tc>
        <w:tc>
          <w:tcPr>
            <w:tcW w:w="3960" w:type="dxa"/>
            <w:vAlign w:val="bottom"/>
          </w:tcPr>
          <w:p>
            <w:pPr>
              <w:spacing w:after="0"/>
              <w:rPr>
                <w:sz w:val="24"/>
                <w:szCs w:val="24"/>
                <w:color w:val="auto"/>
              </w:rPr>
            </w:pPr>
          </w:p>
        </w:tc>
      </w:tr>
      <w:tr>
        <w:trPr>
          <w:trHeight w:val="324"/>
        </w:trPr>
        <w:tc>
          <w:tcPr>
            <w:tcW w:w="3500" w:type="dxa"/>
            <w:vAlign w:val="bottom"/>
          </w:tcPr>
          <w:p>
            <w:pPr>
              <w:spacing w:after="0"/>
              <w:rPr>
                <w:sz w:val="20"/>
                <w:szCs w:val="20"/>
                <w:color w:val="auto"/>
              </w:rPr>
            </w:pPr>
            <w:r>
              <w:rPr>
                <w:rFonts w:ascii="Arial" w:cs="Arial" w:eastAsia="Arial" w:hAnsi="Arial"/>
                <w:sz w:val="18"/>
                <w:szCs w:val="18"/>
                <w:b w:val="1"/>
                <w:bCs w:val="1"/>
                <w:color w:val="auto"/>
              </w:rPr>
              <w:t>Trade Date</w:t>
            </w:r>
          </w:p>
        </w:tc>
        <w:tc>
          <w:tcPr>
            <w:tcW w:w="3900" w:type="dxa"/>
            <w:vAlign w:val="bottom"/>
          </w:tcPr>
          <w:p>
            <w:pPr>
              <w:ind w:left="620"/>
              <w:spacing w:after="0"/>
              <w:rPr>
                <w:sz w:val="20"/>
                <w:szCs w:val="20"/>
                <w:color w:val="auto"/>
              </w:rPr>
            </w:pPr>
            <w:r>
              <w:rPr>
                <w:rFonts w:ascii="Arial" w:cs="Arial" w:eastAsia="Arial" w:hAnsi="Arial"/>
                <w:sz w:val="18"/>
                <w:szCs w:val="18"/>
                <w:color w:val="auto"/>
              </w:rPr>
              <w:t>May 23, 2016</w:t>
            </w:r>
          </w:p>
        </w:tc>
        <w:tc>
          <w:tcPr>
            <w:tcW w:w="3960" w:type="dxa"/>
            <w:vAlign w:val="bottom"/>
          </w:tcPr>
          <w:p>
            <w:pPr>
              <w:spacing w:after="0"/>
              <w:rPr>
                <w:sz w:val="24"/>
                <w:szCs w:val="24"/>
                <w:color w:val="auto"/>
              </w:rPr>
            </w:pPr>
          </w:p>
        </w:tc>
      </w:tr>
      <w:tr>
        <w:trPr>
          <w:trHeight w:val="324"/>
        </w:trPr>
        <w:tc>
          <w:tcPr>
            <w:tcW w:w="3500" w:type="dxa"/>
            <w:vAlign w:val="bottom"/>
          </w:tcPr>
          <w:p>
            <w:pPr>
              <w:spacing w:after="0"/>
              <w:rPr>
                <w:sz w:val="20"/>
                <w:szCs w:val="20"/>
                <w:color w:val="auto"/>
              </w:rPr>
            </w:pPr>
            <w:r>
              <w:rPr>
                <w:rFonts w:ascii="Arial" w:cs="Arial" w:eastAsia="Arial" w:hAnsi="Arial"/>
                <w:sz w:val="18"/>
                <w:szCs w:val="18"/>
                <w:b w:val="1"/>
                <w:bCs w:val="1"/>
                <w:color w:val="auto"/>
              </w:rPr>
              <w:t>Settlement Date</w:t>
            </w:r>
          </w:p>
        </w:tc>
        <w:tc>
          <w:tcPr>
            <w:tcW w:w="3900" w:type="dxa"/>
            <w:vAlign w:val="bottom"/>
          </w:tcPr>
          <w:p>
            <w:pPr>
              <w:ind w:left="620"/>
              <w:spacing w:after="0"/>
              <w:rPr>
                <w:sz w:val="20"/>
                <w:szCs w:val="20"/>
                <w:color w:val="auto"/>
              </w:rPr>
            </w:pPr>
            <w:r>
              <w:rPr>
                <w:rFonts w:ascii="Arial" w:cs="Arial" w:eastAsia="Arial" w:hAnsi="Arial"/>
                <w:sz w:val="18"/>
                <w:szCs w:val="18"/>
                <w:color w:val="auto"/>
              </w:rPr>
              <w:t>May 26, 2016, (T+3)</w:t>
            </w:r>
          </w:p>
        </w:tc>
        <w:tc>
          <w:tcPr>
            <w:tcW w:w="3960" w:type="dxa"/>
            <w:vAlign w:val="bottom"/>
          </w:tcPr>
          <w:p>
            <w:pPr>
              <w:spacing w:after="0"/>
              <w:rPr>
                <w:sz w:val="24"/>
                <w:szCs w:val="24"/>
                <w:color w:val="auto"/>
              </w:rPr>
            </w:pPr>
          </w:p>
        </w:tc>
      </w:tr>
      <w:tr>
        <w:trPr>
          <w:trHeight w:val="324"/>
        </w:trPr>
        <w:tc>
          <w:tcPr>
            <w:tcW w:w="3500" w:type="dxa"/>
            <w:vAlign w:val="bottom"/>
          </w:tcPr>
          <w:p>
            <w:pPr>
              <w:spacing w:after="0"/>
              <w:rPr>
                <w:sz w:val="20"/>
                <w:szCs w:val="20"/>
                <w:color w:val="auto"/>
              </w:rPr>
            </w:pPr>
            <w:r>
              <w:rPr>
                <w:rFonts w:ascii="Arial" w:cs="Arial" w:eastAsia="Arial" w:hAnsi="Arial"/>
                <w:sz w:val="18"/>
                <w:szCs w:val="18"/>
                <w:b w:val="1"/>
                <w:bCs w:val="1"/>
                <w:color w:val="auto"/>
              </w:rPr>
              <w:t>Expected Ratings</w:t>
            </w:r>
          </w:p>
        </w:tc>
        <w:tc>
          <w:tcPr>
            <w:tcW w:w="3900" w:type="dxa"/>
            <w:vAlign w:val="bottom"/>
          </w:tcPr>
          <w:p>
            <w:pPr>
              <w:ind w:left="620"/>
              <w:spacing w:after="0"/>
              <w:rPr>
                <w:sz w:val="20"/>
                <w:szCs w:val="20"/>
                <w:color w:val="auto"/>
              </w:rPr>
            </w:pPr>
            <w:r>
              <w:rPr>
                <w:rFonts w:ascii="Arial" w:cs="Arial" w:eastAsia="Arial" w:hAnsi="Arial"/>
                <w:sz w:val="18"/>
                <w:szCs w:val="18"/>
                <w:color w:val="auto"/>
              </w:rPr>
              <w:t>B1/BB-</w:t>
            </w:r>
          </w:p>
        </w:tc>
        <w:tc>
          <w:tcPr>
            <w:tcW w:w="3960" w:type="dxa"/>
            <w:vAlign w:val="bottom"/>
          </w:tcPr>
          <w:p>
            <w:pPr>
              <w:spacing w:after="0"/>
              <w:rPr>
                <w:sz w:val="24"/>
                <w:szCs w:val="24"/>
                <w:color w:val="auto"/>
              </w:rPr>
            </w:pPr>
          </w:p>
        </w:tc>
      </w:tr>
      <w:tr>
        <w:trPr>
          <w:trHeight w:val="324"/>
        </w:trPr>
        <w:tc>
          <w:tcPr>
            <w:tcW w:w="3500" w:type="dxa"/>
            <w:vAlign w:val="bottom"/>
          </w:tcPr>
          <w:p>
            <w:pPr>
              <w:spacing w:after="0"/>
              <w:rPr>
                <w:sz w:val="20"/>
                <w:szCs w:val="20"/>
                <w:color w:val="auto"/>
              </w:rPr>
            </w:pPr>
            <w:r>
              <w:rPr>
                <w:rFonts w:ascii="Arial" w:cs="Arial" w:eastAsia="Arial" w:hAnsi="Arial"/>
                <w:sz w:val="18"/>
                <w:szCs w:val="18"/>
                <w:b w:val="1"/>
                <w:bCs w:val="1"/>
                <w:color w:val="auto"/>
              </w:rPr>
              <w:t>CUSIP/ISIN Numbers</w:t>
            </w:r>
          </w:p>
        </w:tc>
        <w:tc>
          <w:tcPr>
            <w:tcW w:w="3900" w:type="dxa"/>
            <w:vAlign w:val="bottom"/>
          </w:tcPr>
          <w:p>
            <w:pPr>
              <w:ind w:left="620"/>
              <w:spacing w:after="0"/>
              <w:rPr>
                <w:sz w:val="20"/>
                <w:szCs w:val="20"/>
                <w:color w:val="auto"/>
              </w:rPr>
            </w:pPr>
            <w:r>
              <w:rPr>
                <w:rFonts w:ascii="Arial" w:cs="Arial" w:eastAsia="Arial" w:hAnsi="Arial"/>
                <w:sz w:val="18"/>
                <w:szCs w:val="18"/>
                <w:color w:val="auto"/>
              </w:rPr>
              <w:t>CUSIP: 87265H AE9</w:t>
            </w:r>
          </w:p>
        </w:tc>
        <w:tc>
          <w:tcPr>
            <w:tcW w:w="3960" w:type="dxa"/>
            <w:vAlign w:val="bottom"/>
          </w:tcPr>
          <w:p>
            <w:pPr>
              <w:ind w:left="500"/>
              <w:spacing w:after="0"/>
              <w:rPr>
                <w:sz w:val="20"/>
                <w:szCs w:val="20"/>
                <w:color w:val="auto"/>
              </w:rPr>
            </w:pPr>
            <w:r>
              <w:rPr>
                <w:rFonts w:ascii="Arial" w:cs="Arial" w:eastAsia="Arial" w:hAnsi="Arial"/>
                <w:sz w:val="18"/>
                <w:szCs w:val="18"/>
                <w:color w:val="auto"/>
              </w:rPr>
              <w:t>ISIN: US87265HAE99</w:t>
            </w:r>
          </w:p>
        </w:tc>
      </w:tr>
      <w:tr>
        <w:trPr>
          <w:trHeight w:val="310"/>
        </w:trPr>
        <w:tc>
          <w:tcPr>
            <w:tcW w:w="3500" w:type="dxa"/>
            <w:vAlign w:val="bottom"/>
          </w:tcPr>
          <w:p>
            <w:pPr>
              <w:spacing w:after="0"/>
              <w:rPr>
                <w:sz w:val="20"/>
                <w:szCs w:val="20"/>
                <w:color w:val="auto"/>
              </w:rPr>
            </w:pPr>
            <w:r>
              <w:rPr>
                <w:rFonts w:ascii="Arial" w:cs="Arial" w:eastAsia="Arial" w:hAnsi="Arial"/>
                <w:sz w:val="18"/>
                <w:szCs w:val="18"/>
                <w:b w:val="1"/>
                <w:bCs w:val="1"/>
                <w:color w:val="auto"/>
              </w:rPr>
              <w:t>Joint Book-Running Managers</w:t>
            </w:r>
          </w:p>
        </w:tc>
        <w:tc>
          <w:tcPr>
            <w:tcW w:w="3900" w:type="dxa"/>
            <w:vAlign w:val="bottom"/>
          </w:tcPr>
          <w:p>
            <w:pPr>
              <w:ind w:left="620"/>
              <w:spacing w:after="0"/>
              <w:rPr>
                <w:sz w:val="20"/>
                <w:szCs w:val="20"/>
                <w:color w:val="auto"/>
              </w:rPr>
            </w:pPr>
            <w:r>
              <w:rPr>
                <w:rFonts w:ascii="Arial" w:cs="Arial" w:eastAsia="Arial" w:hAnsi="Arial"/>
                <w:sz w:val="18"/>
                <w:szCs w:val="18"/>
                <w:color w:val="auto"/>
              </w:rPr>
              <w:t>Citigroup Global Markets Inc.</w:t>
            </w:r>
          </w:p>
        </w:tc>
        <w:tc>
          <w:tcPr>
            <w:tcW w:w="3960" w:type="dxa"/>
            <w:vAlign w:val="bottom"/>
          </w:tcPr>
          <w:p>
            <w:pPr>
              <w:spacing w:after="0"/>
              <w:rPr>
                <w:sz w:val="24"/>
                <w:szCs w:val="24"/>
                <w:color w:val="auto"/>
              </w:rPr>
            </w:pPr>
          </w:p>
        </w:tc>
      </w:tr>
      <w:tr>
        <w:trPr>
          <w:trHeight w:val="230"/>
        </w:trPr>
        <w:tc>
          <w:tcPr>
            <w:tcW w:w="3500" w:type="dxa"/>
            <w:vAlign w:val="bottom"/>
          </w:tcPr>
          <w:p>
            <w:pPr>
              <w:spacing w:after="0"/>
              <w:rPr>
                <w:sz w:val="20"/>
                <w:szCs w:val="20"/>
                <w:color w:val="auto"/>
              </w:rPr>
            </w:pPr>
          </w:p>
        </w:tc>
        <w:tc>
          <w:tcPr>
            <w:tcW w:w="3900" w:type="dxa"/>
            <w:vAlign w:val="bottom"/>
          </w:tcPr>
          <w:p>
            <w:pPr>
              <w:ind w:left="620"/>
              <w:spacing w:after="0"/>
              <w:rPr>
                <w:sz w:val="20"/>
                <w:szCs w:val="20"/>
                <w:color w:val="auto"/>
              </w:rPr>
            </w:pPr>
            <w:r>
              <w:rPr>
                <w:rFonts w:ascii="Arial" w:cs="Arial" w:eastAsia="Arial" w:hAnsi="Arial"/>
                <w:sz w:val="18"/>
                <w:szCs w:val="18"/>
                <w:color w:val="auto"/>
              </w:rPr>
              <w:t>J.P. Morgan Securities LLC</w:t>
            </w:r>
          </w:p>
        </w:tc>
        <w:tc>
          <w:tcPr>
            <w:tcW w:w="3960" w:type="dxa"/>
            <w:vAlign w:val="bottom"/>
          </w:tcPr>
          <w:p>
            <w:pPr>
              <w:spacing w:after="0"/>
              <w:rPr>
                <w:sz w:val="20"/>
                <w:szCs w:val="20"/>
                <w:color w:val="auto"/>
              </w:rPr>
            </w:pPr>
          </w:p>
        </w:tc>
      </w:tr>
    </w:tbl>
    <w:p>
      <w:pPr>
        <w:ind w:left="4120"/>
        <w:spacing w:after="0"/>
        <w:rPr>
          <w:sz w:val="20"/>
          <w:szCs w:val="20"/>
          <w:color w:val="auto"/>
        </w:rPr>
      </w:pPr>
      <w:r>
        <w:rPr>
          <w:rFonts w:ascii="Arial" w:cs="Arial" w:eastAsia="Arial" w:hAnsi="Arial"/>
          <w:sz w:val="18"/>
          <w:szCs w:val="18"/>
          <w:color w:val="auto"/>
        </w:rPr>
        <w:t>Wells Fargo Securities, LLC</w:t>
      </w:r>
    </w:p>
    <w:p>
      <w:pPr>
        <w:spacing w:after="0" w:line="9" w:lineRule="exact"/>
        <w:rPr>
          <w:sz w:val="24"/>
          <w:szCs w:val="24"/>
          <w:color w:val="auto"/>
        </w:rPr>
      </w:pPr>
    </w:p>
    <w:p>
      <w:pPr>
        <w:ind w:left="4120"/>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4"/>
          <w:szCs w:val="24"/>
          <w:color w:val="auto"/>
        </w:rPr>
      </w:pPr>
    </w:p>
    <w:p>
      <w:pPr>
        <w:ind w:left="4120"/>
        <w:spacing w:after="0"/>
        <w:rPr>
          <w:sz w:val="20"/>
          <w:szCs w:val="20"/>
          <w:color w:val="auto"/>
        </w:rPr>
      </w:pPr>
      <w:r>
        <w:rPr>
          <w:rFonts w:ascii="Arial" w:cs="Arial" w:eastAsia="Arial" w:hAnsi="Arial"/>
          <w:sz w:val="18"/>
          <w:szCs w:val="18"/>
          <w:color w:val="auto"/>
        </w:rPr>
        <w:t>Deutsche Bank Securities Inc.</w:t>
      </w:r>
    </w:p>
    <w:p>
      <w:pPr>
        <w:sectPr>
          <w:pgSz w:w="11900" w:h="16838" w:orient="portrait"/>
          <w:cols w:equalWidth="0" w:num="1">
            <w:col w:w="11420"/>
          </w:cols>
          <w:pgMar w:left="240" w:top="233" w:right="239" w:bottom="1440" w:gutter="0" w:footer="0" w:header="0"/>
        </w:sectPr>
      </w:pPr>
    </w:p>
    <w:bookmarkStart w:id="1" w:name="page2"/>
    <w:bookmarkEnd w:id="1"/>
    <w:p>
      <w:pPr>
        <w:spacing w:after="0"/>
        <w:rPr>
          <w:sz w:val="20"/>
          <w:szCs w:val="20"/>
          <w:color w:val="auto"/>
        </w:rPr>
      </w:pPr>
      <w:r>
        <w:rPr>
          <w:rFonts w:ascii="Arial" w:cs="Arial" w:eastAsia="Arial" w:hAnsi="Arial"/>
          <w:sz w:val="16"/>
          <w:szCs w:val="16"/>
          <w:b w:val="1"/>
          <w:bCs w:val="1"/>
          <w:color w:val="auto"/>
        </w:rPr>
        <w:t>Co-Managers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U.S. Bancorp Investments,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-2623185</wp:posOffset>
            </wp:positionH>
            <wp:positionV relativeFrom="paragraph">
              <wp:posOffset>-269875</wp:posOffset>
            </wp:positionV>
            <wp:extent cx="728916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spacing w:after="0" w:line="26" w:lineRule="exact"/>
        <w:rPr>
          <w:sz w:val="20"/>
          <w:szCs w:val="20"/>
          <w:color w:val="auto"/>
        </w:rPr>
      </w:pPr>
    </w:p>
    <w:p>
      <w:pPr>
        <w:spacing w:after="0"/>
        <w:rPr>
          <w:sz w:val="20"/>
          <w:szCs w:val="20"/>
          <w:color w:val="auto"/>
        </w:rPr>
      </w:pPr>
      <w:r>
        <w:rPr>
          <w:rFonts w:ascii="Arial" w:cs="Arial" w:eastAsia="Arial" w:hAnsi="Arial"/>
          <w:sz w:val="18"/>
          <w:szCs w:val="18"/>
          <w:color w:val="auto"/>
        </w:rPr>
        <w:t>Fifth Third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Zelman Partners LLC</w:t>
      </w:r>
    </w:p>
    <w:p>
      <w:pPr>
        <w:spacing w:after="0" w:line="200" w:lineRule="exact"/>
        <w:rPr>
          <w:sz w:val="20"/>
          <w:szCs w:val="20"/>
          <w:color w:val="auto"/>
        </w:rPr>
      </w:pPr>
    </w:p>
    <w:p>
      <w:pPr>
        <w:sectPr>
          <w:pgSz w:w="11900" w:h="16838" w:orient="portrait"/>
          <w:cols w:equalWidth="0" w:num="2">
            <w:col w:w="3400" w:space="720"/>
            <w:col w:w="7160"/>
          </w:cols>
          <w:pgMar w:left="240" w:top="378" w:right="379" w:bottom="1440" w:gutter="0" w:footer="0" w:header="0"/>
        </w:sectPr>
      </w:pPr>
    </w:p>
    <w:p>
      <w:pPr>
        <w:spacing w:after="0" w:line="2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A securities rating is not a recommendation to buy, sell or hold securities and may be subject to revision or withdrawal at any time.</w:t>
      </w:r>
    </w:p>
    <w:p>
      <w:pPr>
        <w:spacing w:after="0" w:line="237" w:lineRule="exact"/>
        <w:rPr>
          <w:sz w:val="20"/>
          <w:szCs w:val="20"/>
          <w:color w:val="auto"/>
        </w:rPr>
      </w:pPr>
    </w:p>
    <w:p>
      <w:pPr>
        <w:spacing w:after="0" w:line="255" w:lineRule="auto"/>
        <w:rPr>
          <w:sz w:val="20"/>
          <w:szCs w:val="20"/>
          <w:color w:val="auto"/>
        </w:rPr>
      </w:pPr>
      <w:r>
        <w:rPr>
          <w:rFonts w:ascii="Arial" w:cs="Arial" w:eastAsia="Arial" w:hAnsi="Arial"/>
          <w:sz w:val="18"/>
          <w:szCs w:val="18"/>
          <w:b w:val="1"/>
          <w:bCs w:val="1"/>
          <w:color w:val="auto"/>
        </w:rPr>
        <w:t xml:space="preserve">The issuer has filed a registration statement (including a prospectus and a related prospectus supplement) with the United States Securities and Exchange Commission (“SEC”) for the offering to which this communication relates. Before you invest, you should read the prospectus in that registration statement, the prospectus supplement and other documents TRI Pointe Group, Inc. has filed with the SEC for more complete information about the issuer and this offering. You may get these documents for free by visiting EDGAR on the SEC website at </w:t>
      </w:r>
      <w:r>
        <w:rPr>
          <w:rFonts w:ascii="Arial" w:cs="Arial" w:eastAsia="Arial" w:hAnsi="Arial"/>
          <w:sz w:val="18"/>
          <w:szCs w:val="18"/>
          <w:b w:val="1"/>
          <w:bCs w:val="1"/>
          <w:i w:val="1"/>
          <w:iCs w:val="1"/>
          <w:color w:val="auto"/>
        </w:rPr>
        <w:t>www.sec.gov</w:t>
      </w:r>
      <w:r>
        <w:rPr>
          <w:rFonts w:ascii="Arial" w:cs="Arial" w:eastAsia="Arial" w:hAnsi="Arial"/>
          <w:sz w:val="18"/>
          <w:szCs w:val="18"/>
          <w:b w:val="1"/>
          <w:bCs w:val="1"/>
          <w:color w:val="auto"/>
        </w:rPr>
        <w:t>. Alternatively, copies of the prospectus supplement and accompanying prospectus may be obtained by calling Citigroup Global Markets Inc. at 1-800-831-9146 or at the following address: Citigroup Global Markets Inc., c/o Broadridge Financial Solutions, 1155 Long Island Avenue, Edgewood, NY 11717.</w:t>
      </w:r>
    </w:p>
    <w:p>
      <w:pPr>
        <w:spacing w:after="0" w:line="189" w:lineRule="exact"/>
        <w:rPr>
          <w:sz w:val="20"/>
          <w:szCs w:val="20"/>
          <w:color w:val="auto"/>
        </w:rPr>
      </w:pPr>
    </w:p>
    <w:p>
      <w:pPr>
        <w:jc w:val="both"/>
        <w:ind w:right="160"/>
        <w:spacing w:after="0" w:line="266" w:lineRule="auto"/>
        <w:rPr>
          <w:sz w:val="20"/>
          <w:szCs w:val="20"/>
          <w:color w:val="auto"/>
        </w:rPr>
      </w:pPr>
      <w:r>
        <w:rPr>
          <w:rFonts w:ascii="Arial" w:cs="Arial" w:eastAsia="Arial" w:hAnsi="Arial"/>
          <w:sz w:val="18"/>
          <w:szCs w:val="18"/>
          <w:b w:val="1"/>
          <w:bCs w:val="1"/>
          <w:color w:val="auto"/>
        </w:rPr>
        <w:t>ANY DISCLAIMERS OR OTHER NOTICES THAT MAY APPEAR BELOW ARE NOT APPLICABLE TO THIS COMMUNICATION AND SHOULD BE DISREGARDED. SUCH DISCLAIMERS OR OTHER NOTICES WERE AUTOMATICALLY GENERATED AS A RESULT OF THIS COMMUNICATION BEING SENT VIA BLOOMBERG OR ANOTHER EMAIL SYSTEM.</w:t>
      </w:r>
    </w:p>
    <w:sectPr>
      <w:pgSz w:w="11900" w:h="16838" w:orient="portrait"/>
      <w:cols w:equalWidth="0" w:num="1">
        <w:col w:w="11280"/>
      </w:cols>
      <w:pgMar w:left="240" w:top="378" w:right="3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2020-01-20T14:05:56Z</dcterms:created>
  <dcterms:modified xsi:type="dcterms:W3CDTF">2020-01-20T14:05:56Z</dcterms:modified>
</cp:coreProperties>
</file>