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51708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517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BAUER DOUGLAS F.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C/O TRI POINTE GROUP, INC.</w:t>
      </w:r>
    </w:p>
    <w:p>
      <w:pPr>
        <w:spacing w:after="0" w:line="63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19540 JAMBOREE ROAD, SUITE 300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TRI Pointe Group, Inc.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TPH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39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04/07/2017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0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80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Chief Executive Officer</w:t>
      </w:r>
    </w:p>
    <w:p>
      <w:pPr>
        <w:spacing w:after="0" w:line="38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2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80" w:type="dxa"/>
            <w:vAlign w:val="bottom"/>
            <w:gridSpan w:val="8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3620" w:type="dxa"/>
            <w:vAlign w:val="bottom"/>
            <w:gridSpan w:val="7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shd w:val="clear" w:color="auto" w:fill="EEEEE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60" w:type="dxa"/>
            <w:vAlign w:val="bottom"/>
            <w:shd w:val="clear" w:color="auto" w:fill="EEEEE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20" w:type="dxa"/>
            <w:vAlign w:val="bottom"/>
            <w:shd w:val="clear" w:color="auto" w:fill="EEEEE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EEEEEE"/>
            </w:tcBorders>
            <w:shd w:val="clear" w:color="auto" w:fill="EEEEE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80" w:type="dxa"/>
            <w:vAlign w:val="bottom"/>
            <w:gridSpan w:val="8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20" w:type="dxa"/>
            <w:vAlign w:val="bottom"/>
            <w:gridSpan w:val="7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04/10/2017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IRVINE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CA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92612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60" w:type="dxa"/>
            <w:vAlign w:val="bottom"/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60" w:type="dxa"/>
            <w:vAlign w:val="bottom"/>
            <w:gridSpan w:val="5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880" w:type="dxa"/>
            <w:vAlign w:val="bottom"/>
            <w:gridSpan w:val="2"/>
            <w:vMerge w:val="restart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160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jc w:val="center"/>
              <w:ind w:lef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20" w:type="dxa"/>
            <w:vAlign w:val="bottom"/>
            <w:gridSpan w:val="2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10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ind w:left="7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2100" w:type="dxa"/>
            <w:vAlign w:val="bottom"/>
            <w:gridSpan w:val="5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5)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ind w:left="7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2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04/07/2017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F</w:t>
            </w: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140"/>
              <w:spacing w:after="0" w:line="3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5"/>
                <w:szCs w:val="35"/>
                <w:color w:val="0000FF"/>
                <w:vertAlign w:val="subscript"/>
              </w:rPr>
              <w:t>5,379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(1)(2)</w:t>
            </w: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right"/>
              <w:ind w:right="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12.14</w:t>
            </w: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331,607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882,104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See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Note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(3)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8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jc w:val="center"/>
              <w:ind w:left="8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0" w:type="dxa"/>
            <w:vAlign w:val="bottom"/>
            <w:gridSpan w:val="11"/>
          </w:tcPr>
          <w:p>
            <w:pPr>
              <w:jc w:val="center"/>
              <w:ind w:left="2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4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3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3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104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Withholding of shares incident to vesting of RSU award under the Company's 2013 Long-Term Incentive Plan.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Correction of number of shares previously reported.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By The Bauer Revocable Trust.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ind w:left="6860"/>
        <w:spacing w:after="0" w:line="22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 xml:space="preserve">/s/ Glenn J. Keeler, attorney-in- </w:t>
      </w:r>
      <w:r>
        <w:rPr>
          <w:rFonts w:ascii="Arial" w:cs="Arial" w:eastAsia="Arial" w:hAnsi="Arial"/>
          <w:sz w:val="35"/>
          <w:szCs w:val="35"/>
          <w:color w:val="0000FF"/>
          <w:vertAlign w:val="subscript"/>
        </w:rPr>
        <w:t>04/12/2017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-28575</wp:posOffset>
            </wp:positionV>
            <wp:extent cx="140716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fact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-22860</wp:posOffset>
            </wp:positionV>
            <wp:extent cx="167005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5810885</wp:posOffset>
            </wp:positionH>
            <wp:positionV relativeFrom="paragraph">
              <wp:posOffset>-91440</wp:posOffset>
            </wp:positionV>
            <wp:extent cx="50800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7" w:lineRule="exact"/>
        <w:rPr>
          <w:sz w:val="24"/>
          <w:szCs w:val="24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Date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567627" TargetMode="External"/><Relationship Id="rId13" Type="http://schemas.openxmlformats.org/officeDocument/2006/relationships/hyperlink" Target="http://www.sec.gov/cgi-bin/browse-edgar?action=getcompany&amp;CIK=000156168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2020-01-16T01:59:11Z</dcterms:created>
  <dcterms:modified xsi:type="dcterms:W3CDTF">2020-01-16T01:59:11Z</dcterms:modified>
</cp:coreProperties>
</file>