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51708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17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GRUBBS MICHAEL D.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C/O TRI POINTE GROUP, INC.</w:t>
      </w:r>
    </w:p>
    <w:p>
      <w:pPr>
        <w:spacing w:after="0" w:line="63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19540 JAMBOREE ROAD, SUITE 300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TRI Pointe Group, Inc.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TPH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37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02/27/2017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96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CFO and Treasurer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900" w:type="dxa"/>
            <w:vAlign w:val="bottom"/>
            <w:gridSpan w:val="8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3600" w:type="dxa"/>
            <w:vAlign w:val="bottom"/>
            <w:gridSpan w:val="7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60" w:type="dxa"/>
            <w:vAlign w:val="bottom"/>
            <w:gridSpan w:val="6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IRVINE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CA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92612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880" w:type="dxa"/>
            <w:vAlign w:val="bottom"/>
            <w:gridSpan w:val="2"/>
            <w:vMerge w:val="restart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jc w:val="center"/>
              <w:ind w:lef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080" w:type="dxa"/>
            <w:vAlign w:val="bottom"/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7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2080" w:type="dxa"/>
            <w:vAlign w:val="bottom"/>
            <w:gridSpan w:val="5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ind w:left="7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02/27/2017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vertAlign w:val="subscript"/>
              </w:rPr>
              <w:t>A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39,669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ind w:right="5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12.1</w:t>
            </w: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199,041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770,865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See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Note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8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jc w:val="center"/>
              <w:ind w:left="8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0" w:type="dxa"/>
            <w:vAlign w:val="bottom"/>
            <w:gridSpan w:val="12"/>
          </w:tcPr>
          <w:p>
            <w:pPr>
              <w:jc w:val="center"/>
              <w:ind w:left="2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3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98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40" w:right="40" w:firstLine="9"/>
        <w:spacing w:after="0" w:line="239" w:lineRule="auto"/>
        <w:tabs>
          <w:tab w:leader="none" w:pos="175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Represents a grant of 39,669 restricted stock units. The restricted stock units, which vest one-third each year beginning on the first anniversary of the grant date, are to be settled for an equal number of shares of common stock upon vesting.</w:t>
      </w:r>
    </w:p>
    <w:p>
      <w:pPr>
        <w:spacing w:after="0" w:line="30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By The Grubbs Family Trust.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ind w:left="6860"/>
        <w:spacing w:after="0" w:line="22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 xml:space="preserve">/s/ Glenn J. Keeler, attorney-in- </w:t>
      </w:r>
      <w:r>
        <w:rPr>
          <w:rFonts w:ascii="Arial" w:cs="Arial" w:eastAsia="Arial" w:hAnsi="Arial"/>
          <w:sz w:val="35"/>
          <w:szCs w:val="35"/>
          <w:color w:val="0000FF"/>
          <w:vertAlign w:val="subscript"/>
        </w:rPr>
        <w:t>02/28/2017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-28575</wp:posOffset>
            </wp:positionV>
            <wp:extent cx="140716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fact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-22860</wp:posOffset>
            </wp:positionV>
            <wp:extent cx="167005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5810885</wp:posOffset>
            </wp:positionH>
            <wp:positionV relativeFrom="paragraph">
              <wp:posOffset>-91440</wp:posOffset>
            </wp:positionV>
            <wp:extent cx="50800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7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233473" TargetMode="External"/><Relationship Id="rId13" Type="http://schemas.openxmlformats.org/officeDocument/2006/relationships/hyperlink" Target="http://www.sec.gov/cgi-bin/browse-edgar?action=getcompany&amp;CIK=000156168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2020-01-16T01:07:23Z</dcterms:created>
  <dcterms:modified xsi:type="dcterms:W3CDTF">2020-01-16T01:07:23Z</dcterms:modified>
</cp:coreProperties>
</file>