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530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53085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BAUER DOUGLAS F.</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TRI POINTE GROUP,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19540 JAMBOREE ROAD,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TRI Pointe Group,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TPH</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98"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02/15/2018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03"/>
        <w:spacing w:after="0"/>
        <w:rPr>
          <w:sz w:val="20"/>
          <w:szCs w:val="20"/>
          <w:color w:val="auto"/>
        </w:rPr>
      </w:pPr>
      <w:r>
        <w:rPr>
          <w:rFonts w:ascii="Arial" w:cs="Arial" w:eastAsia="Arial" w:hAnsi="Arial"/>
          <w:sz w:val="18"/>
          <w:szCs w:val="18"/>
          <w:color w:val="0000FF"/>
        </w:rPr>
        <w:t>Chief Executive Officer</w:t>
      </w:r>
    </w:p>
    <w:p>
      <w:pPr>
        <w:spacing w:after="0" w:line="409"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28"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8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940" w:type="dxa"/>
            <w:vAlign w:val="bottom"/>
          </w:tcPr>
          <w:p>
            <w:pPr>
              <w:spacing w:after="0"/>
              <w:rPr>
                <w:sz w:val="20"/>
                <w:szCs w:val="20"/>
                <w:color w:val="auto"/>
              </w:rPr>
            </w:pPr>
            <w:r>
              <w:rPr>
                <w:rFonts w:ascii="Arial" w:cs="Arial" w:eastAsia="Arial" w:hAnsi="Arial"/>
                <w:sz w:val="18"/>
                <w:szCs w:val="18"/>
                <w:color w:val="0000FF"/>
              </w:rPr>
              <w:t>IRVINE</w:t>
            </w:r>
          </w:p>
        </w:tc>
        <w:tc>
          <w:tcPr>
            <w:tcW w:w="1180" w:type="dxa"/>
            <w:vAlign w:val="bottom"/>
          </w:tcPr>
          <w:p>
            <w:pPr>
              <w:ind w:left="340"/>
              <w:spacing w:after="0"/>
              <w:rPr>
                <w:sz w:val="20"/>
                <w:szCs w:val="20"/>
                <w:color w:val="auto"/>
              </w:rPr>
            </w:pPr>
            <w:r>
              <w:rPr>
                <w:rFonts w:ascii="Arial" w:cs="Arial" w:eastAsia="Arial" w:hAnsi="Arial"/>
                <w:sz w:val="18"/>
                <w:szCs w:val="18"/>
                <w:color w:val="0000FF"/>
              </w:rPr>
              <w:t>CA</w:t>
            </w:r>
          </w:p>
        </w:tc>
        <w:tc>
          <w:tcPr>
            <w:tcW w:w="1680" w:type="dxa"/>
            <w:vAlign w:val="bottom"/>
          </w:tcPr>
          <w:p>
            <w:pPr>
              <w:ind w:left="420"/>
              <w:spacing w:after="0"/>
              <w:rPr>
                <w:sz w:val="20"/>
                <w:szCs w:val="20"/>
                <w:color w:val="auto"/>
              </w:rPr>
            </w:pPr>
            <w:r>
              <w:rPr>
                <w:rFonts w:ascii="Arial" w:cs="Arial" w:eastAsia="Arial" w:hAnsi="Arial"/>
                <w:sz w:val="18"/>
                <w:szCs w:val="18"/>
                <w:color w:val="0000FF"/>
              </w:rPr>
              <w:t>92612</w:t>
            </w:r>
          </w:p>
        </w:tc>
      </w:tr>
      <w:tr>
        <w:trPr>
          <w:trHeight w:val="158"/>
        </w:trPr>
        <w:tc>
          <w:tcPr>
            <w:tcW w:w="40" w:type="dxa"/>
            <w:vAlign w:val="bottom"/>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940" w:type="dxa"/>
            <w:vAlign w:val="bottom"/>
          </w:tcPr>
          <w:p>
            <w:pPr>
              <w:spacing w:after="0"/>
              <w:rPr>
                <w:sz w:val="20"/>
                <w:szCs w:val="20"/>
                <w:color w:val="auto"/>
              </w:rPr>
            </w:pPr>
            <w:r>
              <w:rPr>
                <w:rFonts w:ascii="Arial" w:cs="Arial" w:eastAsia="Arial" w:hAnsi="Arial"/>
                <w:sz w:val="14"/>
                <w:szCs w:val="14"/>
                <w:color w:val="auto"/>
              </w:rPr>
              <w:t>(City)</w:t>
            </w:r>
          </w:p>
        </w:tc>
        <w:tc>
          <w:tcPr>
            <w:tcW w:w="1180" w:type="dxa"/>
            <w:vAlign w:val="bottom"/>
          </w:tcPr>
          <w:p>
            <w:pPr>
              <w:ind w:left="34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61"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6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60"/>
              <w:spacing w:after="0" w:line="133"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10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100" w:type="dxa"/>
            <w:vAlign w:val="bottom"/>
            <w:gridSpan w:val="6"/>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60" w:type="dxa"/>
            <w:vAlign w:val="bottom"/>
            <w:gridSpan w:val="2"/>
          </w:tcPr>
          <w:p>
            <w:pPr>
              <w:ind w:left="6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60" w:type="dxa"/>
            <w:vAlign w:val="bottom"/>
          </w:tcPr>
          <w:p>
            <w:pPr>
              <w:spacing w:after="0"/>
              <w:rPr>
                <w:sz w:val="3"/>
                <w:szCs w:val="3"/>
                <w:color w:val="auto"/>
              </w:rPr>
            </w:pPr>
          </w:p>
        </w:tc>
        <w:tc>
          <w:tcPr>
            <w:tcW w:w="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40" w:type="dxa"/>
            <w:vAlign w:val="bottom"/>
            <w:gridSpan w:val="2"/>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40" w:type="dxa"/>
            <w:vAlign w:val="bottom"/>
            <w:gridSpan w:val="2"/>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gridSpan w:val="2"/>
            <w:vMerge w:val="continue"/>
          </w:tcPr>
          <w:p>
            <w:pPr>
              <w:spacing w:after="0"/>
              <w:rPr>
                <w:sz w:val="5"/>
                <w:szCs w:val="5"/>
                <w:color w:val="auto"/>
              </w:rPr>
            </w:pPr>
          </w:p>
        </w:tc>
        <w:tc>
          <w:tcPr>
            <w:tcW w:w="360" w:type="dxa"/>
            <w:vAlign w:val="bottom"/>
          </w:tcPr>
          <w:p>
            <w:pPr>
              <w:spacing w:after="0"/>
              <w:rPr>
                <w:sz w:val="5"/>
                <w:szCs w:val="5"/>
                <w:color w:val="auto"/>
              </w:rPr>
            </w:pPr>
          </w:p>
        </w:tc>
        <w:tc>
          <w:tcPr>
            <w:tcW w:w="6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760" w:type="dxa"/>
            <w:vAlign w:val="bottom"/>
            <w:gridSpan w:val="2"/>
            <w:vMerge w:val="restart"/>
          </w:tcPr>
          <w:p>
            <w:pPr>
              <w:ind w:left="760"/>
              <w:spacing w:after="0"/>
              <w:rPr>
                <w:sz w:val="20"/>
                <w:szCs w:val="20"/>
                <w:color w:val="auto"/>
              </w:rPr>
            </w:pPr>
            <w:r>
              <w:rPr>
                <w:rFonts w:ascii="Arial" w:cs="Arial" w:eastAsia="Arial" w:hAnsi="Arial"/>
                <w:sz w:val="18"/>
                <w:szCs w:val="18"/>
                <w:color w:val="0000FF"/>
              </w:rPr>
              <w:t>02/15/2018</w:t>
            </w:r>
          </w:p>
        </w:tc>
        <w:tc>
          <w:tcPr>
            <w:tcW w:w="2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180"/>
              <w:spacing w:after="0"/>
              <w:rPr>
                <w:sz w:val="20"/>
                <w:szCs w:val="20"/>
                <w:color w:val="auto"/>
              </w:rPr>
            </w:pPr>
            <w:r>
              <w:rPr>
                <w:rFonts w:ascii="Arial" w:cs="Arial" w:eastAsia="Arial" w:hAnsi="Arial"/>
                <w:sz w:val="14"/>
                <w:szCs w:val="14"/>
                <w:color w:val="0000FF"/>
              </w:rPr>
              <w:t>A</w:t>
            </w:r>
          </w:p>
        </w:tc>
        <w:tc>
          <w:tcPr>
            <w:tcW w:w="1060" w:type="dxa"/>
            <w:vAlign w:val="bottom"/>
            <w:gridSpan w:val="2"/>
            <w:vMerge w:val="restart"/>
          </w:tcPr>
          <w:p>
            <w:pPr>
              <w:jc w:val="right"/>
              <w:ind w:right="219"/>
              <w:spacing w:after="0"/>
              <w:rPr>
                <w:sz w:val="20"/>
                <w:szCs w:val="20"/>
                <w:color w:val="auto"/>
              </w:rPr>
            </w:pPr>
            <w:r>
              <w:rPr>
                <w:rFonts w:ascii="Arial" w:cs="Arial" w:eastAsia="Arial" w:hAnsi="Arial"/>
                <w:sz w:val="18"/>
                <w:szCs w:val="18"/>
                <w:color w:val="0000FF"/>
              </w:rPr>
              <w:t>76,115</w:t>
            </w:r>
            <w:r>
              <w:rPr>
                <w:rFonts w:ascii="Arial" w:cs="Arial" w:eastAsia="Arial" w:hAnsi="Arial"/>
                <w:sz w:val="22"/>
                <w:szCs w:val="22"/>
                <w:color w:val="008000"/>
                <w:vertAlign w:val="superscript"/>
              </w:rPr>
              <w:t>(1)</w:t>
            </w:r>
          </w:p>
        </w:tc>
        <w:tc>
          <w:tcPr>
            <w:tcW w:w="380" w:type="dxa"/>
            <w:vAlign w:val="bottom"/>
            <w:vMerge w:val="restart"/>
          </w:tcPr>
          <w:p>
            <w:pPr>
              <w:ind w:left="40"/>
              <w:spacing w:after="0"/>
              <w:rPr>
                <w:sz w:val="20"/>
                <w:szCs w:val="20"/>
                <w:color w:val="auto"/>
              </w:rPr>
            </w:pPr>
            <w:r>
              <w:rPr>
                <w:rFonts w:ascii="Arial" w:cs="Arial" w:eastAsia="Arial" w:hAnsi="Arial"/>
                <w:sz w:val="18"/>
                <w:szCs w:val="18"/>
                <w:color w:val="0000FF"/>
              </w:rPr>
              <w:t>A</w:t>
            </w:r>
          </w:p>
        </w:tc>
        <w:tc>
          <w:tcPr>
            <w:tcW w:w="420" w:type="dxa"/>
            <w:vAlign w:val="bottom"/>
            <w:gridSpan w:val="2"/>
            <w:vMerge w:val="restart"/>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240" w:type="dxa"/>
            <w:vAlign w:val="bottom"/>
          </w:tcPr>
          <w:p>
            <w:pPr>
              <w:spacing w:after="0"/>
              <w:rPr>
                <w:sz w:val="22"/>
                <w:szCs w:val="22"/>
                <w:color w:val="auto"/>
              </w:rPr>
            </w:pPr>
          </w:p>
        </w:tc>
        <w:tc>
          <w:tcPr>
            <w:tcW w:w="1240" w:type="dxa"/>
            <w:vAlign w:val="bottom"/>
            <w:gridSpan w:val="2"/>
            <w:vMerge w:val="restart"/>
          </w:tcPr>
          <w:p>
            <w:pPr>
              <w:jc w:val="center"/>
              <w:spacing w:after="0"/>
              <w:rPr>
                <w:sz w:val="20"/>
                <w:szCs w:val="20"/>
                <w:color w:val="auto"/>
              </w:rPr>
            </w:pPr>
            <w:r>
              <w:rPr>
                <w:rFonts w:ascii="Arial" w:cs="Arial" w:eastAsia="Arial" w:hAnsi="Arial"/>
                <w:sz w:val="18"/>
                <w:szCs w:val="18"/>
                <w:color w:val="0000FF"/>
                <w:w w:val="86"/>
              </w:rPr>
              <w:t>883,219</w:t>
            </w:r>
          </w:p>
        </w:tc>
        <w:tc>
          <w:tcPr>
            <w:tcW w:w="92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See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560" w:type="dxa"/>
            <w:vAlign w:val="bottom"/>
            <w:gridSpan w:val="2"/>
            <w:vMerge w:val="continue"/>
          </w:tcPr>
          <w:p>
            <w:pPr>
              <w:spacing w:after="0"/>
              <w:rPr>
                <w:sz w:val="14"/>
                <w:szCs w:val="14"/>
                <w:color w:val="auto"/>
              </w:rPr>
            </w:pPr>
          </w:p>
        </w:tc>
        <w:tc>
          <w:tcPr>
            <w:tcW w:w="1140" w:type="dxa"/>
            <w:vAlign w:val="bottom"/>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380" w:type="dxa"/>
            <w:vAlign w:val="bottom"/>
            <w:vMerge w:val="continue"/>
          </w:tcPr>
          <w:p>
            <w:pPr>
              <w:spacing w:after="0"/>
              <w:rPr>
                <w:sz w:val="14"/>
                <w:szCs w:val="14"/>
                <w:color w:val="auto"/>
              </w:rPr>
            </w:pPr>
          </w:p>
        </w:tc>
        <w:tc>
          <w:tcPr>
            <w:tcW w:w="4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780" w:type="dxa"/>
            <w:vAlign w:val="bottom"/>
            <w:vMerge w:val="restart"/>
          </w:tcPr>
          <w:p>
            <w:pPr>
              <w:ind w:left="60"/>
              <w:spacing w:after="0"/>
              <w:rPr>
                <w:sz w:val="20"/>
                <w:szCs w:val="20"/>
                <w:color w:val="auto"/>
              </w:rPr>
            </w:pPr>
            <w:r>
              <w:rPr>
                <w:rFonts w:ascii="Arial" w:cs="Arial" w:eastAsia="Arial" w:hAnsi="Arial"/>
                <w:sz w:val="18"/>
                <w:szCs w:val="18"/>
                <w:color w:val="0000FF"/>
              </w:rPr>
              <w:t>Note</w:t>
            </w:r>
            <w:r>
              <w:rPr>
                <w:rFonts w:ascii="Arial" w:cs="Arial" w:eastAsia="Arial" w:hAnsi="Arial"/>
                <w:sz w:val="22"/>
                <w:szCs w:val="22"/>
                <w:color w:val="008000"/>
                <w:vertAlign w:val="superscript"/>
              </w:rPr>
              <w:t>(2)</w:t>
            </w: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1140" w:type="dxa"/>
            <w:vAlign w:val="bottom"/>
            <w:tcBorders>
              <w:bottom w:val="single" w:sz="8" w:color="2C2C2C"/>
            </w:tcBorders>
          </w:tcPr>
          <w:p>
            <w:pPr>
              <w:spacing w:after="0"/>
              <w:rPr>
                <w:sz w:val="10"/>
                <w:szCs w:val="10"/>
                <w:color w:val="auto"/>
              </w:rPr>
            </w:pPr>
          </w:p>
        </w:tc>
        <w:tc>
          <w:tcPr>
            <w:tcW w:w="11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vMerge w:val="continue"/>
          </w:tcPr>
          <w:p>
            <w:pPr>
              <w:spacing w:after="0"/>
              <w:rPr>
                <w:sz w:val="10"/>
                <w:szCs w:val="10"/>
                <w:color w:val="auto"/>
              </w:rPr>
            </w:pPr>
          </w:p>
        </w:tc>
        <w:tc>
          <w:tcPr>
            <w:tcW w:w="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760" w:type="dxa"/>
            <w:vAlign w:val="bottom"/>
            <w:gridSpan w:val="2"/>
            <w:vMerge w:val="restart"/>
          </w:tcPr>
          <w:p>
            <w:pPr>
              <w:ind w:left="760"/>
              <w:spacing w:after="0"/>
              <w:rPr>
                <w:sz w:val="20"/>
                <w:szCs w:val="20"/>
                <w:color w:val="auto"/>
              </w:rPr>
            </w:pPr>
            <w:r>
              <w:rPr>
                <w:rFonts w:ascii="Arial" w:cs="Arial" w:eastAsia="Arial" w:hAnsi="Arial"/>
                <w:sz w:val="18"/>
                <w:szCs w:val="18"/>
                <w:color w:val="0000FF"/>
              </w:rPr>
              <w:t>02/15/2018</w:t>
            </w:r>
          </w:p>
        </w:tc>
        <w:tc>
          <w:tcPr>
            <w:tcW w:w="2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200"/>
              <w:spacing w:after="0"/>
              <w:rPr>
                <w:sz w:val="20"/>
                <w:szCs w:val="20"/>
                <w:color w:val="auto"/>
              </w:rPr>
            </w:pPr>
            <w:r>
              <w:rPr>
                <w:rFonts w:ascii="Arial" w:cs="Arial" w:eastAsia="Arial" w:hAnsi="Arial"/>
                <w:sz w:val="14"/>
                <w:szCs w:val="14"/>
                <w:color w:val="0000FF"/>
              </w:rPr>
              <w:t>F</w:t>
            </w:r>
          </w:p>
        </w:tc>
        <w:tc>
          <w:tcPr>
            <w:tcW w:w="1060" w:type="dxa"/>
            <w:vAlign w:val="bottom"/>
            <w:gridSpan w:val="2"/>
            <w:vMerge w:val="restart"/>
          </w:tcPr>
          <w:p>
            <w:pPr>
              <w:jc w:val="right"/>
              <w:ind w:right="219"/>
              <w:spacing w:after="0"/>
              <w:rPr>
                <w:sz w:val="20"/>
                <w:szCs w:val="20"/>
                <w:color w:val="auto"/>
              </w:rPr>
            </w:pPr>
            <w:r>
              <w:rPr>
                <w:rFonts w:ascii="Arial" w:cs="Arial" w:eastAsia="Arial" w:hAnsi="Arial"/>
                <w:sz w:val="18"/>
                <w:szCs w:val="18"/>
                <w:color w:val="0000FF"/>
              </w:rPr>
              <w:t>29,083</w:t>
            </w:r>
            <w:r>
              <w:rPr>
                <w:rFonts w:ascii="Arial" w:cs="Arial" w:eastAsia="Arial" w:hAnsi="Arial"/>
                <w:sz w:val="22"/>
                <w:szCs w:val="22"/>
                <w:color w:val="008000"/>
                <w:vertAlign w:val="superscript"/>
              </w:rPr>
              <w:t>(3)</w:t>
            </w:r>
          </w:p>
        </w:tc>
        <w:tc>
          <w:tcPr>
            <w:tcW w:w="380" w:type="dxa"/>
            <w:vAlign w:val="bottom"/>
            <w:vMerge w:val="restart"/>
          </w:tcPr>
          <w:p>
            <w:pPr>
              <w:ind w:left="40"/>
              <w:spacing w:after="0"/>
              <w:rPr>
                <w:sz w:val="20"/>
                <w:szCs w:val="20"/>
                <w:color w:val="auto"/>
              </w:rPr>
            </w:pPr>
            <w:r>
              <w:rPr>
                <w:rFonts w:ascii="Arial" w:cs="Arial" w:eastAsia="Arial" w:hAnsi="Arial"/>
                <w:sz w:val="18"/>
                <w:szCs w:val="18"/>
                <w:color w:val="0000FF"/>
              </w:rPr>
              <w:t>D</w:t>
            </w:r>
          </w:p>
        </w:tc>
        <w:tc>
          <w:tcPr>
            <w:tcW w:w="660" w:type="dxa"/>
            <w:vAlign w:val="bottom"/>
            <w:gridSpan w:val="3"/>
            <w:vMerge w:val="restart"/>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17.35</w:t>
            </w:r>
          </w:p>
        </w:tc>
        <w:tc>
          <w:tcPr>
            <w:tcW w:w="1240" w:type="dxa"/>
            <w:vAlign w:val="bottom"/>
            <w:gridSpan w:val="2"/>
            <w:vMerge w:val="restart"/>
          </w:tcPr>
          <w:p>
            <w:pPr>
              <w:jc w:val="center"/>
              <w:spacing w:after="0"/>
              <w:rPr>
                <w:sz w:val="20"/>
                <w:szCs w:val="20"/>
                <w:color w:val="auto"/>
              </w:rPr>
            </w:pPr>
            <w:r>
              <w:rPr>
                <w:rFonts w:ascii="Arial" w:cs="Arial" w:eastAsia="Arial" w:hAnsi="Arial"/>
                <w:sz w:val="18"/>
                <w:szCs w:val="18"/>
                <w:color w:val="0000FF"/>
                <w:w w:val="86"/>
              </w:rPr>
              <w:t>854,136</w:t>
            </w:r>
          </w:p>
        </w:tc>
        <w:tc>
          <w:tcPr>
            <w:tcW w:w="92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See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560" w:type="dxa"/>
            <w:vAlign w:val="bottom"/>
            <w:gridSpan w:val="2"/>
            <w:vMerge w:val="continue"/>
          </w:tcPr>
          <w:p>
            <w:pPr>
              <w:spacing w:after="0"/>
              <w:rPr>
                <w:sz w:val="14"/>
                <w:szCs w:val="14"/>
                <w:color w:val="auto"/>
              </w:rPr>
            </w:pPr>
          </w:p>
        </w:tc>
        <w:tc>
          <w:tcPr>
            <w:tcW w:w="1140" w:type="dxa"/>
            <w:vAlign w:val="bottom"/>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380" w:type="dxa"/>
            <w:vAlign w:val="bottom"/>
            <w:vMerge w:val="continue"/>
          </w:tcPr>
          <w:p>
            <w:pPr>
              <w:spacing w:after="0"/>
              <w:rPr>
                <w:sz w:val="14"/>
                <w:szCs w:val="14"/>
                <w:color w:val="auto"/>
              </w:rPr>
            </w:pPr>
          </w:p>
        </w:tc>
        <w:tc>
          <w:tcPr>
            <w:tcW w:w="660" w:type="dxa"/>
            <w:vAlign w:val="bottom"/>
            <w:gridSpan w:val="3"/>
            <w:vMerge w:val="continue"/>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top w:val="single" w:sz="8" w:color="2C2C2C"/>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top w:val="single" w:sz="8" w:color="2C2C2C"/>
              <w:bottom w:val="single" w:sz="8" w:color="2C2C2C"/>
            </w:tcBorders>
          </w:tcPr>
          <w:p>
            <w:pPr>
              <w:spacing w:after="0"/>
              <w:rPr>
                <w:sz w:val="24"/>
                <w:szCs w:val="24"/>
                <w:color w:val="auto"/>
              </w:rPr>
            </w:pPr>
          </w:p>
        </w:tc>
        <w:tc>
          <w:tcPr>
            <w:tcW w:w="1140" w:type="dxa"/>
            <w:vAlign w:val="bottom"/>
            <w:tcBorders>
              <w:top w:val="single" w:sz="8" w:color="2C2C2C"/>
              <w:bottom w:val="single" w:sz="8" w:color="2C2C2C"/>
            </w:tcBorders>
          </w:tcPr>
          <w:p>
            <w:pPr>
              <w:spacing w:after="0"/>
              <w:rPr>
                <w:sz w:val="24"/>
                <w:szCs w:val="24"/>
                <w:color w:val="auto"/>
              </w:rPr>
            </w:pPr>
          </w:p>
        </w:tc>
        <w:tc>
          <w:tcPr>
            <w:tcW w:w="620" w:type="dxa"/>
            <w:vAlign w:val="bottom"/>
            <w:tcBorders>
              <w:top w:val="single" w:sz="8" w:color="2C2C2C"/>
              <w:bottom w:val="single" w:sz="8" w:color="2C2C2C"/>
            </w:tcBorders>
          </w:tcPr>
          <w:p>
            <w:pPr>
              <w:spacing w:after="0"/>
              <w:rPr>
                <w:sz w:val="24"/>
                <w:szCs w:val="24"/>
                <w:color w:val="auto"/>
              </w:rPr>
            </w:pPr>
          </w:p>
        </w:tc>
        <w:tc>
          <w:tcPr>
            <w:tcW w:w="220" w:type="dxa"/>
            <w:vAlign w:val="bottom"/>
            <w:tcBorders>
              <w:top w:val="single" w:sz="8" w:color="2C2C2C"/>
              <w:bottom w:val="single" w:sz="8" w:color="2C2C2C"/>
            </w:tcBorders>
          </w:tcPr>
          <w:p>
            <w:pPr>
              <w:spacing w:after="0"/>
              <w:rPr>
                <w:sz w:val="24"/>
                <w:szCs w:val="24"/>
                <w:color w:val="auto"/>
              </w:rPr>
            </w:pPr>
          </w:p>
        </w:tc>
        <w:tc>
          <w:tcPr>
            <w:tcW w:w="840" w:type="dxa"/>
            <w:vAlign w:val="bottom"/>
            <w:tcBorders>
              <w:top w:val="single" w:sz="8" w:color="2C2C2C"/>
              <w:bottom w:val="single" w:sz="8" w:color="2C2C2C"/>
            </w:tcBorders>
          </w:tcPr>
          <w:p>
            <w:pPr>
              <w:spacing w:after="0"/>
              <w:rPr>
                <w:sz w:val="24"/>
                <w:szCs w:val="24"/>
                <w:color w:val="auto"/>
              </w:rPr>
            </w:pPr>
          </w:p>
        </w:tc>
        <w:tc>
          <w:tcPr>
            <w:tcW w:w="40" w:type="dxa"/>
            <w:vAlign w:val="bottom"/>
            <w:tcBorders>
              <w:top w:val="single" w:sz="8" w:color="2C2C2C"/>
              <w:bottom w:val="single" w:sz="8" w:color="2C2C2C"/>
            </w:tcBorders>
          </w:tcPr>
          <w:p>
            <w:pPr>
              <w:spacing w:after="0"/>
              <w:rPr>
                <w:sz w:val="24"/>
                <w:szCs w:val="24"/>
                <w:color w:val="auto"/>
              </w:rPr>
            </w:pPr>
          </w:p>
        </w:tc>
        <w:tc>
          <w:tcPr>
            <w:tcW w:w="780" w:type="dxa"/>
            <w:vAlign w:val="bottom"/>
            <w:tcBorders>
              <w:top w:val="single" w:sz="8" w:color="2C2C2C"/>
              <w:bottom w:val="single" w:sz="8" w:color="2C2C2C"/>
            </w:tcBorders>
          </w:tcPr>
          <w:p>
            <w:pPr>
              <w:spacing w:after="0"/>
              <w:rPr>
                <w:sz w:val="24"/>
                <w:szCs w:val="24"/>
                <w:color w:val="auto"/>
              </w:rPr>
            </w:pPr>
          </w:p>
        </w:tc>
        <w:tc>
          <w:tcPr>
            <w:tcW w:w="700" w:type="dxa"/>
            <w:vAlign w:val="bottom"/>
            <w:tcBorders>
              <w:top w:val="single" w:sz="8" w:color="2C2C2C"/>
              <w:bottom w:val="single" w:sz="8" w:color="2C2C2C"/>
            </w:tcBorders>
          </w:tcPr>
          <w:p>
            <w:pPr>
              <w:spacing w:after="0"/>
              <w:rPr>
                <w:sz w:val="24"/>
                <w:szCs w:val="24"/>
                <w:color w:val="auto"/>
              </w:rPr>
            </w:pPr>
          </w:p>
        </w:tc>
        <w:tc>
          <w:tcPr>
            <w:tcW w:w="360" w:type="dxa"/>
            <w:vAlign w:val="bottom"/>
            <w:tcBorders>
              <w:top w:val="single" w:sz="8" w:color="2C2C2C"/>
              <w:bottom w:val="single" w:sz="8" w:color="2C2C2C"/>
            </w:tcBorders>
          </w:tcPr>
          <w:p>
            <w:pPr>
              <w:spacing w:after="0"/>
              <w:rPr>
                <w:sz w:val="24"/>
                <w:szCs w:val="24"/>
                <w:color w:val="auto"/>
              </w:rPr>
            </w:pPr>
          </w:p>
        </w:tc>
        <w:tc>
          <w:tcPr>
            <w:tcW w:w="380" w:type="dxa"/>
            <w:vAlign w:val="bottom"/>
            <w:tcBorders>
              <w:top w:val="single" w:sz="8" w:color="2C2C2C"/>
              <w:bottom w:val="single" w:sz="8" w:color="2C2C2C"/>
            </w:tcBorders>
          </w:tcPr>
          <w:p>
            <w:pPr>
              <w:spacing w:after="0"/>
              <w:rPr>
                <w:sz w:val="24"/>
                <w:szCs w:val="24"/>
                <w:color w:val="auto"/>
              </w:rPr>
            </w:pPr>
          </w:p>
        </w:tc>
        <w:tc>
          <w:tcPr>
            <w:tcW w:w="360" w:type="dxa"/>
            <w:vAlign w:val="bottom"/>
            <w:tcBorders>
              <w:top w:val="single" w:sz="8" w:color="2C2C2C"/>
              <w:bottom w:val="single" w:sz="8" w:color="2C2C2C"/>
            </w:tcBorders>
          </w:tcPr>
          <w:p>
            <w:pPr>
              <w:spacing w:after="0"/>
              <w:rPr>
                <w:sz w:val="24"/>
                <w:szCs w:val="24"/>
                <w:color w:val="auto"/>
              </w:rPr>
            </w:pPr>
          </w:p>
        </w:tc>
        <w:tc>
          <w:tcPr>
            <w:tcW w:w="60" w:type="dxa"/>
            <w:vAlign w:val="bottom"/>
            <w:tcBorders>
              <w:top w:val="single" w:sz="8" w:color="2C2C2C"/>
              <w:bottom w:val="single" w:sz="8" w:color="2C2C2C"/>
            </w:tcBorders>
          </w:tcPr>
          <w:p>
            <w:pPr>
              <w:spacing w:after="0"/>
              <w:rPr>
                <w:sz w:val="24"/>
                <w:szCs w:val="24"/>
                <w:color w:val="auto"/>
              </w:rPr>
            </w:pPr>
          </w:p>
        </w:tc>
        <w:tc>
          <w:tcPr>
            <w:tcW w:w="240" w:type="dxa"/>
            <w:vAlign w:val="bottom"/>
            <w:tcBorders>
              <w:top w:val="single" w:sz="8" w:color="2C2C2C"/>
              <w:bottom w:val="single" w:sz="8" w:color="2C2C2C"/>
            </w:tcBorders>
          </w:tcPr>
          <w:p>
            <w:pPr>
              <w:spacing w:after="0"/>
              <w:rPr>
                <w:sz w:val="24"/>
                <w:szCs w:val="24"/>
                <w:color w:val="auto"/>
              </w:rPr>
            </w:pPr>
          </w:p>
        </w:tc>
        <w:tc>
          <w:tcPr>
            <w:tcW w:w="1240" w:type="dxa"/>
            <w:vAlign w:val="bottom"/>
            <w:tcBorders>
              <w:top w:val="single" w:sz="8" w:color="2C2C2C"/>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4"/>
              </w:rPr>
              <w:t>152,045</w:t>
            </w:r>
            <w:r>
              <w:rPr>
                <w:rFonts w:ascii="Arial" w:cs="Arial" w:eastAsia="Arial" w:hAnsi="Arial"/>
                <w:sz w:val="22"/>
                <w:szCs w:val="22"/>
                <w:color w:val="008000"/>
                <w:w w:val="84"/>
                <w:vertAlign w:val="superscript"/>
              </w:rPr>
              <w:t>(4)</w:t>
            </w:r>
          </w:p>
        </w:tc>
        <w:tc>
          <w:tcPr>
            <w:tcW w:w="920" w:type="dxa"/>
            <w:vAlign w:val="bottom"/>
            <w:tcBorders>
              <w:top w:val="single" w:sz="8" w:color="2C2C2C"/>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top w:val="single" w:sz="8" w:color="2C2C2C"/>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4"/>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500" w:type="dxa"/>
            <w:vAlign w:val="bottom"/>
            <w:gridSpan w:val="11"/>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0" w:type="dxa"/>
            <w:vAlign w:val="bottom"/>
            <w:gridSpan w:val="3"/>
          </w:tcPr>
          <w:p>
            <w:pPr>
              <w:ind w:left="16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0" w:type="dxa"/>
            <w:vAlign w:val="bottom"/>
            <w:gridSpan w:val="3"/>
          </w:tcPr>
          <w:p>
            <w:pPr>
              <w:ind w:left="16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Expiration</w:t>
            </w:r>
          </w:p>
        </w:tc>
        <w:tc>
          <w:tcPr>
            <w:tcW w:w="360" w:type="dxa"/>
            <w:vAlign w:val="bottom"/>
          </w:tcPr>
          <w:p>
            <w:pPr>
              <w:spacing w:after="0"/>
              <w:rPr>
                <w:sz w:val="11"/>
                <w:szCs w:val="11"/>
                <w:color w:val="auto"/>
              </w:rPr>
            </w:pPr>
          </w:p>
        </w:tc>
        <w:tc>
          <w:tcPr>
            <w:tcW w:w="3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00" w:type="dxa"/>
            <w:vAlign w:val="bottom"/>
            <w:gridSpan w:val="3"/>
          </w:tcPr>
          <w:p>
            <w:pPr>
              <w:ind w:left="160"/>
              <w:spacing w:after="0"/>
              <w:rPr>
                <w:sz w:val="20"/>
                <w:szCs w:val="20"/>
                <w:color w:val="auto"/>
              </w:rPr>
            </w:pPr>
            <w:r>
              <w:rPr>
                <w:rFonts w:ascii="Arial" w:cs="Arial" w:eastAsia="Arial" w:hAnsi="Arial"/>
                <w:sz w:val="12"/>
                <w:szCs w:val="12"/>
                <w:b w:val="1"/>
                <w:bCs w:val="1"/>
                <w:color w:val="auto"/>
              </w:rPr>
              <w:t>Shares</w:t>
            </w:r>
          </w:p>
        </w:tc>
        <w:tc>
          <w:tcPr>
            <w:tcW w:w="2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40" w:firstLine="9"/>
        <w:spacing w:after="0" w:line="288"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shares of common stock issued pursuant to the vesting of performance-based restricted stock units granted on March 9, 2015 that were eligible to vest based on attainment of certain earnings per share performance goals (the "RSU Awards"). The Compensation Committee of the issuer's board of directors determined that, based on the issuer's performance over the performance period, 76,115 RSU Awards would vest and be settled into an equal number of shares of common stock, in accordance with the terms of the RSU Awards.</w:t>
      </w:r>
    </w:p>
    <w:p>
      <w:pPr>
        <w:spacing w:after="0" w:line="2" w:lineRule="exact"/>
        <w:rPr>
          <w:rFonts w:ascii="Arial" w:cs="Arial" w:eastAsia="Arial" w:hAnsi="Arial"/>
          <w:sz w:val="12"/>
          <w:szCs w:val="12"/>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By The Bauer Revocable Trust.</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Withholding of shares incident to vesting of the RSU Awards.</w:t>
      </w:r>
    </w:p>
    <w:p>
      <w:pPr>
        <w:spacing w:after="0" w:line="41" w:lineRule="exact"/>
        <w:rPr>
          <w:rFonts w:ascii="Arial" w:cs="Arial" w:eastAsia="Arial" w:hAnsi="Arial"/>
          <w:sz w:val="14"/>
          <w:szCs w:val="14"/>
          <w:color w:val="008000"/>
        </w:rPr>
      </w:pPr>
    </w:p>
    <w:p>
      <w:pPr>
        <w:ind w:left="40" w:right="14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137,268 performance-based restricted stock units granted to the reporting person on March 9, 2015, and previously reported in Table I of Form 4 on March 11, 2015, were forfeited on February 15, 2018 for no value.</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ind w:left="6860"/>
        <w:spacing w:after="0" w:line="221" w:lineRule="auto"/>
        <w:rPr>
          <w:sz w:val="20"/>
          <w:szCs w:val="20"/>
          <w:color w:val="auto"/>
        </w:rPr>
      </w:pPr>
      <w:r>
        <w:rPr>
          <w:rFonts w:ascii="Arial" w:cs="Arial" w:eastAsia="Arial" w:hAnsi="Arial"/>
          <w:sz w:val="18"/>
          <w:szCs w:val="18"/>
          <w:color w:val="0000FF"/>
        </w:rPr>
        <w:t xml:space="preserve">/s/ Glenn J. Keeler, attorney-in- </w:t>
      </w:r>
      <w:r>
        <w:rPr>
          <w:rFonts w:ascii="Arial" w:cs="Arial" w:eastAsia="Arial" w:hAnsi="Arial"/>
          <w:sz w:val="35"/>
          <w:szCs w:val="35"/>
          <w:color w:val="0000FF"/>
          <w:vertAlign w:val="subscript"/>
        </w:rPr>
        <w:t>02/20/2018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4071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0716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670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7005"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67627"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2020-01-13T23:01:15Z</dcterms:created>
  <dcterms:modified xsi:type="dcterms:W3CDTF">2020-01-13T23:01:15Z</dcterms:modified>
</cp:coreProperties>
</file>