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320675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354965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150495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186690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4"/>
          <w:szCs w:val="24"/>
          <w:color w:val="auto"/>
        </w:rPr>
      </w:pPr>
    </w:p>
    <w:p>
      <w:pPr>
        <w:ind w:left="4160"/>
        <w:spacing w:after="0"/>
        <w:rPr>
          <w:sz w:val="20"/>
          <w:szCs w:val="20"/>
          <w:color w:val="auto"/>
        </w:rPr>
      </w:pPr>
      <w:r>
        <w:rPr>
          <w:rFonts w:ascii="Arial" w:cs="Arial" w:eastAsia="Arial" w:hAnsi="Arial"/>
          <w:sz w:val="22"/>
          <w:szCs w:val="22"/>
          <w:b w:val="1"/>
          <w:bCs w:val="1"/>
          <w:color w:val="auto"/>
        </w:rPr>
        <w:t>Pursuant to Section 13 or 15(d) of</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November 3,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173990</wp:posOffset>
            </wp:positionV>
            <wp:extent cx="1449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9070" cy="8890"/>
                    </a:xfrm>
                    <a:prstGeom prst="rect">
                      <a:avLst/>
                    </a:prstGeom>
                    <a:noFill/>
                  </pic:spPr>
                </pic:pic>
              </a:graphicData>
            </a:graphic>
          </wp:anchor>
        </w:drawing>
        <w:drawing>
          <wp:anchor simplePos="0" relativeHeight="251657728" behindDoc="1" locked="0" layoutInCell="0" allowOverlap="1">
            <wp:simplePos x="0" y="0"/>
            <wp:positionH relativeFrom="column">
              <wp:posOffset>2663825</wp:posOffset>
            </wp:positionH>
            <wp:positionV relativeFrom="paragraph">
              <wp:posOffset>328295</wp:posOffset>
            </wp:positionV>
            <wp:extent cx="1938020" cy="3600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38020" cy="360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TRI Pointe Group, Inc.</w:t>
      </w:r>
    </w:p>
    <w:p>
      <w:pPr>
        <w:spacing w:after="0" w:line="22"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163830</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ectPr>
          <w:pgSz w:w="11900" w:h="16838" w:orient="portrait"/>
          <w:cols w:equalWidth="0" w:num="1">
            <w:col w:w="11300"/>
          </w:cols>
          <w:pgMar w:left="240" w:top="639" w:right="359" w:bottom="1440" w:gutter="0" w:footer="0" w:header="0"/>
        </w:sectPr>
      </w:pPr>
    </w:p>
    <w:p>
      <w:pPr>
        <w:spacing w:after="0" w:line="200" w:lineRule="exact"/>
        <w:rPr>
          <w:sz w:val="24"/>
          <w:szCs w:val="24"/>
          <w:color w:val="auto"/>
        </w:rPr>
      </w:pPr>
    </w:p>
    <w:p>
      <w:pPr>
        <w:spacing w:after="0" w:line="282" w:lineRule="exact"/>
        <w:rPr>
          <w:sz w:val="24"/>
          <w:szCs w:val="24"/>
          <w:color w:val="auto"/>
        </w:rPr>
      </w:pPr>
    </w:p>
    <w:p>
      <w:pPr>
        <w:ind w:left="14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2" w:lineRule="exact"/>
        <w:rPr>
          <w:sz w:val="24"/>
          <w:szCs w:val="24"/>
          <w:color w:val="auto"/>
        </w:rPr>
      </w:pPr>
    </w:p>
    <w:p>
      <w:pPr>
        <w:jc w:val="center"/>
        <w:ind w:right="2420"/>
        <w:spacing w:after="0"/>
        <w:rPr>
          <w:sz w:val="20"/>
          <w:szCs w:val="20"/>
          <w:color w:val="auto"/>
        </w:rPr>
      </w:pPr>
      <w:r>
        <w:rPr>
          <w:rFonts w:ascii="Arial" w:cs="Arial" w:eastAsia="Arial" w:hAnsi="Arial"/>
          <w:sz w:val="16"/>
          <w:szCs w:val="16"/>
          <w:b w:val="1"/>
          <w:bCs w:val="1"/>
          <w:color w:val="auto"/>
        </w:rPr>
        <w:t>1-35796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61-1763235</w:t>
      </w:r>
    </w:p>
    <w:p>
      <w:pPr>
        <w:spacing w:after="0" w:line="50" w:lineRule="exact"/>
        <w:rPr>
          <w:sz w:val="24"/>
          <w:szCs w:val="24"/>
          <w:color w:val="auto"/>
        </w:rPr>
      </w:pPr>
    </w:p>
    <w:p>
      <w:pPr>
        <w:sectPr>
          <w:pgSz w:w="11900" w:h="16838" w:orient="portrait"/>
          <w:cols w:equalWidth="0" w:num="3">
            <w:col w:w="4700" w:space="720"/>
            <w:col w:w="3020" w:space="720"/>
            <w:col w:w="2140"/>
          </w:cols>
          <w:pgMar w:left="240" w:top="639" w:right="359" w:bottom="1440" w:gutter="0" w:footer="0" w:header="0"/>
          <w:type w:val="continuous"/>
        </w:sectPr>
      </w:pPr>
    </w:p>
    <w:p>
      <w:pPr>
        <w:jc w:val="center"/>
        <w:ind w:right="860"/>
        <w:spacing w:after="0"/>
        <w:rPr>
          <w:sz w:val="20"/>
          <w:szCs w:val="20"/>
          <w:color w:val="auto"/>
        </w:rPr>
      </w:pPr>
      <w:r>
        <w:rPr>
          <w:rFonts w:ascii="Arial" w:cs="Arial" w:eastAsia="Arial" w:hAnsi="Arial"/>
          <w:sz w:val="14"/>
          <w:szCs w:val="14"/>
          <w:b w:val="1"/>
          <w:bCs w:val="1"/>
          <w:color w:val="auto"/>
        </w:rPr>
        <w:t>(State or other jurisdiction</w:t>
      </w:r>
    </w:p>
    <w:p>
      <w:pPr>
        <w:spacing w:after="0" w:line="36" w:lineRule="exact"/>
        <w:rPr>
          <w:sz w:val="24"/>
          <w:szCs w:val="24"/>
          <w:color w:val="auto"/>
        </w:rPr>
      </w:pPr>
    </w:p>
    <w:p>
      <w:pPr>
        <w:jc w:val="center"/>
        <w:ind w:right="860"/>
        <w:spacing w:after="0"/>
        <w:rPr>
          <w:sz w:val="20"/>
          <w:szCs w:val="20"/>
          <w:color w:val="auto"/>
        </w:rPr>
      </w:pPr>
      <w:r>
        <w:rPr>
          <w:rFonts w:ascii="Arial" w:cs="Arial" w:eastAsia="Arial" w:hAnsi="Arial"/>
          <w:sz w:val="16"/>
          <w:szCs w:val="16"/>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4"/>
          <w:szCs w:val="14"/>
          <w:b w:val="1"/>
          <w:bCs w:val="1"/>
          <w:color w:val="auto"/>
        </w:rPr>
        <w:t>(Commission</w:t>
      </w:r>
    </w:p>
    <w:p>
      <w:pPr>
        <w:spacing w:after="0" w:line="3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File Number)</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Arial" w:cs="Arial" w:eastAsia="Arial" w:hAnsi="Arial"/>
          <w:sz w:val="16"/>
          <w:szCs w:val="16"/>
          <w:b w:val="1"/>
          <w:bCs w:val="1"/>
          <w:color w:val="auto"/>
        </w:rPr>
        <w:t>(IRS Employer</w:t>
      </w:r>
    </w:p>
    <w:p>
      <w:pPr>
        <w:spacing w:after="0" w:line="13" w:lineRule="exact"/>
        <w:rPr>
          <w:sz w:val="24"/>
          <w:szCs w:val="24"/>
          <w:color w:val="auto"/>
        </w:rPr>
      </w:pPr>
    </w:p>
    <w:p>
      <w:pPr>
        <w:jc w:val="center"/>
        <w:ind w:right="1060"/>
        <w:spacing w:after="0"/>
        <w:rPr>
          <w:sz w:val="20"/>
          <w:szCs w:val="20"/>
          <w:color w:val="auto"/>
        </w:rPr>
      </w:pPr>
      <w:r>
        <w:rPr>
          <w:rFonts w:ascii="Arial" w:cs="Arial" w:eastAsia="Arial" w:hAnsi="Arial"/>
          <w:sz w:val="15"/>
          <w:szCs w:val="15"/>
          <w:b w:val="1"/>
          <w:bCs w:val="1"/>
          <w:color w:val="auto"/>
        </w:rPr>
        <w:t>Identification No.)</w:t>
      </w:r>
    </w:p>
    <w:p>
      <w:pPr>
        <w:spacing w:after="0" w:line="211" w:lineRule="exact"/>
        <w:rPr>
          <w:sz w:val="24"/>
          <w:szCs w:val="24"/>
          <w:color w:val="auto"/>
        </w:rPr>
      </w:pPr>
    </w:p>
    <w:p>
      <w:pPr>
        <w:sectPr>
          <w:pgSz w:w="11900" w:h="16838" w:orient="portrait"/>
          <w:cols w:equalWidth="0" w:num="3">
            <w:col w:w="4540" w:space="720"/>
            <w:col w:w="2980" w:space="720"/>
            <w:col w:w="2340"/>
          </w:cols>
          <w:pgMar w:left="240" w:top="639" w:right="359" w:bottom="1440" w:gutter="0" w:footer="0" w:header="0"/>
          <w:type w:val="continuous"/>
        </w:sectPr>
      </w:pPr>
    </w:p>
    <w:p>
      <w:pPr>
        <w:spacing w:after="0" w:line="36" w:lineRule="exact"/>
        <w:rPr>
          <w:sz w:val="24"/>
          <w:szCs w:val="24"/>
          <w:color w:val="auto"/>
        </w:rPr>
      </w:pPr>
    </w:p>
    <w:p>
      <w:pPr>
        <w:ind w:left="780"/>
        <w:spacing w:after="0"/>
        <w:rPr>
          <w:sz w:val="20"/>
          <w:szCs w:val="20"/>
          <w:color w:val="auto"/>
        </w:rPr>
      </w:pPr>
      <w:r>
        <w:rPr>
          <w:rFonts w:ascii="Arial" w:cs="Arial" w:eastAsia="Arial" w:hAnsi="Arial"/>
          <w:sz w:val="16"/>
          <w:szCs w:val="16"/>
          <w:b w:val="1"/>
          <w:bCs w:val="1"/>
          <w:color w:val="auto"/>
        </w:rPr>
        <w:t>19540 Jamboree Road, Suite 300, Irvine, California</w:t>
      </w:r>
    </w:p>
    <w:p>
      <w:pPr>
        <w:spacing w:after="0" w:line="20" w:lineRule="exact"/>
        <w:rPr>
          <w:sz w:val="24"/>
          <w:szCs w:val="24"/>
          <w:color w:val="auto"/>
        </w:rPr>
      </w:pPr>
      <w:r>
        <w:rPr>
          <w:sz w:val="24"/>
          <w:szCs w:val="24"/>
          <w:color w:val="auto"/>
        </w:rPr>
        <w:br w:type="column"/>
      </w:r>
    </w:p>
    <w:p>
      <w:pPr>
        <w:spacing w:after="0" w:line="1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92612</w:t>
      </w:r>
    </w:p>
    <w:p>
      <w:pPr>
        <w:spacing w:after="0" w:line="61" w:lineRule="exact"/>
        <w:rPr>
          <w:sz w:val="24"/>
          <w:szCs w:val="24"/>
          <w:color w:val="auto"/>
        </w:rPr>
      </w:pPr>
    </w:p>
    <w:p>
      <w:pPr>
        <w:sectPr>
          <w:pgSz w:w="11900" w:h="16838" w:orient="portrait"/>
          <w:cols w:equalWidth="0" w:num="2">
            <w:col w:w="8200" w:space="720"/>
            <w:col w:w="2380"/>
          </w:cols>
          <w:pgMar w:left="240" w:top="639" w:right="359" w:bottom="1440" w:gutter="0" w:footer="0" w:header="0"/>
          <w:type w:val="continuous"/>
        </w:sectPr>
      </w:pPr>
    </w:p>
    <w:p>
      <w:pPr>
        <w:ind w:left="1400"/>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(Zip Code)</w:t>
      </w:r>
    </w:p>
    <w:p>
      <w:pPr>
        <w:spacing w:after="0" w:line="200" w:lineRule="exact"/>
        <w:rPr>
          <w:sz w:val="24"/>
          <w:szCs w:val="24"/>
          <w:color w:val="auto"/>
        </w:rPr>
      </w:pPr>
    </w:p>
    <w:p>
      <w:pPr>
        <w:sectPr>
          <w:pgSz w:w="11900" w:h="16838" w:orient="portrait"/>
          <w:cols w:equalWidth="0" w:num="2">
            <w:col w:w="8040" w:space="720"/>
            <w:col w:w="2540"/>
          </w:cols>
          <w:pgMar w:left="240" w:top="639" w:right="359" w:bottom="1440" w:gutter="0" w:footer="0" w:header="0"/>
          <w:type w:val="continuous"/>
        </w:sectPr>
      </w:pP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438-1400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174625</wp:posOffset>
            </wp:positionV>
            <wp:extent cx="14490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70"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135255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945515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00"/>
          </w:cols>
          <w:pgMar w:left="240" w:top="639" w:right="359" w:bottom="1440" w:gutter="0" w:footer="0" w:header="0"/>
          <w:type w:val="continuous"/>
        </w:sectPr>
      </w:pPr>
    </w:p>
    <w:bookmarkStart w:id="1" w:name="page2"/>
    <w:bookmarkEnd w:id="1"/>
    <w:p>
      <w:pPr>
        <w:spacing w:after="0"/>
        <w:tabs>
          <w:tab w:leader="none" w:pos="15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jc w:val="both"/>
        <w:ind w:right="320"/>
        <w:spacing w:after="0" w:line="264" w:lineRule="auto"/>
        <w:rPr>
          <w:sz w:val="20"/>
          <w:szCs w:val="20"/>
          <w:color w:val="auto"/>
        </w:rPr>
      </w:pPr>
      <w:r>
        <w:rPr>
          <w:rFonts w:ascii="Arial" w:cs="Arial" w:eastAsia="Arial" w:hAnsi="Arial"/>
          <w:sz w:val="18"/>
          <w:szCs w:val="18"/>
          <w:color w:val="auto"/>
        </w:rPr>
        <w:t>On November 6, 2015, TRI Pointe Group, Inc., a Delaware corporation (the “Company”), announced in a press release its financial results for the quarter ended September 30, 2015. A copy of the Company’s press release announcing these financial results is attached as Exhibit 99.1 to this Current Report on Form 8-K.</w:t>
      </w:r>
    </w:p>
    <w:p>
      <w:pPr>
        <w:spacing w:after="0" w:line="73"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The information furnished pursuant to this Item 2.02, including the exhibits attached hereto, shall not be deemed to be filed for purposes of Section 18 of the Securities Exchange Act of 1934, as amended (“Exchange Act”), or otherwise subject to the liabilities of that section, nor shall it be incorporated by reference into any filings under the Securities Act of 1933, as amended, or the Exchange Act, except as expressly set forth in such filing. In addition, the press release furnished as an exhibit to this report includes “forward-looking statements” within the meaning of the Private Securities Litigation Reform Act of 1995.</w:t>
      </w:r>
    </w:p>
    <w:p>
      <w:pPr>
        <w:sectPr>
          <w:pgSz w:w="11900" w:h="16838" w:orient="portrait"/>
          <w:cols w:equalWidth="0" w:num="1">
            <w:col w:w="11420"/>
          </w:cols>
          <w:pgMar w:left="240" w:top="580" w:right="239" w:bottom="1440" w:gutter="0" w:footer="0" w:header="0"/>
        </w:sectPr>
      </w:pPr>
    </w:p>
    <w:p>
      <w:pPr>
        <w:spacing w:after="0" w:line="15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5.02</w:t>
      </w:r>
    </w:p>
    <w:p>
      <w:pPr>
        <w:spacing w:after="0" w:line="20" w:lineRule="exact"/>
        <w:rPr>
          <w:sz w:val="20"/>
          <w:szCs w:val="20"/>
          <w:color w:val="auto"/>
        </w:rPr>
      </w:pPr>
      <w:r>
        <w:rPr>
          <w:sz w:val="20"/>
          <w:szCs w:val="20"/>
          <w:color w:val="auto"/>
        </w:rPr>
        <w:br w:type="column"/>
      </w:r>
    </w:p>
    <w:p>
      <w:pPr>
        <w:spacing w:after="0" w:line="130" w:lineRule="exact"/>
        <w:rPr>
          <w:sz w:val="20"/>
          <w:szCs w:val="20"/>
          <w:color w:val="auto"/>
        </w:rPr>
      </w:pPr>
    </w:p>
    <w:p>
      <w:pPr>
        <w:ind w:right="1020"/>
        <w:spacing w:after="0" w:line="282" w:lineRule="auto"/>
        <w:rPr>
          <w:sz w:val="20"/>
          <w:szCs w:val="20"/>
          <w:color w:val="auto"/>
        </w:rPr>
      </w:pP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sectPr>
          <w:pgSz w:w="11900" w:h="16838" w:orient="portrait"/>
          <w:cols w:equalWidth="0" w:num="2">
            <w:col w:w="800" w:space="720"/>
            <w:col w:w="9900"/>
          </w:cols>
          <w:pgMar w:left="240" w:top="580" w:right="239" w:bottom="1440" w:gutter="0" w:footer="0" w:header="0"/>
          <w:type w:val="continuous"/>
        </w:sectPr>
      </w:pPr>
    </w:p>
    <w:p>
      <w:pPr>
        <w:jc w:val="both"/>
        <w:spacing w:after="0" w:line="259" w:lineRule="auto"/>
        <w:rPr>
          <w:sz w:val="20"/>
          <w:szCs w:val="20"/>
          <w:color w:val="auto"/>
        </w:rPr>
      </w:pPr>
      <w:r>
        <w:rPr>
          <w:rFonts w:ascii="Arial" w:cs="Arial" w:eastAsia="Arial" w:hAnsi="Arial"/>
          <w:sz w:val="18"/>
          <w:szCs w:val="18"/>
          <w:color w:val="auto"/>
        </w:rPr>
        <w:t>On November 3, 2015, Ms. Kristin F. Gannon notified the Company of her decision not to stand for re-election to the Company's Board of Directors (the "Board") at the Company's 2016 Annual Meeting of Stockholders. Ms. Gannon confirmed that her decision not to stand for re-election to the Board was due to her acceptance of a new position at another company and not due to any disagreement with the Company, including with respect to any matter relating to the Company's operations, policies or practices.</w:t>
      </w:r>
    </w:p>
    <w:p>
      <w:pPr>
        <w:spacing w:after="0" w:line="183"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5"/>
          <w:szCs w:val="15"/>
          <w:b w:val="1"/>
          <w:bCs w:val="1"/>
          <w:color w:val="auto"/>
        </w:rPr>
        <w:t>Results of Operations</w:t>
      </w:r>
    </w:p>
    <w:p>
      <w:pPr>
        <w:spacing w:after="0" w:line="121" w:lineRule="exact"/>
        <w:rPr>
          <w:sz w:val="20"/>
          <w:szCs w:val="20"/>
          <w:color w:val="auto"/>
        </w:rPr>
      </w:pPr>
    </w:p>
    <w:p>
      <w:pPr>
        <w:ind w:left="1040" w:hanging="519"/>
        <w:spacing w:after="0"/>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99.1  Press Release dated November 6,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80" w:right="239" w:bottom="1440" w:gutter="0" w:footer="0" w:header="0"/>
          <w:type w:val="continuous"/>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60" w:type="dxa"/>
            <w:vAlign w:val="bottom"/>
          </w:tcPr>
          <w:p>
            <w:pPr>
              <w:spacing w:after="0"/>
              <w:rPr>
                <w:sz w:val="20"/>
                <w:szCs w:val="20"/>
                <w:color w:val="auto"/>
              </w:rPr>
            </w:pPr>
          </w:p>
        </w:tc>
        <w:tc>
          <w:tcPr>
            <w:tcW w:w="7660" w:type="dxa"/>
            <w:vAlign w:val="bottom"/>
            <w:gridSpan w:val="2"/>
          </w:tcPr>
          <w:p>
            <w:pPr>
              <w:ind w:left="1980"/>
              <w:spacing w:after="0"/>
              <w:rPr>
                <w:sz w:val="20"/>
                <w:szCs w:val="20"/>
                <w:color w:val="auto"/>
              </w:rPr>
            </w:pPr>
            <w:r>
              <w:rPr>
                <w:rFonts w:ascii="Arial" w:cs="Arial" w:eastAsia="Arial" w:hAnsi="Arial"/>
                <w:sz w:val="18"/>
                <w:szCs w:val="18"/>
                <w:color w:val="auto"/>
              </w:rPr>
              <w:t>TRI Pointe Group, Inc.</w:t>
            </w:r>
          </w:p>
        </w:tc>
      </w:tr>
      <w:tr>
        <w:trPr>
          <w:trHeight w:val="432"/>
        </w:trPr>
        <w:tc>
          <w:tcPr>
            <w:tcW w:w="3760" w:type="dxa"/>
            <w:vAlign w:val="bottom"/>
          </w:tcPr>
          <w:p>
            <w:pPr>
              <w:spacing w:after="0"/>
              <w:rPr>
                <w:sz w:val="20"/>
                <w:szCs w:val="20"/>
                <w:color w:val="auto"/>
              </w:rPr>
            </w:pPr>
            <w:r>
              <w:rPr>
                <w:rFonts w:ascii="Arial" w:cs="Arial" w:eastAsia="Arial" w:hAnsi="Arial"/>
                <w:sz w:val="18"/>
                <w:szCs w:val="18"/>
                <w:color w:val="auto"/>
              </w:rPr>
              <w:t>Date: November 6, 2015</w:t>
            </w:r>
          </w:p>
        </w:tc>
        <w:tc>
          <w:tcPr>
            <w:tcW w:w="7660" w:type="dxa"/>
            <w:vAlign w:val="bottom"/>
            <w:gridSpan w:val="2"/>
          </w:tcPr>
          <w:p>
            <w:pPr>
              <w:ind w:left="1980"/>
              <w:spacing w:after="0"/>
              <w:rPr>
                <w:sz w:val="20"/>
                <w:szCs w:val="20"/>
                <w:color w:val="auto"/>
              </w:rPr>
            </w:pPr>
            <w:r>
              <w:rPr>
                <w:rFonts w:ascii="Arial" w:cs="Arial" w:eastAsia="Arial" w:hAnsi="Arial"/>
                <w:sz w:val="18"/>
                <w:szCs w:val="18"/>
                <w:color w:val="auto"/>
              </w:rPr>
              <w:t>By:  /s/ Michael D. Grubbs</w:t>
            </w:r>
          </w:p>
        </w:tc>
      </w:tr>
      <w:tr>
        <w:trPr>
          <w:trHeight w:val="195"/>
        </w:trPr>
        <w:tc>
          <w:tcPr>
            <w:tcW w:w="376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3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D. Grubbs,</w:t>
            </w:r>
          </w:p>
        </w:tc>
      </w:tr>
      <w:tr>
        <w:trPr>
          <w:trHeight w:val="230"/>
        </w:trPr>
        <w:tc>
          <w:tcPr>
            <w:tcW w:w="376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Chief Financial Officer and Treasurer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3" w:name="page4"/>
    <w:bookmarkEnd w:id="3"/>
    <w:p>
      <w:pPr>
        <w:jc w:val="right"/>
        <w:ind w:right="3619"/>
        <w:spacing w:after="0"/>
        <w:rPr>
          <w:sz w:val="20"/>
          <w:szCs w:val="20"/>
          <w:color w:val="auto"/>
        </w:rPr>
      </w:pPr>
      <w:r>
        <w:rPr>
          <w:rFonts w:ascii="Arial" w:cs="Arial" w:eastAsia="Arial" w:hAnsi="Arial"/>
          <w:sz w:val="18"/>
          <w:szCs w:val="18"/>
          <w:b w:val="1"/>
          <w:bCs w:val="1"/>
          <w:u w:val="single" w:color="auto"/>
          <w:color w:val="auto"/>
        </w:rPr>
        <w:t>INDEX OF EXHIBITS</w:t>
      </w:r>
    </w:p>
    <w:p>
      <w:pPr>
        <w:spacing w:after="0" w:line="22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25" w:lineRule="exact"/>
        <w:rPr>
          <w:sz w:val="20"/>
          <w:szCs w:val="20"/>
          <w:color w:val="auto"/>
        </w:rPr>
      </w:pPr>
    </w:p>
    <w:p>
      <w:pPr>
        <w:ind w:left="120"/>
        <w:spacing w:after="0"/>
        <w:tabs>
          <w:tab w:leader="none" w:pos="60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 of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8255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4" w:lineRule="exact"/>
        <w:rPr>
          <w:sz w:val="20"/>
          <w:szCs w:val="20"/>
          <w:color w:val="auto"/>
        </w:rPr>
      </w:pPr>
    </w:p>
    <w:p>
      <w:pPr>
        <w:ind w:left="60"/>
        <w:spacing w:after="0"/>
        <w:tabs>
          <w:tab w:leader="none" w:pos="6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November 6, 2015</w:t>
      </w:r>
    </w:p>
    <w:p>
      <w:pPr>
        <w:spacing w:after="0" w:line="200" w:lineRule="exact"/>
        <w:rPr>
          <w:sz w:val="20"/>
          <w:szCs w:val="20"/>
          <w:color w:val="auto"/>
        </w:rPr>
      </w:pPr>
    </w:p>
    <w:p>
      <w:pPr>
        <w:spacing w:after="0" w:line="24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139"/>
          </w:cols>
          <w:pgMar w:left="320" w:top="364"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2654935</wp:posOffset>
            </wp:positionH>
            <wp:positionV relativeFrom="paragraph">
              <wp:posOffset>154940</wp:posOffset>
            </wp:positionV>
            <wp:extent cx="1946910" cy="3771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46910" cy="37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GROUP, INC. REPORTS 2015 THIRD QUARTER RESULTS</w:t>
      </w:r>
    </w:p>
    <w:p>
      <w:pPr>
        <w:spacing w:after="0" w:line="225" w:lineRule="exact"/>
        <w:rPr>
          <w:sz w:val="20"/>
          <w:szCs w:val="20"/>
          <w:color w:val="auto"/>
        </w:rPr>
      </w:pPr>
    </w:p>
    <w:p>
      <w:pPr>
        <w:jc w:val="center"/>
        <w:spacing w:after="0" w:line="272" w:lineRule="auto"/>
        <w:rPr>
          <w:sz w:val="20"/>
          <w:szCs w:val="20"/>
          <w:color w:val="auto"/>
        </w:rPr>
      </w:pPr>
      <w:r>
        <w:rPr>
          <w:rFonts w:ascii="Arial" w:cs="Arial" w:eastAsia="Arial" w:hAnsi="Arial"/>
          <w:sz w:val="17"/>
          <w:szCs w:val="17"/>
          <w:b w:val="1"/>
          <w:bCs w:val="1"/>
          <w:color w:val="auto"/>
        </w:rPr>
        <w:t>-Reports Net Income of $50.2 Million, or $0.31 per Diluted Share for the Quarter--New Home Orders up 24% and New Home Deliveries up 35% for the Quarter--Homebuilding Gross Margin increase to 21.0% for the Quarter-</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General and Administrative Expenses decrease to 8.8% of Home Sales Revenue for the Quarter-</w:t>
      </w:r>
    </w:p>
    <w:p>
      <w:pPr>
        <w:spacing w:after="0" w:line="386"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Irvine, California, November 6, 2015 /Business Wire/ – TRI Pointe Group, Inc. (NYSE: TPH) today announced results for the third quarter ended September 30, 2015.</w:t>
      </w:r>
    </w:p>
    <w:p>
      <w:pPr>
        <w:spacing w:after="0" w:line="143"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On July 7, 2014, TRI Pointe consummated the merger with Weyerhaeuser Real Estate Company (“WRECO”). The merger was accounted for as a “reverse acquisition” of TRI Pointe by WRECO. As a result, legacy TRI Pointe’s financial results are only included in the combined company’s financial statements from the closing date forward and are not reflected in the combined company’s historical financial statements. Accordingly, legacy TRI Pointe’s financial results are not included in the Generally Accepted Accounting Principles (“GAAP”) results for the periods prior to July 7, 2014 included in this press release.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and Operational Data for Third Quarter 2015 and Comparisons to Third Quarter 2014</w:t>
      </w:r>
    </w:p>
    <w:p>
      <w:pPr>
        <w:spacing w:after="0" w:line="121" w:lineRule="exact"/>
        <w:rPr>
          <w:sz w:val="20"/>
          <w:szCs w:val="20"/>
          <w:color w:val="auto"/>
        </w:rPr>
      </w:pPr>
    </w:p>
    <w:p>
      <w:pPr>
        <w:ind w:left="760" w:hanging="374"/>
        <w:spacing w:after="0"/>
        <w:tabs>
          <w:tab w:leader="none" w:pos="760" w:val="left"/>
        </w:tabs>
        <w:numPr>
          <w:ilvl w:val="0"/>
          <w:numId w:val="3"/>
        </w:numPr>
        <w:rPr>
          <w:rFonts w:ascii="Arial" w:cs="Arial" w:eastAsia="Arial" w:hAnsi="Arial"/>
          <w:sz w:val="16"/>
          <w:szCs w:val="16"/>
          <w:color w:val="auto"/>
        </w:rPr>
      </w:pPr>
      <w:r>
        <w:rPr>
          <w:rFonts w:ascii="Arial" w:cs="Arial" w:eastAsia="Arial" w:hAnsi="Arial"/>
          <w:sz w:val="16"/>
          <w:szCs w:val="16"/>
          <w:color w:val="auto"/>
        </w:rPr>
        <w:t>Net income available to common shareholders was $50.2 million, or $0.31 per diluted share compared to $11.0 million, or $0.07 per diluted share</w:t>
      </w:r>
    </w:p>
    <w:p>
      <w:pPr>
        <w:spacing w:after="0" w:line="140" w:lineRule="exact"/>
        <w:rPr>
          <w:rFonts w:ascii="Arial" w:cs="Arial" w:eastAsia="Arial" w:hAnsi="Arial"/>
          <w:sz w:val="16"/>
          <w:szCs w:val="16"/>
          <w:color w:val="auto"/>
        </w:rPr>
      </w:pPr>
    </w:p>
    <w:p>
      <w:pPr>
        <w:ind w:left="760" w:hanging="374"/>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New home orders increased to 996 compared to 803, an increase of 24%</w:t>
      </w:r>
    </w:p>
    <w:p>
      <w:pPr>
        <w:spacing w:after="0" w:line="117" w:lineRule="exact"/>
        <w:rPr>
          <w:rFonts w:ascii="Arial" w:cs="Arial" w:eastAsia="Arial" w:hAnsi="Arial"/>
          <w:sz w:val="18"/>
          <w:szCs w:val="18"/>
          <w:color w:val="auto"/>
        </w:rPr>
      </w:pPr>
    </w:p>
    <w:p>
      <w:pPr>
        <w:ind w:left="760" w:hanging="374"/>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Active selling communities averaged 120.8 compared to 107.0</w:t>
      </w:r>
    </w:p>
    <w:p>
      <w:pPr>
        <w:spacing w:after="0" w:line="117" w:lineRule="exact"/>
        <w:rPr>
          <w:sz w:val="20"/>
          <w:szCs w:val="20"/>
          <w:color w:val="auto"/>
        </w:rPr>
      </w:pPr>
    </w:p>
    <w:p>
      <w:pPr>
        <w:ind w:left="1520" w:right="320" w:hanging="378"/>
        <w:spacing w:after="0" w:line="259" w:lineRule="auto"/>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New home orders per average selling community were 8.2 orders (2.7 monthly) compared to 7.5 orders (2.5 monthly), an increase of 10%</w:t>
      </w:r>
    </w:p>
    <w:p>
      <w:pPr>
        <w:spacing w:after="0" w:line="76" w:lineRule="exact"/>
        <w:rPr>
          <w:rFonts w:ascii="Courier New" w:cs="Courier New" w:eastAsia="Courier New" w:hAnsi="Courier New"/>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Cancellation rate decreased to 16% compared to 18%</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Backlog units of 1,856 homes with a dollar value increase of 28%, to approximately $1.1 billion</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Average sales price in backlog of $598,000</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Home sales revenue of $642.4 million, an increase of 36%</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New homes deliveries of 1,138, up 35%</w:t>
      </w:r>
    </w:p>
    <w:p>
      <w:pPr>
        <w:spacing w:after="0" w:line="101" w:lineRule="exact"/>
        <w:rPr>
          <w:rFonts w:ascii="Courier New" w:cs="Courier New" w:eastAsia="Courier New" w:hAnsi="Courier New"/>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Average sales price of homes delivered of $564,000</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Homebuilding gross margin percentage of 21.0%</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Excluding interest, impairments and lot option abandonments, adjusted homebuilding gross margin percentage was 23.1%*</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SG&amp;A expense as a percentage of homes sales revenue improved to 8.8% compared to 10.5%</w:t>
      </w:r>
    </w:p>
    <w:p>
      <w:pPr>
        <w:spacing w:after="0" w:line="117" w:lineRule="exact"/>
        <w:rPr>
          <w:rFonts w:ascii="Arial" w:cs="Arial" w:eastAsia="Arial" w:hAnsi="Arial"/>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Ratios of debt and net debt to capital of 44.1% and 42.2%*, respectively, as of September 30 2015</w:t>
      </w:r>
    </w:p>
    <w:p>
      <w:pPr>
        <w:spacing w:after="0" w:line="117" w:lineRule="exact"/>
        <w:rPr>
          <w:rFonts w:ascii="Arial" w:cs="Arial" w:eastAsia="Arial" w:hAnsi="Arial"/>
          <w:sz w:val="18"/>
          <w:szCs w:val="18"/>
          <w:color w:val="auto"/>
        </w:rPr>
      </w:pPr>
    </w:p>
    <w:p>
      <w:pPr>
        <w:ind w:left="380" w:right="3660" w:firstLine="6"/>
        <w:spacing w:after="0" w:line="461" w:lineRule="auto"/>
        <w:tabs>
          <w:tab w:leader="none" w:pos="757" w:val="left"/>
        </w:tabs>
        <w:numPr>
          <w:ilvl w:val="0"/>
          <w:numId w:val="4"/>
        </w:numPr>
        <w:rPr>
          <w:rFonts w:ascii="Arial" w:cs="Arial" w:eastAsia="Arial" w:hAnsi="Arial"/>
          <w:sz w:val="18"/>
          <w:szCs w:val="18"/>
          <w:color w:val="auto"/>
        </w:rPr>
      </w:pPr>
      <w:r>
        <w:rPr>
          <w:rFonts w:ascii="Arial" w:cs="Arial" w:eastAsia="Arial" w:hAnsi="Arial"/>
          <w:sz w:val="18"/>
          <w:szCs w:val="18"/>
          <w:color w:val="auto"/>
        </w:rPr>
        <w:t>Cash of $97.0 million and availability under unsecured revolving credit facility of $192.4 million * See “Reconciliation of Non-GAAP Financial Measures”</w:t>
      </w:r>
    </w:p>
    <w:p>
      <w:pPr>
        <w:spacing w:after="0" w:line="2"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“TRI Pointe Group delivered another strong quarter marked by year-over-year growth in revenues, net income and orders”, commented Chief Executive Officer Doug Bauer. “In addition, the Company’s third quarter results met or exceeded our guidance for new home deliveries, homebuilding gross margins and community openings. These achievements are a reflection of TRI Pointe Group’s success in combining and integrating the six homebuilding brands, and the strength of the deeply experienced operating teams in each of their local markets.”</w:t>
      </w: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GAAP Third quarter 2015 operating results</w:t>
      </w:r>
    </w:p>
    <w:p>
      <w:pPr>
        <w:spacing w:after="0" w:line="121"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Net income available to common shareholders was $50.2 million, or $0.31 per diluted share in the third quarter of 2015, compared to net income of $11.0 million, or $0.07 per diluted share for the third quarter of 2014. The improvement in net income available to common shareholders was primarily driven by an increase of $48.4 million in home sales gross margin due to higher home sales revenue resulting from a 35% increase in new home deliveries in addition to a savings of $21.7 million related to restructuring and transaction related expenses incurred in the prior year. This was offset by current year increases in the Company’s provision for income taxes of $22.0 million and higher SG&amp;A costs of $7.5 million.</w:t>
      </w:r>
    </w:p>
    <w:p>
      <w:pPr>
        <w:spacing w:after="0" w:line="146"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Home sales revenue increased $170.6 million to $642.4 million for the third quarter of 2015, as compared to $471.8 million for the same period in 2014. The increase was attributable to a 35% increase in new home deliveries to 1,138 and a 1% increase in the Company's average sales price of homes delivered to $564,000. New home deliveries increased at all six of our reporting segments with the highest increase at TRI Pointe Homes, which was up 140 units, or 89% compared to the prior year, while delivering at an average sales price of $752,000.</w:t>
      </w:r>
    </w:p>
    <w:p>
      <w:pPr>
        <w:spacing w:after="0" w:line="146" w:lineRule="exact"/>
        <w:rPr>
          <w:sz w:val="20"/>
          <w:szCs w:val="20"/>
          <w:color w:val="auto"/>
        </w:rPr>
      </w:pPr>
    </w:p>
    <w:p>
      <w:pPr>
        <w:jc w:val="both"/>
        <w:ind w:right="120"/>
        <w:spacing w:after="0" w:line="302" w:lineRule="auto"/>
        <w:rPr>
          <w:sz w:val="20"/>
          <w:szCs w:val="20"/>
          <w:color w:val="auto"/>
        </w:rPr>
      </w:pPr>
      <w:r>
        <w:rPr>
          <w:rFonts w:ascii="Arial" w:cs="Arial" w:eastAsia="Arial" w:hAnsi="Arial"/>
          <w:sz w:val="16"/>
          <w:szCs w:val="16"/>
          <w:color w:val="auto"/>
        </w:rPr>
        <w:t>New home orders increased 24% to 996 homes for the third quarter of 2015, as compared to 803 homes for the same period in 2014. Average active selling communities increased to 120.8 as compared to 107.0 for the same period in the prior year, mainly due to TRI Pointe Homes which increased average active selling communities by 12.3 in the current year. The Company’s overall quarterly absorption rate per average selling community for the three months ended September 30 2015 increased 10% to 8.2 orders (2.7 monthly) compared to 7.5 orders (2.5 monthly) during the same period in 2014.</w:t>
      </w:r>
    </w:p>
    <w:p>
      <w:pPr>
        <w:spacing w:after="0" w:line="114" w:lineRule="exact"/>
        <w:rPr>
          <w:sz w:val="20"/>
          <w:szCs w:val="20"/>
          <w:color w:val="auto"/>
        </w:rPr>
      </w:pPr>
    </w:p>
    <w:p>
      <w:pPr>
        <w:jc w:val="both"/>
        <w:ind w:right="120"/>
        <w:spacing w:after="0" w:line="308" w:lineRule="auto"/>
        <w:rPr>
          <w:sz w:val="20"/>
          <w:szCs w:val="20"/>
          <w:color w:val="auto"/>
        </w:rPr>
      </w:pPr>
      <w:r>
        <w:rPr>
          <w:rFonts w:ascii="Arial" w:cs="Arial" w:eastAsia="Arial" w:hAnsi="Arial"/>
          <w:sz w:val="17"/>
          <w:szCs w:val="17"/>
          <w:color w:val="auto"/>
        </w:rPr>
        <w:t>The Company ended the quarter with 1,856 homes in backlog, representing approximately $1.1 billion in future home sales revenue. The average sales price of homes in backlog as of September 30, 2015 decreased $6,000, or 1%, to $598,000 compared to $604,000 at September 30 2014.</w:t>
      </w:r>
    </w:p>
    <w:p>
      <w:pPr>
        <w:spacing w:after="0" w:line="120"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Homebuilding gross margin percentage for the third quarter of 2015 increased to 21.0% compared to 18.3% for the same period in 2014 and increased sequentially from 20.0% during the second quarter of 2015. Excluding interest and impairments and lot option abandonments in cost of home sales, adjusted homebuilding gross margin percentage was 23.1%* for the third quarter of 2015 versus 20.0%* for the same period in 2014.</w:t>
      </w:r>
    </w:p>
    <w:p>
      <w:pPr>
        <w:spacing w:after="0" w:line="125" w:lineRule="exact"/>
        <w:rPr>
          <w:sz w:val="20"/>
          <w:szCs w:val="20"/>
          <w:color w:val="auto"/>
        </w:rPr>
      </w:pPr>
    </w:p>
    <w:p>
      <w:pPr>
        <w:ind w:right="120"/>
        <w:spacing w:after="0" w:line="308" w:lineRule="auto"/>
        <w:rPr>
          <w:sz w:val="20"/>
          <w:szCs w:val="20"/>
          <w:color w:val="auto"/>
        </w:rPr>
      </w:pPr>
      <w:r>
        <w:rPr>
          <w:rFonts w:ascii="Arial" w:cs="Arial" w:eastAsia="Arial" w:hAnsi="Arial"/>
          <w:sz w:val="17"/>
          <w:szCs w:val="17"/>
          <w:color w:val="auto"/>
        </w:rPr>
        <w:t>Selling, general and administrative expense for the third quarter of 2015 improved to 8.8% of home sales revenue as compared to 10.5% for the same period in 2014. The decrease in the selling, general and administrative expense ratio was primarily attributable to increased home sales revenue.</w:t>
      </w:r>
    </w:p>
    <w:p>
      <w:pPr>
        <w:spacing w:after="0" w:line="106"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“While California continues to be the main driver of earnings for our Company, each of the TRI Pointe brands continues to make solid contributions to the bottom line”, said Tom Mitchell, TRI Pointe Group’s President and Chief Operating Officer. “We are extremely pleased with the level of execution demonstrated by each of our brands.”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 See “Reconciliation of Non-GAAP Financial Measures”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121"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For the fourth quarter of 2015, the Company anticipates delivering approximately 75% - 80% of its 1,856 units in backlog as of September 30, 2015. The Company anticipates expanding homebuilding gross margin for the fourth quarter sequentially from the third quarter and ending with a full year 2015 homebuilding gross margin of approximately 21%. Finally, the Company is reiterating its full year 2015 outlook for earnings per diluted share to a range of $1.15 to $1.30.</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121" w:lineRule="exact"/>
        <w:rPr>
          <w:sz w:val="20"/>
          <w:szCs w:val="20"/>
          <w:color w:val="auto"/>
        </w:rPr>
      </w:pPr>
    </w:p>
    <w:p>
      <w:pPr>
        <w:ind w:right="640"/>
        <w:spacing w:after="0" w:line="264" w:lineRule="auto"/>
        <w:rPr>
          <w:sz w:val="20"/>
          <w:szCs w:val="20"/>
          <w:color w:val="auto"/>
        </w:rPr>
      </w:pPr>
      <w:r>
        <w:rPr>
          <w:rFonts w:ascii="Arial" w:cs="Arial" w:eastAsia="Arial" w:hAnsi="Arial"/>
          <w:sz w:val="18"/>
          <w:szCs w:val="18"/>
          <w:color w:val="auto"/>
        </w:rPr>
        <w:t>The Company will host a conference call via live webcast for investors and other interested parties beginning at 10:00 a.m. Eastern Time on Friday, November 6, 2015. The call will be hosted by Doug Bauer, Chief Executive Officer, Tom Mitchell, Chief Operating Officer and Mike Grubbs, Chief Financial Officer.</w:t>
      </w:r>
    </w:p>
    <w:p>
      <w:pPr>
        <w:spacing w:after="0" w:line="154"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 xml:space="preserve">Interested parties can listen to the call live on the internet through the Investor Relations section of the Company’s website at </w:t>
      </w:r>
      <w:r>
        <w:rPr>
          <w:rFonts w:ascii="Arial" w:cs="Arial" w:eastAsia="Arial" w:hAnsi="Arial"/>
          <w:sz w:val="18"/>
          <w:szCs w:val="18"/>
          <w:u w:val="single" w:color="auto"/>
          <w:color w:val="auto"/>
        </w:rPr>
        <w:t>www.TRIPointeGroup.com</w:t>
      </w:r>
      <w:r>
        <w:rPr>
          <w:rFonts w:ascii="Arial" w:cs="Arial" w:eastAsia="Arial" w:hAnsi="Arial"/>
          <w:sz w:val="18"/>
          <w:szCs w:val="18"/>
          <w:color w:val="auto"/>
        </w:rPr>
        <w:t>. Listeners should go to the website at least 15 minutes prior to the call to download and install any necessary audio software. The call can also be accessed by dialing 1-877-407-3982 for domestic participants or 1-201-493-6780 for international participants. Participants should ask for the TRI Pointe Group Third Quarter 2015 Earnings Conference Call. Those dialing in should do so at least ten minutes prior to the start. The replay of the call will be available for two weeks following the call.</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00"/>
          </w:cols>
          <w:pgMar w:left="240" w:top="1323" w:right="259" w:bottom="1440" w:gutter="0" w:footer="0" w:header="0"/>
        </w:sectPr>
      </w:pPr>
    </w:p>
    <w:bookmarkStart w:id="6" w:name="page7"/>
    <w:bookmarkEnd w:id="6"/>
    <w:p>
      <w:pPr>
        <w:ind w:right="10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To access the replay, the domestic dial-in number is 1-877-870-5176, the international dial-in number is 1-858-384-5517, and the pass code is 13614256. An archive of the webcast will be available on the Company’s website for a limited time.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TRI Pointe Group, Inc.</w:t>
      </w:r>
    </w:p>
    <w:p>
      <w:pPr>
        <w:spacing w:after="0" w:line="121"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 xml:space="preserve">Headquartered in Irvine, California, TRI Pointe Group, Inc. (NYSE: TPH) is one of the top ten largest public homebuilders by equity market capitalization in the United States. The company designs, constructs and sells premium single-family homes through its portfolio of six quality brands across eight states, included Maracay Homes in Arizona; Pardee Homes in California and Nevada; Quadrant Homes in Washington; Trendmaker Homes in Texas; TRI Pointe Homes in California and Colorado; and Winchester Homes in Maryland and Virginia. Additional information is available at </w:t>
      </w:r>
      <w:r>
        <w:rPr>
          <w:rFonts w:ascii="Arial" w:cs="Arial" w:eastAsia="Arial" w:hAnsi="Arial"/>
          <w:sz w:val="16"/>
          <w:szCs w:val="16"/>
          <w:u w:val="single" w:color="auto"/>
          <w:color w:val="auto"/>
        </w:rPr>
        <w:t>www.tripointegroup.com</w:t>
      </w:r>
      <w:r>
        <w:rPr>
          <w:rFonts w:ascii="Arial" w:cs="Arial" w:eastAsia="Arial" w:hAnsi="Arial"/>
          <w:sz w:val="16"/>
          <w:szCs w:val="16"/>
          <w:color w:val="auto"/>
        </w:rPr>
        <w:t>.</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67" w:lineRule="auto"/>
        <w:rPr>
          <w:sz w:val="20"/>
          <w:szCs w:val="20"/>
          <w:color w:val="auto"/>
        </w:rPr>
      </w:pPr>
      <w:r>
        <w:rPr>
          <w:rFonts w:ascii="Arial" w:cs="Arial" w:eastAsia="Arial" w:hAnsi="Arial"/>
          <w:sz w:val="17"/>
          <w:szCs w:val="17"/>
          <w:i w:val="1"/>
          <w:iCs w:val="1"/>
          <w:color w:val="auto"/>
        </w:rPr>
        <w:t>Various statements contained in this presentation, including those that express a belief, expectation or intention, as well as those that are not statements of historical fact, are forward-looking statements. These forward-looking statements may include projections and estimates concerning the timing and success of specific projects, our ability to achieve the anticipated benefits of the Weyerhaeuser Real Estate Company (WRECO) transaction and our future production, operational and financial results, financial condition, prospects, and capital spending. Our forward-looking statements are generally accompanied by words such as “anticipate,” “believe,” “estimate,” “goal,” “expect,” “intend,” “project,” “potential,” “plan,” “predict,” “will,” or other words that convey future events or outcomes. The forward-looking statements in this presentation speak only as of the date of this presentation, and we disclaim any obligation to update these statements unless required by law, and we caution you not to rely on them unduly. These forward-looking statements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 the effect of general economic conditions, including employment rates, housing starts, interest rate levels, availability of financing for home mortgages and strength of the U.S. dollar; market demand for our products, which is related to the strength of the various U.S. business segments and U.S. and international economic conditions; levels of competition; the successful execution of our internal performance plans, including restructuring and cost reduction initiatives; global economic conditions; raw material prices; oil and other energy prices; the effect of weather, including the continuing drought in California; the risk of loss from earthquakes, volcanoes, fires, floods, droughts, windstorms, hurricanes, pest infestations and other natural disasters; transportation costs; federal and state tax policies; the effect of land use, environment and other governmental regulations; legal proceedings; risks relating to any unforeseen changes to or effects on liabilities, future capital expenditures, revenues, expenses, earnings, synergies, indebtedness, financial condition, losses and future prospects; the risk that disruptions from the WRECO transaction will harm our business; our ability to achieve the benefits of the WRECO transaction in the estimated amount and the anticipated timeframe, if at all; our ability to integrate WRECO successfully and to achieve the anticipated synergies therefrom; changes in accounting principles; risks related to unauthorized access to our computer systems, theft of our customers’ confidential information or other forms of cyber-attack; our relationship, and actual and potential conflicts of interest, with Starwood Capital Group or its affiliates; and additional factors discussed under the sections captioned “Risk Factors” included in our annual and quarterly reports filed with the Securities and Exchange Commission (“SEC”). The foregoing list is not exhaustive. New risk factors may emerge from time to time and it is not possible for management to predict all such risk factors or to assess the impact of such risk factors on our business.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Chris Martin, TRI Pointe Group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Drew Mackintosh, Mackintosh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InvestorRelations@TRIPointeGroup.com</w:t>
      </w:r>
      <w:r>
        <w:rPr>
          <w:rFonts w:ascii="Arial" w:cs="Arial" w:eastAsia="Arial" w:hAnsi="Arial"/>
          <w:sz w:val="18"/>
          <w:szCs w:val="18"/>
          <w:color w:val="auto"/>
        </w:rPr>
        <w:t>, 949-478-8696</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Carol Ruiz, </w:t>
      </w:r>
      <w:r>
        <w:rPr>
          <w:rFonts w:ascii="Arial" w:cs="Arial" w:eastAsia="Arial" w:hAnsi="Arial"/>
          <w:sz w:val="18"/>
          <w:szCs w:val="18"/>
          <w:u w:val="single" w:color="auto"/>
          <w:color w:val="auto"/>
        </w:rPr>
        <w:t>cruiz@newgroundco.com</w:t>
      </w:r>
      <w:r>
        <w:rPr>
          <w:rFonts w:ascii="Arial" w:cs="Arial" w:eastAsia="Arial" w:hAnsi="Arial"/>
          <w:sz w:val="18"/>
          <w:szCs w:val="18"/>
          <w:color w:val="auto"/>
        </w:rPr>
        <w:t>, 310-437-0045</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32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KEY OPERATIONS AND FINANCIAL DATA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36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80" w:type="dxa"/>
            <w:vAlign w:val="bottom"/>
            <w:gridSpan w:val="4"/>
          </w:tcPr>
          <w:p>
            <w:pPr>
              <w:jc w:val="right"/>
              <w:ind w:right="100"/>
              <w:spacing w:after="0"/>
              <w:rPr>
                <w:sz w:val="20"/>
                <w:szCs w:val="20"/>
                <w:color w:val="auto"/>
              </w:rPr>
            </w:pPr>
            <w:r>
              <w:rPr>
                <w:rFonts w:ascii="Arial" w:cs="Arial" w:eastAsia="Arial" w:hAnsi="Arial"/>
                <w:sz w:val="14"/>
                <w:szCs w:val="14"/>
                <w:b w:val="1"/>
                <w:bCs w:val="1"/>
                <w:color w:val="auto"/>
                <w:w w:val="98"/>
              </w:rPr>
              <w:t>Three Months Ended</w:t>
            </w: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20" w:type="dxa"/>
            <w:vAlign w:val="bottom"/>
            <w:gridSpan w:val="5"/>
          </w:tcPr>
          <w:p>
            <w:pPr>
              <w:jc w:val="right"/>
              <w:ind w:right="100"/>
              <w:spacing w:after="0"/>
              <w:rPr>
                <w:sz w:val="20"/>
                <w:szCs w:val="20"/>
                <w:color w:val="auto"/>
              </w:rPr>
            </w:pPr>
            <w:r>
              <w:rPr>
                <w:rFonts w:ascii="Arial" w:cs="Arial" w:eastAsia="Arial" w:hAnsi="Arial"/>
                <w:sz w:val="14"/>
                <w:szCs w:val="14"/>
                <w:b w:val="1"/>
                <w:bCs w:val="1"/>
                <w:color w:val="auto"/>
                <w:w w:val="99"/>
              </w:rPr>
              <w:t>Nine Months Ended</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36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September 30,</w:t>
            </w: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4"/>
          </w:tcPr>
          <w:p>
            <w:pPr>
              <w:jc w:val="right"/>
              <w:ind w:right="280"/>
              <w:spacing w:after="0"/>
              <w:rPr>
                <w:sz w:val="20"/>
                <w:szCs w:val="20"/>
                <w:color w:val="auto"/>
              </w:rPr>
            </w:pPr>
            <w:r>
              <w:rPr>
                <w:rFonts w:ascii="Arial" w:cs="Arial" w:eastAsia="Arial" w:hAnsi="Arial"/>
                <w:sz w:val="14"/>
                <w:szCs w:val="14"/>
                <w:b w:val="1"/>
                <w:bCs w:val="1"/>
                <w:color w:val="auto"/>
                <w:w w:val="96"/>
              </w:rPr>
              <w:t>September 30,</w:t>
            </w: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3620" w:type="dxa"/>
            <w:vAlign w:val="bottom"/>
            <w:tcBorders>
              <w:bottom w:val="single" w:sz="8" w:color="CFF0FC"/>
            </w:tcBorders>
          </w:tcPr>
          <w:p>
            <w:pPr>
              <w:spacing w:after="0"/>
              <w:rPr>
                <w:sz w:val="13"/>
                <w:szCs w:val="13"/>
                <w:color w:val="auto"/>
              </w:rPr>
            </w:pPr>
          </w:p>
        </w:tc>
        <w:tc>
          <w:tcPr>
            <w:tcW w:w="420" w:type="dxa"/>
            <w:vAlign w:val="bottom"/>
            <w:tcBorders>
              <w:bottom w:val="single" w:sz="8" w:color="CFF0FC"/>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171"/>
              <w:spacing w:after="0" w:line="155"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171"/>
              <w:spacing w:after="0" w:line="155"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CFF0FC"/>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ind w:right="131"/>
              <w:spacing w:after="0" w:line="155" w:lineRule="exact"/>
              <w:rPr>
                <w:sz w:val="20"/>
                <w:szCs w:val="20"/>
                <w:color w:val="auto"/>
              </w:rPr>
            </w:pPr>
            <w:r>
              <w:rPr>
                <w:rFonts w:ascii="Arial" w:cs="Arial" w:eastAsia="Arial" w:hAnsi="Arial"/>
                <w:sz w:val="14"/>
                <w:szCs w:val="14"/>
                <w:b w:val="1"/>
                <w:bCs w:val="1"/>
                <w:color w:val="auto"/>
              </w:rPr>
              <w:t>Change</w:t>
            </w:r>
          </w:p>
        </w:tc>
        <w:tc>
          <w:tcPr>
            <w:tcW w:w="340" w:type="dxa"/>
            <w:vAlign w:val="bottom"/>
            <w:tcBorders>
              <w:bottom w:val="single" w:sz="8" w:color="CFF0FC"/>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31"/>
              <w:spacing w:after="0" w:line="155" w:lineRule="exact"/>
              <w:rPr>
                <w:sz w:val="20"/>
                <w:szCs w:val="20"/>
                <w:color w:val="auto"/>
              </w:rPr>
            </w:pPr>
            <w:r>
              <w:rPr>
                <w:rFonts w:ascii="Arial" w:cs="Arial" w:eastAsia="Arial" w:hAnsi="Arial"/>
                <w:sz w:val="14"/>
                <w:szCs w:val="14"/>
                <w:b w:val="1"/>
                <w:bCs w:val="1"/>
                <w:color w:val="auto"/>
              </w:rPr>
              <w:t>2015</w:t>
            </w:r>
          </w:p>
        </w:tc>
        <w:tc>
          <w:tcPr>
            <w:tcW w:w="20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171"/>
              <w:spacing w:after="0" w:line="155" w:lineRule="exact"/>
              <w:rPr>
                <w:sz w:val="20"/>
                <w:szCs w:val="20"/>
                <w:color w:val="auto"/>
              </w:rPr>
            </w:pPr>
            <w:r>
              <w:rPr>
                <w:rFonts w:ascii="Arial" w:cs="Arial" w:eastAsia="Arial" w:hAnsi="Arial"/>
                <w:sz w:val="14"/>
                <w:szCs w:val="14"/>
                <w:b w:val="1"/>
                <w:bCs w:val="1"/>
                <w:color w:val="auto"/>
              </w:rPr>
              <w:t>2014</w:t>
            </w:r>
          </w:p>
        </w:tc>
        <w:tc>
          <w:tcPr>
            <w:tcW w:w="22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16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151"/>
              <w:spacing w:after="0" w:line="155" w:lineRule="exact"/>
              <w:rPr>
                <w:sz w:val="20"/>
                <w:szCs w:val="20"/>
                <w:color w:val="auto"/>
              </w:rPr>
            </w:pPr>
            <w:r>
              <w:rPr>
                <w:rFonts w:ascii="Arial" w:cs="Arial" w:eastAsia="Arial" w:hAnsi="Arial"/>
                <w:sz w:val="14"/>
                <w:szCs w:val="14"/>
                <w:b w:val="1"/>
                <w:bCs w:val="1"/>
                <w:color w:val="auto"/>
              </w:rPr>
              <w:t>Change</w:t>
            </w:r>
          </w:p>
        </w:tc>
        <w:tc>
          <w:tcPr>
            <w:tcW w:w="24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620" w:type="dxa"/>
            <w:vAlign w:val="bottom"/>
            <w:shd w:val="clear" w:color="auto" w:fill="CFF0FC"/>
          </w:tcPr>
          <w:p>
            <w:pPr>
              <w:spacing w:after="0"/>
              <w:rPr>
                <w:sz w:val="20"/>
                <w:szCs w:val="20"/>
                <w:color w:val="auto"/>
              </w:rPr>
            </w:pPr>
            <w:r>
              <w:rPr>
                <w:rFonts w:ascii="Arial" w:cs="Arial" w:eastAsia="Arial" w:hAnsi="Arial"/>
                <w:sz w:val="18"/>
                <w:szCs w:val="18"/>
                <w:color w:val="auto"/>
              </w:rPr>
              <w:t>Operating Data:</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Home sales</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642,352</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471,801</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170,551</w:t>
            </w: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1,443,855</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1,023,312</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420,543</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Homebuilding gross margin</w:t>
            </w:r>
          </w:p>
        </w:tc>
        <w:tc>
          <w:tcPr>
            <w:tcW w:w="5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134,809</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86,401</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48,408</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294,664</w:t>
            </w:r>
          </w:p>
        </w:tc>
        <w:tc>
          <w:tcPr>
            <w:tcW w:w="20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203,935</w:t>
            </w:r>
          </w:p>
        </w:tc>
        <w:tc>
          <w:tcPr>
            <w:tcW w:w="2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90,729</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Homebuilding gross margin %</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gridSpan w:val="2"/>
          </w:tcPr>
          <w:p>
            <w:pPr>
              <w:jc w:val="right"/>
              <w:ind w:right="68"/>
              <w:spacing w:after="0"/>
              <w:rPr>
                <w:sz w:val="20"/>
                <w:szCs w:val="20"/>
                <w:color w:val="auto"/>
              </w:rPr>
            </w:pPr>
            <w:r>
              <w:rPr>
                <w:rFonts w:ascii="Arial" w:cs="Arial" w:eastAsia="Arial" w:hAnsi="Arial"/>
                <w:sz w:val="18"/>
                <w:szCs w:val="18"/>
                <w:color w:val="auto"/>
              </w:rPr>
              <w:t>21.0%</w:t>
            </w:r>
          </w:p>
        </w:tc>
        <w:tc>
          <w:tcPr>
            <w:tcW w:w="200" w:type="dxa"/>
            <w:vAlign w:val="bottom"/>
          </w:tcPr>
          <w:p>
            <w:pPr>
              <w:spacing w:after="0"/>
              <w:rPr>
                <w:sz w:val="19"/>
                <w:szCs w:val="19"/>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18.3%</w:t>
            </w:r>
          </w:p>
        </w:tc>
        <w:tc>
          <w:tcPr>
            <w:tcW w:w="160" w:type="dxa"/>
            <w:vAlign w:val="bottom"/>
          </w:tcPr>
          <w:p>
            <w:pPr>
              <w:spacing w:after="0"/>
              <w:rPr>
                <w:sz w:val="19"/>
                <w:szCs w:val="19"/>
                <w:color w:val="auto"/>
              </w:rPr>
            </w:pPr>
          </w:p>
        </w:tc>
        <w:tc>
          <w:tcPr>
            <w:tcW w:w="1100" w:type="dxa"/>
            <w:vAlign w:val="bottom"/>
            <w:gridSpan w:val="2"/>
          </w:tcPr>
          <w:p>
            <w:pPr>
              <w:jc w:val="right"/>
              <w:ind w:right="180"/>
              <w:spacing w:after="0"/>
              <w:rPr>
                <w:sz w:val="20"/>
                <w:szCs w:val="20"/>
                <w:color w:val="auto"/>
              </w:rPr>
            </w:pPr>
            <w:r>
              <w:rPr>
                <w:rFonts w:ascii="Arial" w:cs="Arial" w:eastAsia="Arial" w:hAnsi="Arial"/>
                <w:sz w:val="18"/>
                <w:szCs w:val="18"/>
                <w:color w:val="auto"/>
              </w:rPr>
              <w:t>2.7%</w:t>
            </w:r>
          </w:p>
        </w:tc>
        <w:tc>
          <w:tcPr>
            <w:tcW w:w="200" w:type="dxa"/>
            <w:vAlign w:val="bottom"/>
          </w:tcPr>
          <w:p>
            <w:pPr>
              <w:spacing w:after="0"/>
              <w:rPr>
                <w:sz w:val="19"/>
                <w:szCs w:val="19"/>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20.4%</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19.9%</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Adjusted homebuilding gross margin %*</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68"/>
              <w:spacing w:after="0"/>
              <w:rPr>
                <w:sz w:val="20"/>
                <w:szCs w:val="20"/>
                <w:color w:val="auto"/>
              </w:rPr>
            </w:pPr>
            <w:r>
              <w:rPr>
                <w:rFonts w:ascii="Arial" w:cs="Arial" w:eastAsia="Arial" w:hAnsi="Arial"/>
                <w:sz w:val="18"/>
                <w:szCs w:val="18"/>
                <w:color w:val="auto"/>
              </w:rPr>
              <w:t>23.1%</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20.0%</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22.4%</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21.6%</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Land and lot gross margin</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1,425</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3,233</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(1,808)</w:t>
            </w: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57,042</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6,204</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50,838</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Land and lot gross margin %</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68"/>
              <w:spacing w:after="0"/>
              <w:rPr>
                <w:sz w:val="20"/>
                <w:szCs w:val="20"/>
                <w:color w:val="auto"/>
              </w:rPr>
            </w:pPr>
            <w:r>
              <w:rPr>
                <w:rFonts w:ascii="Arial" w:cs="Arial" w:eastAsia="Arial" w:hAnsi="Arial"/>
                <w:sz w:val="18"/>
                <w:szCs w:val="18"/>
                <w:color w:val="auto"/>
              </w:rPr>
              <w:t>29.2%</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58.3%</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(29.0)%</w:t>
            </w: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76.7%</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17.0%</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59.7%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SG&amp;A expense</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56,821</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49,344</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7,477</w:t>
            </w: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162,219</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130,236</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31,983</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SG&amp;A expense as a % of home sales</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68"/>
              <w:spacing w:after="0"/>
              <w:rPr>
                <w:sz w:val="20"/>
                <w:szCs w:val="20"/>
                <w:color w:val="auto"/>
              </w:rPr>
            </w:pPr>
            <w:r>
              <w:rPr>
                <w:rFonts w:ascii="Arial" w:cs="Arial" w:eastAsia="Arial" w:hAnsi="Arial"/>
                <w:sz w:val="18"/>
                <w:szCs w:val="18"/>
                <w:color w:val="auto"/>
              </w:rPr>
              <w:t>8.8%</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10.5%</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(1.7)%</w:t>
            </w: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11.2%</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12.7%</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Net income available to common</w:t>
            </w: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20" w:type="dxa"/>
            <w:vAlign w:val="bottom"/>
          </w:tcPr>
          <w:p>
            <w:pPr>
              <w:ind w:left="360"/>
              <w:spacing w:after="0"/>
              <w:rPr>
                <w:sz w:val="20"/>
                <w:szCs w:val="20"/>
                <w:color w:val="auto"/>
              </w:rPr>
            </w:pPr>
            <w:r>
              <w:rPr>
                <w:rFonts w:ascii="Arial" w:cs="Arial" w:eastAsia="Arial" w:hAnsi="Arial"/>
                <w:sz w:val="18"/>
                <w:szCs w:val="18"/>
                <w:color w:val="auto"/>
              </w:rPr>
              <w:t>shareholders</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50,162</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10,965</w:t>
            </w:r>
          </w:p>
        </w:tc>
        <w:tc>
          <w:tcPr>
            <w:tcW w:w="28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39,197</w:t>
            </w:r>
          </w:p>
        </w:tc>
        <w:tc>
          <w:tcPr>
            <w:tcW w:w="340" w:type="dxa"/>
            <w:vAlign w:val="bottom"/>
          </w:tcPr>
          <w:p>
            <w:pPr>
              <w:spacing w:after="0"/>
              <w:rPr>
                <w:sz w:val="20"/>
                <w:szCs w:val="20"/>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120,389</w:t>
            </w:r>
          </w:p>
        </w:tc>
        <w:tc>
          <w:tcPr>
            <w:tcW w:w="200" w:type="dxa"/>
            <w:vAlign w:val="bottom"/>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42,771</w:t>
            </w:r>
          </w:p>
        </w:tc>
        <w:tc>
          <w:tcPr>
            <w:tcW w:w="220" w:type="dxa"/>
            <w:vAlign w:val="bottom"/>
          </w:tcPr>
          <w:p>
            <w:pPr>
              <w:spacing w:after="0"/>
              <w:rPr>
                <w:sz w:val="20"/>
                <w:szCs w:val="20"/>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77,618</w:t>
            </w: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Adjusted EBITDA*</w:t>
            </w:r>
          </w:p>
        </w:tc>
        <w:tc>
          <w:tcPr>
            <w:tcW w:w="5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99,135</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57,433</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41,702</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233,079</w:t>
            </w:r>
          </w:p>
        </w:tc>
        <w:tc>
          <w:tcPr>
            <w:tcW w:w="20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146,816</w:t>
            </w:r>
          </w:p>
        </w:tc>
        <w:tc>
          <w:tcPr>
            <w:tcW w:w="2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86,263</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Interest incurred</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15,454</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15,129</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325</w:t>
            </w: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45,779</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25,718</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20,061</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expense, net of interest</w:t>
            </w:r>
          </w:p>
        </w:tc>
        <w:tc>
          <w:tcPr>
            <w:tcW w:w="4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20" w:type="dxa"/>
            <w:vAlign w:val="bottom"/>
            <w:shd w:val="clear" w:color="auto" w:fill="CFF0FC"/>
          </w:tcPr>
          <w:p>
            <w:pPr>
              <w:ind w:left="360"/>
              <w:spacing w:after="0"/>
              <w:rPr>
                <w:sz w:val="20"/>
                <w:szCs w:val="20"/>
                <w:color w:val="auto"/>
              </w:rPr>
            </w:pPr>
            <w:r>
              <w:rPr>
                <w:rFonts w:ascii="Arial" w:cs="Arial" w:eastAsia="Arial" w:hAnsi="Arial"/>
                <w:sz w:val="18"/>
                <w:szCs w:val="18"/>
                <w:color w:val="auto"/>
              </w:rPr>
              <w:t>capitalized</w:t>
            </w:r>
          </w:p>
        </w:tc>
        <w:tc>
          <w:tcPr>
            <w:tcW w:w="5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FF0FC"/>
          </w:tcPr>
          <w:p>
            <w:pPr>
              <w:jc w:val="right"/>
              <w:ind w:right="228"/>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290</w:t>
            </w:r>
          </w:p>
        </w:tc>
        <w:tc>
          <w:tcPr>
            <w:tcW w:w="280" w:type="dxa"/>
            <w:vAlign w:val="bottom"/>
            <w:shd w:val="clear" w:color="auto" w:fill="CFF0FC"/>
          </w:tcPr>
          <w:p>
            <w:pPr>
              <w:spacing w:after="0"/>
              <w:rPr>
                <w:sz w:val="20"/>
                <w:szCs w:val="20"/>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(290)</w:t>
            </w: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FF0FC"/>
          </w:tcPr>
          <w:p>
            <w:pPr>
              <w:jc w:val="right"/>
              <w:ind w:right="128"/>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2,731</w:t>
            </w:r>
          </w:p>
        </w:tc>
        <w:tc>
          <w:tcPr>
            <w:tcW w:w="220" w:type="dxa"/>
            <w:vAlign w:val="bottom"/>
            <w:shd w:val="clear" w:color="auto" w:fill="CFF0FC"/>
          </w:tcPr>
          <w:p>
            <w:pPr>
              <w:spacing w:after="0"/>
              <w:rPr>
                <w:sz w:val="20"/>
                <w:szCs w:val="20"/>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(2,731)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Interest in cost of home sales</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13,189</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7,702</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5,487</w:t>
            </w: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27,540</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16,342</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11,198</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362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3620" w:type="dxa"/>
            <w:vAlign w:val="bottom"/>
          </w:tcPr>
          <w:p>
            <w:pPr>
              <w:spacing w:after="0"/>
              <w:rPr>
                <w:sz w:val="20"/>
                <w:szCs w:val="20"/>
                <w:color w:val="auto"/>
              </w:rPr>
            </w:pPr>
            <w:r>
              <w:rPr>
                <w:rFonts w:ascii="Arial" w:cs="Arial" w:eastAsia="Arial" w:hAnsi="Arial"/>
                <w:sz w:val="18"/>
                <w:szCs w:val="18"/>
                <w:color w:val="auto"/>
              </w:rPr>
              <w:t>Other Data:</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Net new home orders</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996</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803</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193</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3,428</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2,233</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1,195</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New homes delivered</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1,138</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842</w:t>
            </w: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296</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2,604</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1,978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626</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Average selling price of homes delivered</w:t>
            </w:r>
          </w:p>
        </w:tc>
        <w:tc>
          <w:tcPr>
            <w:tcW w:w="5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564</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560</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554</w:t>
            </w:r>
          </w:p>
        </w:tc>
        <w:tc>
          <w:tcPr>
            <w:tcW w:w="20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517</w:t>
            </w:r>
          </w:p>
        </w:tc>
        <w:tc>
          <w:tcPr>
            <w:tcW w:w="2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Average selling communities (QTD)</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120.8</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107.0</w:t>
            </w: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13.8</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128"/>
              <w:spacing w:after="0"/>
              <w:rPr>
                <w:sz w:val="20"/>
                <w:szCs w:val="20"/>
                <w:color w:val="auto"/>
              </w:rPr>
            </w:pPr>
            <w:r>
              <w:rPr>
                <w:rFonts w:ascii="Arial" w:cs="Arial" w:eastAsia="Arial" w:hAnsi="Arial"/>
                <w:sz w:val="18"/>
                <w:szCs w:val="18"/>
                <w:color w:val="auto"/>
              </w:rPr>
              <w:t>N/A</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Average selling communities (YTD)</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228"/>
              <w:spacing w:after="0"/>
              <w:rPr>
                <w:sz w:val="20"/>
                <w:szCs w:val="20"/>
                <w:color w:val="auto"/>
              </w:rPr>
            </w:pPr>
            <w:r>
              <w:rPr>
                <w:rFonts w:ascii="Arial" w:cs="Arial" w:eastAsia="Arial" w:hAnsi="Arial"/>
                <w:sz w:val="18"/>
                <w:szCs w:val="18"/>
                <w:color w:val="auto"/>
              </w:rPr>
              <w:t>N/A</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N/A</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360"/>
              <w:spacing w:after="0"/>
              <w:rPr>
                <w:sz w:val="20"/>
                <w:szCs w:val="20"/>
                <w:color w:val="auto"/>
              </w:rPr>
            </w:pPr>
            <w:r>
              <w:rPr>
                <w:rFonts w:ascii="Arial" w:cs="Arial" w:eastAsia="Arial" w:hAnsi="Arial"/>
                <w:sz w:val="18"/>
                <w:szCs w:val="18"/>
                <w:color w:val="auto"/>
              </w:rPr>
              <w:t>N/A</w:t>
            </w: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117.4</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98.5</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18.9</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Selling communities at end of period</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118</w:t>
            </w: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106</w:t>
            </w: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20" w:type="dxa"/>
            <w:vAlign w:val="bottom"/>
            <w:gridSpan w:val="2"/>
          </w:tcPr>
          <w:p>
            <w:pPr>
              <w:jc w:val="right"/>
              <w:ind w:right="128"/>
              <w:spacing w:after="0"/>
              <w:rPr>
                <w:sz w:val="20"/>
                <w:szCs w:val="20"/>
                <w:color w:val="auto"/>
              </w:rPr>
            </w:pPr>
            <w:r>
              <w:rPr>
                <w:rFonts w:ascii="Arial" w:cs="Arial" w:eastAsia="Arial" w:hAnsi="Arial"/>
                <w:sz w:val="18"/>
                <w:szCs w:val="18"/>
                <w:color w:val="auto"/>
              </w:rPr>
              <w:t>N/A</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gridSpan w:val="2"/>
          </w:tcPr>
          <w:p>
            <w:pPr>
              <w:jc w:val="right"/>
              <w:ind w:right="260"/>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Cancellation rate</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68"/>
              <w:spacing w:after="0"/>
              <w:rPr>
                <w:sz w:val="20"/>
                <w:szCs w:val="20"/>
                <w:color w:val="auto"/>
              </w:rPr>
            </w:pPr>
            <w:r>
              <w:rPr>
                <w:rFonts w:ascii="Arial" w:cs="Arial" w:eastAsia="Arial" w:hAnsi="Arial"/>
                <w:sz w:val="18"/>
                <w:szCs w:val="18"/>
                <w:color w:val="auto"/>
              </w:rPr>
              <w:t>16%</w:t>
            </w:r>
          </w:p>
        </w:tc>
        <w:tc>
          <w:tcPr>
            <w:tcW w:w="20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18%</w:t>
            </w:r>
          </w:p>
        </w:tc>
        <w:tc>
          <w:tcPr>
            <w:tcW w:w="1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(2)%</w:t>
            </w: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14%</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Backlog (estimated dollar value)</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2"/>
              </w:rPr>
              <w:t>1,109,867</w:t>
            </w:r>
          </w:p>
        </w:tc>
        <w:tc>
          <w:tcPr>
            <w:tcW w:w="280" w:type="dxa"/>
            <w:vAlign w:val="bottom"/>
          </w:tcPr>
          <w:p>
            <w:pPr>
              <w:spacing w:after="0"/>
              <w:rPr>
                <w:sz w:val="19"/>
                <w:szCs w:val="19"/>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870,365</w:t>
            </w:r>
          </w:p>
        </w:tc>
        <w:tc>
          <w:tcPr>
            <w:tcW w:w="28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239,502</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Backlog (homes)</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1,856</w:t>
            </w: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1,440</w:t>
            </w: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416</w:t>
            </w: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Average selling price in backlog</w:t>
            </w:r>
          </w:p>
        </w:tc>
        <w:tc>
          <w:tcPr>
            <w:tcW w:w="56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598</w:t>
            </w: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604</w:t>
            </w:r>
          </w:p>
        </w:tc>
        <w:tc>
          <w:tcPr>
            <w:tcW w:w="28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280"/>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7"/>
        </w:trPr>
        <w:tc>
          <w:tcPr>
            <w:tcW w:w="20" w:type="dxa"/>
            <w:vAlign w:val="bottom"/>
          </w:tcPr>
          <w:p>
            <w:pPr>
              <w:spacing w:after="0"/>
              <w:rPr>
                <w:sz w:val="24"/>
                <w:szCs w:val="24"/>
                <w:color w:val="auto"/>
              </w:rPr>
            </w:pPr>
          </w:p>
        </w:tc>
        <w:tc>
          <w:tcPr>
            <w:tcW w:w="3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20" w:type="dxa"/>
            <w:vAlign w:val="bottom"/>
            <w:gridSpan w:val="3"/>
          </w:tcPr>
          <w:p>
            <w:pPr>
              <w:jc w:val="right"/>
              <w:ind w:right="208"/>
              <w:spacing w:after="0"/>
              <w:rPr>
                <w:sz w:val="20"/>
                <w:szCs w:val="20"/>
                <w:color w:val="auto"/>
              </w:rPr>
            </w:pPr>
            <w:r>
              <w:rPr>
                <w:rFonts w:ascii="Arial" w:cs="Arial" w:eastAsia="Arial" w:hAnsi="Arial"/>
                <w:sz w:val="14"/>
                <w:szCs w:val="14"/>
                <w:b w:val="1"/>
                <w:bCs w:val="1"/>
                <w:color w:val="auto"/>
                <w:w w:val="96"/>
              </w:rPr>
              <w:t>September 30,</w:t>
            </w:r>
          </w:p>
        </w:tc>
        <w:tc>
          <w:tcPr>
            <w:tcW w:w="80" w:type="dxa"/>
            <w:vAlign w:val="bottom"/>
          </w:tcPr>
          <w:p>
            <w:pPr>
              <w:spacing w:after="0"/>
              <w:rPr>
                <w:sz w:val="24"/>
                <w:szCs w:val="24"/>
                <w:color w:val="auto"/>
              </w:rPr>
            </w:pPr>
          </w:p>
        </w:tc>
        <w:tc>
          <w:tcPr>
            <w:tcW w:w="114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4"/>
              </w:rPr>
              <w:t>December 31,</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jc w:val="right"/>
              <w:ind w:right="231"/>
              <w:spacing w:after="0"/>
              <w:rPr>
                <w:sz w:val="20"/>
                <w:szCs w:val="20"/>
                <w:color w:val="auto"/>
              </w:rPr>
            </w:pPr>
            <w:r>
              <w:rPr>
                <w:rFonts w:ascii="Arial" w:cs="Arial" w:eastAsia="Arial" w:hAnsi="Arial"/>
                <w:sz w:val="14"/>
                <w:szCs w:val="14"/>
                <w:b w:val="1"/>
                <w:bCs w:val="1"/>
                <w:color w:val="auto"/>
              </w:rPr>
              <w:t>2015</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ind w:right="171"/>
              <w:spacing w:after="0"/>
              <w:rPr>
                <w:sz w:val="20"/>
                <w:szCs w:val="20"/>
                <w:color w:val="auto"/>
              </w:rPr>
            </w:pPr>
            <w:r>
              <w:rPr>
                <w:rFonts w:ascii="Arial" w:cs="Arial" w:eastAsia="Arial" w:hAnsi="Arial"/>
                <w:sz w:val="14"/>
                <w:szCs w:val="14"/>
                <w:b w:val="1"/>
                <w:bCs w:val="1"/>
                <w:color w:val="auto"/>
              </w:rPr>
              <w:t>2014</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6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Sheet Data:</w:t>
            </w:r>
          </w:p>
        </w:tc>
        <w:tc>
          <w:tcPr>
            <w:tcW w:w="4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72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760" w:type="dxa"/>
            <w:vAlign w:val="bottom"/>
            <w:tcBorders>
              <w:top w:val="single" w:sz="8" w:color="CFF0FC"/>
            </w:tcBorders>
            <w:shd w:val="clear" w:color="auto" w:fill="CFF0FC"/>
          </w:tcPr>
          <w:p>
            <w:pPr>
              <w:spacing w:after="0"/>
              <w:rPr>
                <w:sz w:val="19"/>
                <w:szCs w:val="19"/>
                <w:color w:val="auto"/>
              </w:rPr>
            </w:pPr>
          </w:p>
        </w:tc>
        <w:tc>
          <w:tcPr>
            <w:tcW w:w="3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Cash and cash equivalents</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96,993</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170,629</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(73,636)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Real estate inventories</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2,576,402</w:t>
            </w:r>
          </w:p>
        </w:tc>
        <w:tc>
          <w:tcPr>
            <w:tcW w:w="20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4"/>
              </w:rPr>
              <w:t>2,280,183</w:t>
            </w:r>
          </w:p>
        </w:tc>
        <w:tc>
          <w:tcPr>
            <w:tcW w:w="2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296,219</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Lots owned or controlled</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28,240</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29,718</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(1,478)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 xml:space="preserve">Homes under construction </w:t>
            </w:r>
            <w:r>
              <w:rPr>
                <w:rFonts w:ascii="Arial" w:cs="Arial" w:eastAsia="Arial" w:hAnsi="Arial"/>
                <w:sz w:val="15"/>
                <w:szCs w:val="15"/>
                <w:color w:val="auto"/>
              </w:rPr>
              <w:t>(1)</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2,789</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1,887</w:t>
            </w:r>
          </w:p>
        </w:tc>
        <w:tc>
          <w:tcPr>
            <w:tcW w:w="2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902</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Debt</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1,245,621</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1,162,179</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83,442</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Stockholder equity</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1,576,176</w:t>
            </w:r>
          </w:p>
        </w:tc>
        <w:tc>
          <w:tcPr>
            <w:tcW w:w="20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4"/>
              </w:rPr>
              <w:t>1,454,180</w:t>
            </w:r>
          </w:p>
        </w:tc>
        <w:tc>
          <w:tcPr>
            <w:tcW w:w="220" w:type="dxa"/>
            <w:vAlign w:val="bottom"/>
            <w:shd w:val="clear" w:color="auto" w:fill="CFF0FC"/>
          </w:tcPr>
          <w:p>
            <w:pPr>
              <w:spacing w:after="0"/>
              <w:rPr>
                <w:sz w:val="19"/>
                <w:szCs w:val="19"/>
                <w:color w:val="auto"/>
              </w:rPr>
            </w:pPr>
          </w:p>
        </w:tc>
        <w:tc>
          <w:tcPr>
            <w:tcW w:w="2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121,996</w:t>
            </w:r>
          </w:p>
        </w:tc>
        <w:tc>
          <w:tcPr>
            <w:tcW w:w="24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Book capitalization</w:t>
            </w:r>
          </w:p>
        </w:tc>
        <w:tc>
          <w:tcPr>
            <w:tcW w:w="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00" w:type="dxa"/>
            <w:vAlign w:val="bottom"/>
          </w:tcPr>
          <w:p>
            <w:pPr>
              <w:jc w:val="right"/>
              <w:ind w:right="45"/>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2,821,797</w:t>
            </w:r>
          </w:p>
        </w:tc>
        <w:tc>
          <w:tcPr>
            <w:tcW w:w="20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2,616,359</w:t>
            </w:r>
          </w:p>
        </w:tc>
        <w:tc>
          <w:tcPr>
            <w:tcW w:w="220" w:type="dxa"/>
            <w:vAlign w:val="bottom"/>
          </w:tcPr>
          <w:p>
            <w:pPr>
              <w:spacing w:after="0"/>
              <w:rPr>
                <w:sz w:val="19"/>
                <w:szCs w:val="19"/>
                <w:color w:val="auto"/>
              </w:rPr>
            </w:pPr>
          </w:p>
        </w:tc>
        <w:tc>
          <w:tcPr>
            <w:tcW w:w="24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205,438</w:t>
            </w:r>
          </w:p>
        </w:tc>
        <w:tc>
          <w:tcPr>
            <w:tcW w:w="2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36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Ratio of debt-to-capital</w:t>
            </w:r>
          </w:p>
        </w:tc>
        <w:tc>
          <w:tcPr>
            <w:tcW w:w="4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7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44.1%</w:t>
            </w:r>
          </w:p>
        </w:tc>
        <w:tc>
          <w:tcPr>
            <w:tcW w:w="8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44.4%</w:t>
            </w:r>
          </w:p>
        </w:tc>
        <w:tc>
          <w:tcPr>
            <w:tcW w:w="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20" w:type="dxa"/>
            <w:vAlign w:val="bottom"/>
          </w:tcPr>
          <w:p>
            <w:pPr>
              <w:ind w:left="240"/>
              <w:spacing w:after="0"/>
              <w:rPr>
                <w:sz w:val="20"/>
                <w:szCs w:val="20"/>
                <w:color w:val="auto"/>
              </w:rPr>
            </w:pPr>
            <w:r>
              <w:rPr>
                <w:rFonts w:ascii="Arial" w:cs="Arial" w:eastAsia="Arial" w:hAnsi="Arial"/>
                <w:sz w:val="18"/>
                <w:szCs w:val="18"/>
                <w:color w:val="auto"/>
              </w:rPr>
              <w:t>Ratio of net debt-to-capital*</w:t>
            </w: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42.2%</w:t>
            </w: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40.5%</w:t>
            </w: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bl>
    <w:p>
      <w:pPr>
        <w:spacing w:after="0" w:line="376" w:lineRule="exact"/>
        <w:rPr>
          <w:sz w:val="20"/>
          <w:szCs w:val="20"/>
          <w:color w:val="auto"/>
        </w:rPr>
      </w:pPr>
    </w:p>
    <w:p>
      <w:pPr>
        <w:ind w:left="520" w:hanging="512"/>
        <w:spacing w:after="0"/>
        <w:tabs>
          <w:tab w:leader="none" w:pos="520" w:val="left"/>
        </w:tabs>
        <w:numPr>
          <w:ilvl w:val="0"/>
          <w:numId w:val="5"/>
        </w:numPr>
        <w:rPr>
          <w:rFonts w:ascii="Arial" w:cs="Arial" w:eastAsia="Arial" w:hAnsi="Arial"/>
          <w:sz w:val="15"/>
          <w:szCs w:val="15"/>
          <w:color w:val="auto"/>
        </w:rPr>
      </w:pPr>
      <w:r>
        <w:rPr>
          <w:rFonts w:ascii="Arial" w:cs="Arial" w:eastAsia="Arial" w:hAnsi="Arial"/>
          <w:sz w:val="18"/>
          <w:szCs w:val="18"/>
          <w:color w:val="auto"/>
        </w:rPr>
        <w:t>Homes under construction includes completed homes</w:t>
      </w:r>
    </w:p>
    <w:p>
      <w:pPr>
        <w:spacing w:after="0" w:line="23" w:lineRule="exact"/>
        <w:rPr>
          <w:sz w:val="20"/>
          <w:szCs w:val="20"/>
          <w:color w:val="auto"/>
        </w:rPr>
      </w:pPr>
    </w:p>
    <w:p>
      <w:pPr>
        <w:ind w:left="520" w:hanging="512"/>
        <w:spacing w:after="0"/>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See “Reconciliation of Non-GAAP Financial Measures”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56"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CONSOLIDATED BALANCE SHEETS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1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jc w:val="center"/>
              <w:ind w:right="104"/>
              <w:spacing w:after="0"/>
              <w:rPr>
                <w:sz w:val="20"/>
                <w:szCs w:val="20"/>
                <w:color w:val="auto"/>
              </w:rPr>
            </w:pPr>
            <w:r>
              <w:rPr>
                <w:rFonts w:ascii="Arial" w:cs="Arial" w:eastAsia="Arial" w:hAnsi="Arial"/>
                <w:sz w:val="14"/>
                <w:szCs w:val="14"/>
                <w:b w:val="1"/>
                <w:bCs w:val="1"/>
                <w:color w:val="auto"/>
                <w:w w:val="91"/>
              </w:rPr>
              <w:t>September 30,</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ind w:left="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180" w:type="dxa"/>
            <w:vAlign w:val="bottom"/>
            <w:tcBorders>
              <w:bottom w:val="single" w:sz="8" w:color="CFF0FC"/>
            </w:tcBorders>
          </w:tcPr>
          <w:p>
            <w:pPr>
              <w:spacing w:after="0"/>
              <w:rPr>
                <w:sz w:val="14"/>
                <w:szCs w:val="14"/>
                <w:color w:val="auto"/>
              </w:rPr>
            </w:pPr>
          </w:p>
        </w:tc>
        <w:tc>
          <w:tcPr>
            <w:tcW w:w="110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89"/>
              </w:rPr>
              <w:t>2015</w:t>
            </w:r>
          </w:p>
        </w:tc>
        <w:tc>
          <w:tcPr>
            <w:tcW w:w="2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484"/>
              <w:spacing w:after="0"/>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Assets</w:t>
            </w:r>
          </w:p>
        </w:tc>
        <w:tc>
          <w:tcPr>
            <w:tcW w:w="1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220" w:type="dxa"/>
            <w:vAlign w:val="bottom"/>
            <w:shd w:val="clear" w:color="auto" w:fill="CFF0FC"/>
          </w:tcPr>
          <w:p>
            <w:pPr>
              <w:jc w:val="center"/>
              <w:ind w:right="84"/>
              <w:spacing w:after="0"/>
              <w:rPr>
                <w:sz w:val="20"/>
                <w:szCs w:val="20"/>
                <w:color w:val="auto"/>
              </w:rPr>
            </w:pPr>
            <w:r>
              <w:rPr>
                <w:rFonts w:ascii="Arial" w:cs="Arial" w:eastAsia="Arial" w:hAnsi="Arial"/>
                <w:sz w:val="14"/>
                <w:szCs w:val="14"/>
                <w:color w:val="auto"/>
                <w:w w:val="93"/>
              </w:rPr>
              <w:t>(unaudited)</w:t>
            </w:r>
          </w:p>
        </w:tc>
        <w:tc>
          <w:tcPr>
            <w:tcW w:w="22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120"/>
              <w:spacing w:after="0"/>
              <w:rPr>
                <w:sz w:val="20"/>
                <w:szCs w:val="20"/>
                <w:color w:val="auto"/>
              </w:rPr>
            </w:pPr>
            <w:r>
              <w:rPr>
                <w:rFonts w:ascii="Arial" w:cs="Arial" w:eastAsia="Arial" w:hAnsi="Arial"/>
                <w:sz w:val="15"/>
                <w:szCs w:val="15"/>
                <w:color w:val="auto"/>
              </w:rPr>
              <w:t>Cash and cash equivalents</w:t>
            </w:r>
          </w:p>
        </w:tc>
        <w:tc>
          <w:tcPr>
            <w:tcW w:w="1260" w:type="dxa"/>
            <w:vAlign w:val="bottom"/>
            <w:gridSpan w:val="2"/>
          </w:tcPr>
          <w:p>
            <w:pPr>
              <w:jc w:val="right"/>
              <w:ind w:right="80"/>
              <w:spacing w:after="0"/>
              <w:rPr>
                <w:sz w:val="20"/>
                <w:szCs w:val="20"/>
                <w:color w:val="auto"/>
              </w:rPr>
            </w:pPr>
            <w:r>
              <w:rPr>
                <w:rFonts w:ascii="Arial" w:cs="Arial" w:eastAsia="Arial" w:hAnsi="Arial"/>
                <w:sz w:val="15"/>
                <w:szCs w:val="15"/>
                <w:color w:val="auto"/>
              </w:rPr>
              <w:t>$</w:t>
            </w:r>
          </w:p>
        </w:tc>
        <w:tc>
          <w:tcPr>
            <w:tcW w:w="1220" w:type="dxa"/>
            <w:vAlign w:val="bottom"/>
          </w:tcPr>
          <w:p>
            <w:pPr>
              <w:jc w:val="right"/>
              <w:spacing w:after="0"/>
              <w:rPr>
                <w:sz w:val="20"/>
                <w:szCs w:val="20"/>
                <w:color w:val="auto"/>
              </w:rPr>
            </w:pPr>
            <w:r>
              <w:rPr>
                <w:rFonts w:ascii="Arial" w:cs="Arial" w:eastAsia="Arial" w:hAnsi="Arial"/>
                <w:sz w:val="15"/>
                <w:szCs w:val="15"/>
                <w:color w:val="auto"/>
              </w:rPr>
              <w:t>96,993</w:t>
            </w:r>
          </w:p>
        </w:tc>
        <w:tc>
          <w:tcPr>
            <w:tcW w:w="400" w:type="dxa"/>
            <w:vAlign w:val="bottom"/>
            <w:gridSpan w:val="2"/>
          </w:tcPr>
          <w:p>
            <w:pPr>
              <w:jc w:val="right"/>
              <w:ind w:right="100"/>
              <w:spacing w:after="0"/>
              <w:rPr>
                <w:sz w:val="20"/>
                <w:szCs w:val="20"/>
                <w:color w:val="auto"/>
              </w:rPr>
            </w:pPr>
            <w:r>
              <w:rPr>
                <w:rFonts w:ascii="Arial" w:cs="Arial" w:eastAsia="Arial" w:hAnsi="Arial"/>
                <w:sz w:val="15"/>
                <w:szCs w:val="15"/>
                <w:color w:val="auto"/>
              </w:rPr>
              <w:t>$</w:t>
            </w:r>
          </w:p>
        </w:tc>
        <w:tc>
          <w:tcPr>
            <w:tcW w:w="1220" w:type="dxa"/>
            <w:vAlign w:val="bottom"/>
          </w:tcPr>
          <w:p>
            <w:pPr>
              <w:jc w:val="right"/>
              <w:spacing w:after="0"/>
              <w:rPr>
                <w:sz w:val="20"/>
                <w:szCs w:val="20"/>
                <w:color w:val="auto"/>
              </w:rPr>
            </w:pPr>
            <w:r>
              <w:rPr>
                <w:rFonts w:ascii="Arial" w:cs="Arial" w:eastAsia="Arial" w:hAnsi="Arial"/>
                <w:sz w:val="15"/>
                <w:szCs w:val="15"/>
                <w:color w:val="auto"/>
              </w:rPr>
              <w:t>170,629</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Receivables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32,921</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20,118</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120"/>
              <w:spacing w:after="0"/>
              <w:rPr>
                <w:sz w:val="20"/>
                <w:szCs w:val="20"/>
                <w:color w:val="auto"/>
              </w:rPr>
            </w:pPr>
            <w:r>
              <w:rPr>
                <w:rFonts w:ascii="Arial" w:cs="Arial" w:eastAsia="Arial" w:hAnsi="Arial"/>
                <w:sz w:val="15"/>
                <w:szCs w:val="15"/>
                <w:color w:val="auto"/>
              </w:rPr>
              <w:t>Real estate inventories</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2,576,402</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2,280,183</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Investments in unconsolidated entities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17,340</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16,805</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120"/>
              <w:spacing w:after="0"/>
              <w:rPr>
                <w:sz w:val="20"/>
                <w:szCs w:val="20"/>
                <w:color w:val="auto"/>
              </w:rPr>
            </w:pPr>
            <w:r>
              <w:rPr>
                <w:rFonts w:ascii="Arial" w:cs="Arial" w:eastAsia="Arial" w:hAnsi="Arial"/>
                <w:sz w:val="15"/>
                <w:szCs w:val="15"/>
                <w:color w:val="auto"/>
              </w:rPr>
              <w:t>Goodwill and other intangible assets, net</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162,162</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162,563</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Deferred tax assets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141,479</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157,821</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Borders>
              <w:bottom w:val="single" w:sz="8" w:color="CFF0FC"/>
            </w:tcBorders>
          </w:tcPr>
          <w:p>
            <w:pPr>
              <w:ind w:left="120"/>
              <w:spacing w:after="0"/>
              <w:rPr>
                <w:sz w:val="20"/>
                <w:szCs w:val="20"/>
                <w:color w:val="auto"/>
              </w:rPr>
            </w:pPr>
            <w:r>
              <w:rPr>
                <w:rFonts w:ascii="Arial" w:cs="Arial" w:eastAsia="Arial" w:hAnsi="Arial"/>
                <w:sz w:val="15"/>
                <w:szCs w:val="15"/>
                <w:color w:val="auto"/>
              </w:rPr>
              <w:t>Other assets</w:t>
            </w:r>
          </w:p>
        </w:tc>
        <w:tc>
          <w:tcPr>
            <w:tcW w:w="1100" w:type="dxa"/>
            <w:vAlign w:val="bottom"/>
            <w:tcBorders>
              <w:bottom w:val="single" w:sz="8" w:color="CFF0FC"/>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84,516</w:t>
            </w:r>
          </w:p>
        </w:tc>
        <w:tc>
          <w:tcPr>
            <w:tcW w:w="22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105,405</w:t>
            </w:r>
          </w:p>
        </w:tc>
        <w:tc>
          <w:tcPr>
            <w:tcW w:w="12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shd w:val="clear" w:color="auto" w:fill="CFF0FC"/>
          </w:tcPr>
          <w:p>
            <w:pPr>
              <w:ind w:left="360"/>
              <w:spacing w:after="0" w:line="169" w:lineRule="exact"/>
              <w:rPr>
                <w:sz w:val="20"/>
                <w:szCs w:val="20"/>
                <w:color w:val="auto"/>
              </w:rPr>
            </w:pPr>
            <w:r>
              <w:rPr>
                <w:rFonts w:ascii="Arial" w:cs="Arial" w:eastAsia="Arial" w:hAnsi="Arial"/>
                <w:sz w:val="15"/>
                <w:szCs w:val="15"/>
                <w:color w:val="auto"/>
              </w:rPr>
              <w:t>Total assets</w:t>
            </w:r>
          </w:p>
        </w:tc>
        <w:tc>
          <w:tcPr>
            <w:tcW w:w="1260" w:type="dxa"/>
            <w:vAlign w:val="bottom"/>
            <w:gridSpan w:val="2"/>
            <w:shd w:val="clear" w:color="auto" w:fill="CFF0FC"/>
          </w:tcPr>
          <w:p>
            <w:pPr>
              <w:jc w:val="right"/>
              <w:ind w:right="80"/>
              <w:spacing w:after="0" w:line="169" w:lineRule="exact"/>
              <w:rPr>
                <w:sz w:val="20"/>
                <w:szCs w:val="20"/>
                <w:color w:val="auto"/>
              </w:rPr>
            </w:pPr>
            <w:r>
              <w:rPr>
                <w:rFonts w:ascii="Arial" w:cs="Arial" w:eastAsia="Arial" w:hAnsi="Arial"/>
                <w:sz w:val="15"/>
                <w:szCs w:val="15"/>
                <w:color w:val="auto"/>
              </w:rPr>
              <w:t>$</w:t>
            </w:r>
          </w:p>
        </w:tc>
        <w:tc>
          <w:tcPr>
            <w:tcW w:w="12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3,111,813</w:t>
            </w:r>
          </w:p>
        </w:tc>
        <w:tc>
          <w:tcPr>
            <w:tcW w:w="400" w:type="dxa"/>
            <w:vAlign w:val="bottom"/>
            <w:gridSpan w:val="2"/>
            <w:shd w:val="clear" w:color="auto" w:fill="CFF0FC"/>
          </w:tcPr>
          <w:p>
            <w:pPr>
              <w:jc w:val="right"/>
              <w:ind w:right="100"/>
              <w:spacing w:after="0" w:line="169" w:lineRule="exact"/>
              <w:rPr>
                <w:sz w:val="20"/>
                <w:szCs w:val="20"/>
                <w:color w:val="auto"/>
              </w:rPr>
            </w:pPr>
            <w:r>
              <w:rPr>
                <w:rFonts w:ascii="Arial" w:cs="Arial" w:eastAsia="Arial" w:hAnsi="Arial"/>
                <w:sz w:val="15"/>
                <w:szCs w:val="15"/>
                <w:color w:val="auto"/>
              </w:rPr>
              <w:t>$</w:t>
            </w:r>
          </w:p>
        </w:tc>
        <w:tc>
          <w:tcPr>
            <w:tcW w:w="12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2,913,524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80" w:type="dxa"/>
            <w:vAlign w:val="bottom"/>
            <w:tcBorders>
              <w:top w:val="single" w:sz="8" w:color="CFF0FC"/>
            </w:tcBorders>
          </w:tcPr>
          <w:p>
            <w:pPr>
              <w:spacing w:after="0" w:line="20" w:lineRule="exact"/>
              <w:rPr>
                <w:sz w:val="1"/>
                <w:szCs w:val="1"/>
                <w:color w:val="auto"/>
              </w:rPr>
            </w:pPr>
          </w:p>
        </w:tc>
        <w:tc>
          <w:tcPr>
            <w:tcW w:w="1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vMerge w:val="restart"/>
          </w:tcPr>
          <w:p>
            <w:pPr>
              <w:spacing w:after="0"/>
              <w:rPr>
                <w:sz w:val="13"/>
                <w:szCs w:val="13"/>
                <w:color w:val="auto"/>
              </w:rPr>
            </w:pPr>
          </w:p>
        </w:tc>
        <w:tc>
          <w:tcPr>
            <w:tcW w:w="71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7180" w:type="dxa"/>
            <w:vAlign w:val="bottom"/>
            <w:shd w:val="clear" w:color="auto" w:fill="CFF0FC"/>
          </w:tcPr>
          <w:p>
            <w:pPr>
              <w:spacing w:after="0"/>
              <w:rPr>
                <w:sz w:val="20"/>
                <w:szCs w:val="20"/>
                <w:color w:val="auto"/>
              </w:rPr>
            </w:pPr>
            <w:r>
              <w:rPr>
                <w:rFonts w:ascii="Arial" w:cs="Arial" w:eastAsia="Arial" w:hAnsi="Arial"/>
                <w:sz w:val="15"/>
                <w:szCs w:val="15"/>
                <w:b w:val="1"/>
                <w:bCs w:val="1"/>
                <w:color w:val="auto"/>
              </w:rPr>
              <w:t>Liabilities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120"/>
              <w:spacing w:after="0"/>
              <w:rPr>
                <w:sz w:val="20"/>
                <w:szCs w:val="20"/>
                <w:color w:val="auto"/>
              </w:rPr>
            </w:pPr>
            <w:r>
              <w:rPr>
                <w:rFonts w:ascii="Arial" w:cs="Arial" w:eastAsia="Arial" w:hAnsi="Arial"/>
                <w:sz w:val="15"/>
                <w:szCs w:val="15"/>
                <w:color w:val="auto"/>
              </w:rPr>
              <w:t>Accounts payable</w:t>
            </w:r>
          </w:p>
        </w:tc>
        <w:tc>
          <w:tcPr>
            <w:tcW w:w="1260" w:type="dxa"/>
            <w:vAlign w:val="bottom"/>
            <w:gridSpan w:val="2"/>
          </w:tcPr>
          <w:p>
            <w:pPr>
              <w:jc w:val="right"/>
              <w:ind w:right="80"/>
              <w:spacing w:after="0"/>
              <w:rPr>
                <w:sz w:val="20"/>
                <w:szCs w:val="20"/>
                <w:color w:val="auto"/>
              </w:rPr>
            </w:pPr>
            <w:r>
              <w:rPr>
                <w:rFonts w:ascii="Arial" w:cs="Arial" w:eastAsia="Arial" w:hAnsi="Arial"/>
                <w:sz w:val="15"/>
                <w:szCs w:val="15"/>
                <w:color w:val="auto"/>
              </w:rPr>
              <w:t>$</w:t>
            </w:r>
          </w:p>
        </w:tc>
        <w:tc>
          <w:tcPr>
            <w:tcW w:w="1220" w:type="dxa"/>
            <w:vAlign w:val="bottom"/>
          </w:tcPr>
          <w:p>
            <w:pPr>
              <w:jc w:val="right"/>
              <w:spacing w:after="0"/>
              <w:rPr>
                <w:sz w:val="20"/>
                <w:szCs w:val="20"/>
                <w:color w:val="auto"/>
              </w:rPr>
            </w:pPr>
            <w:r>
              <w:rPr>
                <w:rFonts w:ascii="Arial" w:cs="Arial" w:eastAsia="Arial" w:hAnsi="Arial"/>
                <w:sz w:val="15"/>
                <w:szCs w:val="15"/>
                <w:color w:val="auto"/>
              </w:rPr>
              <w:t>67,747</w:t>
            </w:r>
          </w:p>
        </w:tc>
        <w:tc>
          <w:tcPr>
            <w:tcW w:w="400" w:type="dxa"/>
            <w:vAlign w:val="bottom"/>
            <w:gridSpan w:val="2"/>
          </w:tcPr>
          <w:p>
            <w:pPr>
              <w:jc w:val="right"/>
              <w:ind w:right="100"/>
              <w:spacing w:after="0"/>
              <w:rPr>
                <w:sz w:val="20"/>
                <w:szCs w:val="20"/>
                <w:color w:val="auto"/>
              </w:rPr>
            </w:pPr>
            <w:r>
              <w:rPr>
                <w:rFonts w:ascii="Arial" w:cs="Arial" w:eastAsia="Arial" w:hAnsi="Arial"/>
                <w:sz w:val="15"/>
                <w:szCs w:val="15"/>
                <w:color w:val="auto"/>
              </w:rPr>
              <w:t>$</w:t>
            </w:r>
          </w:p>
        </w:tc>
        <w:tc>
          <w:tcPr>
            <w:tcW w:w="1220" w:type="dxa"/>
            <w:vAlign w:val="bottom"/>
          </w:tcPr>
          <w:p>
            <w:pPr>
              <w:jc w:val="right"/>
              <w:spacing w:after="0"/>
              <w:rPr>
                <w:sz w:val="20"/>
                <w:szCs w:val="20"/>
                <w:color w:val="auto"/>
              </w:rPr>
            </w:pPr>
            <w:r>
              <w:rPr>
                <w:rFonts w:ascii="Arial" w:cs="Arial" w:eastAsia="Arial" w:hAnsi="Arial"/>
                <w:sz w:val="15"/>
                <w:szCs w:val="15"/>
                <w:color w:val="auto"/>
              </w:rPr>
              <w:t>68,860</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Accrued expenses and other liabilities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210,707</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210,009</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120"/>
              <w:spacing w:after="0"/>
              <w:rPr>
                <w:sz w:val="20"/>
                <w:szCs w:val="20"/>
                <w:color w:val="auto"/>
              </w:rPr>
            </w:pPr>
            <w:r>
              <w:rPr>
                <w:rFonts w:ascii="Arial" w:cs="Arial" w:eastAsia="Arial" w:hAnsi="Arial"/>
                <w:sz w:val="15"/>
                <w:szCs w:val="15"/>
                <w:color w:val="auto"/>
              </w:rPr>
              <w:t>Unsecured revolving credit facility</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349,392</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260,000</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Seller financed loans</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7,572</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14,677</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Borders>
              <w:bottom w:val="single" w:sz="8" w:color="CFF0FC"/>
            </w:tcBorders>
          </w:tcPr>
          <w:p>
            <w:pPr>
              <w:ind w:left="120"/>
              <w:spacing w:after="0"/>
              <w:rPr>
                <w:sz w:val="20"/>
                <w:szCs w:val="20"/>
                <w:color w:val="auto"/>
              </w:rPr>
            </w:pPr>
            <w:r>
              <w:rPr>
                <w:rFonts w:ascii="Arial" w:cs="Arial" w:eastAsia="Arial" w:hAnsi="Arial"/>
                <w:sz w:val="15"/>
                <w:szCs w:val="15"/>
                <w:color w:val="auto"/>
              </w:rPr>
              <w:t>Senior notes</w:t>
            </w:r>
          </w:p>
        </w:tc>
        <w:tc>
          <w:tcPr>
            <w:tcW w:w="1100" w:type="dxa"/>
            <w:vAlign w:val="bottom"/>
            <w:tcBorders>
              <w:bottom w:val="single" w:sz="8" w:color="CFF0FC"/>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888,657</w:t>
            </w:r>
          </w:p>
        </w:tc>
        <w:tc>
          <w:tcPr>
            <w:tcW w:w="22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887,502</w:t>
            </w:r>
          </w:p>
        </w:tc>
        <w:tc>
          <w:tcPr>
            <w:tcW w:w="12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shd w:val="clear" w:color="auto" w:fill="CFF0FC"/>
          </w:tcPr>
          <w:p>
            <w:pPr>
              <w:ind w:left="360"/>
              <w:spacing w:after="0" w:line="169" w:lineRule="exact"/>
              <w:rPr>
                <w:sz w:val="20"/>
                <w:szCs w:val="20"/>
                <w:color w:val="auto"/>
              </w:rPr>
            </w:pPr>
            <w:r>
              <w:rPr>
                <w:rFonts w:ascii="Arial" w:cs="Arial" w:eastAsia="Arial" w:hAnsi="Arial"/>
                <w:sz w:val="15"/>
                <w:szCs w:val="15"/>
                <w:color w:val="auto"/>
              </w:rPr>
              <w:t>Total liabilities</w:t>
            </w:r>
          </w:p>
        </w:tc>
        <w:tc>
          <w:tcPr>
            <w:tcW w:w="1100" w:type="dxa"/>
            <w:vAlign w:val="bottom"/>
            <w:shd w:val="clear" w:color="auto" w:fill="CFF0FC"/>
          </w:tcPr>
          <w:p>
            <w:pPr>
              <w:spacing w:after="0"/>
              <w:rPr>
                <w:sz w:val="14"/>
                <w:szCs w:val="14"/>
                <w:color w:val="auto"/>
              </w:rPr>
            </w:pPr>
          </w:p>
        </w:tc>
        <w:tc>
          <w:tcPr>
            <w:tcW w:w="160" w:type="dxa"/>
            <w:vAlign w:val="bottom"/>
            <w:tcBorders>
              <w:bottom w:val="single" w:sz="8" w:color="auto"/>
            </w:tcBorders>
            <w:shd w:val="clear" w:color="auto" w:fill="CFF0FC"/>
          </w:tcPr>
          <w:p>
            <w:pPr>
              <w:spacing w:after="0"/>
              <w:rPr>
                <w:sz w:val="14"/>
                <w:szCs w:val="14"/>
                <w:color w:val="auto"/>
              </w:rPr>
            </w:pPr>
          </w:p>
        </w:tc>
        <w:tc>
          <w:tcPr>
            <w:tcW w:w="122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1,524,075</w:t>
            </w:r>
          </w:p>
        </w:tc>
        <w:tc>
          <w:tcPr>
            <w:tcW w:w="220" w:type="dxa"/>
            <w:vAlign w:val="bottom"/>
            <w:shd w:val="clear" w:color="auto" w:fill="CFF0FC"/>
          </w:tcPr>
          <w:p>
            <w:pPr>
              <w:spacing w:after="0"/>
              <w:rPr>
                <w:sz w:val="14"/>
                <w:szCs w:val="14"/>
                <w:color w:val="auto"/>
              </w:rPr>
            </w:pPr>
          </w:p>
        </w:tc>
        <w:tc>
          <w:tcPr>
            <w:tcW w:w="180" w:type="dxa"/>
            <w:vAlign w:val="bottom"/>
            <w:tcBorders>
              <w:bottom w:val="single" w:sz="8" w:color="auto"/>
            </w:tcBorders>
            <w:shd w:val="clear" w:color="auto" w:fill="CFF0FC"/>
          </w:tcPr>
          <w:p>
            <w:pPr>
              <w:spacing w:after="0"/>
              <w:rPr>
                <w:sz w:val="14"/>
                <w:szCs w:val="14"/>
                <w:color w:val="auto"/>
              </w:rPr>
            </w:pPr>
          </w:p>
        </w:tc>
        <w:tc>
          <w:tcPr>
            <w:tcW w:w="122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1,441,048</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tcPr>
          <w:p>
            <w:pPr>
              <w:ind w:left="120"/>
              <w:spacing w:after="0" w:line="169" w:lineRule="exact"/>
              <w:rPr>
                <w:sz w:val="20"/>
                <w:szCs w:val="20"/>
                <w:color w:val="auto"/>
              </w:rPr>
            </w:pPr>
            <w:r>
              <w:rPr>
                <w:rFonts w:ascii="Arial" w:cs="Arial" w:eastAsia="Arial" w:hAnsi="Arial"/>
                <w:sz w:val="15"/>
                <w:szCs w:val="15"/>
                <w:color w:val="auto"/>
              </w:rPr>
              <w:t>Commitments and contingencies</w:t>
            </w:r>
          </w:p>
        </w:tc>
        <w:tc>
          <w:tcPr>
            <w:tcW w:w="1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vMerge w:val="restart"/>
          </w:tcPr>
          <w:p>
            <w:pPr>
              <w:spacing w:after="0"/>
              <w:rPr>
                <w:sz w:val="15"/>
                <w:szCs w:val="15"/>
                <w:color w:val="auto"/>
              </w:rPr>
            </w:pPr>
          </w:p>
        </w:tc>
        <w:tc>
          <w:tcPr>
            <w:tcW w:w="7180" w:type="dxa"/>
            <w:vAlign w:val="bottom"/>
            <w:shd w:val="clear" w:color="auto" w:fill="CFF0FC"/>
          </w:tcPr>
          <w:p>
            <w:pPr>
              <w:spacing w:after="0"/>
              <w:rPr>
                <w:sz w:val="15"/>
                <w:szCs w:val="15"/>
                <w:color w:val="auto"/>
              </w:rPr>
            </w:pP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7180" w:type="dxa"/>
            <w:vAlign w:val="bottom"/>
          </w:tcPr>
          <w:p>
            <w:pPr>
              <w:spacing w:after="0"/>
              <w:rPr>
                <w:sz w:val="20"/>
                <w:szCs w:val="20"/>
                <w:color w:val="auto"/>
              </w:rPr>
            </w:pPr>
            <w:r>
              <w:rPr>
                <w:rFonts w:ascii="Arial" w:cs="Arial" w:eastAsia="Arial" w:hAnsi="Arial"/>
                <w:sz w:val="15"/>
                <w:szCs w:val="15"/>
                <w:b w:val="1"/>
                <w:bCs w:val="1"/>
                <w:color w:val="auto"/>
              </w:rPr>
              <w:t>Equity</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120"/>
              <w:spacing w:after="0"/>
              <w:rPr>
                <w:sz w:val="20"/>
                <w:szCs w:val="20"/>
                <w:color w:val="auto"/>
              </w:rPr>
            </w:pPr>
            <w:r>
              <w:rPr>
                <w:rFonts w:ascii="Arial" w:cs="Arial" w:eastAsia="Arial" w:hAnsi="Arial"/>
                <w:sz w:val="15"/>
                <w:szCs w:val="15"/>
                <w:color w:val="auto"/>
              </w:rPr>
              <w:t>Stockholders' Equity:</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180" w:type="dxa"/>
            <w:vAlign w:val="bottom"/>
          </w:tcPr>
          <w:p>
            <w:pPr>
              <w:ind w:left="240"/>
              <w:spacing w:after="0" w:line="162" w:lineRule="exact"/>
              <w:rPr>
                <w:sz w:val="20"/>
                <w:szCs w:val="20"/>
                <w:color w:val="auto"/>
              </w:rPr>
            </w:pPr>
            <w:r>
              <w:rPr>
                <w:rFonts w:ascii="Arial" w:cs="Arial" w:eastAsia="Arial" w:hAnsi="Arial"/>
                <w:sz w:val="15"/>
                <w:szCs w:val="15"/>
                <w:color w:val="auto"/>
              </w:rPr>
              <w:t>Preferred stock, $0.01 par value, 50,000,000 shares authorized;</w:t>
            </w:r>
          </w:p>
        </w:tc>
        <w:tc>
          <w:tcPr>
            <w:tcW w:w="1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180" w:type="dxa"/>
            <w:vAlign w:val="bottom"/>
          </w:tcPr>
          <w:p>
            <w:pPr>
              <w:ind w:left="340"/>
              <w:spacing w:after="0"/>
              <w:rPr>
                <w:sz w:val="20"/>
                <w:szCs w:val="20"/>
                <w:color w:val="auto"/>
              </w:rPr>
            </w:pPr>
            <w:r>
              <w:rPr>
                <w:rFonts w:ascii="Arial" w:cs="Arial" w:eastAsia="Arial" w:hAnsi="Arial"/>
                <w:sz w:val="15"/>
                <w:szCs w:val="15"/>
                <w:color w:val="auto"/>
              </w:rPr>
              <w:t>no shares issued and outstanding at September 30, 2015 and December 31, 2014, respectively</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34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180" w:type="dxa"/>
            <w:vAlign w:val="bottom"/>
            <w:shd w:val="clear" w:color="auto" w:fill="CFF0FC"/>
          </w:tcPr>
          <w:p>
            <w:pPr>
              <w:ind w:left="240"/>
              <w:spacing w:after="0" w:line="162" w:lineRule="exact"/>
              <w:rPr>
                <w:sz w:val="20"/>
                <w:szCs w:val="20"/>
                <w:color w:val="auto"/>
              </w:rPr>
            </w:pPr>
            <w:r>
              <w:rPr>
                <w:rFonts w:ascii="Arial" w:cs="Arial" w:eastAsia="Arial" w:hAnsi="Arial"/>
                <w:sz w:val="15"/>
                <w:szCs w:val="15"/>
                <w:color w:val="auto"/>
              </w:rPr>
              <w:t>Common stock, $0.01 par value, 500,000,000 shares authorized;</w:t>
            </w:r>
          </w:p>
        </w:tc>
        <w:tc>
          <w:tcPr>
            <w:tcW w:w="1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180" w:type="dxa"/>
            <w:vAlign w:val="bottom"/>
            <w:shd w:val="clear" w:color="auto" w:fill="CFF0FC"/>
          </w:tcPr>
          <w:p>
            <w:pPr>
              <w:ind w:left="340"/>
              <w:spacing w:after="0" w:line="162" w:lineRule="exact"/>
              <w:rPr>
                <w:sz w:val="20"/>
                <w:szCs w:val="20"/>
                <w:color w:val="auto"/>
              </w:rPr>
            </w:pPr>
            <w:r>
              <w:rPr>
                <w:rFonts w:ascii="Arial" w:cs="Arial" w:eastAsia="Arial" w:hAnsi="Arial"/>
                <w:sz w:val="15"/>
                <w:szCs w:val="15"/>
                <w:color w:val="auto"/>
              </w:rPr>
              <w:t>161,813,750 and 161,355,490 shares issued and outstanding</w:t>
            </w:r>
          </w:p>
        </w:tc>
        <w:tc>
          <w:tcPr>
            <w:tcW w:w="11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12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2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180" w:type="dxa"/>
            <w:vAlign w:val="bottom"/>
            <w:shd w:val="clear" w:color="auto" w:fill="CFF0FC"/>
          </w:tcPr>
          <w:p>
            <w:pPr>
              <w:ind w:left="340"/>
              <w:spacing w:after="0"/>
              <w:rPr>
                <w:sz w:val="20"/>
                <w:szCs w:val="20"/>
                <w:color w:val="auto"/>
              </w:rPr>
            </w:pPr>
            <w:r>
              <w:rPr>
                <w:rFonts w:ascii="Arial" w:cs="Arial" w:eastAsia="Arial" w:hAnsi="Arial"/>
                <w:sz w:val="15"/>
                <w:szCs w:val="15"/>
                <w:color w:val="auto"/>
              </w:rPr>
              <w:t>at September 30, 2015 and December 31, 2014, respectively</w:t>
            </w:r>
          </w:p>
        </w:tc>
        <w:tc>
          <w:tcPr>
            <w:tcW w:w="1100" w:type="dxa"/>
            <w:vAlign w:val="bottom"/>
            <w:shd w:val="clear" w:color="auto" w:fill="CFF0FC"/>
          </w:tcPr>
          <w:p>
            <w:pPr>
              <w:spacing w:after="0"/>
              <w:rPr>
                <w:sz w:val="15"/>
                <w:szCs w:val="15"/>
                <w:color w:val="auto"/>
              </w:rPr>
            </w:pPr>
          </w:p>
        </w:tc>
        <w:tc>
          <w:tcPr>
            <w:tcW w:w="16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1,618</w:t>
            </w:r>
          </w:p>
        </w:tc>
        <w:tc>
          <w:tcPr>
            <w:tcW w:w="22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1,614</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tcPr>
          <w:p>
            <w:pPr>
              <w:ind w:left="240"/>
              <w:spacing w:after="0"/>
              <w:rPr>
                <w:sz w:val="20"/>
                <w:szCs w:val="20"/>
                <w:color w:val="auto"/>
              </w:rPr>
            </w:pPr>
            <w:r>
              <w:rPr>
                <w:rFonts w:ascii="Arial" w:cs="Arial" w:eastAsia="Arial" w:hAnsi="Arial"/>
                <w:sz w:val="15"/>
                <w:szCs w:val="15"/>
                <w:color w:val="auto"/>
              </w:rPr>
              <w:t>Additional paid-in capital</w:t>
            </w:r>
          </w:p>
        </w:tc>
        <w:tc>
          <w:tcPr>
            <w:tcW w:w="1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907,762</w:t>
            </w: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20" w:type="dxa"/>
            <w:vAlign w:val="bottom"/>
          </w:tcPr>
          <w:p>
            <w:pPr>
              <w:jc w:val="right"/>
              <w:spacing w:after="0"/>
              <w:rPr>
                <w:sz w:val="20"/>
                <w:szCs w:val="20"/>
                <w:color w:val="auto"/>
              </w:rPr>
            </w:pPr>
            <w:r>
              <w:rPr>
                <w:rFonts w:ascii="Arial" w:cs="Arial" w:eastAsia="Arial" w:hAnsi="Arial"/>
                <w:sz w:val="15"/>
                <w:szCs w:val="15"/>
                <w:color w:val="auto"/>
              </w:rPr>
              <w:t>906,159</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240"/>
              <w:spacing w:after="0"/>
              <w:rPr>
                <w:sz w:val="20"/>
                <w:szCs w:val="20"/>
                <w:color w:val="auto"/>
              </w:rPr>
            </w:pPr>
            <w:r>
              <w:rPr>
                <w:rFonts w:ascii="Arial" w:cs="Arial" w:eastAsia="Arial" w:hAnsi="Arial"/>
                <w:sz w:val="15"/>
                <w:szCs w:val="15"/>
                <w:color w:val="auto"/>
              </w:rPr>
              <w:t>Retained earnings</w:t>
            </w:r>
          </w:p>
        </w:tc>
        <w:tc>
          <w:tcPr>
            <w:tcW w:w="1100" w:type="dxa"/>
            <w:vAlign w:val="bottom"/>
            <w:shd w:val="clear" w:color="auto" w:fill="CFF0FC"/>
          </w:tcPr>
          <w:p>
            <w:pPr>
              <w:spacing w:after="0"/>
              <w:rPr>
                <w:sz w:val="15"/>
                <w:szCs w:val="15"/>
                <w:color w:val="auto"/>
              </w:rPr>
            </w:pPr>
          </w:p>
        </w:tc>
        <w:tc>
          <w:tcPr>
            <w:tcW w:w="160" w:type="dxa"/>
            <w:vAlign w:val="bottom"/>
            <w:tcBorders>
              <w:bottom w:val="single" w:sz="8" w:color="auto"/>
            </w:tcBorders>
            <w:shd w:val="clear" w:color="auto" w:fill="CFF0FC"/>
          </w:tcPr>
          <w:p>
            <w:pPr>
              <w:spacing w:after="0"/>
              <w:rPr>
                <w:sz w:val="15"/>
                <w:szCs w:val="15"/>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rPr>
              <w:t>666,796</w:t>
            </w:r>
          </w:p>
        </w:tc>
        <w:tc>
          <w:tcPr>
            <w:tcW w:w="220" w:type="dxa"/>
            <w:vAlign w:val="bottom"/>
            <w:shd w:val="clear" w:color="auto" w:fill="CFF0FC"/>
          </w:tcPr>
          <w:p>
            <w:pPr>
              <w:spacing w:after="0"/>
              <w:rPr>
                <w:sz w:val="15"/>
                <w:szCs w:val="15"/>
                <w:color w:val="auto"/>
              </w:rPr>
            </w:pPr>
          </w:p>
        </w:tc>
        <w:tc>
          <w:tcPr>
            <w:tcW w:w="180" w:type="dxa"/>
            <w:vAlign w:val="bottom"/>
            <w:tcBorders>
              <w:bottom w:val="single" w:sz="8" w:color="auto"/>
            </w:tcBorders>
            <w:shd w:val="clear" w:color="auto" w:fill="CFF0FC"/>
          </w:tcPr>
          <w:p>
            <w:pPr>
              <w:spacing w:after="0"/>
              <w:rPr>
                <w:sz w:val="15"/>
                <w:szCs w:val="15"/>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rPr>
              <w:t>546,407</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tcPr>
          <w:p>
            <w:pPr>
              <w:ind w:left="240"/>
              <w:spacing w:after="0" w:line="169" w:lineRule="exact"/>
              <w:rPr>
                <w:sz w:val="20"/>
                <w:szCs w:val="20"/>
                <w:color w:val="auto"/>
              </w:rPr>
            </w:pPr>
            <w:r>
              <w:rPr>
                <w:rFonts w:ascii="Arial" w:cs="Arial" w:eastAsia="Arial" w:hAnsi="Arial"/>
                <w:sz w:val="15"/>
                <w:szCs w:val="15"/>
                <w:color w:val="auto"/>
              </w:rPr>
              <w:t>Total stockholders' equity</w:t>
            </w:r>
          </w:p>
        </w:tc>
        <w:tc>
          <w:tcPr>
            <w:tcW w:w="1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tcPr>
          <w:p>
            <w:pPr>
              <w:jc w:val="right"/>
              <w:spacing w:after="0" w:line="169" w:lineRule="exact"/>
              <w:rPr>
                <w:sz w:val="20"/>
                <w:szCs w:val="20"/>
                <w:color w:val="auto"/>
              </w:rPr>
            </w:pPr>
            <w:r>
              <w:rPr>
                <w:rFonts w:ascii="Arial" w:cs="Arial" w:eastAsia="Arial" w:hAnsi="Arial"/>
                <w:sz w:val="15"/>
                <w:szCs w:val="15"/>
                <w:color w:val="auto"/>
              </w:rPr>
              <w:t>1,576,176</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tcPr>
          <w:p>
            <w:pPr>
              <w:jc w:val="right"/>
              <w:spacing w:after="0" w:line="169" w:lineRule="exact"/>
              <w:rPr>
                <w:sz w:val="20"/>
                <w:szCs w:val="20"/>
                <w:color w:val="auto"/>
              </w:rPr>
            </w:pPr>
            <w:r>
              <w:rPr>
                <w:rFonts w:ascii="Arial" w:cs="Arial" w:eastAsia="Arial" w:hAnsi="Arial"/>
                <w:sz w:val="15"/>
                <w:szCs w:val="15"/>
                <w:color w:val="auto"/>
              </w:rPr>
              <w:t>1,454,180</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180" w:type="dxa"/>
            <w:vAlign w:val="bottom"/>
            <w:shd w:val="clear" w:color="auto" w:fill="CFF0FC"/>
          </w:tcPr>
          <w:p>
            <w:pPr>
              <w:ind w:left="240"/>
              <w:spacing w:after="0"/>
              <w:rPr>
                <w:sz w:val="20"/>
                <w:szCs w:val="20"/>
                <w:color w:val="auto"/>
              </w:rPr>
            </w:pPr>
            <w:r>
              <w:rPr>
                <w:rFonts w:ascii="Arial" w:cs="Arial" w:eastAsia="Arial" w:hAnsi="Arial"/>
                <w:sz w:val="15"/>
                <w:szCs w:val="15"/>
                <w:color w:val="auto"/>
              </w:rPr>
              <w:t>Noncontrolling interests</w:t>
            </w:r>
          </w:p>
        </w:tc>
        <w:tc>
          <w:tcPr>
            <w:tcW w:w="1100" w:type="dxa"/>
            <w:vAlign w:val="bottom"/>
            <w:shd w:val="clear" w:color="auto" w:fill="CFF0FC"/>
          </w:tcPr>
          <w:p>
            <w:pPr>
              <w:spacing w:after="0"/>
              <w:rPr>
                <w:sz w:val="15"/>
                <w:szCs w:val="15"/>
                <w:color w:val="auto"/>
              </w:rPr>
            </w:pPr>
          </w:p>
        </w:tc>
        <w:tc>
          <w:tcPr>
            <w:tcW w:w="160" w:type="dxa"/>
            <w:vAlign w:val="bottom"/>
            <w:tcBorders>
              <w:bottom w:val="single" w:sz="8" w:color="auto"/>
            </w:tcBorders>
            <w:shd w:val="clear" w:color="auto" w:fill="CFF0FC"/>
          </w:tcPr>
          <w:p>
            <w:pPr>
              <w:spacing w:after="0"/>
              <w:rPr>
                <w:sz w:val="15"/>
                <w:szCs w:val="15"/>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rPr>
              <w:t>11,562</w:t>
            </w:r>
          </w:p>
        </w:tc>
        <w:tc>
          <w:tcPr>
            <w:tcW w:w="220" w:type="dxa"/>
            <w:vAlign w:val="bottom"/>
            <w:shd w:val="clear" w:color="auto" w:fill="CFF0FC"/>
          </w:tcPr>
          <w:p>
            <w:pPr>
              <w:spacing w:after="0"/>
              <w:rPr>
                <w:sz w:val="15"/>
                <w:szCs w:val="15"/>
                <w:color w:val="auto"/>
              </w:rPr>
            </w:pPr>
          </w:p>
        </w:tc>
        <w:tc>
          <w:tcPr>
            <w:tcW w:w="180" w:type="dxa"/>
            <w:vAlign w:val="bottom"/>
            <w:tcBorders>
              <w:bottom w:val="single" w:sz="8" w:color="auto"/>
            </w:tcBorders>
            <w:shd w:val="clear" w:color="auto" w:fill="CFF0FC"/>
          </w:tcPr>
          <w:p>
            <w:pPr>
              <w:spacing w:after="0"/>
              <w:rPr>
                <w:sz w:val="15"/>
                <w:szCs w:val="15"/>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rPr>
              <w:t>18,296</w:t>
            </w:r>
          </w:p>
        </w:tc>
        <w:tc>
          <w:tcPr>
            <w:tcW w:w="12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tcBorders>
              <w:bottom w:val="single" w:sz="8" w:color="CFF0FC"/>
            </w:tcBorders>
          </w:tcPr>
          <w:p>
            <w:pPr>
              <w:ind w:left="480"/>
              <w:spacing w:after="0" w:line="169" w:lineRule="exact"/>
              <w:rPr>
                <w:sz w:val="20"/>
                <w:szCs w:val="20"/>
                <w:color w:val="auto"/>
              </w:rPr>
            </w:pPr>
            <w:r>
              <w:rPr>
                <w:rFonts w:ascii="Arial" w:cs="Arial" w:eastAsia="Arial" w:hAnsi="Arial"/>
                <w:sz w:val="15"/>
                <w:szCs w:val="15"/>
                <w:color w:val="auto"/>
              </w:rPr>
              <w:t>Total equity</w:t>
            </w:r>
          </w:p>
        </w:tc>
        <w:tc>
          <w:tcPr>
            <w:tcW w:w="1100" w:type="dxa"/>
            <w:vAlign w:val="bottom"/>
            <w:tcBorders>
              <w:bottom w:val="single" w:sz="8" w:color="CFF0FC"/>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1,587,738</w:t>
            </w:r>
          </w:p>
        </w:tc>
        <w:tc>
          <w:tcPr>
            <w:tcW w:w="22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spacing w:after="0" w:line="169" w:lineRule="exact"/>
              <w:rPr>
                <w:sz w:val="20"/>
                <w:szCs w:val="20"/>
                <w:color w:val="auto"/>
              </w:rPr>
            </w:pPr>
            <w:r>
              <w:rPr>
                <w:rFonts w:ascii="Arial" w:cs="Arial" w:eastAsia="Arial" w:hAnsi="Arial"/>
                <w:sz w:val="15"/>
                <w:szCs w:val="15"/>
                <w:color w:val="auto"/>
              </w:rPr>
              <w:t>1,472,476</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180" w:type="dxa"/>
            <w:vAlign w:val="bottom"/>
            <w:shd w:val="clear" w:color="auto" w:fill="CFF0FC"/>
          </w:tcPr>
          <w:p>
            <w:pPr>
              <w:ind w:left="240"/>
              <w:spacing w:after="0" w:line="169" w:lineRule="exact"/>
              <w:rPr>
                <w:sz w:val="20"/>
                <w:szCs w:val="20"/>
                <w:color w:val="auto"/>
              </w:rPr>
            </w:pPr>
            <w:r>
              <w:rPr>
                <w:rFonts w:ascii="Arial" w:cs="Arial" w:eastAsia="Arial" w:hAnsi="Arial"/>
                <w:sz w:val="15"/>
                <w:szCs w:val="15"/>
                <w:color w:val="auto"/>
              </w:rPr>
              <w:t>Total liabilities and equity</w:t>
            </w:r>
          </w:p>
        </w:tc>
        <w:tc>
          <w:tcPr>
            <w:tcW w:w="1260" w:type="dxa"/>
            <w:vAlign w:val="bottom"/>
            <w:gridSpan w:val="2"/>
            <w:shd w:val="clear" w:color="auto" w:fill="CFF0FC"/>
          </w:tcPr>
          <w:p>
            <w:pPr>
              <w:jc w:val="right"/>
              <w:ind w:right="80"/>
              <w:spacing w:after="0" w:line="169" w:lineRule="exact"/>
              <w:rPr>
                <w:sz w:val="20"/>
                <w:szCs w:val="20"/>
                <w:color w:val="auto"/>
              </w:rPr>
            </w:pPr>
            <w:r>
              <w:rPr>
                <w:rFonts w:ascii="Arial" w:cs="Arial" w:eastAsia="Arial" w:hAnsi="Arial"/>
                <w:sz w:val="15"/>
                <w:szCs w:val="15"/>
                <w:color w:val="auto"/>
              </w:rPr>
              <w:t>$</w:t>
            </w:r>
          </w:p>
        </w:tc>
        <w:tc>
          <w:tcPr>
            <w:tcW w:w="12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3,111,813</w:t>
            </w:r>
          </w:p>
        </w:tc>
        <w:tc>
          <w:tcPr>
            <w:tcW w:w="400" w:type="dxa"/>
            <w:vAlign w:val="bottom"/>
            <w:gridSpan w:val="2"/>
            <w:shd w:val="clear" w:color="auto" w:fill="CFF0FC"/>
          </w:tcPr>
          <w:p>
            <w:pPr>
              <w:jc w:val="right"/>
              <w:ind w:right="100"/>
              <w:spacing w:after="0" w:line="169" w:lineRule="exact"/>
              <w:rPr>
                <w:sz w:val="20"/>
                <w:szCs w:val="20"/>
                <w:color w:val="auto"/>
              </w:rPr>
            </w:pPr>
            <w:r>
              <w:rPr>
                <w:rFonts w:ascii="Arial" w:cs="Arial" w:eastAsia="Arial" w:hAnsi="Arial"/>
                <w:sz w:val="15"/>
                <w:szCs w:val="15"/>
                <w:color w:val="auto"/>
              </w:rPr>
              <w:t>$</w:t>
            </w:r>
          </w:p>
        </w:tc>
        <w:tc>
          <w:tcPr>
            <w:tcW w:w="122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2,913,524</w:t>
            </w:r>
          </w:p>
        </w:tc>
        <w:tc>
          <w:tcPr>
            <w:tcW w:w="12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180" w:type="dxa"/>
            <w:vAlign w:val="bottom"/>
            <w:tcBorders>
              <w:top w:val="single" w:sz="8" w:color="CFF0FC"/>
            </w:tcBorders>
          </w:tcPr>
          <w:p>
            <w:pPr>
              <w:spacing w:after="0" w:line="20" w:lineRule="exact"/>
              <w:rPr>
                <w:sz w:val="1"/>
                <w:szCs w:val="1"/>
                <w:color w:val="auto"/>
              </w:rPr>
            </w:pPr>
          </w:p>
        </w:tc>
        <w:tc>
          <w:tcPr>
            <w:tcW w:w="110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56"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CONSOLIDATED STATEMENT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4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w w:val="94"/>
              </w:rPr>
              <w:t>Three Months Ended September 30,</w:t>
            </w:r>
          </w:p>
        </w:tc>
        <w:tc>
          <w:tcPr>
            <w:tcW w:w="140" w:type="dxa"/>
            <w:vAlign w:val="bottom"/>
          </w:tcPr>
          <w:p>
            <w:pPr>
              <w:spacing w:after="0"/>
              <w:rPr>
                <w:sz w:val="14"/>
                <w:szCs w:val="14"/>
                <w:color w:val="auto"/>
              </w:rPr>
            </w:pPr>
          </w:p>
        </w:tc>
        <w:tc>
          <w:tcPr>
            <w:tcW w:w="2560" w:type="dxa"/>
            <w:vAlign w:val="bottom"/>
            <w:gridSpan w:val="5"/>
          </w:tcPr>
          <w:p>
            <w:pPr>
              <w:jc w:val="right"/>
              <w:ind w:right="340"/>
              <w:spacing w:after="0"/>
              <w:rPr>
                <w:sz w:val="20"/>
                <w:szCs w:val="20"/>
                <w:color w:val="auto"/>
              </w:rPr>
            </w:pPr>
            <w:r>
              <w:rPr>
                <w:rFonts w:ascii="Arial" w:cs="Arial" w:eastAsia="Arial" w:hAnsi="Arial"/>
                <w:sz w:val="14"/>
                <w:szCs w:val="14"/>
                <w:b w:val="1"/>
                <w:bCs w:val="1"/>
                <w:color w:val="auto"/>
                <w:w w:val="95"/>
              </w:rPr>
              <w:t>Nine Months Ended September 30,</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5120" w:type="dxa"/>
            <w:vAlign w:val="bottom"/>
            <w:tcBorders>
              <w:bottom w:val="single" w:sz="8" w:color="CFF0FC"/>
            </w:tcBorders>
          </w:tcPr>
          <w:p>
            <w:pPr>
              <w:spacing w:after="0"/>
              <w:rPr>
                <w:sz w:val="13"/>
                <w:szCs w:val="13"/>
                <w:color w:val="auto"/>
              </w:rPr>
            </w:pPr>
          </w:p>
        </w:tc>
        <w:tc>
          <w:tcPr>
            <w:tcW w:w="820" w:type="dxa"/>
            <w:vAlign w:val="bottom"/>
            <w:tcBorders>
              <w:bottom w:val="single" w:sz="8" w:color="CFF0FC"/>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351"/>
              <w:spacing w:after="0" w:line="155" w:lineRule="exact"/>
              <w:rPr>
                <w:sz w:val="20"/>
                <w:szCs w:val="20"/>
                <w:color w:val="auto"/>
              </w:rPr>
            </w:pPr>
            <w:r>
              <w:rPr>
                <w:rFonts w:ascii="Arial" w:cs="Arial" w:eastAsia="Arial" w:hAnsi="Arial"/>
                <w:sz w:val="14"/>
                <w:szCs w:val="14"/>
                <w:b w:val="1"/>
                <w:bCs w:val="1"/>
                <w:color w:val="auto"/>
              </w:rPr>
              <w:t>2015</w:t>
            </w:r>
          </w:p>
        </w:tc>
        <w:tc>
          <w:tcPr>
            <w:tcW w:w="220" w:type="dxa"/>
            <w:vAlign w:val="bottom"/>
            <w:tcBorders>
              <w:top w:val="single" w:sz="8" w:color="auto"/>
              <w:bottom w:val="single" w:sz="8" w:color="CFF0FC"/>
            </w:tcBorders>
          </w:tcPr>
          <w:p>
            <w:pPr>
              <w:spacing w:after="0"/>
              <w:rPr>
                <w:sz w:val="13"/>
                <w:szCs w:val="13"/>
                <w:color w:val="auto"/>
              </w:rPr>
            </w:pPr>
          </w:p>
        </w:tc>
        <w:tc>
          <w:tcPr>
            <w:tcW w:w="180" w:type="dxa"/>
            <w:vAlign w:val="bottom"/>
            <w:tcBorders>
              <w:top w:val="single" w:sz="8" w:color="auto"/>
              <w:bottom w:val="single" w:sz="8" w:color="auto"/>
            </w:tcBorders>
          </w:tcPr>
          <w:p>
            <w:pPr>
              <w:spacing w:after="0"/>
              <w:rPr>
                <w:sz w:val="13"/>
                <w:szCs w:val="13"/>
                <w:color w:val="auto"/>
              </w:rPr>
            </w:pPr>
          </w:p>
        </w:tc>
        <w:tc>
          <w:tcPr>
            <w:tcW w:w="980" w:type="dxa"/>
            <w:vAlign w:val="bottom"/>
            <w:tcBorders>
              <w:top w:val="single" w:sz="8" w:color="auto"/>
              <w:bottom w:val="single" w:sz="8" w:color="auto"/>
            </w:tcBorders>
          </w:tcPr>
          <w:p>
            <w:pPr>
              <w:jc w:val="right"/>
              <w:ind w:right="351"/>
              <w:spacing w:after="0" w:line="155" w:lineRule="exact"/>
              <w:rPr>
                <w:sz w:val="20"/>
                <w:szCs w:val="20"/>
                <w:color w:val="auto"/>
              </w:rPr>
            </w:pPr>
            <w:r>
              <w:rPr>
                <w:rFonts w:ascii="Arial" w:cs="Arial" w:eastAsia="Arial" w:hAnsi="Arial"/>
                <w:sz w:val="14"/>
                <w:szCs w:val="14"/>
                <w:b w:val="1"/>
                <w:bCs w:val="1"/>
                <w:color w:val="auto"/>
              </w:rPr>
              <w:t>2014</w:t>
            </w:r>
          </w:p>
        </w:tc>
        <w:tc>
          <w:tcPr>
            <w:tcW w:w="220" w:type="dxa"/>
            <w:vAlign w:val="bottom"/>
            <w:tcBorders>
              <w:bottom w:val="single" w:sz="8" w:color="CFF0FC"/>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1040" w:type="dxa"/>
            <w:vAlign w:val="bottom"/>
            <w:tcBorders>
              <w:top w:val="single" w:sz="8" w:color="auto"/>
              <w:bottom w:val="single" w:sz="8" w:color="auto"/>
            </w:tcBorders>
          </w:tcPr>
          <w:p>
            <w:pPr>
              <w:jc w:val="right"/>
              <w:ind w:right="371"/>
              <w:spacing w:after="0" w:line="155" w:lineRule="exact"/>
              <w:rPr>
                <w:sz w:val="20"/>
                <w:szCs w:val="20"/>
                <w:color w:val="auto"/>
              </w:rPr>
            </w:pPr>
            <w:r>
              <w:rPr>
                <w:rFonts w:ascii="Arial" w:cs="Arial" w:eastAsia="Arial" w:hAnsi="Arial"/>
                <w:sz w:val="14"/>
                <w:szCs w:val="14"/>
                <w:b w:val="1"/>
                <w:bCs w:val="1"/>
                <w:color w:val="auto"/>
              </w:rPr>
              <w:t>2015</w:t>
            </w:r>
          </w:p>
        </w:tc>
        <w:tc>
          <w:tcPr>
            <w:tcW w:w="200" w:type="dxa"/>
            <w:vAlign w:val="bottom"/>
            <w:tcBorders>
              <w:top w:val="single" w:sz="8" w:color="auto"/>
              <w:bottom w:val="single" w:sz="8" w:color="CFF0FC"/>
            </w:tcBorders>
          </w:tcPr>
          <w:p>
            <w:pPr>
              <w:spacing w:after="0"/>
              <w:rPr>
                <w:sz w:val="13"/>
                <w:szCs w:val="13"/>
                <w:color w:val="auto"/>
              </w:rPr>
            </w:pPr>
          </w:p>
        </w:tc>
        <w:tc>
          <w:tcPr>
            <w:tcW w:w="200" w:type="dxa"/>
            <w:vAlign w:val="bottom"/>
            <w:tcBorders>
              <w:top w:val="single" w:sz="8" w:color="auto"/>
              <w:bottom w:val="single" w:sz="8" w:color="auto"/>
            </w:tcBorders>
          </w:tcPr>
          <w:p>
            <w:pPr>
              <w:spacing w:after="0"/>
              <w:rPr>
                <w:sz w:val="13"/>
                <w:szCs w:val="13"/>
                <w:color w:val="auto"/>
              </w:rPr>
            </w:pPr>
          </w:p>
        </w:tc>
        <w:tc>
          <w:tcPr>
            <w:tcW w:w="1000" w:type="dxa"/>
            <w:vAlign w:val="bottom"/>
            <w:tcBorders>
              <w:top w:val="single" w:sz="8" w:color="auto"/>
              <w:bottom w:val="single" w:sz="8" w:color="auto"/>
            </w:tcBorders>
          </w:tcPr>
          <w:p>
            <w:pPr>
              <w:jc w:val="right"/>
              <w:ind w:right="371"/>
              <w:spacing w:after="0" w:line="155" w:lineRule="exact"/>
              <w:rPr>
                <w:sz w:val="20"/>
                <w:szCs w:val="20"/>
                <w:color w:val="auto"/>
              </w:rPr>
            </w:pPr>
            <w:r>
              <w:rPr>
                <w:rFonts w:ascii="Arial" w:cs="Arial" w:eastAsia="Arial" w:hAnsi="Arial"/>
                <w:sz w:val="14"/>
                <w:szCs w:val="14"/>
                <w:b w:val="1"/>
                <w:bCs w:val="1"/>
                <w:color w:val="auto"/>
              </w:rPr>
              <w:t>2014</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Home sales</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642,352</w:t>
            </w:r>
          </w:p>
        </w:tc>
        <w:tc>
          <w:tcPr>
            <w:tcW w:w="2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471,801</w:t>
            </w:r>
          </w:p>
        </w:tc>
        <w:tc>
          <w:tcPr>
            <w:tcW w:w="2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1,443,855</w:t>
            </w:r>
          </w:p>
        </w:tc>
        <w:tc>
          <w:tcPr>
            <w:tcW w:w="20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1,023,312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Land and lot sales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4,876</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5,550</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74,366</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36,449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Other operations</w:t>
            </w:r>
          </w:p>
        </w:tc>
        <w:tc>
          <w:tcPr>
            <w:tcW w:w="8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913</w:t>
            </w:r>
          </w:p>
        </w:tc>
        <w:tc>
          <w:tcPr>
            <w:tcW w:w="2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569</w:t>
            </w:r>
          </w:p>
        </w:tc>
        <w:tc>
          <w:tcPr>
            <w:tcW w:w="2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2,695</w:t>
            </w:r>
          </w:p>
        </w:tc>
        <w:tc>
          <w:tcPr>
            <w:tcW w:w="2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8,854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shd w:val="clear" w:color="auto" w:fill="CFF0FC"/>
          </w:tcPr>
          <w:p>
            <w:pPr>
              <w:ind w:left="600"/>
              <w:spacing w:after="0"/>
              <w:rPr>
                <w:sz w:val="20"/>
                <w:szCs w:val="20"/>
                <w:color w:val="auto"/>
              </w:rPr>
            </w:pPr>
            <w:r>
              <w:rPr>
                <w:rFonts w:ascii="Arial" w:cs="Arial" w:eastAsia="Arial" w:hAnsi="Arial"/>
                <w:sz w:val="18"/>
                <w:szCs w:val="18"/>
                <w:color w:val="auto"/>
              </w:rPr>
              <w:t>Total revenues</w:t>
            </w:r>
          </w:p>
        </w:tc>
        <w:tc>
          <w:tcPr>
            <w:tcW w:w="8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648,141</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477,920</w:t>
            </w:r>
          </w:p>
        </w:tc>
        <w:tc>
          <w:tcPr>
            <w:tcW w:w="2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1,520,916</w:t>
            </w:r>
          </w:p>
        </w:tc>
        <w:tc>
          <w:tcPr>
            <w:tcW w:w="2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1,068,615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12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1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Expenses: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Cost of home sales</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507,543</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385,400</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1,149,191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819,377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Cost of land and lot sales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3,451</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2,317</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17,324</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30,245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Other operations</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570</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556</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1,724</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2,755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Sales and marketing</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30,038</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28,393</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78,958</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73,096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General and administrative</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26,783</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20,951</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83,261</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57,140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Restructuring charges</w:t>
            </w:r>
          </w:p>
        </w:tc>
        <w:tc>
          <w:tcPr>
            <w:tcW w:w="8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2,010</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7,024</w:t>
            </w:r>
          </w:p>
        </w:tc>
        <w:tc>
          <w:tcPr>
            <w:tcW w:w="2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2,730</w:t>
            </w:r>
          </w:p>
        </w:tc>
        <w:tc>
          <w:tcPr>
            <w:tcW w:w="2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9,202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tcBorders>
              <w:bottom w:val="single" w:sz="8" w:color="CFF0FC"/>
            </w:tcBorders>
          </w:tcPr>
          <w:p>
            <w:pPr>
              <w:ind w:left="480"/>
              <w:spacing w:after="0"/>
              <w:rPr>
                <w:sz w:val="20"/>
                <w:szCs w:val="20"/>
                <w:color w:val="auto"/>
              </w:rPr>
            </w:pPr>
            <w:r>
              <w:rPr>
                <w:rFonts w:ascii="Arial" w:cs="Arial" w:eastAsia="Arial" w:hAnsi="Arial"/>
                <w:sz w:val="18"/>
                <w:szCs w:val="18"/>
                <w:color w:val="auto"/>
              </w:rPr>
              <w:t>Total expenses</w:t>
            </w:r>
          </w:p>
        </w:tc>
        <w:tc>
          <w:tcPr>
            <w:tcW w:w="8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570,395</w:t>
            </w:r>
          </w:p>
        </w:tc>
        <w:tc>
          <w:tcPr>
            <w:tcW w:w="2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444,641</w:t>
            </w:r>
          </w:p>
        </w:tc>
        <w:tc>
          <w:tcPr>
            <w:tcW w:w="2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1,333,188</w:t>
            </w:r>
          </w:p>
        </w:tc>
        <w:tc>
          <w:tcPr>
            <w:tcW w:w="2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991,815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Income from operations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77,746</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33,279</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187,728</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76,800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Equity in loss of unconsolidated entities</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180" w:type="dxa"/>
            <w:vAlign w:val="bottom"/>
          </w:tcPr>
          <w:p>
            <w:pPr>
              <w:spacing w:after="0"/>
              <w:rPr>
                <w:sz w:val="19"/>
                <w:szCs w:val="19"/>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(82)</w:t>
            </w:r>
          </w:p>
        </w:tc>
        <w:tc>
          <w:tcPr>
            <w:tcW w:w="140" w:type="dxa"/>
            <w:vAlign w:val="bottom"/>
          </w:tcPr>
          <w:p>
            <w:pPr>
              <w:spacing w:after="0"/>
              <w:rPr>
                <w:sz w:val="19"/>
                <w:szCs w:val="19"/>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(84)</w:t>
            </w:r>
          </w:p>
        </w:tc>
        <w:tc>
          <w:tcPr>
            <w:tcW w:w="20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Transaction expenses</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(16,710)</w:t>
            </w:r>
          </w:p>
        </w:tc>
        <w:tc>
          <w:tcPr>
            <w:tcW w:w="14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(17,216)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Other income (loss), net</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47</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499</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272</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Income before income taxes</w:t>
            </w:r>
          </w:p>
        </w:tc>
        <w:tc>
          <w:tcPr>
            <w:tcW w:w="8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77,790</w:t>
            </w: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16,986</w:t>
            </w: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187,916</w:t>
            </w: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59,123</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Provision for income taxes</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8"/>
                <w:szCs w:val="18"/>
                <w:color w:val="auto"/>
              </w:rPr>
              <w:t>(28,021)</w:t>
            </w:r>
          </w:p>
        </w:tc>
        <w:tc>
          <w:tcPr>
            <w:tcW w:w="180" w:type="dxa"/>
            <w:vAlign w:val="bottom"/>
          </w:tcPr>
          <w:p>
            <w:pPr>
              <w:spacing w:after="0"/>
              <w:rPr>
                <w:sz w:val="19"/>
                <w:szCs w:val="19"/>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(6,021)</w:t>
            </w:r>
          </w:p>
        </w:tc>
        <w:tc>
          <w:tcPr>
            <w:tcW w:w="140" w:type="dxa"/>
            <w:vAlign w:val="bottom"/>
          </w:tcPr>
          <w:p>
            <w:pPr>
              <w:spacing w:after="0"/>
              <w:rPr>
                <w:sz w:val="19"/>
                <w:szCs w:val="19"/>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(66,088)</w:t>
            </w:r>
          </w:p>
        </w:tc>
        <w:tc>
          <w:tcPr>
            <w:tcW w:w="20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(16,352)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income</w:t>
            </w:r>
          </w:p>
        </w:tc>
        <w:tc>
          <w:tcPr>
            <w:tcW w:w="8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49,769</w:t>
            </w: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10,965</w:t>
            </w: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121,828</w:t>
            </w: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42,771</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Net (income) loss attributable to noncontrolling interests</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393</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240" w:type="dxa"/>
            <w:vAlign w:val="bottom"/>
            <w:gridSpan w:val="2"/>
          </w:tcPr>
          <w:p>
            <w:pPr>
              <w:jc w:val="right"/>
              <w:ind w:right="140"/>
              <w:spacing w:after="0"/>
              <w:rPr>
                <w:sz w:val="20"/>
                <w:szCs w:val="20"/>
                <w:color w:val="auto"/>
              </w:rPr>
            </w:pPr>
            <w:r>
              <w:rPr>
                <w:rFonts w:ascii="Arial" w:cs="Arial" w:eastAsia="Arial" w:hAnsi="Arial"/>
                <w:sz w:val="18"/>
                <w:szCs w:val="18"/>
                <w:color w:val="auto"/>
              </w:rPr>
              <w:t>(1,439)</w:t>
            </w:r>
          </w:p>
        </w:tc>
        <w:tc>
          <w:tcPr>
            <w:tcW w:w="20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2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income available to common shareholders</w:t>
            </w:r>
          </w:p>
        </w:tc>
        <w:tc>
          <w:tcPr>
            <w:tcW w:w="8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50,162</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10,965</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120,389</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42,771</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51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120" w:type="dxa"/>
            <w:vAlign w:val="bottom"/>
            <w:shd w:val="clear" w:color="auto" w:fill="CFF0FC"/>
          </w:tcPr>
          <w:p>
            <w:pPr>
              <w:spacing w:after="0"/>
              <w:rPr>
                <w:sz w:val="20"/>
                <w:szCs w:val="20"/>
                <w:color w:val="auto"/>
              </w:rPr>
            </w:pPr>
            <w:r>
              <w:rPr>
                <w:rFonts w:ascii="Arial" w:cs="Arial" w:eastAsia="Arial" w:hAnsi="Arial"/>
                <w:sz w:val="18"/>
                <w:szCs w:val="18"/>
                <w:color w:val="auto"/>
              </w:rPr>
              <w:t>Earnings per share</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Basic</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0.31</w:t>
            </w:r>
          </w:p>
        </w:tc>
        <w:tc>
          <w:tcPr>
            <w:tcW w:w="2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0.07</w:t>
            </w:r>
          </w:p>
        </w:tc>
        <w:tc>
          <w:tcPr>
            <w:tcW w:w="2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0.74</w:t>
            </w:r>
          </w:p>
        </w:tc>
        <w:tc>
          <w:tcPr>
            <w:tcW w:w="20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0.31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Diluted</w:t>
            </w:r>
          </w:p>
        </w:tc>
        <w:tc>
          <w:tcPr>
            <w:tcW w:w="9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0.07</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0.74</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tcPr>
          <w:p>
            <w:pPr>
              <w:spacing w:after="0"/>
              <w:rPr>
                <w:sz w:val="20"/>
                <w:szCs w:val="20"/>
                <w:color w:val="auto"/>
              </w:rPr>
            </w:pPr>
            <w:r>
              <w:rPr>
                <w:rFonts w:ascii="Arial" w:cs="Arial" w:eastAsia="Arial" w:hAnsi="Arial"/>
                <w:sz w:val="18"/>
                <w:szCs w:val="18"/>
                <w:color w:val="auto"/>
              </w:rPr>
              <w:t>Weighted average shares outstanding</w:t>
            </w:r>
          </w:p>
        </w:tc>
        <w:tc>
          <w:tcPr>
            <w:tcW w:w="8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12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Basic</w:t>
            </w:r>
          </w:p>
        </w:tc>
        <w:tc>
          <w:tcPr>
            <w:tcW w:w="8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161,772,893</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3"/>
              </w:rPr>
              <w:t>158,931,450</w:t>
            </w:r>
          </w:p>
        </w:tc>
        <w:tc>
          <w:tcPr>
            <w:tcW w:w="2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9"/>
              </w:rPr>
              <w:t>161,651,177</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5"/>
              </w:rPr>
              <w:t>139,550,891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120" w:type="dxa"/>
            <w:vAlign w:val="bottom"/>
          </w:tcPr>
          <w:p>
            <w:pPr>
              <w:ind w:left="240"/>
              <w:spacing w:after="0"/>
              <w:rPr>
                <w:sz w:val="20"/>
                <w:szCs w:val="20"/>
                <w:color w:val="auto"/>
              </w:rPr>
            </w:pPr>
            <w:r>
              <w:rPr>
                <w:rFonts w:ascii="Arial" w:cs="Arial" w:eastAsia="Arial" w:hAnsi="Arial"/>
                <w:sz w:val="18"/>
                <w:szCs w:val="18"/>
                <w:color w:val="auto"/>
              </w:rPr>
              <w:t>Diluted</w:t>
            </w: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162,366,744</w:t>
            </w: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w w:val="93"/>
              </w:rPr>
              <w:t>159,158,706</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w w:val="99"/>
              </w:rPr>
              <w:t>162,299,282</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w w:val="95"/>
              </w:rPr>
              <w:t>140,213,655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56"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8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Three Months Ended September 30,</w:t>
            </w: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2920" w:type="dxa"/>
            <w:vAlign w:val="bottom"/>
            <w:tcBorders>
              <w:bottom w:val="single" w:sz="8" w:color="auto"/>
            </w:tcBorders>
            <w:gridSpan w:val="7"/>
          </w:tcPr>
          <w:p>
            <w:pPr>
              <w:jc w:val="right"/>
              <w:ind w:right="120"/>
              <w:spacing w:after="0"/>
              <w:rPr>
                <w:sz w:val="20"/>
                <w:szCs w:val="20"/>
                <w:color w:val="auto"/>
              </w:rPr>
            </w:pPr>
            <w:r>
              <w:rPr>
                <w:rFonts w:ascii="Arial" w:cs="Arial" w:eastAsia="Arial" w:hAnsi="Arial"/>
                <w:sz w:val="14"/>
                <w:szCs w:val="14"/>
                <w:b w:val="1"/>
                <w:bCs w:val="1"/>
                <w:color w:val="auto"/>
              </w:rPr>
              <w:t>Nine Months Ended September 30,</w:t>
            </w:r>
          </w:p>
        </w:tc>
        <w:tc>
          <w:tcPr>
            <w:tcW w:w="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3880" w:type="dxa"/>
            <w:vAlign w:val="bottom"/>
          </w:tcPr>
          <w:p>
            <w:pPr>
              <w:spacing w:after="0"/>
              <w:rPr>
                <w:sz w:val="19"/>
                <w:szCs w:val="19"/>
                <w:color w:val="auto"/>
              </w:rPr>
            </w:pPr>
          </w:p>
        </w:tc>
        <w:tc>
          <w:tcPr>
            <w:tcW w:w="118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2015</w:t>
            </w:r>
          </w:p>
        </w:tc>
        <w:tc>
          <w:tcPr>
            <w:tcW w:w="64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Borders>
              <w:bottom w:val="single" w:sz="8" w:color="auto"/>
            </w:tcBorders>
            <w:gridSpan w:val="3"/>
          </w:tcPr>
          <w:p>
            <w:pPr>
              <w:jc w:val="right"/>
              <w:ind w:right="36"/>
              <w:spacing w:after="0"/>
              <w:rPr>
                <w:sz w:val="20"/>
                <w:szCs w:val="20"/>
                <w:color w:val="auto"/>
              </w:rPr>
            </w:pPr>
            <w:r>
              <w:rPr>
                <w:rFonts w:ascii="Arial" w:cs="Arial" w:eastAsia="Arial" w:hAnsi="Arial"/>
                <w:sz w:val="14"/>
                <w:szCs w:val="14"/>
                <w:b w:val="1"/>
                <w:bCs w:val="1"/>
                <w:color w:val="auto"/>
              </w:rPr>
              <w:t>2014</w:t>
            </w:r>
          </w:p>
        </w:tc>
        <w:tc>
          <w:tcPr>
            <w:tcW w:w="64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Borders>
              <w:bottom w:val="single" w:sz="8" w:color="auto"/>
            </w:tcBorders>
            <w:gridSpan w:val="3"/>
          </w:tcPr>
          <w:p>
            <w:pPr>
              <w:jc w:val="right"/>
              <w:ind w:right="19"/>
              <w:spacing w:after="0"/>
              <w:rPr>
                <w:sz w:val="20"/>
                <w:szCs w:val="20"/>
                <w:color w:val="auto"/>
              </w:rPr>
            </w:pPr>
            <w:r>
              <w:rPr>
                <w:rFonts w:ascii="Arial" w:cs="Arial" w:eastAsia="Arial" w:hAnsi="Arial"/>
                <w:sz w:val="14"/>
                <w:szCs w:val="14"/>
                <w:b w:val="1"/>
                <w:bCs w:val="1"/>
                <w:color w:val="auto"/>
              </w:rPr>
              <w:t>2015</w:t>
            </w:r>
          </w:p>
        </w:tc>
        <w:tc>
          <w:tcPr>
            <w:tcW w:w="6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4"/>
                <w:szCs w:val="14"/>
                <w:b w:val="1"/>
                <w:bCs w:val="1"/>
                <w:color w:val="auto"/>
              </w:rPr>
              <w:t>2014</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3880" w:type="dxa"/>
            <w:vAlign w:val="bottom"/>
          </w:tcPr>
          <w:p>
            <w:pPr>
              <w:spacing w:after="0"/>
              <w:rPr>
                <w:sz w:val="11"/>
                <w:szCs w:val="11"/>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1"/>
                <w:szCs w:val="11"/>
                <w:color w:val="auto"/>
              </w:rPr>
            </w:pPr>
          </w:p>
        </w:tc>
        <w:tc>
          <w:tcPr>
            <w:tcW w:w="1040" w:type="dxa"/>
            <w:vAlign w:val="bottom"/>
            <w:gridSpan w:val="3"/>
            <w:vMerge w:val="restart"/>
          </w:tcPr>
          <w:p>
            <w:pPr>
              <w:jc w:val="center"/>
              <w:ind w:right="220"/>
              <w:spacing w:after="0"/>
              <w:rPr>
                <w:sz w:val="20"/>
                <w:szCs w:val="20"/>
                <w:color w:val="auto"/>
              </w:rPr>
            </w:pPr>
            <w:r>
              <w:rPr>
                <w:rFonts w:ascii="Arial" w:cs="Arial" w:eastAsia="Arial" w:hAnsi="Arial"/>
                <w:sz w:val="14"/>
                <w:szCs w:val="14"/>
                <w:b w:val="1"/>
                <w:bCs w:val="1"/>
                <w:color w:val="auto"/>
                <w:w w:val="92"/>
              </w:rPr>
              <w:t>Avg. Selling</w:t>
            </w:r>
          </w:p>
        </w:tc>
        <w:tc>
          <w:tcPr>
            <w:tcW w:w="10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Homes</w:t>
            </w:r>
          </w:p>
        </w:tc>
        <w:tc>
          <w:tcPr>
            <w:tcW w:w="980" w:type="dxa"/>
            <w:vAlign w:val="bottom"/>
            <w:gridSpan w:val="3"/>
            <w:vMerge w:val="restart"/>
          </w:tcPr>
          <w:p>
            <w:pPr>
              <w:jc w:val="center"/>
              <w:ind w:right="180"/>
              <w:spacing w:after="0"/>
              <w:rPr>
                <w:sz w:val="20"/>
                <w:szCs w:val="20"/>
                <w:color w:val="auto"/>
              </w:rPr>
            </w:pPr>
            <w:r>
              <w:rPr>
                <w:rFonts w:ascii="Arial" w:cs="Arial" w:eastAsia="Arial" w:hAnsi="Arial"/>
                <w:sz w:val="14"/>
                <w:szCs w:val="14"/>
                <w:b w:val="1"/>
                <w:bCs w:val="1"/>
                <w:color w:val="auto"/>
                <w:w w:val="89"/>
              </w:rPr>
              <w:t>Avg. Selling</w:t>
            </w: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Homes</w:t>
            </w:r>
          </w:p>
        </w:tc>
        <w:tc>
          <w:tcPr>
            <w:tcW w:w="180" w:type="dxa"/>
            <w:vAlign w:val="bottom"/>
          </w:tcPr>
          <w:p>
            <w:pPr>
              <w:spacing w:after="0"/>
              <w:rPr>
                <w:sz w:val="11"/>
                <w:szCs w:val="11"/>
                <w:color w:val="auto"/>
              </w:rPr>
            </w:pPr>
          </w:p>
        </w:tc>
        <w:tc>
          <w:tcPr>
            <w:tcW w:w="1000" w:type="dxa"/>
            <w:vAlign w:val="bottom"/>
            <w:gridSpan w:val="3"/>
            <w:vMerge w:val="restart"/>
          </w:tcPr>
          <w:p>
            <w:pPr>
              <w:jc w:val="center"/>
              <w:ind w:right="200"/>
              <w:spacing w:after="0"/>
              <w:rPr>
                <w:sz w:val="20"/>
                <w:szCs w:val="20"/>
                <w:color w:val="auto"/>
              </w:rPr>
            </w:pPr>
            <w:r>
              <w:rPr>
                <w:rFonts w:ascii="Arial" w:cs="Arial" w:eastAsia="Arial" w:hAnsi="Arial"/>
                <w:sz w:val="14"/>
                <w:szCs w:val="14"/>
                <w:b w:val="1"/>
                <w:bCs w:val="1"/>
                <w:color w:val="auto"/>
                <w:w w:val="89"/>
              </w:rPr>
              <w:t>Avg. Selling</w:t>
            </w: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Homes</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jc w:val="center"/>
              <w:ind w:right="14"/>
              <w:spacing w:after="0" w:line="133" w:lineRule="exact"/>
              <w:rPr>
                <w:sz w:val="20"/>
                <w:szCs w:val="20"/>
                <w:color w:val="auto"/>
              </w:rPr>
            </w:pPr>
            <w:r>
              <w:rPr>
                <w:rFonts w:ascii="Arial" w:cs="Arial" w:eastAsia="Arial" w:hAnsi="Arial"/>
                <w:sz w:val="14"/>
                <w:szCs w:val="14"/>
                <w:b w:val="1"/>
                <w:bCs w:val="1"/>
                <w:color w:val="auto"/>
                <w:w w:val="92"/>
              </w:rPr>
              <w:t>Avg.</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388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gridSpan w:val="3"/>
            <w:vMerge w:val="continue"/>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980" w:type="dxa"/>
            <w:vAlign w:val="bottom"/>
            <w:gridSpan w:val="3"/>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5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1"/>
              </w:rPr>
              <w:t>Selling</w:t>
            </w:r>
          </w:p>
        </w:tc>
        <w:tc>
          <w:tcPr>
            <w:tcW w:w="0" w:type="dxa"/>
            <w:vAlign w:val="bottom"/>
          </w:tcPr>
          <w:p>
            <w:pPr>
              <w:spacing w:after="0"/>
              <w:rPr>
                <w:sz w:val="1"/>
                <w:szCs w:val="1"/>
                <w:color w:val="auto"/>
              </w:rPr>
            </w:pPr>
          </w:p>
        </w:tc>
      </w:tr>
      <w:tr>
        <w:trPr>
          <w:trHeight w:val="215"/>
        </w:trPr>
        <w:tc>
          <w:tcPr>
            <w:tcW w:w="388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Price</w:t>
            </w: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Delivered</w:t>
            </w:r>
          </w:p>
        </w:tc>
        <w:tc>
          <w:tcPr>
            <w:tcW w:w="160" w:type="dxa"/>
            <w:vAlign w:val="bottom"/>
          </w:tcPr>
          <w:p>
            <w:pPr>
              <w:spacing w:after="0"/>
              <w:rPr>
                <w:sz w:val="18"/>
                <w:szCs w:val="18"/>
                <w:color w:val="auto"/>
              </w:rPr>
            </w:pPr>
          </w:p>
        </w:tc>
        <w:tc>
          <w:tcPr>
            <w:tcW w:w="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Price</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Price</w:t>
            </w: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Delivered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Price</w:t>
            </w:r>
          </w:p>
        </w:tc>
        <w:tc>
          <w:tcPr>
            <w:tcW w:w="0" w:type="dxa"/>
            <w:vAlign w:val="bottom"/>
          </w:tcPr>
          <w:p>
            <w:pPr>
              <w:spacing w:after="0"/>
              <w:rPr>
                <w:sz w:val="1"/>
                <w:szCs w:val="1"/>
                <w:color w:val="auto"/>
              </w:rPr>
            </w:pPr>
          </w:p>
        </w:tc>
      </w:tr>
      <w:tr>
        <w:trPr>
          <w:trHeight w:val="223"/>
        </w:trPr>
        <w:tc>
          <w:tcPr>
            <w:tcW w:w="3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New Homes Delivered:</w:t>
            </w:r>
          </w:p>
        </w:tc>
        <w:tc>
          <w:tcPr>
            <w:tcW w:w="7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auto"/>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780" w:type="dxa"/>
            <w:vAlign w:val="bottom"/>
          </w:tcPr>
          <w:p>
            <w:pPr>
              <w:jc w:val="right"/>
              <w:spacing w:after="0"/>
              <w:rPr>
                <w:sz w:val="20"/>
                <w:szCs w:val="20"/>
                <w:color w:val="auto"/>
              </w:rPr>
            </w:pPr>
            <w:r>
              <w:rPr>
                <w:rFonts w:ascii="Arial" w:cs="Arial" w:eastAsia="Arial" w:hAnsi="Arial"/>
                <w:sz w:val="18"/>
                <w:szCs w:val="18"/>
                <w:color w:val="auto"/>
              </w:rPr>
              <w:t>131</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386</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94</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397</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307</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380</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286</w:t>
            </w:r>
          </w:p>
        </w:tc>
        <w:tc>
          <w:tcPr>
            <w:tcW w:w="200" w:type="dxa"/>
            <w:vAlign w:val="bottom"/>
          </w:tcPr>
          <w:p>
            <w:pPr>
              <w:spacing w:after="0"/>
              <w:rPr>
                <w:sz w:val="19"/>
                <w:szCs w:val="19"/>
                <w:color w:val="auto"/>
              </w:rPr>
            </w:pP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376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314</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543</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277</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468</w:t>
            </w:r>
          </w:p>
        </w:tc>
        <w:tc>
          <w:tcPr>
            <w:tcW w:w="18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724</w:t>
            </w: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506</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658</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480</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780" w:type="dxa"/>
            <w:vAlign w:val="bottom"/>
          </w:tcPr>
          <w:p>
            <w:pPr>
              <w:jc w:val="right"/>
              <w:spacing w:after="0"/>
              <w:rPr>
                <w:sz w:val="20"/>
                <w:szCs w:val="20"/>
                <w:color w:val="auto"/>
              </w:rPr>
            </w:pPr>
            <w:r>
              <w:rPr>
                <w:rFonts w:ascii="Arial" w:cs="Arial" w:eastAsia="Arial" w:hAnsi="Arial"/>
                <w:sz w:val="18"/>
                <w:szCs w:val="18"/>
                <w:color w:val="auto"/>
              </w:rPr>
              <w:t>117</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406</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437</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297</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426</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219</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405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495</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135</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516</w:t>
            </w:r>
          </w:p>
        </w:tc>
        <w:tc>
          <w:tcPr>
            <w:tcW w:w="18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394</w:t>
            </w: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512</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404</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492</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780" w:type="dxa"/>
            <w:vAlign w:val="bottom"/>
          </w:tcPr>
          <w:p>
            <w:pPr>
              <w:jc w:val="right"/>
              <w:spacing w:after="0"/>
              <w:rPr>
                <w:sz w:val="20"/>
                <w:szCs w:val="20"/>
                <w:color w:val="auto"/>
              </w:rPr>
            </w:pPr>
            <w:r>
              <w:rPr>
                <w:rFonts w:ascii="Arial" w:cs="Arial" w:eastAsia="Arial" w:hAnsi="Arial"/>
                <w:sz w:val="18"/>
                <w:szCs w:val="18"/>
                <w:color w:val="auto"/>
              </w:rPr>
              <w:t>298</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752</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158</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781</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611</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756</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158</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781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599</w:t>
            </w:r>
          </w:p>
        </w:tc>
        <w:tc>
          <w:tcPr>
            <w:tcW w:w="220" w:type="dxa"/>
            <w:vAlign w:val="bottom"/>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104</w:t>
            </w:r>
          </w:p>
        </w:tc>
        <w:tc>
          <w:tcPr>
            <w:tcW w:w="2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763</w:t>
            </w:r>
          </w:p>
        </w:tc>
        <w:tc>
          <w:tcPr>
            <w:tcW w:w="180" w:type="dxa"/>
            <w:vAlign w:val="bottom"/>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271</w:t>
            </w:r>
          </w:p>
        </w:tc>
        <w:tc>
          <w:tcPr>
            <w:tcW w:w="1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631</w:t>
            </w:r>
          </w:p>
        </w:tc>
        <w:tc>
          <w:tcPr>
            <w:tcW w:w="200" w:type="dxa"/>
            <w:vAlign w:val="bottom"/>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253</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tcBorders>
              <w:bottom w:val="single" w:sz="8" w:color="auto"/>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747</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80" w:type="dxa"/>
            <w:vAlign w:val="bottom"/>
          </w:tcPr>
          <w:p>
            <w:pPr>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1,138</w:t>
            </w:r>
          </w:p>
        </w:tc>
        <w:tc>
          <w:tcPr>
            <w:tcW w:w="2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564</w:t>
            </w:r>
          </w:p>
        </w:tc>
        <w:tc>
          <w:tcPr>
            <w:tcW w:w="22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842</w:t>
            </w:r>
          </w:p>
        </w:tc>
        <w:tc>
          <w:tcPr>
            <w:tcW w:w="2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560</w:t>
            </w:r>
          </w:p>
        </w:tc>
        <w:tc>
          <w:tcPr>
            <w:tcW w:w="180" w:type="dxa"/>
            <w:vAlign w:val="bottom"/>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2,604</w:t>
            </w:r>
          </w:p>
        </w:tc>
        <w:tc>
          <w:tcPr>
            <w:tcW w:w="1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554</w:t>
            </w:r>
          </w:p>
        </w:tc>
        <w:tc>
          <w:tcPr>
            <w:tcW w:w="200" w:type="dxa"/>
            <w:vAlign w:val="bottom"/>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1,978</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9"/>
        </w:trPr>
        <w:tc>
          <w:tcPr>
            <w:tcW w:w="388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6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Three Months Ended September 30,</w:t>
            </w:r>
          </w:p>
        </w:tc>
        <w:tc>
          <w:tcPr>
            <w:tcW w:w="1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920" w:type="dxa"/>
            <w:vAlign w:val="bottom"/>
            <w:tcBorders>
              <w:bottom w:val="single" w:sz="8" w:color="auto"/>
            </w:tcBorders>
            <w:gridSpan w:val="7"/>
          </w:tcPr>
          <w:p>
            <w:pPr>
              <w:jc w:val="right"/>
              <w:ind w:right="120"/>
              <w:spacing w:after="0"/>
              <w:rPr>
                <w:sz w:val="20"/>
                <w:szCs w:val="20"/>
                <w:color w:val="auto"/>
              </w:rPr>
            </w:pPr>
            <w:r>
              <w:rPr>
                <w:rFonts w:ascii="Arial" w:cs="Arial" w:eastAsia="Arial" w:hAnsi="Arial"/>
                <w:sz w:val="14"/>
                <w:szCs w:val="14"/>
                <w:b w:val="1"/>
                <w:bCs w:val="1"/>
                <w:color w:val="auto"/>
              </w:rPr>
              <w:t>Nine Months Ended September 30,</w:t>
            </w:r>
          </w:p>
        </w:tc>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3880" w:type="dxa"/>
            <w:vAlign w:val="bottom"/>
          </w:tcPr>
          <w:p>
            <w:pPr>
              <w:spacing w:after="0"/>
              <w:rPr>
                <w:sz w:val="19"/>
                <w:szCs w:val="19"/>
                <w:color w:val="auto"/>
              </w:rPr>
            </w:pPr>
          </w:p>
        </w:tc>
        <w:tc>
          <w:tcPr>
            <w:tcW w:w="1180" w:type="dxa"/>
            <w:vAlign w:val="bottom"/>
            <w:tcBorders>
              <w:bottom w:val="single" w:sz="8" w:color="auto"/>
            </w:tcBorders>
            <w:gridSpan w:val="3"/>
          </w:tcPr>
          <w:p>
            <w:pPr>
              <w:jc w:val="right"/>
              <w:ind w:right="39"/>
              <w:spacing w:after="0"/>
              <w:rPr>
                <w:sz w:val="20"/>
                <w:szCs w:val="20"/>
                <w:color w:val="auto"/>
              </w:rPr>
            </w:pPr>
            <w:r>
              <w:rPr>
                <w:rFonts w:ascii="Arial" w:cs="Arial" w:eastAsia="Arial" w:hAnsi="Arial"/>
                <w:sz w:val="14"/>
                <w:szCs w:val="14"/>
                <w:b w:val="1"/>
                <w:bCs w:val="1"/>
                <w:color w:val="auto"/>
              </w:rPr>
              <w:t>2015</w:t>
            </w:r>
          </w:p>
        </w:tc>
        <w:tc>
          <w:tcPr>
            <w:tcW w:w="64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Borders>
              <w:bottom w:val="single" w:sz="8" w:color="auto"/>
            </w:tcBorders>
            <w:gridSpan w:val="3"/>
          </w:tcPr>
          <w:p>
            <w:pPr>
              <w:jc w:val="right"/>
              <w:ind w:right="36"/>
              <w:spacing w:after="0"/>
              <w:rPr>
                <w:sz w:val="20"/>
                <w:szCs w:val="20"/>
                <w:color w:val="auto"/>
              </w:rPr>
            </w:pPr>
            <w:r>
              <w:rPr>
                <w:rFonts w:ascii="Arial" w:cs="Arial" w:eastAsia="Arial" w:hAnsi="Arial"/>
                <w:sz w:val="14"/>
                <w:szCs w:val="14"/>
                <w:b w:val="1"/>
                <w:bCs w:val="1"/>
                <w:color w:val="auto"/>
              </w:rPr>
              <w:t>2014</w:t>
            </w:r>
          </w:p>
        </w:tc>
        <w:tc>
          <w:tcPr>
            <w:tcW w:w="64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Borders>
              <w:bottom w:val="single" w:sz="8" w:color="auto"/>
            </w:tcBorders>
            <w:gridSpan w:val="3"/>
          </w:tcPr>
          <w:p>
            <w:pPr>
              <w:jc w:val="right"/>
              <w:ind w:right="19"/>
              <w:spacing w:after="0"/>
              <w:rPr>
                <w:sz w:val="20"/>
                <w:szCs w:val="20"/>
                <w:color w:val="auto"/>
              </w:rPr>
            </w:pPr>
            <w:r>
              <w:rPr>
                <w:rFonts w:ascii="Arial" w:cs="Arial" w:eastAsia="Arial" w:hAnsi="Arial"/>
                <w:sz w:val="14"/>
                <w:szCs w:val="14"/>
                <w:b w:val="1"/>
                <w:bCs w:val="1"/>
                <w:color w:val="auto"/>
              </w:rPr>
              <w:t>2015</w:t>
            </w:r>
          </w:p>
        </w:tc>
        <w:tc>
          <w:tcPr>
            <w:tcW w:w="6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96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4"/>
                <w:szCs w:val="14"/>
                <w:b w:val="1"/>
                <w:bCs w:val="1"/>
                <w:color w:val="auto"/>
              </w:rPr>
              <w:t>2014</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3"/>
        </w:trPr>
        <w:tc>
          <w:tcPr>
            <w:tcW w:w="3880" w:type="dxa"/>
            <w:vAlign w:val="bottom"/>
          </w:tcPr>
          <w:p>
            <w:pPr>
              <w:spacing w:after="0"/>
              <w:rPr>
                <w:sz w:val="11"/>
                <w:szCs w:val="11"/>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1"/>
                <w:szCs w:val="11"/>
                <w:color w:val="auto"/>
              </w:rPr>
            </w:pPr>
          </w:p>
        </w:tc>
        <w:tc>
          <w:tcPr>
            <w:tcW w:w="1040" w:type="dxa"/>
            <w:vAlign w:val="bottom"/>
            <w:gridSpan w:val="3"/>
            <w:vMerge w:val="restart"/>
          </w:tcPr>
          <w:p>
            <w:pPr>
              <w:jc w:val="center"/>
              <w:ind w:right="220"/>
              <w:spacing w:after="0"/>
              <w:rPr>
                <w:sz w:val="20"/>
                <w:szCs w:val="20"/>
                <w:color w:val="auto"/>
              </w:rPr>
            </w:pPr>
            <w:r>
              <w:rPr>
                <w:rFonts w:ascii="Arial" w:cs="Arial" w:eastAsia="Arial" w:hAnsi="Arial"/>
                <w:sz w:val="14"/>
                <w:szCs w:val="14"/>
                <w:b w:val="1"/>
                <w:bCs w:val="1"/>
                <w:color w:val="auto"/>
                <w:w w:val="92"/>
              </w:rPr>
              <w:t>Avg. Selling</w:t>
            </w:r>
          </w:p>
        </w:tc>
        <w:tc>
          <w:tcPr>
            <w:tcW w:w="10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Homes</w:t>
            </w:r>
          </w:p>
        </w:tc>
        <w:tc>
          <w:tcPr>
            <w:tcW w:w="980" w:type="dxa"/>
            <w:vAlign w:val="bottom"/>
            <w:gridSpan w:val="3"/>
            <w:vMerge w:val="restart"/>
          </w:tcPr>
          <w:p>
            <w:pPr>
              <w:jc w:val="center"/>
              <w:ind w:right="180"/>
              <w:spacing w:after="0"/>
              <w:rPr>
                <w:sz w:val="20"/>
                <w:szCs w:val="20"/>
                <w:color w:val="auto"/>
              </w:rPr>
            </w:pPr>
            <w:r>
              <w:rPr>
                <w:rFonts w:ascii="Arial" w:cs="Arial" w:eastAsia="Arial" w:hAnsi="Arial"/>
                <w:sz w:val="14"/>
                <w:szCs w:val="14"/>
                <w:b w:val="1"/>
                <w:bCs w:val="1"/>
                <w:color w:val="auto"/>
                <w:w w:val="89"/>
              </w:rPr>
              <w:t>Avg. Selling</w:t>
            </w: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Homes</w:t>
            </w:r>
          </w:p>
        </w:tc>
        <w:tc>
          <w:tcPr>
            <w:tcW w:w="180" w:type="dxa"/>
            <w:vAlign w:val="bottom"/>
          </w:tcPr>
          <w:p>
            <w:pPr>
              <w:spacing w:after="0"/>
              <w:rPr>
                <w:sz w:val="11"/>
                <w:szCs w:val="11"/>
                <w:color w:val="auto"/>
              </w:rPr>
            </w:pPr>
          </w:p>
        </w:tc>
        <w:tc>
          <w:tcPr>
            <w:tcW w:w="1000" w:type="dxa"/>
            <w:vAlign w:val="bottom"/>
            <w:gridSpan w:val="3"/>
            <w:vMerge w:val="restart"/>
          </w:tcPr>
          <w:p>
            <w:pPr>
              <w:jc w:val="center"/>
              <w:ind w:right="200"/>
              <w:spacing w:after="0"/>
              <w:rPr>
                <w:sz w:val="20"/>
                <w:szCs w:val="20"/>
                <w:color w:val="auto"/>
              </w:rPr>
            </w:pPr>
            <w:r>
              <w:rPr>
                <w:rFonts w:ascii="Arial" w:cs="Arial" w:eastAsia="Arial" w:hAnsi="Arial"/>
                <w:sz w:val="14"/>
                <w:szCs w:val="14"/>
                <w:b w:val="1"/>
                <w:bCs w:val="1"/>
                <w:color w:val="auto"/>
                <w:w w:val="89"/>
              </w:rPr>
              <w:t>Avg. Selling</w:t>
            </w:r>
          </w:p>
        </w:tc>
        <w:tc>
          <w:tcPr>
            <w:tcW w:w="9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Homes</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jc w:val="center"/>
              <w:ind w:right="14"/>
              <w:spacing w:after="0" w:line="133" w:lineRule="exact"/>
              <w:rPr>
                <w:sz w:val="20"/>
                <w:szCs w:val="20"/>
                <w:color w:val="auto"/>
              </w:rPr>
            </w:pPr>
            <w:r>
              <w:rPr>
                <w:rFonts w:ascii="Arial" w:cs="Arial" w:eastAsia="Arial" w:hAnsi="Arial"/>
                <w:sz w:val="14"/>
                <w:szCs w:val="14"/>
                <w:b w:val="1"/>
                <w:bCs w:val="1"/>
                <w:color w:val="auto"/>
                <w:w w:val="92"/>
              </w:rPr>
              <w:t>Avg.</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388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gridSpan w:val="3"/>
            <w:vMerge w:val="continue"/>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980" w:type="dxa"/>
            <w:vAlign w:val="bottom"/>
            <w:gridSpan w:val="3"/>
            <w:vMerge w:val="continue"/>
          </w:tcPr>
          <w:p>
            <w:pPr>
              <w:spacing w:after="0"/>
              <w:rPr>
                <w:sz w:val="16"/>
                <w:szCs w:val="16"/>
                <w:color w:val="auto"/>
              </w:rPr>
            </w:pPr>
          </w:p>
        </w:tc>
        <w:tc>
          <w:tcPr>
            <w:tcW w:w="780" w:type="dxa"/>
            <w:vAlign w:val="bottom"/>
            <w:vMerge w:val="continue"/>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58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91"/>
              </w:rPr>
              <w:t>Selling</w:t>
            </w:r>
          </w:p>
        </w:tc>
        <w:tc>
          <w:tcPr>
            <w:tcW w:w="0" w:type="dxa"/>
            <w:vAlign w:val="bottom"/>
          </w:tcPr>
          <w:p>
            <w:pPr>
              <w:spacing w:after="0"/>
              <w:rPr>
                <w:sz w:val="1"/>
                <w:szCs w:val="1"/>
                <w:color w:val="auto"/>
              </w:rPr>
            </w:pPr>
          </w:p>
        </w:tc>
      </w:tr>
      <w:tr>
        <w:trPr>
          <w:trHeight w:val="215"/>
        </w:trPr>
        <w:tc>
          <w:tcPr>
            <w:tcW w:w="3880" w:type="dxa"/>
            <w:vAlign w:val="bottom"/>
          </w:tcPr>
          <w:p>
            <w:pPr>
              <w:spacing w:after="0"/>
              <w:rPr>
                <w:sz w:val="18"/>
                <w:szCs w:val="18"/>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Price</w:t>
            </w: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Delivered</w:t>
            </w:r>
          </w:p>
        </w:tc>
        <w:tc>
          <w:tcPr>
            <w:tcW w:w="160" w:type="dxa"/>
            <w:vAlign w:val="bottom"/>
          </w:tcPr>
          <w:p>
            <w:pPr>
              <w:spacing w:after="0"/>
              <w:rPr>
                <w:sz w:val="18"/>
                <w:szCs w:val="18"/>
                <w:color w:val="auto"/>
              </w:rPr>
            </w:pPr>
          </w:p>
        </w:tc>
        <w:tc>
          <w:tcPr>
            <w:tcW w:w="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Price</w:t>
            </w: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3"/>
              </w:rPr>
              <w:t>Price</w:t>
            </w: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Delivered</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2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3"/>
              </w:rPr>
              <w:t>Price</w:t>
            </w:r>
          </w:p>
        </w:tc>
        <w:tc>
          <w:tcPr>
            <w:tcW w:w="0" w:type="dxa"/>
            <w:vAlign w:val="bottom"/>
          </w:tcPr>
          <w:p>
            <w:pPr>
              <w:spacing w:after="0"/>
              <w:rPr>
                <w:sz w:val="1"/>
                <w:szCs w:val="1"/>
                <w:color w:val="auto"/>
              </w:rPr>
            </w:pPr>
          </w:p>
        </w:tc>
      </w:tr>
      <w:tr>
        <w:trPr>
          <w:trHeight w:val="223"/>
        </w:trPr>
        <w:tc>
          <w:tcPr>
            <w:tcW w:w="38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New Homes Delivered:</w:t>
            </w:r>
          </w:p>
        </w:tc>
        <w:tc>
          <w:tcPr>
            <w:tcW w:w="7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auto"/>
            </w:tcBorders>
            <w:shd w:val="clear" w:color="auto" w:fill="CFF0FC"/>
          </w:tcPr>
          <w:p>
            <w:pPr>
              <w:spacing w:after="0"/>
              <w:rPr>
                <w:sz w:val="19"/>
                <w:szCs w:val="19"/>
                <w:color w:val="auto"/>
              </w:rPr>
            </w:pPr>
          </w:p>
        </w:tc>
        <w:tc>
          <w:tcPr>
            <w:tcW w:w="46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780" w:type="dxa"/>
            <w:vAlign w:val="bottom"/>
          </w:tcPr>
          <w:p>
            <w:pPr>
              <w:jc w:val="right"/>
              <w:spacing w:after="0"/>
              <w:rPr>
                <w:sz w:val="20"/>
                <w:szCs w:val="20"/>
                <w:color w:val="auto"/>
              </w:rPr>
            </w:pPr>
            <w:r>
              <w:rPr>
                <w:rFonts w:ascii="Arial" w:cs="Arial" w:eastAsia="Arial" w:hAnsi="Arial"/>
                <w:sz w:val="18"/>
                <w:szCs w:val="18"/>
                <w:color w:val="auto"/>
              </w:rPr>
              <w:t>462</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720</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350</w:t>
            </w:r>
          </w:p>
        </w:tc>
        <w:tc>
          <w:tcPr>
            <w:tcW w:w="2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635</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969</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700</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633</w:t>
            </w:r>
          </w:p>
        </w:tc>
        <w:tc>
          <w:tcPr>
            <w:tcW w:w="200" w:type="dxa"/>
            <w:vAlign w:val="bottom"/>
          </w:tcPr>
          <w:p>
            <w:pPr>
              <w:spacing w:after="0"/>
              <w:rPr>
                <w:sz w:val="19"/>
                <w:szCs w:val="19"/>
                <w:color w:val="auto"/>
              </w:rPr>
            </w:pP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590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512</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429</w:t>
            </w:r>
          </w:p>
        </w:tc>
        <w:tc>
          <w:tcPr>
            <w:tcW w:w="18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w:t>
            </w: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488</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429</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Maryland</w:t>
            </w:r>
          </w:p>
        </w:tc>
        <w:tc>
          <w:tcPr>
            <w:tcW w:w="780" w:type="dxa"/>
            <w:vAlign w:val="bottom"/>
          </w:tcPr>
          <w:p>
            <w:pPr>
              <w:jc w:val="right"/>
              <w:spacing w:after="0"/>
              <w:rPr>
                <w:sz w:val="20"/>
                <w:szCs w:val="20"/>
                <w:color w:val="auto"/>
              </w:rPr>
            </w:pPr>
            <w:r>
              <w:rPr>
                <w:rFonts w:ascii="Arial" w:cs="Arial" w:eastAsia="Arial" w:hAnsi="Arial"/>
                <w:sz w:val="18"/>
                <w:szCs w:val="18"/>
                <w:color w:val="auto"/>
              </w:rPr>
              <w:t>58</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483</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42</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556</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120</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528</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624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716</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904</w:t>
            </w:r>
          </w:p>
        </w:tc>
        <w:tc>
          <w:tcPr>
            <w:tcW w:w="18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w:t>
            </w: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714</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847</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Arizona</w:t>
            </w:r>
          </w:p>
        </w:tc>
        <w:tc>
          <w:tcPr>
            <w:tcW w:w="780" w:type="dxa"/>
            <w:vAlign w:val="bottom"/>
          </w:tcPr>
          <w:p>
            <w:pPr>
              <w:jc w:val="right"/>
              <w:spacing w:after="0"/>
              <w:rPr>
                <w:sz w:val="20"/>
                <w:szCs w:val="20"/>
                <w:color w:val="auto"/>
              </w:rPr>
            </w:pPr>
            <w:r>
              <w:rPr>
                <w:rFonts w:ascii="Arial" w:cs="Arial" w:eastAsia="Arial" w:hAnsi="Arial"/>
                <w:sz w:val="18"/>
                <w:szCs w:val="18"/>
                <w:color w:val="auto"/>
              </w:rPr>
              <w:t>131</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386</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94</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397</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307</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380</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286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376</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361</w:t>
            </w:r>
          </w:p>
        </w:tc>
        <w:tc>
          <w:tcPr>
            <w:tcW w:w="22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20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348</w:t>
            </w:r>
          </w:p>
        </w:tc>
        <w:tc>
          <w:tcPr>
            <w:tcW w:w="18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w:t>
            </w:r>
          </w:p>
        </w:tc>
        <w:tc>
          <w:tcPr>
            <w:tcW w:w="1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6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368</w:t>
            </w:r>
          </w:p>
        </w:tc>
        <w:tc>
          <w:tcPr>
            <w:tcW w:w="2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168</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354</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tcPr>
          <w:p>
            <w:pPr>
              <w:ind w:left="260"/>
              <w:spacing w:after="0"/>
              <w:rPr>
                <w:sz w:val="20"/>
                <w:szCs w:val="20"/>
                <w:color w:val="auto"/>
              </w:rPr>
            </w:pPr>
            <w:r>
              <w:rPr>
                <w:rFonts w:ascii="Arial" w:cs="Arial" w:eastAsia="Arial" w:hAnsi="Arial"/>
                <w:sz w:val="18"/>
                <w:szCs w:val="18"/>
                <w:color w:val="auto"/>
              </w:rPr>
              <w:t>Texas</w:t>
            </w:r>
          </w:p>
        </w:tc>
        <w:tc>
          <w:tcPr>
            <w:tcW w:w="780" w:type="dxa"/>
            <w:vAlign w:val="bottom"/>
          </w:tcPr>
          <w:p>
            <w:pPr>
              <w:jc w:val="right"/>
              <w:spacing w:after="0"/>
              <w:rPr>
                <w:sz w:val="20"/>
                <w:szCs w:val="20"/>
                <w:color w:val="auto"/>
              </w:rPr>
            </w:pPr>
            <w:r>
              <w:rPr>
                <w:rFonts w:ascii="Arial" w:cs="Arial" w:eastAsia="Arial" w:hAnsi="Arial"/>
                <w:sz w:val="18"/>
                <w:szCs w:val="18"/>
                <w:color w:val="auto"/>
              </w:rPr>
              <w:t>163</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495</w:t>
            </w:r>
          </w:p>
        </w:tc>
        <w:tc>
          <w:tcPr>
            <w:tcW w:w="2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135</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516</w:t>
            </w: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394</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512</w:t>
            </w:r>
          </w:p>
        </w:tc>
        <w:tc>
          <w:tcPr>
            <w:tcW w:w="2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404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8"/>
                <w:szCs w:val="18"/>
                <w:color w:val="auto"/>
              </w:rPr>
              <w:t>492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8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117</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406</w:t>
            </w:r>
          </w:p>
        </w:tc>
        <w:tc>
          <w:tcPr>
            <w:tcW w:w="220" w:type="dxa"/>
            <w:vAlign w:val="bottom"/>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20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437</w:t>
            </w:r>
          </w:p>
        </w:tc>
        <w:tc>
          <w:tcPr>
            <w:tcW w:w="180" w:type="dxa"/>
            <w:vAlign w:val="bottom"/>
            <w:shd w:val="clear" w:color="auto" w:fill="CFF0FC"/>
          </w:tcPr>
          <w:p>
            <w:pPr>
              <w:spacing w:after="0"/>
              <w:rPr>
                <w:sz w:val="19"/>
                <w:szCs w:val="19"/>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297</w:t>
            </w:r>
          </w:p>
        </w:tc>
        <w:tc>
          <w:tcPr>
            <w:tcW w:w="1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426</w:t>
            </w:r>
          </w:p>
        </w:tc>
        <w:tc>
          <w:tcPr>
            <w:tcW w:w="200" w:type="dxa"/>
            <w:vAlign w:val="bottom"/>
            <w:shd w:val="clear" w:color="auto" w:fill="CFF0FC"/>
          </w:tcPr>
          <w:p>
            <w:pPr>
              <w:spacing w:after="0"/>
              <w:rPr>
                <w:sz w:val="19"/>
                <w:szCs w:val="19"/>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219</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60" w:type="dxa"/>
            <w:vAlign w:val="bottom"/>
            <w:tcBorders>
              <w:bottom w:val="single" w:sz="8" w:color="auto"/>
            </w:tcBorders>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405</w:t>
            </w:r>
          </w:p>
        </w:tc>
        <w:tc>
          <w:tcPr>
            <w:tcW w:w="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3880" w:type="dxa"/>
            <w:vAlign w:val="bottom"/>
          </w:tcPr>
          <w:p>
            <w:pPr>
              <w:spacing w:after="0"/>
              <w:rPr>
                <w:sz w:val="20"/>
                <w:szCs w:val="20"/>
                <w:color w:val="auto"/>
              </w:rPr>
            </w:pPr>
            <w:r>
              <w:rPr>
                <w:rFonts w:ascii="Arial" w:cs="Arial" w:eastAsia="Arial" w:hAnsi="Arial"/>
                <w:sz w:val="18"/>
                <w:szCs w:val="18"/>
                <w:color w:val="auto"/>
              </w:rPr>
              <w:t>Total</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1,138</w:t>
            </w:r>
          </w:p>
        </w:tc>
        <w:tc>
          <w:tcPr>
            <w:tcW w:w="2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564</w:t>
            </w:r>
          </w:p>
        </w:tc>
        <w:tc>
          <w:tcPr>
            <w:tcW w:w="22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842</w:t>
            </w:r>
          </w:p>
        </w:tc>
        <w:tc>
          <w:tcPr>
            <w:tcW w:w="2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560</w:t>
            </w:r>
          </w:p>
        </w:tc>
        <w:tc>
          <w:tcPr>
            <w:tcW w:w="180" w:type="dxa"/>
            <w:vAlign w:val="bottom"/>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2,604</w:t>
            </w:r>
          </w:p>
        </w:tc>
        <w:tc>
          <w:tcPr>
            <w:tcW w:w="1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554</w:t>
            </w:r>
          </w:p>
        </w:tc>
        <w:tc>
          <w:tcPr>
            <w:tcW w:w="200" w:type="dxa"/>
            <w:vAlign w:val="bottom"/>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1,978</w:t>
            </w:r>
          </w:p>
        </w:tc>
        <w:tc>
          <w:tcPr>
            <w:tcW w:w="2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3160" w:type="dxa"/>
            <w:vAlign w:val="bottom"/>
            <w:gridSpan w:val="7"/>
          </w:tcPr>
          <w:p>
            <w:pPr>
              <w:ind w:left="40"/>
              <w:spacing w:after="0"/>
              <w:rPr>
                <w:sz w:val="20"/>
                <w:szCs w:val="20"/>
                <w:color w:val="auto"/>
              </w:rPr>
            </w:pPr>
            <w:r>
              <w:rPr>
                <w:rFonts w:ascii="Arial" w:cs="Arial" w:eastAsia="Arial" w:hAnsi="Arial"/>
                <w:sz w:val="14"/>
                <w:szCs w:val="14"/>
                <w:b w:val="1"/>
                <w:bCs w:val="1"/>
                <w:color w:val="auto"/>
              </w:rPr>
              <w:t>Three Months Ended September 30,</w:t>
            </w:r>
          </w:p>
        </w:tc>
        <w:tc>
          <w:tcPr>
            <w:tcW w:w="680" w:type="dxa"/>
            <w:vAlign w:val="bottom"/>
          </w:tcPr>
          <w:p>
            <w:pPr>
              <w:spacing w:after="0"/>
              <w:rPr>
                <w:sz w:val="14"/>
                <w:szCs w:val="14"/>
                <w:color w:val="auto"/>
              </w:rPr>
            </w:pPr>
          </w:p>
        </w:tc>
        <w:tc>
          <w:tcPr>
            <w:tcW w:w="3120" w:type="dxa"/>
            <w:vAlign w:val="bottom"/>
            <w:gridSpan w:val="7"/>
          </w:tcPr>
          <w:p>
            <w:pPr>
              <w:ind w:left="100"/>
              <w:spacing w:after="0"/>
              <w:rPr>
                <w:sz w:val="20"/>
                <w:szCs w:val="20"/>
                <w:color w:val="auto"/>
              </w:rPr>
            </w:pPr>
            <w:r>
              <w:rPr>
                <w:rFonts w:ascii="Arial" w:cs="Arial" w:eastAsia="Arial" w:hAnsi="Arial"/>
                <w:sz w:val="14"/>
                <w:szCs w:val="14"/>
                <w:b w:val="1"/>
                <w:bCs w:val="1"/>
                <w:color w:val="auto"/>
              </w:rPr>
              <w:t>Nine Months Ended September 30,</w:t>
            </w:r>
          </w:p>
        </w:tc>
      </w:tr>
      <w:tr>
        <w:trPr>
          <w:trHeight w:val="223"/>
        </w:trPr>
        <w:tc>
          <w:tcPr>
            <w:tcW w:w="3780" w:type="dxa"/>
            <w:vAlign w:val="bottom"/>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2014</w:t>
            </w:r>
          </w:p>
        </w:tc>
        <w:tc>
          <w:tcPr>
            <w:tcW w:w="140" w:type="dxa"/>
            <w:vAlign w:val="bottom"/>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2014</w:t>
            </w:r>
          </w:p>
        </w:tc>
        <w:tc>
          <w:tcPr>
            <w:tcW w:w="80" w:type="dxa"/>
            <w:vAlign w:val="bottom"/>
          </w:tcPr>
          <w:p>
            <w:pPr>
              <w:spacing w:after="0"/>
              <w:rPr>
                <w:sz w:val="19"/>
                <w:szCs w:val="19"/>
                <w:color w:val="auto"/>
              </w:rPr>
            </w:pPr>
          </w:p>
        </w:tc>
      </w:tr>
      <w:tr>
        <w:trPr>
          <w:trHeight w:val="238"/>
        </w:trPr>
        <w:tc>
          <w:tcPr>
            <w:tcW w:w="3780" w:type="dxa"/>
            <w:vAlign w:val="bottom"/>
          </w:tcPr>
          <w:p>
            <w:pPr>
              <w:spacing w:after="0"/>
              <w:rPr>
                <w:sz w:val="20"/>
                <w:szCs w:val="20"/>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0"/>
              </w:rPr>
              <w:t>New</w:t>
            </w:r>
          </w:p>
        </w:tc>
        <w:tc>
          <w:tcPr>
            <w:tcW w:w="120" w:type="dxa"/>
            <w:vAlign w:val="bottom"/>
          </w:tcPr>
          <w:p>
            <w:pPr>
              <w:spacing w:after="0"/>
              <w:rPr>
                <w:sz w:val="20"/>
                <w:szCs w:val="20"/>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Average</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7"/>
              </w:rPr>
              <w:t>New</w:t>
            </w:r>
          </w:p>
        </w:tc>
        <w:tc>
          <w:tcPr>
            <w:tcW w:w="140" w:type="dxa"/>
            <w:vAlign w:val="bottom"/>
          </w:tcPr>
          <w:p>
            <w:pPr>
              <w:spacing w:after="0"/>
              <w:rPr>
                <w:sz w:val="20"/>
                <w:szCs w:val="20"/>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Average</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0"/>
              </w:rPr>
              <w:t>New</w:t>
            </w:r>
          </w:p>
        </w:tc>
        <w:tc>
          <w:tcPr>
            <w:tcW w:w="140" w:type="dxa"/>
            <w:vAlign w:val="bottom"/>
          </w:tcPr>
          <w:p>
            <w:pPr>
              <w:spacing w:after="0"/>
              <w:rPr>
                <w:sz w:val="20"/>
                <w:szCs w:val="20"/>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Average</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7"/>
              </w:rPr>
              <w:t>New</w:t>
            </w:r>
          </w:p>
        </w:tc>
        <w:tc>
          <w:tcPr>
            <w:tcW w:w="120" w:type="dxa"/>
            <w:vAlign w:val="bottom"/>
          </w:tcPr>
          <w:p>
            <w:pPr>
              <w:spacing w:after="0"/>
              <w:rPr>
                <w:sz w:val="20"/>
                <w:szCs w:val="20"/>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780" w:type="dxa"/>
            <w:vAlign w:val="bottom"/>
          </w:tcPr>
          <w:p>
            <w:pPr>
              <w:spacing w:after="0"/>
              <w:rPr>
                <w:sz w:val="19"/>
                <w:szCs w:val="19"/>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7"/>
              </w:rPr>
              <w:t>Home</w:t>
            </w:r>
          </w:p>
        </w:tc>
        <w:tc>
          <w:tcPr>
            <w:tcW w:w="120" w:type="dxa"/>
            <w:vAlign w:val="bottom"/>
          </w:tcPr>
          <w:p>
            <w:pPr>
              <w:spacing w:after="0"/>
              <w:rPr>
                <w:sz w:val="19"/>
                <w:szCs w:val="19"/>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Selling</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2"/>
              </w:rPr>
              <w:t>Home</w:t>
            </w:r>
          </w:p>
        </w:tc>
        <w:tc>
          <w:tcPr>
            <w:tcW w:w="140" w:type="dxa"/>
            <w:vAlign w:val="bottom"/>
          </w:tcPr>
          <w:p>
            <w:pPr>
              <w:spacing w:after="0"/>
              <w:rPr>
                <w:sz w:val="19"/>
                <w:szCs w:val="19"/>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Selling</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9"/>
                <w:szCs w:val="19"/>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Selling</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2"/>
              </w:rPr>
              <w:t>Home</w:t>
            </w:r>
          </w:p>
        </w:tc>
        <w:tc>
          <w:tcPr>
            <w:tcW w:w="120" w:type="dxa"/>
            <w:vAlign w:val="bottom"/>
          </w:tcPr>
          <w:p>
            <w:pPr>
              <w:spacing w:after="0"/>
              <w:rPr>
                <w:sz w:val="19"/>
                <w:szCs w:val="19"/>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7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20" w:type="dxa"/>
            <w:vAlign w:val="bottom"/>
          </w:tcPr>
          <w:p>
            <w:pPr>
              <w:spacing w:after="0"/>
              <w:rPr>
                <w:sz w:val="18"/>
                <w:szCs w:val="18"/>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Communities</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40" w:type="dxa"/>
            <w:vAlign w:val="bottom"/>
          </w:tcPr>
          <w:p>
            <w:pPr>
              <w:spacing w:after="0"/>
              <w:rPr>
                <w:sz w:val="18"/>
                <w:szCs w:val="18"/>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Communities</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40" w:type="dxa"/>
            <w:vAlign w:val="bottom"/>
          </w:tcPr>
          <w:p>
            <w:pPr>
              <w:spacing w:after="0"/>
              <w:rPr>
                <w:sz w:val="18"/>
                <w:szCs w:val="18"/>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Communities</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20" w:type="dxa"/>
            <w:vAlign w:val="bottom"/>
          </w:tcPr>
          <w:p>
            <w:pPr>
              <w:spacing w:after="0"/>
              <w:rPr>
                <w:sz w:val="18"/>
                <w:szCs w:val="18"/>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Communities</w:t>
            </w:r>
          </w:p>
        </w:tc>
      </w:tr>
      <w:tr>
        <w:trPr>
          <w:trHeight w:val="223"/>
        </w:trPr>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New Home Orders:</w:t>
            </w:r>
          </w:p>
        </w:tc>
        <w:tc>
          <w:tcPr>
            <w:tcW w:w="6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680" w:type="dxa"/>
            <w:vAlign w:val="bottom"/>
          </w:tcPr>
          <w:p>
            <w:pPr>
              <w:jc w:val="right"/>
              <w:spacing w:after="0"/>
              <w:rPr>
                <w:sz w:val="20"/>
                <w:szCs w:val="20"/>
                <w:color w:val="auto"/>
              </w:rPr>
            </w:pPr>
            <w:r>
              <w:rPr>
                <w:rFonts w:ascii="Arial" w:cs="Arial" w:eastAsia="Arial" w:hAnsi="Arial"/>
                <w:sz w:val="18"/>
                <w:szCs w:val="18"/>
                <w:color w:val="auto"/>
              </w:rPr>
              <w:t>150</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495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313</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16.4</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291</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25.0</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21.3</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954</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22.8</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20.3</w:t>
            </w:r>
          </w:p>
        </w:tc>
        <w:tc>
          <w:tcPr>
            <w:tcW w:w="8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680" w:type="dxa"/>
            <w:vAlign w:val="bottom"/>
          </w:tcPr>
          <w:p>
            <w:pPr>
              <w:jc w:val="right"/>
              <w:spacing w:after="0"/>
              <w:rPr>
                <w:sz w:val="20"/>
                <w:szCs w:val="20"/>
                <w:color w:val="auto"/>
              </w:rPr>
            </w:pPr>
            <w:r>
              <w:rPr>
                <w:rFonts w:ascii="Arial" w:cs="Arial" w:eastAsia="Arial" w:hAnsi="Arial"/>
                <w:sz w:val="18"/>
                <w:szCs w:val="18"/>
                <w:color w:val="auto"/>
              </w:rPr>
              <w:t>87</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11.8</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82</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12.3</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353</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10.8</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286</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12.8</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125</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25.0</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127</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24.8</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381</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26.0</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436</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23.5</w:t>
            </w:r>
          </w:p>
        </w:tc>
        <w:tc>
          <w:tcPr>
            <w:tcW w:w="8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680" w:type="dxa"/>
            <w:vAlign w:val="bottom"/>
          </w:tcPr>
          <w:p>
            <w:pPr>
              <w:jc w:val="right"/>
              <w:spacing w:after="0"/>
              <w:rPr>
                <w:sz w:val="20"/>
                <w:szCs w:val="20"/>
                <w:color w:val="auto"/>
              </w:rPr>
            </w:pPr>
            <w:r>
              <w:rPr>
                <w:rFonts w:ascii="Arial" w:cs="Arial" w:eastAsia="Arial" w:hAnsi="Arial"/>
                <w:sz w:val="18"/>
                <w:szCs w:val="18"/>
                <w:color w:val="auto"/>
              </w:rPr>
              <w:t>234</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28.3</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152</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16.0</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935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27.0</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152</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6.4</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13.5</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15.3</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310</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13.5</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253</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19.1</w:t>
            </w:r>
          </w:p>
        </w:tc>
        <w:tc>
          <w:tcPr>
            <w:tcW w:w="80" w:type="dxa"/>
            <w:vAlign w:val="bottom"/>
            <w:shd w:val="clear" w:color="auto" w:fill="CFF0FC"/>
          </w:tcPr>
          <w:p>
            <w:pPr>
              <w:spacing w:after="0"/>
              <w:rPr>
                <w:sz w:val="19"/>
                <w:szCs w:val="19"/>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Total</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996</w:t>
            </w:r>
          </w:p>
        </w:tc>
        <w:tc>
          <w:tcPr>
            <w:tcW w:w="1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120.8</w:t>
            </w:r>
          </w:p>
        </w:tc>
        <w:tc>
          <w:tcPr>
            <w:tcW w:w="14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803</w:t>
            </w:r>
          </w:p>
        </w:tc>
        <w:tc>
          <w:tcPr>
            <w:tcW w:w="14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107.0</w:t>
            </w:r>
          </w:p>
        </w:tc>
        <w:tc>
          <w:tcPr>
            <w:tcW w:w="14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3,428</w:t>
            </w:r>
          </w:p>
        </w:tc>
        <w:tc>
          <w:tcPr>
            <w:tcW w:w="14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117.4</w:t>
            </w:r>
          </w:p>
        </w:tc>
        <w:tc>
          <w:tcPr>
            <w:tcW w:w="14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2,233</w:t>
            </w:r>
          </w:p>
        </w:tc>
        <w:tc>
          <w:tcPr>
            <w:tcW w:w="1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98.5</w:t>
            </w:r>
          </w:p>
        </w:tc>
        <w:tc>
          <w:tcPr>
            <w:tcW w:w="80" w:type="dxa"/>
            <w:vAlign w:val="bottom"/>
          </w:tcPr>
          <w:p>
            <w:pPr>
              <w:spacing w:after="0"/>
              <w:rPr>
                <w:sz w:val="19"/>
                <w:szCs w:val="19"/>
                <w:color w:val="auto"/>
              </w:rPr>
            </w:pPr>
          </w:p>
        </w:tc>
      </w:tr>
      <w:tr>
        <w:trPr>
          <w:trHeight w:val="20"/>
        </w:trPr>
        <w:tc>
          <w:tcPr>
            <w:tcW w:w="37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669"/>
        </w:trPr>
        <w:tc>
          <w:tcPr>
            <w:tcW w:w="37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160" w:type="dxa"/>
            <w:vAlign w:val="bottom"/>
            <w:gridSpan w:val="7"/>
          </w:tcPr>
          <w:p>
            <w:pPr>
              <w:ind w:left="40"/>
              <w:spacing w:after="0"/>
              <w:rPr>
                <w:sz w:val="20"/>
                <w:szCs w:val="20"/>
                <w:color w:val="auto"/>
              </w:rPr>
            </w:pPr>
            <w:r>
              <w:rPr>
                <w:rFonts w:ascii="Arial" w:cs="Arial" w:eastAsia="Arial" w:hAnsi="Arial"/>
                <w:sz w:val="14"/>
                <w:szCs w:val="14"/>
                <w:b w:val="1"/>
                <w:bCs w:val="1"/>
                <w:color w:val="auto"/>
              </w:rPr>
              <w:t>Three Months Ended September 30,</w:t>
            </w:r>
          </w:p>
        </w:tc>
        <w:tc>
          <w:tcPr>
            <w:tcW w:w="680" w:type="dxa"/>
            <w:vAlign w:val="bottom"/>
          </w:tcPr>
          <w:p>
            <w:pPr>
              <w:spacing w:after="0"/>
              <w:rPr>
                <w:sz w:val="24"/>
                <w:szCs w:val="24"/>
                <w:color w:val="auto"/>
              </w:rPr>
            </w:pPr>
          </w:p>
        </w:tc>
        <w:tc>
          <w:tcPr>
            <w:tcW w:w="3120" w:type="dxa"/>
            <w:vAlign w:val="bottom"/>
            <w:gridSpan w:val="7"/>
          </w:tcPr>
          <w:p>
            <w:pPr>
              <w:ind w:left="100"/>
              <w:spacing w:after="0"/>
              <w:rPr>
                <w:sz w:val="20"/>
                <w:szCs w:val="20"/>
                <w:color w:val="auto"/>
              </w:rPr>
            </w:pPr>
            <w:r>
              <w:rPr>
                <w:rFonts w:ascii="Arial" w:cs="Arial" w:eastAsia="Arial" w:hAnsi="Arial"/>
                <w:sz w:val="14"/>
                <w:szCs w:val="14"/>
                <w:b w:val="1"/>
                <w:bCs w:val="1"/>
                <w:color w:val="auto"/>
              </w:rPr>
              <w:t>Nine Months Ended September 30,</w:t>
            </w:r>
          </w:p>
        </w:tc>
      </w:tr>
      <w:tr>
        <w:trPr>
          <w:trHeight w:val="223"/>
        </w:trPr>
        <w:tc>
          <w:tcPr>
            <w:tcW w:w="3780" w:type="dxa"/>
            <w:vAlign w:val="bottom"/>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2014</w:t>
            </w:r>
          </w:p>
        </w:tc>
        <w:tc>
          <w:tcPr>
            <w:tcW w:w="140" w:type="dxa"/>
            <w:vAlign w:val="bottom"/>
          </w:tcPr>
          <w:p>
            <w:pPr>
              <w:spacing w:after="0"/>
              <w:rPr>
                <w:sz w:val="19"/>
                <w:szCs w:val="19"/>
                <w:color w:val="auto"/>
              </w:rPr>
            </w:pPr>
          </w:p>
        </w:tc>
        <w:tc>
          <w:tcPr>
            <w:tcW w:w="6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2015</w:t>
            </w: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ind w:right="684"/>
              <w:spacing w:after="0"/>
              <w:rPr>
                <w:sz w:val="20"/>
                <w:szCs w:val="20"/>
                <w:color w:val="auto"/>
              </w:rPr>
            </w:pPr>
            <w:r>
              <w:rPr>
                <w:rFonts w:ascii="Arial" w:cs="Arial" w:eastAsia="Arial" w:hAnsi="Arial"/>
                <w:sz w:val="14"/>
                <w:szCs w:val="14"/>
                <w:b w:val="1"/>
                <w:bCs w:val="1"/>
                <w:color w:val="auto"/>
              </w:rPr>
              <w:t>2014</w:t>
            </w:r>
          </w:p>
        </w:tc>
        <w:tc>
          <w:tcPr>
            <w:tcW w:w="80" w:type="dxa"/>
            <w:vAlign w:val="bottom"/>
          </w:tcPr>
          <w:p>
            <w:pPr>
              <w:spacing w:after="0"/>
              <w:rPr>
                <w:sz w:val="19"/>
                <w:szCs w:val="19"/>
                <w:color w:val="auto"/>
              </w:rPr>
            </w:pPr>
          </w:p>
        </w:tc>
      </w:tr>
      <w:tr>
        <w:trPr>
          <w:trHeight w:val="238"/>
        </w:trPr>
        <w:tc>
          <w:tcPr>
            <w:tcW w:w="3780" w:type="dxa"/>
            <w:vAlign w:val="bottom"/>
          </w:tcPr>
          <w:p>
            <w:pPr>
              <w:spacing w:after="0"/>
              <w:rPr>
                <w:sz w:val="20"/>
                <w:szCs w:val="20"/>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0"/>
              </w:rPr>
              <w:t>New</w:t>
            </w:r>
          </w:p>
        </w:tc>
        <w:tc>
          <w:tcPr>
            <w:tcW w:w="120" w:type="dxa"/>
            <w:vAlign w:val="bottom"/>
          </w:tcPr>
          <w:p>
            <w:pPr>
              <w:spacing w:after="0"/>
              <w:rPr>
                <w:sz w:val="20"/>
                <w:szCs w:val="20"/>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Average</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7"/>
              </w:rPr>
              <w:t>New</w:t>
            </w:r>
          </w:p>
        </w:tc>
        <w:tc>
          <w:tcPr>
            <w:tcW w:w="140" w:type="dxa"/>
            <w:vAlign w:val="bottom"/>
          </w:tcPr>
          <w:p>
            <w:pPr>
              <w:spacing w:after="0"/>
              <w:rPr>
                <w:sz w:val="20"/>
                <w:szCs w:val="20"/>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Average</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0"/>
              </w:rPr>
              <w:t>New</w:t>
            </w:r>
          </w:p>
        </w:tc>
        <w:tc>
          <w:tcPr>
            <w:tcW w:w="140" w:type="dxa"/>
            <w:vAlign w:val="bottom"/>
          </w:tcPr>
          <w:p>
            <w:pPr>
              <w:spacing w:after="0"/>
              <w:rPr>
                <w:sz w:val="20"/>
                <w:szCs w:val="20"/>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0"/>
              </w:rPr>
              <w:t>Average</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7"/>
              </w:rPr>
              <w:t>New</w:t>
            </w:r>
          </w:p>
        </w:tc>
        <w:tc>
          <w:tcPr>
            <w:tcW w:w="120" w:type="dxa"/>
            <w:vAlign w:val="bottom"/>
          </w:tcPr>
          <w:p>
            <w:pPr>
              <w:spacing w:after="0"/>
              <w:rPr>
                <w:sz w:val="20"/>
                <w:szCs w:val="20"/>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780" w:type="dxa"/>
            <w:vAlign w:val="bottom"/>
          </w:tcPr>
          <w:p>
            <w:pPr>
              <w:spacing w:after="0"/>
              <w:rPr>
                <w:sz w:val="19"/>
                <w:szCs w:val="19"/>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7"/>
              </w:rPr>
              <w:t>Home</w:t>
            </w:r>
          </w:p>
        </w:tc>
        <w:tc>
          <w:tcPr>
            <w:tcW w:w="120" w:type="dxa"/>
            <w:vAlign w:val="bottom"/>
          </w:tcPr>
          <w:p>
            <w:pPr>
              <w:spacing w:after="0"/>
              <w:rPr>
                <w:sz w:val="19"/>
                <w:szCs w:val="19"/>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Selling</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2"/>
              </w:rPr>
              <w:t>Home</w:t>
            </w:r>
          </w:p>
        </w:tc>
        <w:tc>
          <w:tcPr>
            <w:tcW w:w="140" w:type="dxa"/>
            <w:vAlign w:val="bottom"/>
          </w:tcPr>
          <w:p>
            <w:pPr>
              <w:spacing w:after="0"/>
              <w:rPr>
                <w:sz w:val="19"/>
                <w:szCs w:val="19"/>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1"/>
              </w:rPr>
              <w:t>Selling</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9"/>
                <w:szCs w:val="19"/>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Selling</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2"/>
              </w:rPr>
              <w:t>Home</w:t>
            </w:r>
          </w:p>
        </w:tc>
        <w:tc>
          <w:tcPr>
            <w:tcW w:w="120" w:type="dxa"/>
            <w:vAlign w:val="bottom"/>
          </w:tcPr>
          <w:p>
            <w:pPr>
              <w:spacing w:after="0"/>
              <w:rPr>
                <w:sz w:val="19"/>
                <w:szCs w:val="19"/>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7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20" w:type="dxa"/>
            <w:vAlign w:val="bottom"/>
          </w:tcPr>
          <w:p>
            <w:pPr>
              <w:spacing w:after="0"/>
              <w:rPr>
                <w:sz w:val="18"/>
                <w:szCs w:val="18"/>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Communities</w:t>
            </w:r>
          </w:p>
        </w:tc>
        <w:tc>
          <w:tcPr>
            <w:tcW w:w="66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40" w:type="dxa"/>
            <w:vAlign w:val="bottom"/>
          </w:tcPr>
          <w:p>
            <w:pPr>
              <w:spacing w:after="0"/>
              <w:rPr>
                <w:sz w:val="18"/>
                <w:szCs w:val="18"/>
                <w:color w:val="auto"/>
              </w:rPr>
            </w:pPr>
          </w:p>
        </w:tc>
        <w:tc>
          <w:tcPr>
            <w:tcW w:w="11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Communities</w:t>
            </w: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40" w:type="dxa"/>
            <w:vAlign w:val="bottom"/>
          </w:tcPr>
          <w:p>
            <w:pPr>
              <w:spacing w:after="0"/>
              <w:rPr>
                <w:sz w:val="18"/>
                <w:szCs w:val="18"/>
                <w:color w:val="auto"/>
              </w:rPr>
            </w:pPr>
          </w:p>
        </w:tc>
        <w:tc>
          <w:tcPr>
            <w:tcW w:w="11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2"/>
              </w:rPr>
              <w:t>Communities</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95"/>
              </w:rPr>
              <w:t>Orders</w:t>
            </w:r>
          </w:p>
        </w:tc>
        <w:tc>
          <w:tcPr>
            <w:tcW w:w="120" w:type="dxa"/>
            <w:vAlign w:val="bottom"/>
          </w:tcPr>
          <w:p>
            <w:pPr>
              <w:spacing w:after="0"/>
              <w:rPr>
                <w:sz w:val="18"/>
                <w:szCs w:val="18"/>
                <w:color w:val="auto"/>
              </w:rPr>
            </w:pPr>
          </w:p>
        </w:tc>
        <w:tc>
          <w:tcPr>
            <w:tcW w:w="106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2"/>
              </w:rPr>
              <w:t>Communities</w:t>
            </w:r>
          </w:p>
        </w:tc>
      </w:tr>
      <w:tr>
        <w:trPr>
          <w:trHeight w:val="223"/>
        </w:trPr>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New Home Orders:</w:t>
            </w:r>
          </w:p>
        </w:tc>
        <w:tc>
          <w:tcPr>
            <w:tcW w:w="6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98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680" w:type="dxa"/>
            <w:vAlign w:val="bottom"/>
          </w:tcPr>
          <w:p>
            <w:pPr>
              <w:jc w:val="right"/>
              <w:spacing w:after="0"/>
              <w:rPr>
                <w:sz w:val="20"/>
                <w:szCs w:val="20"/>
                <w:color w:val="auto"/>
              </w:rPr>
            </w:pPr>
            <w:r>
              <w:rPr>
                <w:rFonts w:ascii="Arial" w:cs="Arial" w:eastAsia="Arial" w:hAnsi="Arial"/>
                <w:sz w:val="18"/>
                <w:szCs w:val="18"/>
                <w:color w:val="auto"/>
              </w:rPr>
              <w:t>392</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35.5</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292</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1,421</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33.2</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686</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18.3</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6.0</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3.0</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168</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6.4</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w:t>
            </w:r>
          </w:p>
        </w:tc>
        <w:tc>
          <w:tcPr>
            <w:tcW w:w="8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Maryland</w:t>
            </w:r>
          </w:p>
        </w:tc>
        <w:tc>
          <w:tcPr>
            <w:tcW w:w="680" w:type="dxa"/>
            <w:vAlign w:val="bottom"/>
          </w:tcPr>
          <w:p>
            <w:pPr>
              <w:jc w:val="right"/>
              <w:spacing w:after="0"/>
              <w:rPr>
                <w:sz w:val="20"/>
                <w:szCs w:val="20"/>
                <w:color w:val="auto"/>
              </w:rPr>
            </w:pPr>
            <w:r>
              <w:rPr>
                <w:rFonts w:ascii="Arial" w:cs="Arial" w:eastAsia="Arial" w:hAnsi="Arial"/>
                <w:sz w:val="18"/>
                <w:szCs w:val="18"/>
                <w:color w:val="auto"/>
              </w:rPr>
              <w:t>71</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6.0</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6.3</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5.8</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117</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7.5</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145</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7.7</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136</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10.9</w:t>
            </w:r>
          </w:p>
        </w:tc>
        <w:tc>
          <w:tcPr>
            <w:tcW w:w="8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Arizona</w:t>
            </w:r>
          </w:p>
        </w:tc>
        <w:tc>
          <w:tcPr>
            <w:tcW w:w="680" w:type="dxa"/>
            <w:vAlign w:val="bottom"/>
          </w:tcPr>
          <w:p>
            <w:pPr>
              <w:jc w:val="right"/>
              <w:spacing w:after="0"/>
              <w:rPr>
                <w:sz w:val="20"/>
                <w:szCs w:val="20"/>
                <w:color w:val="auto"/>
              </w:rPr>
            </w:pPr>
            <w:r>
              <w:rPr>
                <w:rFonts w:ascii="Arial" w:cs="Arial" w:eastAsia="Arial" w:hAnsi="Arial"/>
                <w:sz w:val="18"/>
                <w:szCs w:val="18"/>
                <w:color w:val="auto"/>
              </w:rPr>
              <w:t>150</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17.2</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88</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495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17.3</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313</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16.4</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11.8</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8.0</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10.2</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7.2</w:t>
            </w:r>
          </w:p>
        </w:tc>
        <w:tc>
          <w:tcPr>
            <w:tcW w:w="8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Texas</w:t>
            </w:r>
          </w:p>
        </w:tc>
        <w:tc>
          <w:tcPr>
            <w:tcW w:w="680" w:type="dxa"/>
            <w:vAlign w:val="bottom"/>
          </w:tcPr>
          <w:p>
            <w:pPr>
              <w:jc w:val="right"/>
              <w:spacing w:after="0"/>
              <w:rPr>
                <w:sz w:val="20"/>
                <w:szCs w:val="20"/>
                <w:color w:val="auto"/>
              </w:rPr>
            </w:pPr>
            <w:r>
              <w:rPr>
                <w:rFonts w:ascii="Arial" w:cs="Arial" w:eastAsia="Arial" w:hAnsi="Arial"/>
                <w:sz w:val="18"/>
                <w:szCs w:val="18"/>
                <w:color w:val="auto"/>
              </w:rPr>
              <w:t>125</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25.0</w:t>
            </w:r>
          </w:p>
        </w:tc>
        <w:tc>
          <w:tcPr>
            <w:tcW w:w="1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127</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24.8</w:t>
            </w:r>
          </w:p>
        </w:tc>
        <w:tc>
          <w:tcPr>
            <w:tcW w:w="1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381</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26.0</w:t>
            </w:r>
          </w:p>
        </w:tc>
        <w:tc>
          <w:tcPr>
            <w:tcW w:w="1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436</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23.5</w:t>
            </w:r>
          </w:p>
        </w:tc>
        <w:tc>
          <w:tcPr>
            <w:tcW w:w="8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11.8</w:t>
            </w:r>
          </w:p>
        </w:tc>
        <w:tc>
          <w:tcPr>
            <w:tcW w:w="14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w:t>
            </w:r>
          </w:p>
        </w:tc>
        <w:tc>
          <w:tcPr>
            <w:tcW w:w="11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12.3</w:t>
            </w:r>
          </w:p>
        </w:tc>
        <w:tc>
          <w:tcPr>
            <w:tcW w:w="14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353</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10.8</w:t>
            </w:r>
          </w:p>
        </w:tc>
        <w:tc>
          <w:tcPr>
            <w:tcW w:w="140" w:type="dxa"/>
            <w:vAlign w:val="bottom"/>
            <w:shd w:val="clear" w:color="auto" w:fill="CFF0FC"/>
          </w:tcPr>
          <w:p>
            <w:pPr>
              <w:spacing w:after="0"/>
              <w:rPr>
                <w:sz w:val="19"/>
                <w:szCs w:val="19"/>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286</w:t>
            </w:r>
          </w:p>
        </w:tc>
        <w:tc>
          <w:tcPr>
            <w:tcW w:w="11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12.8</w:t>
            </w:r>
          </w:p>
        </w:tc>
        <w:tc>
          <w:tcPr>
            <w:tcW w:w="80" w:type="dxa"/>
            <w:vAlign w:val="bottom"/>
            <w:shd w:val="clear" w:color="auto" w:fill="CFF0FC"/>
          </w:tcPr>
          <w:p>
            <w:pPr>
              <w:spacing w:after="0"/>
              <w:rPr>
                <w:sz w:val="19"/>
                <w:szCs w:val="19"/>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Total</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996</w:t>
            </w:r>
          </w:p>
        </w:tc>
        <w:tc>
          <w:tcPr>
            <w:tcW w:w="1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120.8</w:t>
            </w:r>
          </w:p>
        </w:tc>
        <w:tc>
          <w:tcPr>
            <w:tcW w:w="140" w:type="dxa"/>
            <w:vAlign w:val="bottom"/>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803</w:t>
            </w:r>
          </w:p>
        </w:tc>
        <w:tc>
          <w:tcPr>
            <w:tcW w:w="14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107.0</w:t>
            </w:r>
          </w:p>
        </w:tc>
        <w:tc>
          <w:tcPr>
            <w:tcW w:w="14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3,428</w:t>
            </w:r>
          </w:p>
        </w:tc>
        <w:tc>
          <w:tcPr>
            <w:tcW w:w="140" w:type="dxa"/>
            <w:vAlign w:val="bottom"/>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117.4</w:t>
            </w:r>
          </w:p>
        </w:tc>
        <w:tc>
          <w:tcPr>
            <w:tcW w:w="14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2,233</w:t>
            </w:r>
          </w:p>
        </w:tc>
        <w:tc>
          <w:tcPr>
            <w:tcW w:w="120" w:type="dxa"/>
            <w:vAlign w:val="bottom"/>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98.5</w:t>
            </w:r>
          </w:p>
        </w:tc>
        <w:tc>
          <w:tcPr>
            <w:tcW w:w="80" w:type="dxa"/>
            <w:vAlign w:val="bottom"/>
          </w:tcPr>
          <w:p>
            <w:pPr>
              <w:spacing w:after="0"/>
              <w:rPr>
                <w:sz w:val="19"/>
                <w:szCs w:val="19"/>
                <w:color w:val="auto"/>
              </w:rPr>
            </w:pPr>
          </w:p>
        </w:tc>
      </w:tr>
      <w:tr>
        <w:trPr>
          <w:trHeight w:val="20"/>
        </w:trPr>
        <w:tc>
          <w:tcPr>
            <w:tcW w:w="37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780" w:type="dxa"/>
            <w:vAlign w:val="bottom"/>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As of September 30, 2015</w:t>
            </w: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680" w:type="dxa"/>
            <w:vAlign w:val="bottom"/>
            <w:tcBorders>
              <w:bottom w:val="single" w:sz="8" w:color="auto"/>
            </w:tcBorders>
            <w:gridSpan w:val="5"/>
          </w:tcPr>
          <w:p>
            <w:pPr>
              <w:ind w:left="960"/>
              <w:spacing w:after="0"/>
              <w:rPr>
                <w:sz w:val="20"/>
                <w:szCs w:val="20"/>
                <w:color w:val="auto"/>
              </w:rPr>
            </w:pPr>
            <w:r>
              <w:rPr>
                <w:rFonts w:ascii="Arial" w:cs="Arial" w:eastAsia="Arial" w:hAnsi="Arial"/>
                <w:sz w:val="14"/>
                <w:szCs w:val="14"/>
                <w:b w:val="1"/>
                <w:bCs w:val="1"/>
                <w:color w:val="auto"/>
              </w:rPr>
              <w:t>As of September 30, 2014</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r>
      <w:tr>
        <w:trPr>
          <w:trHeight w:val="238"/>
        </w:trPr>
        <w:tc>
          <w:tcPr>
            <w:tcW w:w="37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8"/>
              </w:rPr>
              <w:t>Backlog</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1"/>
              </w:rPr>
              <w:t>Backlog</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78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rPr>
              <w:t>Dollar</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5"/>
              </w:rPr>
              <w:t>Dollar</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780" w:type="dxa"/>
            <w:vAlign w:val="bottom"/>
          </w:tcPr>
          <w:p>
            <w:pPr>
              <w:spacing w:after="0"/>
              <w:rPr>
                <w:sz w:val="18"/>
                <w:szCs w:val="18"/>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Value</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Price</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Value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Backlog:</w:t>
            </w:r>
          </w:p>
        </w:tc>
        <w:tc>
          <w:tcPr>
            <w:tcW w:w="11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293</w:t>
            </w:r>
          </w:p>
        </w:tc>
        <w:tc>
          <w:tcPr>
            <w:tcW w:w="4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118,164</w:t>
            </w:r>
          </w:p>
        </w:tc>
        <w:tc>
          <w:tcPr>
            <w:tcW w:w="200" w:type="dxa"/>
            <w:vAlign w:val="bottom"/>
          </w:tcPr>
          <w:p>
            <w:pPr>
              <w:spacing w:after="0"/>
              <w:rPr>
                <w:sz w:val="19"/>
                <w:szCs w:val="19"/>
                <w:color w:val="auto"/>
              </w:rPr>
            </w:pPr>
          </w:p>
        </w:tc>
        <w:tc>
          <w:tcPr>
            <w:tcW w:w="220" w:type="dxa"/>
            <w:vAlign w:val="bottom"/>
            <w:gridSpan w:val="2"/>
          </w:tcPr>
          <w:p>
            <w:pPr>
              <w:jc w:val="right"/>
              <w:ind w:right="45"/>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403</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c>
          <w:tcPr>
            <w:tcW w:w="4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57,202</w:t>
            </w:r>
          </w:p>
        </w:tc>
        <w:tc>
          <w:tcPr>
            <w:tcW w:w="220" w:type="dxa"/>
            <w:vAlign w:val="bottom"/>
          </w:tcPr>
          <w:p>
            <w:pPr>
              <w:spacing w:after="0"/>
              <w:rPr>
                <w:sz w:val="19"/>
                <w:szCs w:val="19"/>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400</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448</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296,477</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662</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415</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222,929</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537</w:t>
            </w:r>
          </w:p>
        </w:tc>
        <w:tc>
          <w:tcPr>
            <w:tcW w:w="6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169</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79,955</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473</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163</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78,317</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480</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205</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108,250</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528</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131,611</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518</w:t>
            </w:r>
          </w:p>
        </w:tc>
        <w:tc>
          <w:tcPr>
            <w:tcW w:w="6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567</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388,336</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685</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282</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240,872</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854</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174</w:t>
            </w:r>
          </w:p>
        </w:tc>
        <w:tc>
          <w:tcPr>
            <w:tcW w:w="2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118,685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682</w:t>
            </w:r>
          </w:p>
        </w:tc>
        <w:tc>
          <w:tcPr>
            <w:tcW w:w="22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183</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139,434</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762</w:t>
            </w:r>
          </w:p>
        </w:tc>
        <w:tc>
          <w:tcPr>
            <w:tcW w:w="60" w:type="dxa"/>
            <w:vAlign w:val="bottom"/>
            <w:shd w:val="clear" w:color="auto" w:fill="CFF0FC"/>
          </w:tcPr>
          <w:p>
            <w:pPr>
              <w:spacing w:after="0"/>
              <w:rPr>
                <w:sz w:val="19"/>
                <w:szCs w:val="19"/>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Total</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1,856</w:t>
            </w:r>
          </w:p>
        </w:tc>
        <w:tc>
          <w:tcPr>
            <w:tcW w:w="2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1,109,867</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598</w:t>
            </w:r>
          </w:p>
        </w:tc>
        <w:tc>
          <w:tcPr>
            <w:tcW w:w="22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1,440</w:t>
            </w:r>
          </w:p>
        </w:tc>
        <w:tc>
          <w:tcPr>
            <w:tcW w:w="2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870,365</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604</w:t>
            </w:r>
          </w:p>
        </w:tc>
        <w:tc>
          <w:tcPr>
            <w:tcW w:w="60" w:type="dxa"/>
            <w:vAlign w:val="bottom"/>
          </w:tcPr>
          <w:p>
            <w:pPr>
              <w:spacing w:after="0"/>
              <w:rPr>
                <w:sz w:val="19"/>
                <w:szCs w:val="19"/>
                <w:color w:val="auto"/>
              </w:rPr>
            </w:pPr>
          </w:p>
        </w:tc>
      </w:tr>
      <w:tr>
        <w:trPr>
          <w:trHeight w:val="20"/>
        </w:trPr>
        <w:tc>
          <w:tcPr>
            <w:tcW w:w="37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669"/>
        </w:trPr>
        <w:tc>
          <w:tcPr>
            <w:tcW w:w="3780" w:type="dxa"/>
            <w:vAlign w:val="bottom"/>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gridSpan w:val="4"/>
          </w:tcPr>
          <w:p>
            <w:pPr>
              <w:jc w:val="center"/>
              <w:ind w:right="20"/>
              <w:spacing w:after="0"/>
              <w:rPr>
                <w:sz w:val="20"/>
                <w:szCs w:val="20"/>
                <w:color w:val="auto"/>
              </w:rPr>
            </w:pPr>
            <w:r>
              <w:rPr>
                <w:rFonts w:ascii="Arial" w:cs="Arial" w:eastAsia="Arial" w:hAnsi="Arial"/>
                <w:sz w:val="14"/>
                <w:szCs w:val="14"/>
                <w:b w:val="1"/>
                <w:bCs w:val="1"/>
                <w:color w:val="auto"/>
                <w:w w:val="91"/>
              </w:rPr>
              <w:t>As of September 30, 2015</w:t>
            </w: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680" w:type="dxa"/>
            <w:vAlign w:val="bottom"/>
            <w:tcBorders>
              <w:bottom w:val="single" w:sz="8" w:color="auto"/>
            </w:tcBorders>
            <w:gridSpan w:val="5"/>
          </w:tcPr>
          <w:p>
            <w:pPr>
              <w:ind w:left="960"/>
              <w:spacing w:after="0"/>
              <w:rPr>
                <w:sz w:val="20"/>
                <w:szCs w:val="20"/>
                <w:color w:val="auto"/>
              </w:rPr>
            </w:pPr>
            <w:r>
              <w:rPr>
                <w:rFonts w:ascii="Arial" w:cs="Arial" w:eastAsia="Arial" w:hAnsi="Arial"/>
                <w:sz w:val="14"/>
                <w:szCs w:val="14"/>
                <w:b w:val="1"/>
                <w:bCs w:val="1"/>
                <w:color w:val="auto"/>
              </w:rPr>
              <w:t>As of September 30, 2014</w:t>
            </w: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r>
      <w:tr>
        <w:trPr>
          <w:trHeight w:val="238"/>
        </w:trPr>
        <w:tc>
          <w:tcPr>
            <w:tcW w:w="37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8"/>
              </w:rPr>
              <w:t>Backlog</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Average</w:t>
            </w: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1"/>
              </w:rPr>
              <w:t>Backlog</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780" w:type="dxa"/>
            <w:vAlign w:val="bottom"/>
          </w:tcPr>
          <w:p>
            <w:pPr>
              <w:spacing w:after="0"/>
              <w:rPr>
                <w:sz w:val="19"/>
                <w:szCs w:val="19"/>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rPr>
              <w:t>Dollar</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1"/>
              </w:rPr>
              <w:t>Selling</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5"/>
              </w:rPr>
              <w:t>Dollar</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780" w:type="dxa"/>
            <w:vAlign w:val="bottom"/>
          </w:tcPr>
          <w:p>
            <w:pPr>
              <w:spacing w:after="0"/>
              <w:rPr>
                <w:sz w:val="18"/>
                <w:szCs w:val="18"/>
                <w:color w:val="auto"/>
              </w:rPr>
            </w:pPr>
          </w:p>
        </w:tc>
        <w:tc>
          <w:tcPr>
            <w:tcW w:w="116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6"/>
              </w:rPr>
              <w:t>Value</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Price</w:t>
            </w:r>
          </w:p>
        </w:tc>
        <w:tc>
          <w:tcPr>
            <w:tcW w:w="112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0"/>
              </w:rPr>
              <w:t>Value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3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Backlog:</w:t>
            </w:r>
          </w:p>
        </w:tc>
        <w:tc>
          <w:tcPr>
            <w:tcW w:w="11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1160" w:type="dxa"/>
            <w:vAlign w:val="bottom"/>
          </w:tcPr>
          <w:p>
            <w:pPr>
              <w:jc w:val="right"/>
              <w:spacing w:after="0"/>
              <w:rPr>
                <w:sz w:val="20"/>
                <w:szCs w:val="20"/>
                <w:color w:val="auto"/>
              </w:rPr>
            </w:pPr>
            <w:r>
              <w:rPr>
                <w:rFonts w:ascii="Arial" w:cs="Arial" w:eastAsia="Arial" w:hAnsi="Arial"/>
                <w:sz w:val="18"/>
                <w:szCs w:val="18"/>
                <w:color w:val="auto"/>
              </w:rPr>
              <w:t>770</w:t>
            </w:r>
          </w:p>
        </w:tc>
        <w:tc>
          <w:tcPr>
            <w:tcW w:w="44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577,053</w:t>
            </w:r>
          </w:p>
        </w:tc>
        <w:tc>
          <w:tcPr>
            <w:tcW w:w="200" w:type="dxa"/>
            <w:vAlign w:val="bottom"/>
          </w:tcPr>
          <w:p>
            <w:pPr>
              <w:spacing w:after="0"/>
              <w:rPr>
                <w:sz w:val="19"/>
                <w:szCs w:val="19"/>
                <w:color w:val="auto"/>
              </w:rPr>
            </w:pPr>
          </w:p>
        </w:tc>
        <w:tc>
          <w:tcPr>
            <w:tcW w:w="220" w:type="dxa"/>
            <w:vAlign w:val="bottom"/>
            <w:gridSpan w:val="2"/>
          </w:tcPr>
          <w:p>
            <w:pPr>
              <w:jc w:val="right"/>
              <w:ind w:right="45"/>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749</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523</w:t>
            </w:r>
          </w:p>
        </w:tc>
        <w:tc>
          <w:tcPr>
            <w:tcW w:w="4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393,876</w:t>
            </w:r>
          </w:p>
        </w:tc>
        <w:tc>
          <w:tcPr>
            <w:tcW w:w="220" w:type="dxa"/>
            <w:vAlign w:val="bottom"/>
          </w:tcPr>
          <w:p>
            <w:pPr>
              <w:spacing w:after="0"/>
              <w:rPr>
                <w:sz w:val="19"/>
                <w:szCs w:val="19"/>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753</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62,445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504</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22,657</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444</w:t>
            </w:r>
          </w:p>
        </w:tc>
        <w:tc>
          <w:tcPr>
            <w:tcW w:w="6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Maryland</w:t>
            </w:r>
          </w:p>
        </w:tc>
        <w:tc>
          <w:tcPr>
            <w:tcW w:w="1160" w:type="dxa"/>
            <w:vAlign w:val="bottom"/>
          </w:tcPr>
          <w:p>
            <w:pPr>
              <w:jc w:val="right"/>
              <w:spacing w:after="0"/>
              <w:rPr>
                <w:sz w:val="20"/>
                <w:szCs w:val="20"/>
                <w:color w:val="auto"/>
              </w:rPr>
            </w:pPr>
            <w:r>
              <w:rPr>
                <w:rFonts w:ascii="Arial" w:cs="Arial" w:eastAsia="Arial" w:hAnsi="Arial"/>
                <w:sz w:val="18"/>
                <w:szCs w:val="18"/>
                <w:color w:val="auto"/>
              </w:rPr>
              <w:t>98</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59,200</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604</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72</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46,001</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639</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76</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59,485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783</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111</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93,433</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842</w:t>
            </w:r>
          </w:p>
        </w:tc>
        <w:tc>
          <w:tcPr>
            <w:tcW w:w="6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Arizona</w:t>
            </w:r>
          </w:p>
        </w:tc>
        <w:tc>
          <w:tcPr>
            <w:tcW w:w="1160" w:type="dxa"/>
            <w:vAlign w:val="bottom"/>
          </w:tcPr>
          <w:p>
            <w:pPr>
              <w:jc w:val="right"/>
              <w:spacing w:after="0"/>
              <w:rPr>
                <w:sz w:val="20"/>
                <w:szCs w:val="20"/>
                <w:color w:val="auto"/>
              </w:rPr>
            </w:pPr>
            <w:r>
              <w:rPr>
                <w:rFonts w:ascii="Arial" w:cs="Arial" w:eastAsia="Arial" w:hAnsi="Arial"/>
                <w:sz w:val="18"/>
                <w:szCs w:val="18"/>
                <w:color w:val="auto"/>
              </w:rPr>
              <w:t>293</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118,164</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403</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143</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57,202</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400</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121</w:t>
            </w: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45,315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375</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123</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47,269</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384</w:t>
            </w:r>
          </w:p>
        </w:tc>
        <w:tc>
          <w:tcPr>
            <w:tcW w:w="60" w:type="dxa"/>
            <w:vAlign w:val="bottom"/>
            <w:shd w:val="clear" w:color="auto" w:fill="CFF0FC"/>
          </w:tcPr>
          <w:p>
            <w:pPr>
              <w:spacing w:after="0"/>
              <w:rPr>
                <w:sz w:val="19"/>
                <w:szCs w:val="19"/>
                <w:color w:val="auto"/>
              </w:rPr>
            </w:pPr>
          </w:p>
        </w:tc>
      </w:tr>
      <w:tr>
        <w:trPr>
          <w:trHeight w:val="230"/>
        </w:trPr>
        <w:tc>
          <w:tcPr>
            <w:tcW w:w="3780" w:type="dxa"/>
            <w:vAlign w:val="bottom"/>
          </w:tcPr>
          <w:p>
            <w:pPr>
              <w:ind w:left="260"/>
              <w:spacing w:after="0"/>
              <w:rPr>
                <w:sz w:val="20"/>
                <w:szCs w:val="20"/>
                <w:color w:val="auto"/>
              </w:rPr>
            </w:pPr>
            <w:r>
              <w:rPr>
                <w:rFonts w:ascii="Arial" w:cs="Arial" w:eastAsia="Arial" w:hAnsi="Arial"/>
                <w:sz w:val="18"/>
                <w:szCs w:val="18"/>
                <w:color w:val="auto"/>
              </w:rPr>
              <w:t>Texas</w:t>
            </w:r>
          </w:p>
        </w:tc>
        <w:tc>
          <w:tcPr>
            <w:tcW w:w="1160" w:type="dxa"/>
            <w:vAlign w:val="bottom"/>
          </w:tcPr>
          <w:p>
            <w:pPr>
              <w:jc w:val="right"/>
              <w:spacing w:after="0"/>
              <w:rPr>
                <w:sz w:val="20"/>
                <w:szCs w:val="20"/>
                <w:color w:val="auto"/>
              </w:rPr>
            </w:pPr>
            <w:r>
              <w:rPr>
                <w:rFonts w:ascii="Arial" w:cs="Arial" w:eastAsia="Arial" w:hAnsi="Arial"/>
                <w:sz w:val="18"/>
                <w:szCs w:val="18"/>
                <w:color w:val="auto"/>
              </w:rPr>
              <w:t>205</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108,250</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528</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254</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131,611</w:t>
            </w:r>
          </w:p>
        </w:tc>
        <w:tc>
          <w:tcPr>
            <w:tcW w:w="2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518</w:t>
            </w:r>
          </w:p>
        </w:tc>
        <w:tc>
          <w:tcPr>
            <w:tcW w:w="60" w:type="dxa"/>
            <w:vAlign w:val="bottom"/>
          </w:tcPr>
          <w:p>
            <w:pPr>
              <w:spacing w:after="0"/>
              <w:rPr>
                <w:sz w:val="19"/>
                <w:szCs w:val="19"/>
                <w:color w:val="auto"/>
              </w:rPr>
            </w:pPr>
          </w:p>
        </w:tc>
      </w:tr>
      <w:tr>
        <w:trPr>
          <w:trHeight w:val="230"/>
        </w:trPr>
        <w:tc>
          <w:tcPr>
            <w:tcW w:w="3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169</w:t>
            </w:r>
          </w:p>
        </w:tc>
        <w:tc>
          <w:tcPr>
            <w:tcW w:w="2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79,955</w:t>
            </w:r>
          </w:p>
        </w:tc>
        <w:tc>
          <w:tcPr>
            <w:tcW w:w="20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473</w:t>
            </w:r>
          </w:p>
        </w:tc>
        <w:tc>
          <w:tcPr>
            <w:tcW w:w="22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163</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78,316</w:t>
            </w: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480</w:t>
            </w:r>
          </w:p>
        </w:tc>
        <w:tc>
          <w:tcPr>
            <w:tcW w:w="60" w:type="dxa"/>
            <w:vAlign w:val="bottom"/>
            <w:shd w:val="clear" w:color="auto" w:fill="CFF0FC"/>
          </w:tcPr>
          <w:p>
            <w:pPr>
              <w:spacing w:after="0"/>
              <w:rPr>
                <w:sz w:val="19"/>
                <w:szCs w:val="19"/>
                <w:color w:val="auto"/>
              </w:rPr>
            </w:pPr>
          </w:p>
        </w:tc>
      </w:tr>
      <w:tr>
        <w:trPr>
          <w:trHeight w:val="223"/>
        </w:trPr>
        <w:tc>
          <w:tcPr>
            <w:tcW w:w="3780" w:type="dxa"/>
            <w:vAlign w:val="bottom"/>
          </w:tcPr>
          <w:p>
            <w:pPr>
              <w:spacing w:after="0"/>
              <w:rPr>
                <w:sz w:val="20"/>
                <w:szCs w:val="20"/>
                <w:color w:val="auto"/>
              </w:rPr>
            </w:pPr>
            <w:r>
              <w:rPr>
                <w:rFonts w:ascii="Arial" w:cs="Arial" w:eastAsia="Arial" w:hAnsi="Arial"/>
                <w:sz w:val="18"/>
                <w:szCs w:val="18"/>
                <w:color w:val="auto"/>
              </w:rPr>
              <w:t>Total</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1,856</w:t>
            </w:r>
          </w:p>
        </w:tc>
        <w:tc>
          <w:tcPr>
            <w:tcW w:w="2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1,109,867</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598</w:t>
            </w:r>
          </w:p>
        </w:tc>
        <w:tc>
          <w:tcPr>
            <w:tcW w:w="22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1,440</w:t>
            </w:r>
          </w:p>
        </w:tc>
        <w:tc>
          <w:tcPr>
            <w:tcW w:w="2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870,365</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604</w:t>
            </w:r>
          </w:p>
        </w:tc>
        <w:tc>
          <w:tcPr>
            <w:tcW w:w="60" w:type="dxa"/>
            <w:vAlign w:val="bottom"/>
          </w:tcPr>
          <w:p>
            <w:pPr>
              <w:spacing w:after="0"/>
              <w:rPr>
                <w:sz w:val="19"/>
                <w:szCs w:val="19"/>
                <w:color w:val="auto"/>
              </w:rPr>
            </w:pPr>
          </w:p>
        </w:tc>
      </w:tr>
      <w:tr>
        <w:trPr>
          <w:trHeight w:val="20"/>
        </w:trPr>
        <w:tc>
          <w:tcPr>
            <w:tcW w:w="37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78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September 30,</w:t>
            </w:r>
          </w:p>
        </w:tc>
        <w:tc>
          <w:tcPr>
            <w:tcW w:w="126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r>
      <w:tr>
        <w:trPr>
          <w:trHeight w:val="215"/>
        </w:trPr>
        <w:tc>
          <w:tcPr>
            <w:tcW w:w="8780" w:type="dxa"/>
            <w:vAlign w:val="bottom"/>
            <w:tcBorders>
              <w:bottom w:val="single" w:sz="8" w:color="CFF0FC"/>
            </w:tcBorders>
          </w:tcPr>
          <w:p>
            <w:pPr>
              <w:spacing w:after="0"/>
              <w:rPr>
                <w:sz w:val="18"/>
                <w:szCs w:val="18"/>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2015</w:t>
            </w:r>
          </w:p>
        </w:tc>
        <w:tc>
          <w:tcPr>
            <w:tcW w:w="220" w:type="dxa"/>
            <w:vAlign w:val="bottom"/>
            <w:tcBorders>
              <w:bottom w:val="single" w:sz="8" w:color="CFF0FC"/>
            </w:tcBorders>
          </w:tcPr>
          <w:p>
            <w:pPr>
              <w:spacing w:after="0"/>
              <w:rPr>
                <w:sz w:val="18"/>
                <w:szCs w:val="18"/>
                <w:color w:val="auto"/>
              </w:rPr>
            </w:pPr>
          </w:p>
        </w:tc>
        <w:tc>
          <w:tcPr>
            <w:tcW w:w="1160" w:type="dxa"/>
            <w:vAlign w:val="bottom"/>
            <w:tcBorders>
              <w:bottom w:val="single" w:sz="8" w:color="auto"/>
            </w:tcBorders>
          </w:tcPr>
          <w:p>
            <w:pPr>
              <w:jc w:val="right"/>
              <w:ind w:right="374"/>
              <w:spacing w:after="0"/>
              <w:rPr>
                <w:sz w:val="20"/>
                <w:szCs w:val="20"/>
                <w:color w:val="auto"/>
              </w:rPr>
            </w:pPr>
            <w:r>
              <w:rPr>
                <w:rFonts w:ascii="Arial" w:cs="Arial" w:eastAsia="Arial" w:hAnsi="Arial"/>
                <w:sz w:val="14"/>
                <w:szCs w:val="14"/>
                <w:b w:val="1"/>
                <w:bCs w:val="1"/>
                <w:color w:val="auto"/>
              </w:rPr>
              <w:t>2014</w:t>
            </w:r>
          </w:p>
        </w:tc>
        <w:tc>
          <w:tcPr>
            <w:tcW w:w="100" w:type="dxa"/>
            <w:vAlign w:val="bottom"/>
            <w:tcBorders>
              <w:bottom w:val="single" w:sz="8" w:color="CFF0FC"/>
            </w:tcBorders>
          </w:tcPr>
          <w:p>
            <w:pPr>
              <w:spacing w:after="0"/>
              <w:rPr>
                <w:sz w:val="18"/>
                <w:szCs w:val="18"/>
                <w:color w:val="auto"/>
              </w:rPr>
            </w:pPr>
          </w:p>
        </w:tc>
      </w:tr>
      <w:tr>
        <w:trPr>
          <w:trHeight w:val="223"/>
        </w:trPr>
        <w:tc>
          <w:tcPr>
            <w:tcW w:w="87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Lots Owned or Controlled:</w:t>
            </w:r>
          </w:p>
        </w:tc>
        <w:tc>
          <w:tcPr>
            <w:tcW w:w="116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0"/>
              </w:rPr>
              <w:t>(unaudited)</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1,798</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1,985</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17,075</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17,639</w:t>
            </w: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1,422</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1,544</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1,976</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2,073</w:t>
            </w: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1160" w:type="dxa"/>
            <w:vAlign w:val="bottom"/>
          </w:tcPr>
          <w:p>
            <w:pPr>
              <w:jc w:val="right"/>
              <w:spacing w:after="0"/>
              <w:rPr>
                <w:sz w:val="20"/>
                <w:szCs w:val="20"/>
                <w:color w:val="auto"/>
              </w:rPr>
            </w:pPr>
            <w:r>
              <w:rPr>
                <w:rFonts w:ascii="Arial" w:cs="Arial" w:eastAsia="Arial" w:hAnsi="Arial"/>
                <w:sz w:val="18"/>
                <w:szCs w:val="18"/>
                <w:color w:val="auto"/>
              </w:rPr>
              <w:t>3,393</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3,726</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2,576</w:t>
            </w:r>
          </w:p>
        </w:tc>
        <w:tc>
          <w:tcPr>
            <w:tcW w:w="22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2,751</w:t>
            </w:r>
          </w:p>
        </w:tc>
        <w:tc>
          <w:tcPr>
            <w:tcW w:w="100" w:type="dxa"/>
            <w:vAlign w:val="bottom"/>
            <w:shd w:val="clear" w:color="auto" w:fill="CFF0FC"/>
          </w:tcPr>
          <w:p>
            <w:pPr>
              <w:spacing w:after="0"/>
              <w:rPr>
                <w:sz w:val="19"/>
                <w:szCs w:val="19"/>
                <w:color w:val="auto"/>
              </w:rPr>
            </w:pPr>
          </w:p>
        </w:tc>
      </w:tr>
      <w:tr>
        <w:trPr>
          <w:trHeight w:val="223"/>
        </w:trPr>
        <w:tc>
          <w:tcPr>
            <w:tcW w:w="8780" w:type="dxa"/>
            <w:vAlign w:val="bottom"/>
          </w:tcPr>
          <w:p>
            <w:pPr>
              <w:spacing w:after="0"/>
              <w:rPr>
                <w:sz w:val="20"/>
                <w:szCs w:val="20"/>
                <w:color w:val="auto"/>
              </w:rPr>
            </w:pPr>
            <w:r>
              <w:rPr>
                <w:rFonts w:ascii="Arial" w:cs="Arial" w:eastAsia="Arial" w:hAnsi="Arial"/>
                <w:sz w:val="18"/>
                <w:szCs w:val="18"/>
                <w:color w:val="auto"/>
              </w:rPr>
              <w:t>Total</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28,240</w:t>
            </w:r>
          </w:p>
        </w:tc>
        <w:tc>
          <w:tcPr>
            <w:tcW w:w="220" w:type="dxa"/>
            <w:vAlign w:val="bottom"/>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29,718</w:t>
            </w:r>
          </w:p>
        </w:tc>
        <w:tc>
          <w:tcPr>
            <w:tcW w:w="100" w:type="dxa"/>
            <w:vAlign w:val="bottom"/>
          </w:tcPr>
          <w:p>
            <w:pPr>
              <w:spacing w:after="0"/>
              <w:rPr>
                <w:sz w:val="19"/>
                <w:szCs w:val="19"/>
                <w:color w:val="auto"/>
              </w:rPr>
            </w:pPr>
          </w:p>
        </w:tc>
      </w:tr>
      <w:tr>
        <w:trPr>
          <w:trHeight w:val="20"/>
        </w:trPr>
        <w:tc>
          <w:tcPr>
            <w:tcW w:w="87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02" w:right="239" w:bottom="1440" w:gutter="0" w:footer="0" w:header="0"/>
        </w:sectPr>
      </w:pPr>
    </w:p>
    <w:p>
      <w:pPr>
        <w:spacing w:after="0" w:line="331" w:lineRule="exact"/>
        <w:rPr>
          <w:sz w:val="20"/>
          <w:szCs w:val="20"/>
          <w:color w:val="auto"/>
        </w:rPr>
      </w:pPr>
    </w:p>
    <w:p>
      <w:pPr>
        <w:jc w:val="center"/>
        <w:ind w:left="8900"/>
        <w:spacing w:after="0"/>
        <w:rPr>
          <w:sz w:val="20"/>
          <w:szCs w:val="20"/>
          <w:color w:val="auto"/>
        </w:rPr>
      </w:pPr>
      <w:r>
        <w:rPr>
          <w:rFonts w:ascii="Arial" w:cs="Arial" w:eastAsia="Arial" w:hAnsi="Arial"/>
          <w:sz w:val="12"/>
          <w:szCs w:val="12"/>
          <w:b w:val="1"/>
          <w:bCs w:val="1"/>
          <w:color w:val="auto"/>
        </w:rPr>
        <w:t>September 30,</w:t>
      </w:r>
    </w:p>
    <w:p>
      <w:pPr>
        <w:spacing w:after="0" w:line="92" w:lineRule="exact"/>
        <w:rPr>
          <w:sz w:val="20"/>
          <w:szCs w:val="20"/>
          <w:color w:val="auto"/>
        </w:rPr>
      </w:pPr>
    </w:p>
    <w:p>
      <w:pPr>
        <w:jc w:val="center"/>
        <w:ind w:left="8900"/>
        <w:spacing w:after="0"/>
        <w:rPr>
          <w:sz w:val="20"/>
          <w:szCs w:val="20"/>
          <w:color w:val="auto"/>
        </w:rPr>
      </w:pPr>
      <w:r>
        <w:rPr>
          <w:rFonts w:ascii="Arial" w:cs="Arial" w:eastAsia="Arial" w:hAnsi="Arial"/>
          <w:sz w:val="14"/>
          <w:szCs w:val="14"/>
          <w:b w:val="1"/>
          <w:bCs w:val="1"/>
          <w:color w:val="auto"/>
        </w:rPr>
        <w:t>2015</w:t>
      </w:r>
    </w:p>
    <w:p>
      <w:pPr>
        <w:spacing w:after="0" w:line="20" w:lineRule="exact"/>
        <w:rPr>
          <w:sz w:val="20"/>
          <w:szCs w:val="20"/>
          <w:color w:val="auto"/>
        </w:rPr>
      </w:pPr>
      <w:r>
        <w:rPr>
          <w:sz w:val="20"/>
          <w:szCs w:val="20"/>
          <w:color w:val="auto"/>
        </w:rPr>
        <w:br w:type="column"/>
      </w:r>
    </w:p>
    <w:p>
      <w:pPr>
        <w:spacing w:after="0" w:line="311" w:lineRule="exact"/>
        <w:rPr>
          <w:sz w:val="20"/>
          <w:szCs w:val="20"/>
          <w:color w:val="auto"/>
        </w:rPr>
      </w:pPr>
    </w:p>
    <w:p>
      <w:pPr>
        <w:jc w:val="center"/>
        <w:ind w:right="280"/>
        <w:spacing w:after="0"/>
        <w:rPr>
          <w:sz w:val="20"/>
          <w:szCs w:val="20"/>
          <w:color w:val="auto"/>
        </w:rPr>
      </w:pPr>
      <w:r>
        <w:rPr>
          <w:rFonts w:ascii="Arial" w:cs="Arial" w:eastAsia="Arial" w:hAnsi="Arial"/>
          <w:sz w:val="12"/>
          <w:szCs w:val="12"/>
          <w:b w:val="1"/>
          <w:bCs w:val="1"/>
          <w:color w:val="auto"/>
        </w:rPr>
        <w:t>December 31,</w:t>
      </w:r>
    </w:p>
    <w:p>
      <w:pPr>
        <w:spacing w:after="0" w:line="92" w:lineRule="exact"/>
        <w:rPr>
          <w:sz w:val="20"/>
          <w:szCs w:val="20"/>
          <w:color w:val="auto"/>
        </w:rPr>
      </w:pPr>
    </w:p>
    <w:p>
      <w:pPr>
        <w:jc w:val="center"/>
        <w:ind w:right="280"/>
        <w:spacing w:after="0"/>
        <w:rPr>
          <w:sz w:val="20"/>
          <w:szCs w:val="20"/>
          <w:color w:val="auto"/>
        </w:rPr>
      </w:pPr>
      <w:r>
        <w:rPr>
          <w:rFonts w:ascii="Arial" w:cs="Arial" w:eastAsia="Arial" w:hAnsi="Arial"/>
          <w:sz w:val="14"/>
          <w:szCs w:val="14"/>
          <w:b w:val="1"/>
          <w:bCs w:val="1"/>
          <w:color w:val="auto"/>
        </w:rPr>
        <w:t>2014</w:t>
      </w:r>
    </w:p>
    <w:p>
      <w:pPr>
        <w:spacing w:after="0" w:line="10" w:lineRule="exact"/>
        <w:rPr>
          <w:sz w:val="20"/>
          <w:szCs w:val="20"/>
          <w:color w:val="auto"/>
        </w:rPr>
      </w:pPr>
    </w:p>
    <w:p>
      <w:pPr>
        <w:sectPr>
          <w:pgSz w:w="11900" w:h="16838" w:orient="portrait"/>
          <w:cols w:equalWidth="0" w:num="2">
            <w:col w:w="9780" w:space="520"/>
            <w:col w:w="1120"/>
          </w:cols>
          <w:pgMar w:left="240" w:top="1202" w:right="239" w:bottom="1440" w:gutter="0" w:footer="0" w:header="0"/>
          <w:type w:val="continuous"/>
        </w:sectPr>
      </w:pPr>
    </w:p>
    <w:tbl>
      <w:tblPr>
        <w:tblLayout w:type="fixed"/>
        <w:tblInd w:w="0" w:type="dxa"/>
        <w:tblCellMar>
          <w:top w:w="0" w:type="dxa"/>
          <w:left w:w="0" w:type="dxa"/>
          <w:bottom w:w="0" w:type="dxa"/>
          <w:right w:w="0" w:type="dxa"/>
        </w:tblCellMar>
      </w:tblPr>
      <w:tr>
        <w:trPr>
          <w:trHeight w:val="223"/>
        </w:trPr>
        <w:tc>
          <w:tcPr>
            <w:tcW w:w="8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Owned or Controlled:</w:t>
            </w:r>
          </w:p>
        </w:tc>
        <w:tc>
          <w:tcPr>
            <w:tcW w:w="116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rPr>
              <w:t>(unaudited)</w:t>
            </w:r>
          </w:p>
        </w:tc>
        <w:tc>
          <w:tcPr>
            <w:tcW w:w="22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1160" w:type="dxa"/>
            <w:vAlign w:val="bottom"/>
          </w:tcPr>
          <w:p>
            <w:pPr>
              <w:jc w:val="right"/>
              <w:spacing w:after="0"/>
              <w:rPr>
                <w:sz w:val="20"/>
                <w:szCs w:val="20"/>
                <w:color w:val="auto"/>
              </w:rPr>
            </w:pPr>
            <w:r>
              <w:rPr>
                <w:rFonts w:ascii="Arial" w:cs="Arial" w:eastAsia="Arial" w:hAnsi="Arial"/>
                <w:sz w:val="18"/>
                <w:szCs w:val="18"/>
                <w:color w:val="auto"/>
              </w:rPr>
              <w:t>17,939</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18,842</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607</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639</w:t>
            </w: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Maryland</w:t>
            </w:r>
          </w:p>
        </w:tc>
        <w:tc>
          <w:tcPr>
            <w:tcW w:w="1160" w:type="dxa"/>
            <w:vAlign w:val="bottom"/>
          </w:tcPr>
          <w:p>
            <w:pPr>
              <w:jc w:val="right"/>
              <w:spacing w:after="0"/>
              <w:rPr>
                <w:sz w:val="20"/>
                <w:szCs w:val="20"/>
                <w:color w:val="auto"/>
              </w:rPr>
            </w:pPr>
            <w:r>
              <w:rPr>
                <w:rFonts w:ascii="Arial" w:cs="Arial" w:eastAsia="Arial" w:hAnsi="Arial"/>
                <w:sz w:val="18"/>
                <w:szCs w:val="18"/>
                <w:color w:val="auto"/>
              </w:rPr>
              <w:t>1,883</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2,048</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693</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703</w:t>
            </w: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Arizona</w:t>
            </w:r>
          </w:p>
        </w:tc>
        <w:tc>
          <w:tcPr>
            <w:tcW w:w="1160" w:type="dxa"/>
            <w:vAlign w:val="bottom"/>
          </w:tcPr>
          <w:p>
            <w:pPr>
              <w:jc w:val="right"/>
              <w:spacing w:after="0"/>
              <w:rPr>
                <w:sz w:val="20"/>
                <w:szCs w:val="20"/>
                <w:color w:val="auto"/>
              </w:rPr>
            </w:pPr>
            <w:r>
              <w:rPr>
                <w:rFonts w:ascii="Arial" w:cs="Arial" w:eastAsia="Arial" w:hAnsi="Arial"/>
                <w:sz w:val="18"/>
                <w:szCs w:val="18"/>
                <w:color w:val="auto"/>
              </w:rPr>
              <w:t>1,798</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1,985</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1,922</w:t>
            </w:r>
          </w:p>
        </w:tc>
        <w:tc>
          <w:tcPr>
            <w:tcW w:w="22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1,884</w:t>
            </w:r>
          </w:p>
        </w:tc>
        <w:tc>
          <w:tcPr>
            <w:tcW w:w="100" w:type="dxa"/>
            <w:vAlign w:val="bottom"/>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Texas</w:t>
            </w:r>
          </w:p>
        </w:tc>
        <w:tc>
          <w:tcPr>
            <w:tcW w:w="1160" w:type="dxa"/>
            <w:vAlign w:val="bottom"/>
          </w:tcPr>
          <w:p>
            <w:pPr>
              <w:jc w:val="right"/>
              <w:spacing w:after="0"/>
              <w:rPr>
                <w:sz w:val="20"/>
                <w:szCs w:val="20"/>
                <w:color w:val="auto"/>
              </w:rPr>
            </w:pPr>
            <w:r>
              <w:rPr>
                <w:rFonts w:ascii="Arial" w:cs="Arial" w:eastAsia="Arial" w:hAnsi="Arial"/>
                <w:sz w:val="18"/>
                <w:szCs w:val="18"/>
                <w:color w:val="auto"/>
              </w:rPr>
              <w:t>1,976</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2,073</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1,422</w:t>
            </w:r>
          </w:p>
        </w:tc>
        <w:tc>
          <w:tcPr>
            <w:tcW w:w="22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1,544</w:t>
            </w:r>
          </w:p>
        </w:tc>
        <w:tc>
          <w:tcPr>
            <w:tcW w:w="100" w:type="dxa"/>
            <w:vAlign w:val="bottom"/>
            <w:shd w:val="clear" w:color="auto" w:fill="CFF0FC"/>
          </w:tcPr>
          <w:p>
            <w:pPr>
              <w:spacing w:after="0"/>
              <w:rPr>
                <w:sz w:val="19"/>
                <w:szCs w:val="19"/>
                <w:color w:val="auto"/>
              </w:rPr>
            </w:pPr>
          </w:p>
        </w:tc>
      </w:tr>
      <w:tr>
        <w:trPr>
          <w:trHeight w:val="223"/>
        </w:trPr>
        <w:tc>
          <w:tcPr>
            <w:tcW w:w="8780" w:type="dxa"/>
            <w:vAlign w:val="bottom"/>
          </w:tcPr>
          <w:p>
            <w:pPr>
              <w:spacing w:after="0"/>
              <w:rPr>
                <w:sz w:val="20"/>
                <w:szCs w:val="20"/>
                <w:color w:val="auto"/>
              </w:rPr>
            </w:pPr>
            <w:r>
              <w:rPr>
                <w:rFonts w:ascii="Arial" w:cs="Arial" w:eastAsia="Arial" w:hAnsi="Arial"/>
                <w:sz w:val="18"/>
                <w:szCs w:val="18"/>
                <w:color w:val="auto"/>
              </w:rPr>
              <w:t>Total</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28,240</w:t>
            </w:r>
          </w:p>
        </w:tc>
        <w:tc>
          <w:tcPr>
            <w:tcW w:w="220" w:type="dxa"/>
            <w:vAlign w:val="bottom"/>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29,718</w:t>
            </w:r>
          </w:p>
        </w:tc>
        <w:tc>
          <w:tcPr>
            <w:tcW w:w="100" w:type="dxa"/>
            <w:vAlign w:val="bottom"/>
          </w:tcPr>
          <w:p>
            <w:pPr>
              <w:spacing w:after="0"/>
              <w:rPr>
                <w:sz w:val="19"/>
                <w:szCs w:val="19"/>
                <w:color w:val="auto"/>
              </w:rPr>
            </w:pPr>
          </w:p>
        </w:tc>
      </w:tr>
      <w:tr>
        <w:trPr>
          <w:trHeight w:val="20"/>
        </w:trPr>
        <w:tc>
          <w:tcPr>
            <w:tcW w:w="87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02" w:right="239" w:bottom="1440" w:gutter="0" w:footer="0" w:header="0"/>
          <w:type w:val="continuous"/>
        </w:sectPr>
      </w:pPr>
    </w:p>
    <w:p>
      <w:pPr>
        <w:spacing w:after="0" w:line="331" w:lineRule="exact"/>
        <w:rPr>
          <w:sz w:val="20"/>
          <w:szCs w:val="20"/>
          <w:color w:val="auto"/>
        </w:rPr>
      </w:pPr>
    </w:p>
    <w:p>
      <w:pPr>
        <w:jc w:val="center"/>
        <w:ind w:left="8900"/>
        <w:spacing w:after="0"/>
        <w:rPr>
          <w:sz w:val="20"/>
          <w:szCs w:val="20"/>
          <w:color w:val="auto"/>
        </w:rPr>
      </w:pPr>
      <w:r>
        <w:rPr>
          <w:rFonts w:ascii="Arial" w:cs="Arial" w:eastAsia="Arial" w:hAnsi="Arial"/>
          <w:sz w:val="12"/>
          <w:szCs w:val="12"/>
          <w:b w:val="1"/>
          <w:bCs w:val="1"/>
          <w:color w:val="auto"/>
        </w:rPr>
        <w:t>September 30,</w:t>
      </w:r>
    </w:p>
    <w:p>
      <w:pPr>
        <w:spacing w:after="0" w:line="92" w:lineRule="exact"/>
        <w:rPr>
          <w:sz w:val="20"/>
          <w:szCs w:val="20"/>
          <w:color w:val="auto"/>
        </w:rPr>
      </w:pPr>
    </w:p>
    <w:p>
      <w:pPr>
        <w:jc w:val="center"/>
        <w:ind w:left="8900"/>
        <w:spacing w:after="0"/>
        <w:rPr>
          <w:sz w:val="20"/>
          <w:szCs w:val="20"/>
          <w:color w:val="auto"/>
        </w:rPr>
      </w:pPr>
      <w:r>
        <w:rPr>
          <w:rFonts w:ascii="Arial" w:cs="Arial" w:eastAsia="Arial" w:hAnsi="Arial"/>
          <w:sz w:val="14"/>
          <w:szCs w:val="14"/>
          <w:b w:val="1"/>
          <w:bCs w:val="1"/>
          <w:color w:val="auto"/>
        </w:rPr>
        <w:t>2015</w:t>
      </w:r>
    </w:p>
    <w:p>
      <w:pPr>
        <w:spacing w:after="0" w:line="20" w:lineRule="exact"/>
        <w:rPr>
          <w:sz w:val="20"/>
          <w:szCs w:val="20"/>
          <w:color w:val="auto"/>
        </w:rPr>
      </w:pPr>
      <w:r>
        <w:rPr>
          <w:sz w:val="20"/>
          <w:szCs w:val="20"/>
          <w:color w:val="auto"/>
        </w:rPr>
        <w:br w:type="column"/>
      </w:r>
    </w:p>
    <w:p>
      <w:pPr>
        <w:spacing w:after="0" w:line="311" w:lineRule="exact"/>
        <w:rPr>
          <w:sz w:val="20"/>
          <w:szCs w:val="20"/>
          <w:color w:val="auto"/>
        </w:rPr>
      </w:pPr>
    </w:p>
    <w:p>
      <w:pPr>
        <w:jc w:val="center"/>
        <w:ind w:right="280"/>
        <w:spacing w:after="0"/>
        <w:rPr>
          <w:sz w:val="20"/>
          <w:szCs w:val="20"/>
          <w:color w:val="auto"/>
        </w:rPr>
      </w:pPr>
      <w:r>
        <w:rPr>
          <w:rFonts w:ascii="Arial" w:cs="Arial" w:eastAsia="Arial" w:hAnsi="Arial"/>
          <w:sz w:val="12"/>
          <w:szCs w:val="12"/>
          <w:b w:val="1"/>
          <w:bCs w:val="1"/>
          <w:color w:val="auto"/>
        </w:rPr>
        <w:t>December 31,</w:t>
      </w:r>
    </w:p>
    <w:p>
      <w:pPr>
        <w:spacing w:after="0" w:line="92" w:lineRule="exact"/>
        <w:rPr>
          <w:sz w:val="20"/>
          <w:szCs w:val="20"/>
          <w:color w:val="auto"/>
        </w:rPr>
      </w:pPr>
    </w:p>
    <w:p>
      <w:pPr>
        <w:jc w:val="center"/>
        <w:ind w:right="280"/>
        <w:spacing w:after="0"/>
        <w:rPr>
          <w:sz w:val="20"/>
          <w:szCs w:val="20"/>
          <w:color w:val="auto"/>
        </w:rPr>
      </w:pPr>
      <w:r>
        <w:rPr>
          <w:rFonts w:ascii="Arial" w:cs="Arial" w:eastAsia="Arial" w:hAnsi="Arial"/>
          <w:sz w:val="14"/>
          <w:szCs w:val="14"/>
          <w:b w:val="1"/>
          <w:bCs w:val="1"/>
          <w:color w:val="auto"/>
        </w:rPr>
        <w:t>2014</w:t>
      </w:r>
    </w:p>
    <w:p>
      <w:pPr>
        <w:spacing w:after="0" w:line="10" w:lineRule="exact"/>
        <w:rPr>
          <w:sz w:val="20"/>
          <w:szCs w:val="20"/>
          <w:color w:val="auto"/>
        </w:rPr>
      </w:pPr>
    </w:p>
    <w:p>
      <w:pPr>
        <w:sectPr>
          <w:pgSz w:w="11900" w:h="16838" w:orient="portrait"/>
          <w:cols w:equalWidth="0" w:num="2">
            <w:col w:w="9780" w:space="520"/>
            <w:col w:w="1120"/>
          </w:cols>
          <w:pgMar w:left="240" w:top="1202" w:right="239" w:bottom="1440" w:gutter="0" w:footer="0" w:header="0"/>
          <w:type w:val="continuous"/>
        </w:sectPr>
      </w:pPr>
    </w:p>
    <w:tbl>
      <w:tblPr>
        <w:tblLayout w:type="fixed"/>
        <w:tblInd w:w="0" w:type="dxa"/>
        <w:tblCellMar>
          <w:top w:w="0" w:type="dxa"/>
          <w:left w:w="0" w:type="dxa"/>
          <w:bottom w:w="0" w:type="dxa"/>
          <w:right w:w="0" w:type="dxa"/>
        </w:tblCellMar>
      </w:tblPr>
      <w:tr>
        <w:trPr>
          <w:trHeight w:val="223"/>
        </w:trPr>
        <w:tc>
          <w:tcPr>
            <w:tcW w:w="87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by Ownership Type:</w:t>
            </w:r>
          </w:p>
        </w:tc>
        <w:tc>
          <w:tcPr>
            <w:tcW w:w="1160" w:type="dxa"/>
            <w:vAlign w:val="bottom"/>
            <w:tcBorders>
              <w:top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rPr>
              <w:t>(unaudited)</w:t>
            </w:r>
          </w:p>
        </w:tc>
        <w:tc>
          <w:tcPr>
            <w:tcW w:w="22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8780" w:type="dxa"/>
            <w:vAlign w:val="bottom"/>
          </w:tcPr>
          <w:p>
            <w:pPr>
              <w:ind w:left="260"/>
              <w:spacing w:after="0"/>
              <w:rPr>
                <w:sz w:val="20"/>
                <w:szCs w:val="20"/>
                <w:color w:val="auto"/>
              </w:rPr>
            </w:pPr>
            <w:r>
              <w:rPr>
                <w:rFonts w:ascii="Arial" w:cs="Arial" w:eastAsia="Arial" w:hAnsi="Arial"/>
                <w:sz w:val="18"/>
                <w:szCs w:val="18"/>
                <w:color w:val="auto"/>
              </w:rPr>
              <w:t>Lots owned</w:t>
            </w:r>
          </w:p>
        </w:tc>
        <w:tc>
          <w:tcPr>
            <w:tcW w:w="1160" w:type="dxa"/>
            <w:vAlign w:val="bottom"/>
          </w:tcPr>
          <w:p>
            <w:pPr>
              <w:jc w:val="right"/>
              <w:spacing w:after="0"/>
              <w:rPr>
                <w:sz w:val="20"/>
                <w:szCs w:val="20"/>
                <w:color w:val="auto"/>
              </w:rPr>
            </w:pPr>
            <w:r>
              <w:rPr>
                <w:rFonts w:ascii="Arial" w:cs="Arial" w:eastAsia="Arial" w:hAnsi="Arial"/>
                <w:sz w:val="18"/>
                <w:szCs w:val="18"/>
                <w:color w:val="auto"/>
              </w:rPr>
              <w:t>25,484</w:t>
            </w: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25,535</w:t>
            </w:r>
          </w:p>
        </w:tc>
        <w:tc>
          <w:tcPr>
            <w:tcW w:w="100" w:type="dxa"/>
            <w:vAlign w:val="bottom"/>
          </w:tcPr>
          <w:p>
            <w:pPr>
              <w:spacing w:after="0"/>
              <w:rPr>
                <w:sz w:val="19"/>
                <w:szCs w:val="19"/>
                <w:color w:val="auto"/>
              </w:rPr>
            </w:pPr>
          </w:p>
        </w:tc>
      </w:tr>
      <w:tr>
        <w:trPr>
          <w:trHeight w:val="230"/>
        </w:trPr>
        <w:tc>
          <w:tcPr>
            <w:tcW w:w="8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 xml:space="preserve">Lots controlled </w:t>
            </w:r>
            <w:r>
              <w:rPr>
                <w:rFonts w:ascii="Arial" w:cs="Arial" w:eastAsia="Arial" w:hAnsi="Arial"/>
                <w:sz w:val="15"/>
                <w:szCs w:val="15"/>
                <w:color w:val="auto"/>
              </w:rPr>
              <w:t>(1)</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2,756</w:t>
            </w:r>
          </w:p>
        </w:tc>
        <w:tc>
          <w:tcPr>
            <w:tcW w:w="22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4,183</w:t>
            </w:r>
          </w:p>
        </w:tc>
        <w:tc>
          <w:tcPr>
            <w:tcW w:w="100" w:type="dxa"/>
            <w:vAlign w:val="bottom"/>
            <w:shd w:val="clear" w:color="auto" w:fill="CFF0FC"/>
          </w:tcPr>
          <w:p>
            <w:pPr>
              <w:spacing w:after="0"/>
              <w:rPr>
                <w:sz w:val="19"/>
                <w:szCs w:val="19"/>
                <w:color w:val="auto"/>
              </w:rPr>
            </w:pPr>
          </w:p>
        </w:tc>
      </w:tr>
      <w:tr>
        <w:trPr>
          <w:trHeight w:val="223"/>
        </w:trPr>
        <w:tc>
          <w:tcPr>
            <w:tcW w:w="8780" w:type="dxa"/>
            <w:vAlign w:val="bottom"/>
          </w:tcPr>
          <w:p>
            <w:pPr>
              <w:spacing w:after="0"/>
              <w:rPr>
                <w:sz w:val="20"/>
                <w:szCs w:val="20"/>
                <w:color w:val="auto"/>
              </w:rPr>
            </w:pPr>
            <w:r>
              <w:rPr>
                <w:rFonts w:ascii="Arial" w:cs="Arial" w:eastAsia="Arial" w:hAnsi="Arial"/>
                <w:sz w:val="18"/>
                <w:szCs w:val="18"/>
                <w:color w:val="auto"/>
              </w:rPr>
              <w:t>Total</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28,240</w:t>
            </w:r>
          </w:p>
        </w:tc>
        <w:tc>
          <w:tcPr>
            <w:tcW w:w="220" w:type="dxa"/>
            <w:vAlign w:val="bottom"/>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29,718</w:t>
            </w:r>
          </w:p>
        </w:tc>
        <w:tc>
          <w:tcPr>
            <w:tcW w:w="100" w:type="dxa"/>
            <w:vAlign w:val="bottom"/>
          </w:tcPr>
          <w:p>
            <w:pPr>
              <w:spacing w:after="0"/>
              <w:rPr>
                <w:sz w:val="19"/>
                <w:szCs w:val="19"/>
                <w:color w:val="auto"/>
              </w:rPr>
            </w:pPr>
          </w:p>
        </w:tc>
      </w:tr>
      <w:tr>
        <w:trPr>
          <w:trHeight w:val="20"/>
        </w:trPr>
        <w:tc>
          <w:tcPr>
            <w:tcW w:w="878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77" w:lineRule="exact"/>
        <w:rPr>
          <w:sz w:val="20"/>
          <w:szCs w:val="20"/>
          <w:color w:val="auto"/>
        </w:rPr>
      </w:pPr>
    </w:p>
    <w:p>
      <w:pPr>
        <w:ind w:left="520" w:hanging="512"/>
        <w:spacing w:after="0"/>
        <w:tabs>
          <w:tab w:leader="none" w:pos="520" w:val="left"/>
        </w:tabs>
        <w:numPr>
          <w:ilvl w:val="0"/>
          <w:numId w:val="7"/>
        </w:numPr>
        <w:rPr>
          <w:rFonts w:ascii="Arial" w:cs="Arial" w:eastAsia="Arial" w:hAnsi="Arial"/>
          <w:sz w:val="14"/>
          <w:szCs w:val="14"/>
          <w:b w:val="1"/>
          <w:bCs w:val="1"/>
          <w:color w:val="auto"/>
        </w:rPr>
      </w:pPr>
      <w:r>
        <w:rPr>
          <w:rFonts w:ascii="Arial" w:cs="Arial" w:eastAsia="Arial" w:hAnsi="Arial"/>
          <w:sz w:val="17"/>
          <w:szCs w:val="17"/>
          <w:color w:val="auto"/>
        </w:rPr>
        <w:t>As of September 30, 2015 and December 31, 2014, lots controlled included lots that were under land option contracts or purchase contracts.</w:t>
      </w:r>
    </w:p>
    <w:p>
      <w:pPr>
        <w:spacing w:after="0" w:line="200" w:lineRule="exact"/>
        <w:rPr>
          <w:rFonts w:ascii="Arial" w:cs="Arial" w:eastAsia="Arial" w:hAnsi="Arial"/>
          <w:sz w:val="14"/>
          <w:szCs w:val="14"/>
          <w:b w:val="1"/>
          <w:bCs w:val="1"/>
          <w:color w:val="auto"/>
        </w:rPr>
      </w:pPr>
    </w:p>
    <w:p>
      <w:pPr>
        <w:spacing w:after="0" w:line="200" w:lineRule="exact"/>
        <w:rPr>
          <w:rFonts w:ascii="Arial" w:cs="Arial" w:eastAsia="Arial" w:hAnsi="Arial"/>
          <w:sz w:val="14"/>
          <w:szCs w:val="14"/>
          <w:b w:val="1"/>
          <w:bCs w:val="1"/>
          <w:color w:val="auto"/>
        </w:rPr>
      </w:pPr>
    </w:p>
    <w:p>
      <w:pPr>
        <w:spacing w:after="0" w:line="295" w:lineRule="exact"/>
        <w:rPr>
          <w:rFonts w:ascii="Arial" w:cs="Arial" w:eastAsia="Arial" w:hAnsi="Arial"/>
          <w:sz w:val="14"/>
          <w:szCs w:val="14"/>
          <w:b w:val="1"/>
          <w:bCs w:val="1"/>
          <w:color w:val="auto"/>
        </w:rPr>
      </w:pPr>
    </w:p>
    <w:p>
      <w:pPr>
        <w:ind w:left="5420"/>
        <w:spacing w:after="0"/>
        <w:rPr>
          <w:rFonts w:ascii="Arial" w:cs="Arial" w:eastAsia="Arial" w:hAnsi="Arial"/>
          <w:sz w:val="14"/>
          <w:szCs w:val="14"/>
          <w:b w:val="1"/>
          <w:bCs w:val="1"/>
          <w:color w:val="auto"/>
        </w:rPr>
      </w:pPr>
      <w:r>
        <w:rPr>
          <w:rFonts w:ascii="Arial" w:cs="Arial" w:eastAsia="Arial" w:hAnsi="Arial"/>
          <w:sz w:val="18"/>
          <w:szCs w:val="18"/>
          <w:color w:val="auto"/>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RECONCILIATION OF NON-GAAP FINANCIAL MEASURES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57" w:lineRule="exact"/>
        <w:rPr>
          <w:sz w:val="20"/>
          <w:szCs w:val="20"/>
          <w:color w:val="auto"/>
        </w:rPr>
      </w:pPr>
    </w:p>
    <w:p>
      <w:pPr>
        <w:ind w:right="40" w:firstLine="518"/>
        <w:spacing w:after="0" w:line="273" w:lineRule="auto"/>
        <w:rPr>
          <w:sz w:val="20"/>
          <w:szCs w:val="20"/>
          <w:color w:val="auto"/>
        </w:rPr>
      </w:pPr>
      <w:r>
        <w:rPr>
          <w:rFonts w:ascii="Arial" w:cs="Arial" w:eastAsia="Arial" w:hAnsi="Arial"/>
          <w:sz w:val="17"/>
          <w:szCs w:val="17"/>
          <w:color w:val="auto"/>
        </w:rPr>
        <w:t>In this earnings release, we utilize certain financial measures that are non-GAAP financial measures as defined by the Securities and Exchange Commission. We present these measures because we believe they and similar measures are useful to management and investors in evaluating the Company’s operating performance and financing structure. We also believe these measures facilitate the comparison of our operating performance and financing structure with other companies in our industry. Because these measures are not calculated in accordance with Generally Accepted Accounting Principles (“GAAP”), they may not be comparable to other similarly titled measures of other companies and should not be considered in isolation or as a substitute for, or superior to, financial measures prepared in accordance with GAAP.</w:t>
      </w:r>
    </w:p>
    <w:p>
      <w:pPr>
        <w:spacing w:after="0" w:line="124" w:lineRule="exact"/>
        <w:rPr>
          <w:sz w:val="20"/>
          <w:szCs w:val="20"/>
          <w:color w:val="auto"/>
        </w:rPr>
      </w:pPr>
    </w:p>
    <w:p>
      <w:pPr>
        <w:ind w:right="60" w:firstLine="518"/>
        <w:spacing w:after="0" w:line="286" w:lineRule="auto"/>
        <w:rPr>
          <w:sz w:val="20"/>
          <w:szCs w:val="20"/>
          <w:color w:val="auto"/>
        </w:rPr>
      </w:pPr>
      <w:r>
        <w:rPr>
          <w:rFonts w:ascii="Arial" w:cs="Arial" w:eastAsia="Arial" w:hAnsi="Arial"/>
          <w:sz w:val="17"/>
          <w:szCs w:val="17"/>
          <w:color w:val="auto"/>
        </w:rPr>
        <w:t>The following table reconciles homebuilding gross margin percentage, as reported and prepared in accordance with GAAP, to the non-GAAP measure adjusted homebuilding gross margin percentage. We believe this information is meaningful as it isolates the impact that leverage has on homebuilding gross margin and permits investors to make better comparisons with our competitors, who adjust gross margins in a similar fashion.</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8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820" w:type="dxa"/>
            <w:vAlign w:val="bottom"/>
            <w:tcBorders>
              <w:bottom w:val="single" w:sz="8" w:color="auto"/>
            </w:tcBorders>
            <w:gridSpan w:val="5"/>
          </w:tcPr>
          <w:p>
            <w:pPr>
              <w:jc w:val="center"/>
              <w:ind w:right="280"/>
              <w:spacing w:after="0"/>
              <w:rPr>
                <w:sz w:val="20"/>
                <w:szCs w:val="20"/>
                <w:color w:val="auto"/>
              </w:rPr>
            </w:pPr>
            <w:r>
              <w:rPr>
                <w:rFonts w:ascii="Arial" w:cs="Arial" w:eastAsia="Arial" w:hAnsi="Arial"/>
                <w:sz w:val="14"/>
                <w:szCs w:val="14"/>
                <w:b w:val="1"/>
                <w:bCs w:val="1"/>
                <w:color w:val="auto"/>
                <w:w w:val="93"/>
              </w:rPr>
              <w:t>Three Months Ended September 30,</w:t>
            </w:r>
          </w:p>
        </w:tc>
        <w:tc>
          <w:tcPr>
            <w:tcW w:w="11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48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jc w:val="right"/>
              <w:ind w:right="352"/>
              <w:spacing w:after="0" w:line="155"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ind w:left="480"/>
              <w:spacing w:after="0" w:line="155" w:lineRule="exact"/>
              <w:rPr>
                <w:sz w:val="20"/>
                <w:szCs w:val="20"/>
                <w:color w:val="auto"/>
              </w:rPr>
            </w:pPr>
            <w:r>
              <w:rPr>
                <w:rFonts w:ascii="Arial" w:cs="Arial" w:eastAsia="Arial" w:hAnsi="Arial"/>
                <w:sz w:val="14"/>
                <w:szCs w:val="14"/>
                <w:b w:val="1"/>
                <w:bCs w:val="1"/>
                <w:color w:val="auto"/>
              </w:rPr>
              <w:t>%</w:t>
            </w:r>
          </w:p>
        </w:tc>
        <w:tc>
          <w:tcPr>
            <w:tcW w:w="3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413"/>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8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20" w:type="dxa"/>
            <w:vAlign w:val="bottom"/>
            <w:gridSpan w:val="5"/>
          </w:tcPr>
          <w:p>
            <w:pPr>
              <w:ind w:left="480"/>
              <w:spacing w:after="0"/>
              <w:rPr>
                <w:sz w:val="20"/>
                <w:szCs w:val="20"/>
                <w:color w:val="auto"/>
              </w:rPr>
            </w:pPr>
            <w:r>
              <w:rPr>
                <w:rFonts w:ascii="Arial" w:cs="Arial" w:eastAsia="Arial" w:hAnsi="Arial"/>
                <w:sz w:val="18"/>
                <w:szCs w:val="18"/>
                <w:color w:val="auto"/>
              </w:rPr>
              <w:t>(dollars in thousands)</w:t>
            </w: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shd w:val="clear" w:color="auto" w:fill="CFF0FC"/>
          </w:tcPr>
          <w:p>
            <w:pPr>
              <w:spacing w:after="0"/>
              <w:rPr>
                <w:sz w:val="20"/>
                <w:szCs w:val="20"/>
                <w:color w:val="auto"/>
              </w:rPr>
            </w:pPr>
            <w:r>
              <w:rPr>
                <w:rFonts w:ascii="Arial" w:cs="Arial" w:eastAsia="Arial" w:hAnsi="Arial"/>
                <w:sz w:val="18"/>
                <w:szCs w:val="18"/>
                <w:color w:val="auto"/>
              </w:rPr>
              <w:t>Home sales</w:t>
            </w:r>
          </w:p>
        </w:tc>
        <w:tc>
          <w:tcPr>
            <w:tcW w:w="1300" w:type="dxa"/>
            <w:vAlign w:val="bottom"/>
            <w:gridSpan w:val="2"/>
            <w:shd w:val="clear" w:color="auto" w:fill="CFF0FC"/>
          </w:tcPr>
          <w:p>
            <w:pPr>
              <w:jc w:val="right"/>
              <w:ind w:right="85"/>
              <w:spacing w:after="0"/>
              <w:rPr>
                <w:sz w:val="20"/>
                <w:szCs w:val="20"/>
                <w:color w:val="auto"/>
              </w:rPr>
            </w:pPr>
            <w:r>
              <w:rPr>
                <w:rFonts w:ascii="Arial" w:cs="Arial" w:eastAsia="Arial" w:hAnsi="Arial"/>
                <w:sz w:val="18"/>
                <w:szCs w:val="18"/>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642,352</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471,801</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30"/>
        </w:trPr>
        <w:tc>
          <w:tcPr>
            <w:tcW w:w="4800" w:type="dxa"/>
            <w:vAlign w:val="bottom"/>
          </w:tcPr>
          <w:p>
            <w:pPr>
              <w:spacing w:after="0"/>
              <w:rPr>
                <w:sz w:val="20"/>
                <w:szCs w:val="20"/>
                <w:color w:val="auto"/>
              </w:rPr>
            </w:pPr>
            <w:r>
              <w:rPr>
                <w:rFonts w:ascii="Arial" w:cs="Arial" w:eastAsia="Arial" w:hAnsi="Arial"/>
                <w:sz w:val="18"/>
                <w:szCs w:val="18"/>
                <w:color w:val="auto"/>
              </w:rPr>
              <w:t>Cost of home sales</w:t>
            </w: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507,543</w:t>
            </w:r>
          </w:p>
        </w:tc>
        <w:tc>
          <w:tcPr>
            <w:tcW w:w="28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79.0%</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385,400</w:t>
            </w:r>
          </w:p>
        </w:tc>
        <w:tc>
          <w:tcPr>
            <w:tcW w:w="28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81.7%</w:t>
            </w:r>
          </w:p>
        </w:tc>
        <w:tc>
          <w:tcPr>
            <w:tcW w:w="0" w:type="dxa"/>
            <w:vAlign w:val="bottom"/>
          </w:tcPr>
          <w:p>
            <w:pPr>
              <w:spacing w:after="0"/>
              <w:rPr>
                <w:sz w:val="1"/>
                <w:szCs w:val="1"/>
                <w:color w:val="auto"/>
              </w:rPr>
            </w:pPr>
          </w:p>
        </w:tc>
      </w:tr>
      <w:tr>
        <w:trPr>
          <w:trHeight w:val="20"/>
        </w:trPr>
        <w:tc>
          <w:tcPr>
            <w:tcW w:w="480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w:t>
            </w:r>
          </w:p>
        </w:tc>
        <w:tc>
          <w:tcPr>
            <w:tcW w:w="106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800" w:type="dxa"/>
            <w:vAlign w:val="bottom"/>
            <w:vMerge w:val="continue"/>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134,809</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21.0%</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86,401</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30"/>
        </w:trPr>
        <w:tc>
          <w:tcPr>
            <w:tcW w:w="4800" w:type="dxa"/>
            <w:vAlign w:val="bottom"/>
          </w:tcPr>
          <w:p>
            <w:pPr>
              <w:ind w:left="260"/>
              <w:spacing w:after="0"/>
              <w:rPr>
                <w:sz w:val="20"/>
                <w:szCs w:val="20"/>
                <w:color w:val="auto"/>
              </w:rPr>
            </w:pPr>
            <w:r>
              <w:rPr>
                <w:rFonts w:ascii="Arial" w:cs="Arial" w:eastAsia="Arial" w:hAnsi="Arial"/>
                <w:sz w:val="18"/>
                <w:szCs w:val="18"/>
                <w:color w:val="auto"/>
              </w:rPr>
              <w:t>Add: interest in cost of home sales</w:t>
            </w: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13,189</w:t>
            </w:r>
          </w:p>
        </w:tc>
        <w:tc>
          <w:tcPr>
            <w:tcW w:w="28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2.1%</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7,702</w:t>
            </w:r>
          </w:p>
        </w:tc>
        <w:tc>
          <w:tcPr>
            <w:tcW w:w="28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30"/>
        </w:trPr>
        <w:tc>
          <w:tcPr>
            <w:tcW w:w="48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Add: impairments and lot option abandonments</w:t>
            </w: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366</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490</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4800" w:type="dxa"/>
            <w:vAlign w:val="bottom"/>
            <w:vMerge w:val="restart"/>
          </w:tcPr>
          <w:p>
            <w:pPr>
              <w:spacing w:after="0"/>
              <w:rPr>
                <w:sz w:val="20"/>
                <w:szCs w:val="20"/>
                <w:color w:val="auto"/>
              </w:rPr>
            </w:pPr>
            <w:r>
              <w:rPr>
                <w:rFonts w:ascii="Arial" w:cs="Arial" w:eastAsia="Arial" w:hAnsi="Arial"/>
                <w:sz w:val="18"/>
                <w:szCs w:val="18"/>
                <w:color w:val="auto"/>
              </w:rPr>
              <w:t>Adjusted homebuilding gross margin</w:t>
            </w:r>
          </w:p>
        </w:tc>
        <w:tc>
          <w:tcPr>
            <w:tcW w:w="106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4800" w:type="dxa"/>
            <w:vAlign w:val="bottom"/>
            <w:vMerge w:val="continue"/>
          </w:tcPr>
          <w:p>
            <w:pPr>
              <w:spacing w:after="0"/>
              <w:rPr>
                <w:sz w:val="21"/>
                <w:szCs w:val="21"/>
                <w:color w:val="auto"/>
              </w:rPr>
            </w:pPr>
          </w:p>
        </w:tc>
        <w:tc>
          <w:tcPr>
            <w:tcW w:w="1060" w:type="dxa"/>
            <w:vAlign w:val="bottom"/>
            <w:vMerge w:val="continue"/>
          </w:tcPr>
          <w:p>
            <w:pPr>
              <w:spacing w:after="0"/>
              <w:rPr>
                <w:sz w:val="21"/>
                <w:szCs w:val="21"/>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148,364</w:t>
            </w:r>
          </w:p>
        </w:tc>
        <w:tc>
          <w:tcPr>
            <w:tcW w:w="280" w:type="dxa"/>
            <w:vAlign w:val="bottom"/>
          </w:tcPr>
          <w:p>
            <w:pPr>
              <w:spacing w:after="0"/>
              <w:rPr>
                <w:sz w:val="21"/>
                <w:szCs w:val="21"/>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23.1%</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94,593</w:t>
            </w:r>
          </w:p>
        </w:tc>
        <w:tc>
          <w:tcPr>
            <w:tcW w:w="280" w:type="dxa"/>
            <w:vAlign w:val="bottom"/>
          </w:tcPr>
          <w:p>
            <w:pPr>
              <w:spacing w:after="0"/>
              <w:rPr>
                <w:sz w:val="21"/>
                <w:szCs w:val="21"/>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0"/>
        </w:trPr>
        <w:tc>
          <w:tcPr>
            <w:tcW w:w="4800" w:type="dxa"/>
            <w:vAlign w:val="bottom"/>
            <w:tcBorders>
              <w:top w:val="single" w:sz="8" w:color="CFF0FC"/>
            </w:tcBorders>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 percentage</w:t>
            </w:r>
          </w:p>
        </w:tc>
        <w:tc>
          <w:tcPr>
            <w:tcW w:w="106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vMerge w:val="continue"/>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21.0%</w:t>
            </w:r>
          </w:p>
        </w:tc>
        <w:tc>
          <w:tcPr>
            <w:tcW w:w="11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18.3%</w:t>
            </w:r>
          </w:p>
        </w:tc>
        <w:tc>
          <w:tcPr>
            <w:tcW w:w="11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Adjusted homebuilding gross margin percentage</w:t>
            </w:r>
          </w:p>
        </w:tc>
        <w:tc>
          <w:tcPr>
            <w:tcW w:w="106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12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vMerge w:val="continue"/>
          </w:tcPr>
          <w:p>
            <w:pPr>
              <w:spacing w:after="0"/>
              <w:rPr>
                <w:sz w:val="18"/>
                <w:szCs w:val="18"/>
                <w:color w:val="auto"/>
              </w:rPr>
            </w:pPr>
          </w:p>
        </w:tc>
        <w:tc>
          <w:tcPr>
            <w:tcW w:w="10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23.1%</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20.0%</w:t>
            </w:r>
          </w:p>
        </w:tc>
        <w:tc>
          <w:tcPr>
            <w:tcW w:w="1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2"/>
        </w:trPr>
        <w:tc>
          <w:tcPr>
            <w:tcW w:w="48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3"/>
              </w:rPr>
              <w:t>Nine Months Ended September 30,</w:t>
            </w:r>
          </w:p>
        </w:tc>
        <w:tc>
          <w:tcPr>
            <w:tcW w:w="1140" w:type="dxa"/>
            <w:vAlign w:val="bottom"/>
            <w:tcBorders>
              <w:bottom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8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jc w:val="right"/>
              <w:ind w:right="352"/>
              <w:spacing w:after="0" w:line="155" w:lineRule="exact"/>
              <w:rPr>
                <w:sz w:val="20"/>
                <w:szCs w:val="20"/>
                <w:color w:val="auto"/>
              </w:rPr>
            </w:pPr>
            <w:r>
              <w:rPr>
                <w:rFonts w:ascii="Arial" w:cs="Arial" w:eastAsia="Arial" w:hAnsi="Arial"/>
                <w:sz w:val="14"/>
                <w:szCs w:val="14"/>
                <w:b w:val="1"/>
                <w:bCs w:val="1"/>
                <w:color w:val="auto"/>
              </w:rPr>
              <w:t>2015</w:t>
            </w:r>
          </w:p>
        </w:tc>
        <w:tc>
          <w:tcPr>
            <w:tcW w:w="28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ind w:left="480"/>
              <w:spacing w:after="0" w:line="155" w:lineRule="exact"/>
              <w:rPr>
                <w:sz w:val="20"/>
                <w:szCs w:val="20"/>
                <w:color w:val="auto"/>
              </w:rPr>
            </w:pPr>
            <w:r>
              <w:rPr>
                <w:rFonts w:ascii="Arial" w:cs="Arial" w:eastAsia="Arial" w:hAnsi="Arial"/>
                <w:sz w:val="14"/>
                <w:szCs w:val="14"/>
                <w:b w:val="1"/>
                <w:bCs w:val="1"/>
                <w:color w:val="auto"/>
              </w:rPr>
              <w:t>%</w:t>
            </w:r>
          </w:p>
        </w:tc>
        <w:tc>
          <w:tcPr>
            <w:tcW w:w="3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413"/>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48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20" w:type="dxa"/>
            <w:vAlign w:val="bottom"/>
            <w:gridSpan w:val="5"/>
          </w:tcPr>
          <w:p>
            <w:pPr>
              <w:ind w:left="480"/>
              <w:spacing w:after="0"/>
              <w:rPr>
                <w:sz w:val="20"/>
                <w:szCs w:val="20"/>
                <w:color w:val="auto"/>
              </w:rPr>
            </w:pPr>
            <w:r>
              <w:rPr>
                <w:rFonts w:ascii="Arial" w:cs="Arial" w:eastAsia="Arial" w:hAnsi="Arial"/>
                <w:sz w:val="18"/>
                <w:szCs w:val="18"/>
                <w:color w:val="auto"/>
              </w:rPr>
              <w:t>(dollars in thousands)</w:t>
            </w: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800" w:type="dxa"/>
            <w:vAlign w:val="bottom"/>
            <w:shd w:val="clear" w:color="auto" w:fill="CFF0FC"/>
          </w:tcPr>
          <w:p>
            <w:pPr>
              <w:spacing w:after="0"/>
              <w:rPr>
                <w:sz w:val="20"/>
                <w:szCs w:val="20"/>
                <w:color w:val="auto"/>
              </w:rPr>
            </w:pPr>
            <w:r>
              <w:rPr>
                <w:rFonts w:ascii="Arial" w:cs="Arial" w:eastAsia="Arial" w:hAnsi="Arial"/>
                <w:sz w:val="18"/>
                <w:szCs w:val="18"/>
                <w:color w:val="auto"/>
              </w:rPr>
              <w:t>Home sales</w:t>
            </w:r>
          </w:p>
        </w:tc>
        <w:tc>
          <w:tcPr>
            <w:tcW w:w="1300" w:type="dxa"/>
            <w:vAlign w:val="bottom"/>
            <w:gridSpan w:val="2"/>
            <w:shd w:val="clear" w:color="auto" w:fill="CFF0FC"/>
          </w:tcPr>
          <w:p>
            <w:pPr>
              <w:jc w:val="right"/>
              <w:ind w:right="85"/>
              <w:spacing w:after="0"/>
              <w:rPr>
                <w:sz w:val="20"/>
                <w:szCs w:val="20"/>
                <w:color w:val="auto"/>
              </w:rPr>
            </w:pPr>
            <w:r>
              <w:rPr>
                <w:rFonts w:ascii="Arial" w:cs="Arial" w:eastAsia="Arial" w:hAnsi="Arial"/>
                <w:sz w:val="18"/>
                <w:szCs w:val="18"/>
                <w:color w:val="auto"/>
              </w:rPr>
              <w:t>$</w:t>
            </w: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1,443,855</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1,023,312</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30"/>
        </w:trPr>
        <w:tc>
          <w:tcPr>
            <w:tcW w:w="4800" w:type="dxa"/>
            <w:vAlign w:val="bottom"/>
          </w:tcPr>
          <w:p>
            <w:pPr>
              <w:spacing w:after="0"/>
              <w:rPr>
                <w:sz w:val="20"/>
                <w:szCs w:val="20"/>
                <w:color w:val="auto"/>
              </w:rPr>
            </w:pPr>
            <w:r>
              <w:rPr>
                <w:rFonts w:ascii="Arial" w:cs="Arial" w:eastAsia="Arial" w:hAnsi="Arial"/>
                <w:sz w:val="18"/>
                <w:szCs w:val="18"/>
                <w:color w:val="auto"/>
              </w:rPr>
              <w:t>Cost of home sales</w:t>
            </w: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1,149,191</w:t>
            </w:r>
          </w:p>
        </w:tc>
        <w:tc>
          <w:tcPr>
            <w:tcW w:w="28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79.6%</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819,377</w:t>
            </w:r>
          </w:p>
        </w:tc>
        <w:tc>
          <w:tcPr>
            <w:tcW w:w="28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80.1%</w:t>
            </w:r>
          </w:p>
        </w:tc>
        <w:tc>
          <w:tcPr>
            <w:tcW w:w="0" w:type="dxa"/>
            <w:vAlign w:val="bottom"/>
          </w:tcPr>
          <w:p>
            <w:pPr>
              <w:spacing w:after="0"/>
              <w:rPr>
                <w:sz w:val="1"/>
                <w:szCs w:val="1"/>
                <w:color w:val="auto"/>
              </w:rPr>
            </w:pPr>
          </w:p>
        </w:tc>
      </w:tr>
      <w:tr>
        <w:trPr>
          <w:trHeight w:val="20"/>
        </w:trPr>
        <w:tc>
          <w:tcPr>
            <w:tcW w:w="480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w:t>
            </w:r>
          </w:p>
        </w:tc>
        <w:tc>
          <w:tcPr>
            <w:tcW w:w="106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4800" w:type="dxa"/>
            <w:vAlign w:val="bottom"/>
            <w:vMerge w:val="continue"/>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294,664</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20.4%</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203,935</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30"/>
        </w:trPr>
        <w:tc>
          <w:tcPr>
            <w:tcW w:w="4800" w:type="dxa"/>
            <w:vAlign w:val="bottom"/>
          </w:tcPr>
          <w:p>
            <w:pPr>
              <w:ind w:left="260"/>
              <w:spacing w:after="0"/>
              <w:rPr>
                <w:sz w:val="20"/>
                <w:szCs w:val="20"/>
                <w:color w:val="auto"/>
              </w:rPr>
            </w:pPr>
            <w:r>
              <w:rPr>
                <w:rFonts w:ascii="Arial" w:cs="Arial" w:eastAsia="Arial" w:hAnsi="Arial"/>
                <w:sz w:val="18"/>
                <w:szCs w:val="18"/>
                <w:color w:val="auto"/>
              </w:rPr>
              <w:t>Add: interest in cost of home sales</w:t>
            </w:r>
          </w:p>
        </w:tc>
        <w:tc>
          <w:tcPr>
            <w:tcW w:w="10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27,540</w:t>
            </w:r>
          </w:p>
        </w:tc>
        <w:tc>
          <w:tcPr>
            <w:tcW w:w="280" w:type="dxa"/>
            <w:vAlign w:val="bottom"/>
          </w:tcPr>
          <w:p>
            <w:pPr>
              <w:spacing w:after="0"/>
              <w:rPr>
                <w:sz w:val="19"/>
                <w:szCs w:val="19"/>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1.9%</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16,342</w:t>
            </w:r>
          </w:p>
        </w:tc>
        <w:tc>
          <w:tcPr>
            <w:tcW w:w="28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30"/>
        </w:trPr>
        <w:tc>
          <w:tcPr>
            <w:tcW w:w="480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Add: impairments and lot option abandonments</w:t>
            </w:r>
          </w:p>
        </w:tc>
        <w:tc>
          <w:tcPr>
            <w:tcW w:w="10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1,593</w:t>
            </w:r>
          </w:p>
        </w:tc>
        <w:tc>
          <w:tcPr>
            <w:tcW w:w="28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897</w:t>
            </w:r>
          </w:p>
        </w:tc>
        <w:tc>
          <w:tcPr>
            <w:tcW w:w="28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4800" w:type="dxa"/>
            <w:vAlign w:val="bottom"/>
            <w:vMerge w:val="restart"/>
          </w:tcPr>
          <w:p>
            <w:pPr>
              <w:spacing w:after="0"/>
              <w:rPr>
                <w:sz w:val="20"/>
                <w:szCs w:val="20"/>
                <w:color w:val="auto"/>
              </w:rPr>
            </w:pPr>
            <w:r>
              <w:rPr>
                <w:rFonts w:ascii="Arial" w:cs="Arial" w:eastAsia="Arial" w:hAnsi="Arial"/>
                <w:sz w:val="18"/>
                <w:szCs w:val="18"/>
                <w:color w:val="auto"/>
              </w:rPr>
              <w:t>Adjusted homebuilding gross margin</w:t>
            </w:r>
          </w:p>
        </w:tc>
        <w:tc>
          <w:tcPr>
            <w:tcW w:w="106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4800" w:type="dxa"/>
            <w:vAlign w:val="bottom"/>
            <w:vMerge w:val="continue"/>
          </w:tcPr>
          <w:p>
            <w:pPr>
              <w:spacing w:after="0"/>
              <w:rPr>
                <w:sz w:val="21"/>
                <w:szCs w:val="21"/>
                <w:color w:val="auto"/>
              </w:rPr>
            </w:pPr>
          </w:p>
        </w:tc>
        <w:tc>
          <w:tcPr>
            <w:tcW w:w="1060" w:type="dxa"/>
            <w:vAlign w:val="bottom"/>
            <w:vMerge w:val="continue"/>
          </w:tcPr>
          <w:p>
            <w:pPr>
              <w:spacing w:after="0"/>
              <w:rPr>
                <w:sz w:val="21"/>
                <w:szCs w:val="21"/>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323,797</w:t>
            </w:r>
          </w:p>
        </w:tc>
        <w:tc>
          <w:tcPr>
            <w:tcW w:w="280" w:type="dxa"/>
            <w:vAlign w:val="bottom"/>
          </w:tcPr>
          <w:p>
            <w:pPr>
              <w:spacing w:after="0"/>
              <w:rPr>
                <w:sz w:val="21"/>
                <w:szCs w:val="21"/>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22.4%</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221,174</w:t>
            </w:r>
          </w:p>
        </w:tc>
        <w:tc>
          <w:tcPr>
            <w:tcW w:w="280" w:type="dxa"/>
            <w:vAlign w:val="bottom"/>
          </w:tcPr>
          <w:p>
            <w:pPr>
              <w:spacing w:after="0"/>
              <w:rPr>
                <w:sz w:val="21"/>
                <w:szCs w:val="21"/>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21.6%</w:t>
            </w:r>
          </w:p>
        </w:tc>
        <w:tc>
          <w:tcPr>
            <w:tcW w:w="0" w:type="dxa"/>
            <w:vAlign w:val="bottom"/>
          </w:tcPr>
          <w:p>
            <w:pPr>
              <w:spacing w:after="0"/>
              <w:rPr>
                <w:sz w:val="1"/>
                <w:szCs w:val="1"/>
                <w:color w:val="auto"/>
              </w:rPr>
            </w:pPr>
          </w:p>
        </w:tc>
      </w:tr>
      <w:tr>
        <w:trPr>
          <w:trHeight w:val="20"/>
        </w:trPr>
        <w:tc>
          <w:tcPr>
            <w:tcW w:w="4800" w:type="dxa"/>
            <w:vAlign w:val="bottom"/>
            <w:tcBorders>
              <w:top w:val="single" w:sz="8" w:color="CFF0FC"/>
            </w:tcBorders>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 percentage</w:t>
            </w:r>
          </w:p>
        </w:tc>
        <w:tc>
          <w:tcPr>
            <w:tcW w:w="106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112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FF0FC"/>
            </w:tcBorders>
            <w:shd w:val="clear" w:color="auto" w:fill="CFF0F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280" w:type="dxa"/>
            <w:vAlign w:val="bottom"/>
            <w:tcBorders>
              <w:top w:val="single" w:sz="8" w:color="CFF0FC"/>
            </w:tcBorders>
            <w:shd w:val="clear" w:color="auto" w:fill="CFF0F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vMerge w:val="continue"/>
            <w:shd w:val="clear" w:color="auto" w:fill="CFF0FC"/>
          </w:tcPr>
          <w:p>
            <w:pPr>
              <w:spacing w:after="0"/>
              <w:rPr>
                <w:sz w:val="18"/>
                <w:szCs w:val="18"/>
                <w:color w:val="auto"/>
              </w:rPr>
            </w:pPr>
          </w:p>
        </w:tc>
        <w:tc>
          <w:tcPr>
            <w:tcW w:w="10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20.4%</w:t>
            </w:r>
          </w:p>
        </w:tc>
        <w:tc>
          <w:tcPr>
            <w:tcW w:w="112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16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19.9%</w:t>
            </w:r>
          </w:p>
        </w:tc>
        <w:tc>
          <w:tcPr>
            <w:tcW w:w="11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Adjusted homebuilding gross margin percentage</w:t>
            </w:r>
          </w:p>
        </w:tc>
        <w:tc>
          <w:tcPr>
            <w:tcW w:w="106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12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vMerge w:val="continue"/>
          </w:tcPr>
          <w:p>
            <w:pPr>
              <w:spacing w:after="0"/>
              <w:rPr>
                <w:sz w:val="18"/>
                <w:szCs w:val="18"/>
                <w:color w:val="auto"/>
              </w:rPr>
            </w:pPr>
          </w:p>
        </w:tc>
        <w:tc>
          <w:tcPr>
            <w:tcW w:w="10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8"/>
                <w:szCs w:val="18"/>
                <w:color w:val="auto"/>
              </w:rPr>
              <w:t>22.4%</w:t>
            </w:r>
          </w:p>
        </w:tc>
        <w:tc>
          <w:tcPr>
            <w:tcW w:w="1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60" w:type="dxa"/>
            <w:vAlign w:val="bottom"/>
            <w:gridSpan w:val="2"/>
          </w:tcPr>
          <w:p>
            <w:pPr>
              <w:jc w:val="right"/>
              <w:ind w:right="120"/>
              <w:spacing w:after="0"/>
              <w:rPr>
                <w:sz w:val="20"/>
                <w:szCs w:val="20"/>
                <w:color w:val="auto"/>
              </w:rPr>
            </w:pPr>
            <w:r>
              <w:rPr>
                <w:rFonts w:ascii="Arial" w:cs="Arial" w:eastAsia="Arial" w:hAnsi="Arial"/>
                <w:sz w:val="18"/>
                <w:szCs w:val="18"/>
                <w:color w:val="auto"/>
              </w:rPr>
              <w:t>21.6%</w:t>
            </w:r>
          </w:p>
        </w:tc>
        <w:tc>
          <w:tcPr>
            <w:tcW w:w="1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61"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4375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1946910" cy="437515"/>
                    </a:xfrm>
                    <a:prstGeom prst="rect">
                      <a:avLst/>
                    </a:prstGeom>
                    <a:noFill/>
                  </pic:spPr>
                </pic:pic>
              </a:graphicData>
            </a:graphic>
          </wp:anchor>
        </w:drawing>
        <w:t>RECONCILIATION OF NON-GAAP FINANCIAL MEASURES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11" w:lineRule="exact"/>
        <w:rPr>
          <w:sz w:val="20"/>
          <w:szCs w:val="20"/>
          <w:color w:val="auto"/>
        </w:rPr>
      </w:pPr>
    </w:p>
    <w:p>
      <w:pPr>
        <w:ind w:right="120" w:firstLine="518"/>
        <w:spacing w:after="0" w:line="264" w:lineRule="auto"/>
        <w:rPr>
          <w:sz w:val="20"/>
          <w:szCs w:val="20"/>
          <w:color w:val="auto"/>
        </w:rPr>
      </w:pPr>
      <w:r>
        <w:rPr>
          <w:rFonts w:ascii="Arial" w:cs="Arial" w:eastAsia="Arial" w:hAnsi="Arial"/>
          <w:sz w:val="18"/>
          <w:szCs w:val="18"/>
          <w:color w:val="auto"/>
        </w:rPr>
        <w:t>The following table reconciles the Company’s ratio of debt-to-capital to the ratio of net debt-to-capital. We believe that the ratio of net debt-to-capital is a relevant financial measure for management and investors to understand the leverage employed in our operations and as an indicator of the Company’s ability to obtain financing.</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8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September 30,</w:t>
            </w: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60" w:type="dxa"/>
            <w:vAlign w:val="bottom"/>
            <w:gridSpan w:val="2"/>
          </w:tcPr>
          <w:p>
            <w:pPr>
              <w:jc w:val="right"/>
              <w:ind w:right="6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jc w:val="right"/>
              <w:ind w:right="632"/>
              <w:spacing w:after="0"/>
              <w:rPr>
                <w:sz w:val="20"/>
                <w:szCs w:val="20"/>
                <w:color w:val="auto"/>
              </w:rPr>
            </w:pPr>
            <w:r>
              <w:rPr>
                <w:rFonts w:ascii="Arial" w:cs="Arial" w:eastAsia="Arial" w:hAnsi="Arial"/>
                <w:sz w:val="14"/>
                <w:szCs w:val="14"/>
                <w:b w:val="1"/>
                <w:bCs w:val="1"/>
                <w:color w:val="auto"/>
              </w:rPr>
              <w:t>2015</w:t>
            </w:r>
          </w:p>
        </w:tc>
        <w:tc>
          <w:tcPr>
            <w:tcW w:w="22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tcPr>
          <w:p>
            <w:pPr>
              <w:jc w:val="right"/>
              <w:ind w:right="652"/>
              <w:spacing w:after="0"/>
              <w:rPr>
                <w:sz w:val="20"/>
                <w:szCs w:val="20"/>
                <w:color w:val="auto"/>
              </w:rPr>
            </w:pPr>
            <w:r>
              <w:rPr>
                <w:rFonts w:ascii="Arial" w:cs="Arial" w:eastAsia="Arial" w:hAnsi="Arial"/>
                <w:sz w:val="14"/>
                <w:szCs w:val="14"/>
                <w:b w:val="1"/>
                <w:bCs w:val="1"/>
                <w:color w:val="auto"/>
              </w:rPr>
              <w:t>2014</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4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480" w:type="dxa"/>
            <w:vAlign w:val="bottom"/>
            <w:gridSpan w:val="5"/>
          </w:tcPr>
          <w:p>
            <w:pPr>
              <w:jc w:val="right"/>
              <w:ind w:right="1012"/>
              <w:spacing w:after="0"/>
              <w:rPr>
                <w:sz w:val="20"/>
                <w:szCs w:val="20"/>
                <w:color w:val="auto"/>
              </w:rPr>
            </w:pPr>
            <w:r>
              <w:rPr>
                <w:rFonts w:ascii="Arial" w:cs="Arial" w:eastAsia="Arial" w:hAnsi="Arial"/>
                <w:sz w:val="18"/>
                <w:szCs w:val="18"/>
                <w:color w:val="auto"/>
              </w:rPr>
              <w:t>(dollars in thousands)</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Unsecured revolving credit facility</w:t>
            </w:r>
          </w:p>
        </w:tc>
        <w:tc>
          <w:tcPr>
            <w:tcW w:w="274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349,392</w:t>
            </w:r>
          </w:p>
        </w:tc>
        <w:tc>
          <w:tcPr>
            <w:tcW w:w="22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260,000</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Seller financed loans</w:t>
            </w:r>
          </w:p>
        </w:tc>
        <w:tc>
          <w:tcPr>
            <w:tcW w:w="24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7,572</w:t>
            </w: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14,677</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Senior Notes</w:t>
            </w:r>
          </w:p>
        </w:tc>
        <w:tc>
          <w:tcPr>
            <w:tcW w:w="24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888,657</w:t>
            </w:r>
          </w:p>
        </w:tc>
        <w:tc>
          <w:tcPr>
            <w:tcW w:w="2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887,502</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Pr>
          <w:p>
            <w:pPr>
              <w:ind w:left="120"/>
              <w:spacing w:after="0"/>
              <w:rPr>
                <w:sz w:val="20"/>
                <w:szCs w:val="20"/>
                <w:color w:val="auto"/>
              </w:rPr>
            </w:pPr>
            <w:r>
              <w:rPr>
                <w:rFonts w:ascii="Arial" w:cs="Arial" w:eastAsia="Arial" w:hAnsi="Arial"/>
                <w:sz w:val="18"/>
                <w:szCs w:val="18"/>
                <w:color w:val="auto"/>
              </w:rPr>
              <w:t>Total debt</w:t>
            </w:r>
          </w:p>
        </w:tc>
        <w:tc>
          <w:tcPr>
            <w:tcW w:w="24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1,245,621</w:t>
            </w: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1,162,179</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Stockholders' equity</w:t>
            </w:r>
          </w:p>
        </w:tc>
        <w:tc>
          <w:tcPr>
            <w:tcW w:w="248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1,576,176</w:t>
            </w:r>
          </w:p>
        </w:tc>
        <w:tc>
          <w:tcPr>
            <w:tcW w:w="2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1,454,180</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500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Total capital</w:t>
            </w:r>
          </w:p>
        </w:tc>
        <w:tc>
          <w:tcPr>
            <w:tcW w:w="248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2,821,797</w:t>
            </w:r>
          </w:p>
        </w:tc>
        <w:tc>
          <w:tcPr>
            <w:tcW w:w="220" w:type="dxa"/>
            <w:vAlign w:val="bottom"/>
            <w:tcBorders>
              <w:bottom w:val="single" w:sz="8" w:color="CFF0FC"/>
            </w:tcBorders>
          </w:tcPr>
          <w:p>
            <w:pPr>
              <w:spacing w:after="0"/>
              <w:rPr>
                <w:sz w:val="22"/>
                <w:szCs w:val="22"/>
                <w:color w:val="auto"/>
              </w:rPr>
            </w:pPr>
          </w:p>
        </w:tc>
        <w:tc>
          <w:tcPr>
            <w:tcW w:w="6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2,616,359</w:t>
            </w:r>
          </w:p>
        </w:tc>
        <w:tc>
          <w:tcPr>
            <w:tcW w:w="18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15"/>
                <w:szCs w:val="15"/>
                <w:color w:val="auto"/>
              </w:rPr>
              <w:t>(1)</w:t>
            </w:r>
          </w:p>
        </w:tc>
        <w:tc>
          <w:tcPr>
            <w:tcW w:w="24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68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44.1%</w:t>
            </w:r>
          </w:p>
        </w:tc>
        <w:tc>
          <w:tcPr>
            <w:tcW w:w="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6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Borders>
              <w:top w:val="single" w:sz="8" w:color="CFF0FC"/>
            </w:tcBorders>
          </w:tcPr>
          <w:p>
            <w:pPr>
              <w:spacing w:after="0" w:line="20" w:lineRule="exact"/>
              <w:rPr>
                <w:sz w:val="1"/>
                <w:szCs w:val="1"/>
                <w:color w:val="auto"/>
              </w:rPr>
            </w:pPr>
          </w:p>
        </w:tc>
        <w:tc>
          <w:tcPr>
            <w:tcW w:w="24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500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Total debt</w:t>
            </w:r>
          </w:p>
        </w:tc>
        <w:tc>
          <w:tcPr>
            <w:tcW w:w="274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1,245,621</w:t>
            </w:r>
          </w:p>
        </w:tc>
        <w:tc>
          <w:tcPr>
            <w:tcW w:w="22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1,162,179</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Less: Cash and cash equivalents</w:t>
            </w:r>
          </w:p>
        </w:tc>
        <w:tc>
          <w:tcPr>
            <w:tcW w:w="24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80" w:type="dxa"/>
            <w:vAlign w:val="bottom"/>
            <w:gridSpan w:val="2"/>
          </w:tcPr>
          <w:p>
            <w:pPr>
              <w:jc w:val="right"/>
              <w:ind w:right="160"/>
              <w:spacing w:after="0"/>
              <w:rPr>
                <w:sz w:val="20"/>
                <w:szCs w:val="20"/>
                <w:color w:val="auto"/>
              </w:rPr>
            </w:pPr>
            <w:r>
              <w:rPr>
                <w:rFonts w:ascii="Arial" w:cs="Arial" w:eastAsia="Arial" w:hAnsi="Arial"/>
                <w:sz w:val="18"/>
                <w:szCs w:val="18"/>
                <w:color w:val="auto"/>
              </w:rPr>
              <w:t>(96,993)</w:t>
            </w:r>
          </w:p>
        </w:tc>
        <w:tc>
          <w:tcPr>
            <w:tcW w:w="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60" w:type="dxa"/>
            <w:vAlign w:val="bottom"/>
            <w:gridSpan w:val="2"/>
          </w:tcPr>
          <w:p>
            <w:pPr>
              <w:jc w:val="right"/>
              <w:ind w:right="120"/>
              <w:spacing w:after="0"/>
              <w:rPr>
                <w:sz w:val="20"/>
                <w:szCs w:val="20"/>
                <w:color w:val="auto"/>
              </w:rPr>
            </w:pPr>
            <w:r>
              <w:rPr>
                <w:rFonts w:ascii="Arial" w:cs="Arial" w:eastAsia="Arial" w:hAnsi="Arial"/>
                <w:sz w:val="18"/>
                <w:szCs w:val="18"/>
                <w:color w:val="auto"/>
              </w:rPr>
              <w:t>(170,629)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Borders>
              <w:top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Net debt</w:t>
            </w:r>
          </w:p>
        </w:tc>
        <w:tc>
          <w:tcPr>
            <w:tcW w:w="248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1,148,628</w:t>
            </w:r>
          </w:p>
        </w:tc>
        <w:tc>
          <w:tcPr>
            <w:tcW w:w="2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4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991,550</w:t>
            </w:r>
          </w:p>
        </w:tc>
        <w:tc>
          <w:tcPr>
            <w:tcW w:w="1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Stockholders' equity</w:t>
            </w:r>
          </w:p>
        </w:tc>
        <w:tc>
          <w:tcPr>
            <w:tcW w:w="248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1,576,176</w:t>
            </w:r>
          </w:p>
        </w:tc>
        <w:tc>
          <w:tcPr>
            <w:tcW w:w="220" w:type="dxa"/>
            <w:vAlign w:val="bottom"/>
            <w:tcBorders>
              <w:bottom w:val="single" w:sz="8" w:color="CFF0FC"/>
            </w:tcBorders>
          </w:tcPr>
          <w:p>
            <w:pPr>
              <w:spacing w:after="0"/>
              <w:rPr>
                <w:sz w:val="19"/>
                <w:szCs w:val="19"/>
                <w:color w:val="auto"/>
              </w:rPr>
            </w:pPr>
          </w:p>
        </w:tc>
        <w:tc>
          <w:tcPr>
            <w:tcW w:w="6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1,454,180</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Borders>
              <w:bottom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Total capital</w:t>
            </w:r>
          </w:p>
        </w:tc>
        <w:tc>
          <w:tcPr>
            <w:tcW w:w="248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2,724,804</w:t>
            </w:r>
          </w:p>
        </w:tc>
        <w:tc>
          <w:tcPr>
            <w:tcW w:w="220" w:type="dxa"/>
            <w:vAlign w:val="bottom"/>
            <w:tcBorders>
              <w:bottom w:val="single" w:sz="8" w:color="CFF0FC"/>
            </w:tcBorders>
            <w:shd w:val="clear" w:color="auto" w:fill="CFF0FC"/>
          </w:tcPr>
          <w:p>
            <w:pPr>
              <w:spacing w:after="0"/>
              <w:rPr>
                <w:sz w:val="19"/>
                <w:szCs w:val="19"/>
                <w:color w:val="auto"/>
              </w:rPr>
            </w:pPr>
          </w:p>
        </w:tc>
        <w:tc>
          <w:tcPr>
            <w:tcW w:w="6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2,445,730</w:t>
            </w:r>
          </w:p>
        </w:tc>
        <w:tc>
          <w:tcPr>
            <w:tcW w:w="1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20" w:type="dxa"/>
            <w:vAlign w:val="bottom"/>
            <w:gridSpan w:val="2"/>
            <w:vMerge w:val="restart"/>
          </w:tcPr>
          <w:p>
            <w:pPr>
              <w:spacing w:after="0"/>
              <w:rPr>
                <w:sz w:val="20"/>
                <w:szCs w:val="20"/>
                <w:color w:val="auto"/>
              </w:rPr>
            </w:pPr>
            <w:r>
              <w:rPr>
                <w:rFonts w:ascii="Arial" w:cs="Arial" w:eastAsia="Arial" w:hAnsi="Arial"/>
                <w:sz w:val="18"/>
                <w:szCs w:val="18"/>
                <w:color w:val="auto"/>
              </w:rPr>
              <w:t>Ratio of net debt-to-capital</w:t>
            </w:r>
            <w:r>
              <w:rPr>
                <w:rFonts w:ascii="Arial" w:cs="Arial" w:eastAsia="Arial" w:hAnsi="Arial"/>
                <w:sz w:val="15"/>
                <w:szCs w:val="15"/>
                <w:color w:val="auto"/>
              </w:rPr>
              <w:t>(2)</w:t>
            </w:r>
          </w:p>
        </w:tc>
        <w:tc>
          <w:tcPr>
            <w:tcW w:w="24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20" w:type="dxa"/>
            <w:vAlign w:val="bottom"/>
            <w:gridSpan w:val="2"/>
            <w:vMerge w:val="continue"/>
          </w:tcPr>
          <w:p>
            <w:pPr>
              <w:spacing w:after="0"/>
              <w:rPr>
                <w:sz w:val="18"/>
                <w:szCs w:val="18"/>
                <w:color w:val="auto"/>
              </w:rPr>
            </w:pPr>
          </w:p>
        </w:tc>
        <w:tc>
          <w:tcPr>
            <w:tcW w:w="24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80" w:type="dxa"/>
            <w:vAlign w:val="bottom"/>
            <w:gridSpan w:val="2"/>
          </w:tcPr>
          <w:p>
            <w:pPr>
              <w:jc w:val="right"/>
              <w:ind w:right="80"/>
              <w:spacing w:after="0"/>
              <w:rPr>
                <w:sz w:val="20"/>
                <w:szCs w:val="20"/>
                <w:color w:val="auto"/>
              </w:rPr>
            </w:pPr>
            <w:r>
              <w:rPr>
                <w:rFonts w:ascii="Arial" w:cs="Arial" w:eastAsia="Arial" w:hAnsi="Arial"/>
                <w:sz w:val="18"/>
                <w:szCs w:val="18"/>
                <w:color w:val="auto"/>
              </w:rPr>
              <w:t>42.2%</w:t>
            </w: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60" w:type="dxa"/>
            <w:vAlign w:val="bottom"/>
            <w:gridSpan w:val="2"/>
          </w:tcPr>
          <w:p>
            <w:pPr>
              <w:jc w:val="right"/>
              <w:ind w:right="40"/>
              <w:spacing w:after="0"/>
              <w:rPr>
                <w:sz w:val="20"/>
                <w:szCs w:val="20"/>
                <w:color w:val="auto"/>
              </w:rPr>
            </w:pPr>
            <w:r>
              <w:rPr>
                <w:rFonts w:ascii="Arial" w:cs="Arial" w:eastAsia="Arial" w:hAnsi="Arial"/>
                <w:sz w:val="18"/>
                <w:szCs w:val="18"/>
                <w:color w:val="auto"/>
              </w:rPr>
              <w:t>40.5%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520" w:hanging="512"/>
        <w:spacing w:after="0"/>
        <w:tabs>
          <w:tab w:leader="none" w:pos="520" w:val="left"/>
        </w:tabs>
        <w:numPr>
          <w:ilvl w:val="0"/>
          <w:numId w:val="8"/>
        </w:numPr>
        <w:rPr>
          <w:rFonts w:ascii="Arial" w:cs="Arial" w:eastAsia="Arial" w:hAnsi="Arial"/>
          <w:sz w:val="15"/>
          <w:szCs w:val="15"/>
          <w:color w:val="auto"/>
        </w:rPr>
      </w:pPr>
      <w:r>
        <w:rPr>
          <w:rFonts w:ascii="Arial" w:cs="Arial" w:eastAsia="Arial" w:hAnsi="Arial"/>
          <w:sz w:val="18"/>
          <w:szCs w:val="18"/>
          <w:color w:val="auto"/>
        </w:rPr>
        <w:t>The ratio of debt-to-capital is computed as the quotient obtained by dividing debt by the sum of debt plus equity.</w:t>
      </w:r>
    </w:p>
    <w:p>
      <w:pPr>
        <w:spacing w:after="0" w:line="23" w:lineRule="exact"/>
        <w:rPr>
          <w:rFonts w:ascii="Arial" w:cs="Arial" w:eastAsia="Arial" w:hAnsi="Arial"/>
          <w:sz w:val="15"/>
          <w:szCs w:val="15"/>
          <w:color w:val="auto"/>
        </w:rPr>
      </w:pPr>
    </w:p>
    <w:p>
      <w:pPr>
        <w:ind w:left="520" w:right="160" w:hanging="512"/>
        <w:spacing w:after="0" w:line="261" w:lineRule="auto"/>
        <w:tabs>
          <w:tab w:leader="none" w:pos="520" w:val="left"/>
        </w:tabs>
        <w:numPr>
          <w:ilvl w:val="0"/>
          <w:numId w:val="8"/>
        </w:numPr>
        <w:rPr>
          <w:rFonts w:ascii="Arial" w:cs="Arial" w:eastAsia="Arial" w:hAnsi="Arial"/>
          <w:sz w:val="15"/>
          <w:szCs w:val="15"/>
          <w:color w:val="auto"/>
        </w:rPr>
      </w:pPr>
      <w:r>
        <w:rPr>
          <w:rFonts w:ascii="Arial" w:cs="Arial" w:eastAsia="Arial" w:hAnsi="Arial"/>
          <w:sz w:val="18"/>
          <w:szCs w:val="18"/>
          <w:color w:val="auto"/>
        </w:rPr>
        <w:t>The ratio of net debt-to-capital is computed as the quotient obtained by dividing net debt (which is debt less cash and cash equivalents) by the sum of net debt plus equity. The most directly comparable GAAP financial measure is the ratio of debt-to-capital.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69"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4375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1946910" cy="437515"/>
                    </a:xfrm>
                    <a:prstGeom prst="rect">
                      <a:avLst/>
                    </a:prstGeom>
                    <a:noFill/>
                  </pic:spPr>
                </pic:pic>
              </a:graphicData>
            </a:graphic>
          </wp:anchor>
        </w:drawing>
        <w:t>RECONCILIATION OF NON-GAAP FINANCIAL MEASURES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11" w:lineRule="exact"/>
        <w:rPr>
          <w:sz w:val="20"/>
          <w:szCs w:val="20"/>
          <w:color w:val="auto"/>
        </w:rPr>
      </w:pPr>
    </w:p>
    <w:p>
      <w:pPr>
        <w:ind w:right="220" w:firstLine="518"/>
        <w:spacing w:after="0" w:line="255" w:lineRule="auto"/>
        <w:rPr>
          <w:sz w:val="20"/>
          <w:szCs w:val="20"/>
          <w:color w:val="auto"/>
        </w:rPr>
      </w:pPr>
      <w:r>
        <w:rPr>
          <w:rFonts w:ascii="Arial" w:cs="Arial" w:eastAsia="Arial" w:hAnsi="Arial"/>
          <w:sz w:val="18"/>
          <w:szCs w:val="18"/>
          <w:color w:val="auto"/>
        </w:rPr>
        <w:t>The following table calculates the non-GAAP measures of EBITDA and Adjusted EBITDA and reconciles those amounts to net income (loss), as reported and prepared in accordance with GAAP. EBITDA means net income (loss) before (a) interest expense, (b) income taxes, (c) depreciation and amortization, (d) expensing of previously capitalized interest included in costs of home sales and (e) amortization of stock-based compensation. Adjusted EBITDA means EBITDA before (f) restructuring expenses (g) impairment and lot option abandonments and (h) transaction related expenses. Other companies may calculate EBITDA and Adjusted EBITDA (or similarly titled measures) differently. We believe EBITDA and Adjusted EBITDA are useful measures of the Company’s ability to service debt and obtain financing.</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66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460" w:type="dxa"/>
            <w:vAlign w:val="bottom"/>
            <w:gridSpan w:val="5"/>
          </w:tcPr>
          <w:p>
            <w:pPr>
              <w:jc w:val="right"/>
              <w:ind w:right="840"/>
              <w:spacing w:after="0"/>
              <w:rPr>
                <w:sz w:val="20"/>
                <w:szCs w:val="20"/>
                <w:color w:val="auto"/>
              </w:rPr>
            </w:pPr>
            <w:r>
              <w:rPr>
                <w:rFonts w:ascii="Arial" w:cs="Arial" w:eastAsia="Arial" w:hAnsi="Arial"/>
                <w:sz w:val="14"/>
                <w:szCs w:val="14"/>
                <w:b w:val="1"/>
                <w:bCs w:val="1"/>
                <w:color w:val="auto"/>
              </w:rPr>
              <w:t>Three Months Ended</w:t>
            </w:r>
          </w:p>
        </w:tc>
        <w:tc>
          <w:tcPr>
            <w:tcW w:w="460" w:type="dxa"/>
            <w:vAlign w:val="bottom"/>
          </w:tcPr>
          <w:p>
            <w:pPr>
              <w:spacing w:after="0"/>
              <w:rPr>
                <w:sz w:val="16"/>
                <w:szCs w:val="16"/>
                <w:color w:val="auto"/>
              </w:rPr>
            </w:pPr>
          </w:p>
        </w:tc>
        <w:tc>
          <w:tcPr>
            <w:tcW w:w="2240" w:type="dxa"/>
            <w:vAlign w:val="bottom"/>
            <w:gridSpan w:val="5"/>
          </w:tcPr>
          <w:p>
            <w:pPr>
              <w:jc w:val="right"/>
              <w:ind w:right="800"/>
              <w:spacing w:after="0"/>
              <w:rPr>
                <w:sz w:val="20"/>
                <w:szCs w:val="20"/>
                <w:color w:val="auto"/>
              </w:rPr>
            </w:pPr>
            <w:r>
              <w:rPr>
                <w:rFonts w:ascii="Arial" w:cs="Arial" w:eastAsia="Arial" w:hAnsi="Arial"/>
                <w:sz w:val="14"/>
                <w:szCs w:val="14"/>
                <w:b w:val="1"/>
                <w:bCs w:val="1"/>
                <w:color w:val="auto"/>
              </w:rPr>
              <w:t>Nine Months Ended</w:t>
            </w:r>
          </w:p>
        </w:tc>
      </w:tr>
      <w:tr>
        <w:trPr>
          <w:trHeight w:val="255"/>
        </w:trPr>
        <w:tc>
          <w:tcPr>
            <w:tcW w:w="46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60" w:type="dxa"/>
            <w:vAlign w:val="bottom"/>
            <w:tcBorders>
              <w:bottom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September 30,</w:t>
            </w:r>
          </w:p>
        </w:tc>
        <w:tc>
          <w:tcPr>
            <w:tcW w:w="7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r>
      <w:tr>
        <w:trPr>
          <w:trHeight w:val="223"/>
        </w:trPr>
        <w:tc>
          <w:tcPr>
            <w:tcW w:w="46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2015</w:t>
            </w:r>
          </w:p>
        </w:tc>
        <w:tc>
          <w:tcPr>
            <w:tcW w:w="2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ind w:right="291"/>
              <w:spacing w:after="0"/>
              <w:rPr>
                <w:sz w:val="20"/>
                <w:szCs w:val="20"/>
                <w:color w:val="auto"/>
              </w:rPr>
            </w:pPr>
            <w:r>
              <w:rPr>
                <w:rFonts w:ascii="Arial" w:cs="Arial" w:eastAsia="Arial" w:hAnsi="Arial"/>
                <w:sz w:val="14"/>
                <w:szCs w:val="14"/>
                <w:b w:val="1"/>
                <w:bCs w:val="1"/>
                <w:color w:val="auto"/>
              </w:rPr>
              <w:t>2014</w:t>
            </w:r>
          </w:p>
        </w:tc>
        <w:tc>
          <w:tcPr>
            <w:tcW w:w="22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w w:val="96"/>
              </w:rPr>
              <w:t>2015</w:t>
            </w:r>
          </w:p>
        </w:tc>
        <w:tc>
          <w:tcPr>
            <w:tcW w:w="2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ind w:right="311"/>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19"/>
                <w:szCs w:val="19"/>
                <w:color w:val="auto"/>
              </w:rPr>
            </w:pPr>
          </w:p>
        </w:tc>
      </w:tr>
      <w:tr>
        <w:trPr>
          <w:trHeight w:val="223"/>
        </w:trPr>
        <w:tc>
          <w:tcPr>
            <w:tcW w:w="46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40" w:type="dxa"/>
            <w:vAlign w:val="bottom"/>
            <w:gridSpan w:val="3"/>
          </w:tcPr>
          <w:p>
            <w:pPr>
              <w:jc w:val="right"/>
              <w:spacing w:after="0"/>
              <w:rPr>
                <w:sz w:val="20"/>
                <w:szCs w:val="20"/>
                <w:color w:val="auto"/>
              </w:rPr>
            </w:pPr>
            <w:r>
              <w:rPr>
                <w:rFonts w:ascii="Arial" w:cs="Arial" w:eastAsia="Arial" w:hAnsi="Arial"/>
                <w:sz w:val="18"/>
                <w:szCs w:val="18"/>
                <w:color w:val="auto"/>
              </w:rPr>
              <w:t>(in thousands)</w:t>
            </w: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4660" w:type="dxa"/>
            <w:vAlign w:val="bottom"/>
            <w:shd w:val="clear" w:color="auto" w:fill="CFF0FC"/>
          </w:tcPr>
          <w:p>
            <w:pPr>
              <w:spacing w:after="0"/>
              <w:rPr>
                <w:sz w:val="20"/>
                <w:szCs w:val="20"/>
                <w:color w:val="auto"/>
              </w:rPr>
            </w:pPr>
            <w:r>
              <w:rPr>
                <w:rFonts w:ascii="Arial" w:cs="Arial" w:eastAsia="Arial" w:hAnsi="Arial"/>
                <w:sz w:val="18"/>
                <w:szCs w:val="18"/>
                <w:color w:val="auto"/>
              </w:rPr>
              <w:t>Net income available to common shareholders</w:t>
            </w:r>
          </w:p>
        </w:tc>
        <w:tc>
          <w:tcPr>
            <w:tcW w:w="160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50,162</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10,965</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120,389</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42,771</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46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Interest incurred</w:t>
            </w:r>
          </w:p>
        </w:tc>
        <w:tc>
          <w:tcPr>
            <w:tcW w:w="13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15,454</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15,129</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45,779</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25,718</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Pr>
          <w:p>
            <w:pPr>
              <w:ind w:left="500"/>
              <w:spacing w:after="0"/>
              <w:rPr>
                <w:sz w:val="20"/>
                <w:szCs w:val="20"/>
                <w:color w:val="auto"/>
              </w:rPr>
            </w:pPr>
            <w:r>
              <w:rPr>
                <w:rFonts w:ascii="Arial" w:cs="Arial" w:eastAsia="Arial" w:hAnsi="Arial"/>
                <w:sz w:val="18"/>
                <w:szCs w:val="18"/>
                <w:color w:val="auto"/>
              </w:rPr>
              <w:t>Interest capitalized</w:t>
            </w: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8"/>
                <w:szCs w:val="18"/>
                <w:color w:val="auto"/>
              </w:rPr>
              <w:t>(15,454)</w:t>
            </w:r>
          </w:p>
        </w:tc>
        <w:tc>
          <w:tcPr>
            <w:tcW w:w="40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(14,839)</w:t>
            </w:r>
          </w:p>
        </w:tc>
        <w:tc>
          <w:tcPr>
            <w:tcW w:w="460" w:type="dxa"/>
            <w:vAlign w:val="bottom"/>
          </w:tcPr>
          <w:p>
            <w:pPr>
              <w:spacing w:after="0"/>
              <w:rPr>
                <w:sz w:val="19"/>
                <w:szCs w:val="19"/>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rPr>
              <w:t>(45,779)</w:t>
            </w:r>
          </w:p>
        </w:tc>
        <w:tc>
          <w:tcPr>
            <w:tcW w:w="420" w:type="dxa"/>
            <w:vAlign w:val="bottom"/>
          </w:tcPr>
          <w:p>
            <w:pPr>
              <w:spacing w:after="0"/>
              <w:rPr>
                <w:sz w:val="19"/>
                <w:szCs w:val="19"/>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(22,987)</w:t>
            </w:r>
          </w:p>
        </w:tc>
      </w:tr>
      <w:tr>
        <w:trPr>
          <w:trHeight w:val="230"/>
        </w:trPr>
        <w:tc>
          <w:tcPr>
            <w:tcW w:w="46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interest in cost of sales</w:t>
            </w:r>
          </w:p>
        </w:tc>
        <w:tc>
          <w:tcPr>
            <w:tcW w:w="13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13,339</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7,835</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28,019</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40,451</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Pr>
          <w:p>
            <w:pPr>
              <w:ind w:left="260"/>
              <w:spacing w:after="0"/>
              <w:rPr>
                <w:sz w:val="20"/>
                <w:szCs w:val="20"/>
                <w:color w:val="auto"/>
              </w:rPr>
            </w:pPr>
            <w:r>
              <w:rPr>
                <w:rFonts w:ascii="Arial" w:cs="Arial" w:eastAsia="Arial" w:hAnsi="Arial"/>
                <w:sz w:val="18"/>
                <w:szCs w:val="18"/>
                <w:color w:val="auto"/>
              </w:rPr>
              <w:t>Provision for income taxes</w:t>
            </w: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28,021</w:t>
            </w: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6,021</w:t>
            </w:r>
          </w:p>
        </w:tc>
        <w:tc>
          <w:tcPr>
            <w:tcW w:w="2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66,088</w:t>
            </w: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16,352</w:t>
            </w:r>
          </w:p>
        </w:tc>
        <w:tc>
          <w:tcPr>
            <w:tcW w:w="120" w:type="dxa"/>
            <w:vAlign w:val="bottom"/>
          </w:tcPr>
          <w:p>
            <w:pPr>
              <w:spacing w:after="0"/>
              <w:rPr>
                <w:sz w:val="19"/>
                <w:szCs w:val="19"/>
                <w:color w:val="auto"/>
              </w:rPr>
            </w:pPr>
          </w:p>
        </w:tc>
      </w:tr>
      <w:tr>
        <w:trPr>
          <w:trHeight w:val="230"/>
        </w:trPr>
        <w:tc>
          <w:tcPr>
            <w:tcW w:w="46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13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2,244</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4,489</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5,414</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10,719</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Amortization of stock-based compensation</w:t>
            </w:r>
          </w:p>
        </w:tc>
        <w:tc>
          <w:tcPr>
            <w:tcW w:w="130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2,994</w:t>
            </w:r>
          </w:p>
        </w:tc>
        <w:tc>
          <w:tcPr>
            <w:tcW w:w="220" w:type="dxa"/>
            <w:vAlign w:val="bottom"/>
            <w:tcBorders>
              <w:bottom w:val="single" w:sz="8" w:color="CFF0FC"/>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3,547</w:t>
            </w:r>
          </w:p>
        </w:tc>
        <w:tc>
          <w:tcPr>
            <w:tcW w:w="220" w:type="dxa"/>
            <w:vAlign w:val="bottom"/>
            <w:tcBorders>
              <w:bottom w:val="single" w:sz="8" w:color="CFF0FC"/>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8,536</w:t>
            </w:r>
          </w:p>
        </w:tc>
        <w:tc>
          <w:tcPr>
            <w:tcW w:w="200" w:type="dxa"/>
            <w:vAlign w:val="bottom"/>
            <w:tcBorders>
              <w:bottom w:val="single" w:sz="8" w:color="CFF0FC"/>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6,250</w:t>
            </w:r>
          </w:p>
        </w:tc>
        <w:tc>
          <w:tcPr>
            <w:tcW w:w="120" w:type="dxa"/>
            <w:vAlign w:val="bottom"/>
            <w:tcBorders>
              <w:bottom w:val="single" w:sz="8" w:color="CFF0FC"/>
            </w:tcBorders>
          </w:tcPr>
          <w:p>
            <w:pPr>
              <w:spacing w:after="0"/>
              <w:rPr>
                <w:sz w:val="19"/>
                <w:szCs w:val="19"/>
                <w:color w:val="auto"/>
              </w:rPr>
            </w:pPr>
          </w:p>
        </w:tc>
      </w:tr>
      <w:tr>
        <w:trPr>
          <w:trHeight w:val="223"/>
        </w:trPr>
        <w:tc>
          <w:tcPr>
            <w:tcW w:w="4660" w:type="dxa"/>
            <w:vAlign w:val="bottom"/>
            <w:shd w:val="clear" w:color="auto" w:fill="CFF0FC"/>
          </w:tcPr>
          <w:p>
            <w:pPr>
              <w:spacing w:after="0"/>
              <w:rPr>
                <w:sz w:val="20"/>
                <w:szCs w:val="20"/>
                <w:color w:val="auto"/>
              </w:rPr>
            </w:pPr>
            <w:r>
              <w:rPr>
                <w:rFonts w:ascii="Arial" w:cs="Arial" w:eastAsia="Arial" w:hAnsi="Arial"/>
                <w:sz w:val="18"/>
                <w:szCs w:val="18"/>
                <w:color w:val="auto"/>
              </w:rPr>
              <w:t>EBITDA</w:t>
            </w:r>
          </w:p>
        </w:tc>
        <w:tc>
          <w:tcPr>
            <w:tcW w:w="13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96,760</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33,147</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228,446</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119,274</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Pr>
          <w:p>
            <w:pPr>
              <w:ind w:left="260"/>
              <w:spacing w:after="0"/>
              <w:rPr>
                <w:sz w:val="20"/>
                <w:szCs w:val="20"/>
                <w:color w:val="auto"/>
              </w:rPr>
            </w:pPr>
            <w:r>
              <w:rPr>
                <w:rFonts w:ascii="Arial" w:cs="Arial" w:eastAsia="Arial" w:hAnsi="Arial"/>
                <w:sz w:val="18"/>
                <w:szCs w:val="18"/>
                <w:color w:val="auto"/>
              </w:rPr>
              <w:t>Restructuring charges</w:t>
            </w: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2,010</w:t>
            </w: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7,024</w:t>
            </w:r>
          </w:p>
        </w:tc>
        <w:tc>
          <w:tcPr>
            <w:tcW w:w="2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2,730</w:t>
            </w:r>
          </w:p>
        </w:tc>
        <w:tc>
          <w:tcPr>
            <w:tcW w:w="2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9,202</w:t>
            </w:r>
          </w:p>
        </w:tc>
        <w:tc>
          <w:tcPr>
            <w:tcW w:w="120" w:type="dxa"/>
            <w:vAlign w:val="bottom"/>
          </w:tcPr>
          <w:p>
            <w:pPr>
              <w:spacing w:after="0"/>
              <w:rPr>
                <w:sz w:val="19"/>
                <w:szCs w:val="19"/>
                <w:color w:val="auto"/>
              </w:rPr>
            </w:pPr>
          </w:p>
        </w:tc>
      </w:tr>
      <w:tr>
        <w:trPr>
          <w:trHeight w:val="230"/>
        </w:trPr>
        <w:tc>
          <w:tcPr>
            <w:tcW w:w="46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Impairments and lot abandonments</w:t>
            </w:r>
          </w:p>
        </w:tc>
        <w:tc>
          <w:tcPr>
            <w:tcW w:w="130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365</w:t>
            </w:r>
          </w:p>
        </w:tc>
        <w:tc>
          <w:tcPr>
            <w:tcW w:w="220" w:type="dxa"/>
            <w:vAlign w:val="bottom"/>
            <w:shd w:val="clear" w:color="auto" w:fill="CFF0FC"/>
          </w:tcPr>
          <w:p>
            <w:pPr>
              <w:spacing w:after="0"/>
              <w:rPr>
                <w:sz w:val="19"/>
                <w:szCs w:val="19"/>
                <w:color w:val="auto"/>
              </w:rPr>
            </w:pPr>
          </w:p>
        </w:tc>
        <w:tc>
          <w:tcPr>
            <w:tcW w:w="40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552</w:t>
            </w:r>
          </w:p>
        </w:tc>
        <w:tc>
          <w:tcPr>
            <w:tcW w:w="2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1,903</w:t>
            </w:r>
          </w:p>
        </w:tc>
        <w:tc>
          <w:tcPr>
            <w:tcW w:w="200" w:type="dxa"/>
            <w:vAlign w:val="bottom"/>
            <w:shd w:val="clear" w:color="auto" w:fill="CFF0FC"/>
          </w:tcPr>
          <w:p>
            <w:pPr>
              <w:spacing w:after="0"/>
              <w:rPr>
                <w:sz w:val="19"/>
                <w:szCs w:val="19"/>
                <w:color w:val="auto"/>
              </w:rPr>
            </w:pPr>
          </w:p>
        </w:tc>
        <w:tc>
          <w:tcPr>
            <w:tcW w:w="42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1,124</w:t>
            </w:r>
          </w:p>
        </w:tc>
        <w:tc>
          <w:tcPr>
            <w:tcW w:w="120" w:type="dxa"/>
            <w:vAlign w:val="bottom"/>
            <w:shd w:val="clear" w:color="auto" w:fill="CFF0FC"/>
          </w:tcPr>
          <w:p>
            <w:pPr>
              <w:spacing w:after="0"/>
              <w:rPr>
                <w:sz w:val="19"/>
                <w:szCs w:val="19"/>
                <w:color w:val="auto"/>
              </w:rPr>
            </w:pPr>
          </w:p>
        </w:tc>
      </w:tr>
      <w:tr>
        <w:trPr>
          <w:trHeight w:val="230"/>
        </w:trPr>
        <w:tc>
          <w:tcPr>
            <w:tcW w:w="4660" w:type="dxa"/>
            <w:vAlign w:val="bottom"/>
          </w:tcPr>
          <w:p>
            <w:pPr>
              <w:ind w:left="260"/>
              <w:spacing w:after="0"/>
              <w:rPr>
                <w:sz w:val="20"/>
                <w:szCs w:val="20"/>
                <w:color w:val="auto"/>
              </w:rPr>
            </w:pPr>
            <w:r>
              <w:rPr>
                <w:rFonts w:ascii="Arial" w:cs="Arial" w:eastAsia="Arial" w:hAnsi="Arial"/>
                <w:sz w:val="18"/>
                <w:szCs w:val="18"/>
                <w:color w:val="auto"/>
              </w:rPr>
              <w:t>Transaction expenses</w:t>
            </w:r>
          </w:p>
        </w:tc>
        <w:tc>
          <w:tcPr>
            <w:tcW w:w="13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16,710</w:t>
            </w:r>
          </w:p>
        </w:tc>
        <w:tc>
          <w:tcPr>
            <w:tcW w:w="2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17,216</w:t>
            </w:r>
          </w:p>
        </w:tc>
        <w:tc>
          <w:tcPr>
            <w:tcW w:w="120" w:type="dxa"/>
            <w:vAlign w:val="bottom"/>
          </w:tcPr>
          <w:p>
            <w:pPr>
              <w:spacing w:after="0"/>
              <w:rPr>
                <w:sz w:val="19"/>
                <w:szCs w:val="19"/>
                <w:color w:val="auto"/>
              </w:rPr>
            </w:pPr>
          </w:p>
        </w:tc>
      </w:tr>
      <w:tr>
        <w:trPr>
          <w:trHeight w:val="223"/>
        </w:trPr>
        <w:tc>
          <w:tcPr>
            <w:tcW w:w="46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Adjusted EBITDA</w:t>
            </w:r>
          </w:p>
        </w:tc>
        <w:tc>
          <w:tcPr>
            <w:tcW w:w="1300" w:type="dxa"/>
            <w:vAlign w:val="bottom"/>
            <w:tcBorders>
              <w:top w:val="single" w:sz="8" w:color="CFF0FC"/>
              <w:bottom w:val="single" w:sz="8" w:color="CFF0FC"/>
            </w:tcBorders>
            <w:shd w:val="clear" w:color="auto" w:fill="CFF0FC"/>
          </w:tcPr>
          <w:p>
            <w:pPr>
              <w:spacing w:after="0"/>
              <w:rPr>
                <w:sz w:val="19"/>
                <w:szCs w:val="19"/>
                <w:color w:val="auto"/>
              </w:rPr>
            </w:pPr>
          </w:p>
        </w:tc>
        <w:tc>
          <w:tcPr>
            <w:tcW w:w="300" w:type="dxa"/>
            <w:vAlign w:val="bottom"/>
            <w:tcBorders>
              <w:top w:val="single" w:sz="8" w:color="auto"/>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99,135</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400" w:type="dxa"/>
            <w:vAlign w:val="bottom"/>
            <w:tcBorders>
              <w:top w:val="single" w:sz="8" w:color="auto"/>
              <w:bottom w:val="single" w:sz="8" w:color="auto"/>
            </w:tcBorders>
            <w:shd w:val="clear" w:color="auto" w:fill="CFF0FC"/>
          </w:tcPr>
          <w:p>
            <w:pPr>
              <w:jc w:val="right"/>
              <w:ind w:right="21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57,433</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460" w:type="dxa"/>
            <w:vAlign w:val="bottom"/>
            <w:tcBorders>
              <w:top w:val="single" w:sz="8" w:color="auto"/>
              <w:bottom w:val="single" w:sz="8" w:color="auto"/>
            </w:tcBorders>
            <w:shd w:val="clear" w:color="auto" w:fill="CFF0FC"/>
          </w:tcPr>
          <w:p>
            <w:pPr>
              <w:jc w:val="right"/>
              <w:ind w:right="305"/>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233,079</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420" w:type="dxa"/>
            <w:vAlign w:val="bottom"/>
            <w:tcBorders>
              <w:top w:val="single" w:sz="8" w:color="auto"/>
              <w:bottom w:val="single" w:sz="8" w:color="auto"/>
            </w:tcBorders>
            <w:shd w:val="clear" w:color="auto" w:fill="CFF0FC"/>
          </w:tcPr>
          <w:p>
            <w:pPr>
              <w:jc w:val="right"/>
              <w:ind w:right="2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146,816</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466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13</w:t>
      </w:r>
    </w:p>
    <w:sectPr>
      <w:pgSz w:w="11900" w:h="16838" w:orient="portrait"/>
      <w:cols w:equalWidth="0" w:num="1">
        <w:col w:w="11420"/>
      </w:cols>
      <w:pgMar w:left="240" w:top="126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4"/>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lvl w:ilvl="1">
      <w:lvlJc w:val="left"/>
      <w:lvlText w:val="*"/>
      <w:numFmt w:val="bullet"/>
      <w:start w:val="1"/>
    </w:lvl>
    <w:lvl w:ilvl="2">
      <w:lvlJc w:val="left"/>
      <w:lvlText w:val="o"/>
      <w:numFmt w:val="bullet"/>
      <w:start w:val="1"/>
    </w:lvl>
  </w:abstractNum>
  <w:abstractNum w:abstractNumId="4">
    <w:nsid w:val="2EB141F2"/>
    <w:multiLevelType w:val="hybridMultilevel"/>
    <w:lvl w:ilvl="0">
      <w:lvlJc w:val="left"/>
      <w:lvlText w:val="(%1)"/>
      <w:numFmt w:val="decimal"/>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jpe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png"/><Relationship Id="rId44" Type="http://schemas.openxmlformats.org/officeDocument/2006/relationships/image" Target="media/image37.jpeg"/><Relationship Id="rId45" Type="http://schemas.openxmlformats.org/officeDocument/2006/relationships/image" Target="media/image38.png"/><Relationship Id="rId46" Type="http://schemas.openxmlformats.org/officeDocument/2006/relationships/image" Target="media/image3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2020-01-25T02:57:50Z</dcterms:created>
  <dcterms:modified xsi:type="dcterms:W3CDTF">2020-01-25T02:57:50Z</dcterms:modified>
</cp:coreProperties>
</file>