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February 27,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3049270</wp:posOffset>
            </wp:positionH>
            <wp:positionV relativeFrom="paragraph">
              <wp:posOffset>422910</wp:posOffset>
            </wp:positionV>
            <wp:extent cx="1157605" cy="4629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57605" cy="4629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100" w:type="dxa"/>
        <w:tblCellMar>
          <w:top w:w="0" w:type="dxa"/>
          <w:left w:w="0" w:type="dxa"/>
          <w:bottom w:w="0" w:type="dxa"/>
          <w:right w:w="0" w:type="dxa"/>
        </w:tblCellMar>
      </w:tblPr>
      <w:tr>
        <w:trPr>
          <w:trHeight w:val="212"/>
        </w:trPr>
        <w:tc>
          <w:tcPr>
            <w:tcW w:w="4120" w:type="dxa"/>
            <w:vAlign w:val="bottom"/>
          </w:tcPr>
          <w:p>
            <w:pPr>
              <w:jc w:val="center"/>
              <w:ind w:right="2361"/>
              <w:spacing w:after="0"/>
              <w:rPr>
                <w:sz w:val="20"/>
                <w:szCs w:val="20"/>
                <w:color w:val="auto"/>
              </w:rPr>
            </w:pPr>
            <w:r>
              <w:rPr>
                <w:rFonts w:ascii="Arial" w:cs="Arial" w:eastAsia="Arial" w:hAnsi="Arial"/>
                <w:sz w:val="18"/>
                <w:szCs w:val="18"/>
                <w:b w:val="1"/>
                <w:bCs w:val="1"/>
                <w:color w:val="auto"/>
                <w:w w:val="91"/>
              </w:rPr>
              <w:t>Delaware</w:t>
            </w:r>
          </w:p>
        </w:tc>
        <w:tc>
          <w:tcPr>
            <w:tcW w:w="2420" w:type="dxa"/>
            <w:vAlign w:val="bottom"/>
          </w:tcPr>
          <w:p>
            <w:pPr>
              <w:jc w:val="center"/>
              <w:ind w:right="1102"/>
              <w:spacing w:after="0"/>
              <w:rPr>
                <w:sz w:val="20"/>
                <w:szCs w:val="20"/>
                <w:color w:val="auto"/>
              </w:rPr>
            </w:pPr>
            <w:r>
              <w:rPr>
                <w:rFonts w:ascii="Arial" w:cs="Arial" w:eastAsia="Arial" w:hAnsi="Arial"/>
                <w:sz w:val="18"/>
                <w:szCs w:val="18"/>
                <w:b w:val="1"/>
                <w:bCs w:val="1"/>
                <w:color w:val="auto"/>
                <w:w w:val="90"/>
              </w:rPr>
              <w:t>1-35796</w:t>
            </w:r>
          </w:p>
        </w:tc>
        <w:tc>
          <w:tcPr>
            <w:tcW w:w="2520" w:type="dxa"/>
            <w:vAlign w:val="bottom"/>
          </w:tcPr>
          <w:p>
            <w:pPr>
              <w:jc w:val="right"/>
              <w:ind w:right="61"/>
              <w:spacing w:after="0"/>
              <w:rPr>
                <w:sz w:val="20"/>
                <w:szCs w:val="20"/>
                <w:color w:val="auto"/>
              </w:rPr>
            </w:pPr>
            <w:r>
              <w:rPr>
                <w:rFonts w:ascii="Arial" w:cs="Arial" w:eastAsia="Arial" w:hAnsi="Arial"/>
                <w:sz w:val="18"/>
                <w:szCs w:val="18"/>
                <w:b w:val="1"/>
                <w:bCs w:val="1"/>
                <w:color w:val="auto"/>
              </w:rPr>
              <w:t>27-3201111</w:t>
            </w:r>
          </w:p>
        </w:tc>
      </w:tr>
      <w:tr>
        <w:trPr>
          <w:trHeight w:val="149"/>
        </w:trPr>
        <w:tc>
          <w:tcPr>
            <w:tcW w:w="4120" w:type="dxa"/>
            <w:vAlign w:val="bottom"/>
          </w:tcPr>
          <w:p>
            <w:pPr>
              <w:jc w:val="center"/>
              <w:ind w:right="2341"/>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20" w:type="dxa"/>
            <w:vAlign w:val="bottom"/>
          </w:tcPr>
          <w:p>
            <w:pPr>
              <w:jc w:val="center"/>
              <w:ind w:right="1102"/>
              <w:spacing w:after="0" w:line="149" w:lineRule="exact"/>
              <w:rPr>
                <w:sz w:val="20"/>
                <w:szCs w:val="20"/>
                <w:color w:val="auto"/>
              </w:rPr>
            </w:pPr>
            <w:r>
              <w:rPr>
                <w:rFonts w:ascii="Arial" w:cs="Arial" w:eastAsia="Arial" w:hAnsi="Arial"/>
                <w:sz w:val="14"/>
                <w:szCs w:val="14"/>
                <w:b w:val="1"/>
                <w:bCs w:val="1"/>
                <w:color w:val="auto"/>
                <w:w w:val="90"/>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120" w:type="dxa"/>
            <w:vAlign w:val="bottom"/>
          </w:tcPr>
          <w:p>
            <w:pPr>
              <w:jc w:val="center"/>
              <w:ind w:right="2341"/>
              <w:spacing w:after="0"/>
              <w:rPr>
                <w:sz w:val="20"/>
                <w:szCs w:val="20"/>
                <w:color w:val="auto"/>
              </w:rPr>
            </w:pPr>
            <w:r>
              <w:rPr>
                <w:rFonts w:ascii="Arial" w:cs="Arial" w:eastAsia="Arial" w:hAnsi="Arial"/>
                <w:sz w:val="14"/>
                <w:szCs w:val="14"/>
                <w:b w:val="1"/>
                <w:bCs w:val="1"/>
                <w:color w:val="auto"/>
                <w:w w:val="94"/>
              </w:rPr>
              <w:t>of Incorporation)</w:t>
            </w:r>
          </w:p>
        </w:tc>
        <w:tc>
          <w:tcPr>
            <w:tcW w:w="2420" w:type="dxa"/>
            <w:vAlign w:val="bottom"/>
          </w:tcPr>
          <w:p>
            <w:pPr>
              <w:jc w:val="center"/>
              <w:ind w:right="1102"/>
              <w:spacing w:after="0"/>
              <w:rPr>
                <w:sz w:val="20"/>
                <w:szCs w:val="20"/>
                <w:color w:val="auto"/>
              </w:rPr>
            </w:pPr>
            <w:r>
              <w:rPr>
                <w:rFonts w:ascii="Arial" w:cs="Arial" w:eastAsia="Arial" w:hAnsi="Arial"/>
                <w:sz w:val="14"/>
                <w:szCs w:val="14"/>
                <w:b w:val="1"/>
                <w:bCs w:val="1"/>
                <w:color w:val="auto"/>
                <w:w w:val="98"/>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6540" w:type="dxa"/>
            <w:vAlign w:val="bottom"/>
            <w:gridSpan w:val="2"/>
          </w:tcPr>
          <w:p>
            <w:pPr>
              <w:jc w:val="center"/>
              <w:ind w:right="1002"/>
              <w:spacing w:after="0"/>
              <w:rPr>
                <w:sz w:val="20"/>
                <w:szCs w:val="20"/>
                <w:color w:val="auto"/>
              </w:rPr>
            </w:pPr>
            <w:r>
              <w:rPr>
                <w:rFonts w:ascii="Arial" w:cs="Arial" w:eastAsia="Arial" w:hAnsi="Arial"/>
                <w:sz w:val="18"/>
                <w:szCs w:val="18"/>
                <w:b w:val="1"/>
                <w:bCs w:val="1"/>
                <w:color w:val="auto"/>
                <w:w w:val="91"/>
              </w:rPr>
              <w:t>19540 Jamboree Road, Suite 300, Irvine, California</w:t>
            </w: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92612</w:t>
            </w:r>
          </w:p>
        </w:tc>
      </w:tr>
      <w:tr>
        <w:trPr>
          <w:trHeight w:val="186"/>
        </w:trPr>
        <w:tc>
          <w:tcPr>
            <w:tcW w:w="4120" w:type="dxa"/>
            <w:vAlign w:val="bottom"/>
          </w:tcPr>
          <w:p>
            <w:pPr>
              <w:jc w:val="center"/>
              <w:ind w:left="126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42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bookmarkStart w:id="1" w:name="page2"/>
    <w:bookmarkEnd w:id="1"/>
    <w:p>
      <w:pPr>
        <w:ind w:left="1140" w:right="100" w:hanging="1133"/>
        <w:spacing w:after="0" w:line="282" w:lineRule="auto"/>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71"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Approval of 2015 Executive Officer Long-Term Incentive Program</w:t>
      </w:r>
    </w:p>
    <w:p>
      <w:pPr>
        <w:spacing w:after="0" w:line="11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On February 27, 2015, TRI Pointe Homes, Inc. (the “Company”) approved increases in the base salaries of the Company’s General Counsel and Chief Accounting Officer, of $25,000, and $50,000, respectively. The Company also awarded restricted stock units to these officers, vesting 1/3 each year beginning on the first anniversary of the date of the awards. In addition, the Company established a performance metric of pre-tax income for the Company’s 2015 annual incentive program for all executive officers. The payout percentages of base salary for the General Counsel is 30% at threshold (75% of plan), 60% at target (100% of plan) and 120% at maximum (125% of plan). The payout percentages for the Chief Accounting Officer are 37.5%, 75%, and 150%, respectively at threshold, target and maximum. As long as the threshold is met, a multiple of 1.2 will be automatically applied to the payouts, subject to the negative discretion of the Compensation Committee to eliminate or reduce the multiple based on individual performance.</w:t>
      </w:r>
    </w:p>
    <w:p>
      <w:pPr>
        <w:spacing w:after="0" w:line="16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These changes in target total annual compensation are summarized in the table below.</w:t>
      </w:r>
    </w:p>
    <w:p>
      <w:pPr>
        <w:spacing w:after="0" w:line="248" w:lineRule="exact"/>
        <w:rPr>
          <w:sz w:val="20"/>
          <w:szCs w:val="20"/>
          <w:color w:val="auto"/>
        </w:rPr>
      </w:pPr>
    </w:p>
    <w:p>
      <w:pPr>
        <w:jc w:val="center"/>
        <w:ind w:right="80"/>
        <w:spacing w:after="0"/>
        <w:rPr>
          <w:sz w:val="20"/>
          <w:szCs w:val="20"/>
          <w:color w:val="auto"/>
        </w:rPr>
      </w:pPr>
      <w:r>
        <w:rPr>
          <w:rFonts w:ascii="Arial" w:cs="Arial" w:eastAsia="Arial" w:hAnsi="Arial"/>
          <w:sz w:val="14"/>
          <w:szCs w:val="14"/>
          <w:color w:val="auto"/>
        </w:rPr>
        <w:t>2015 Total Target Compensation by Element</w:t>
      </w:r>
    </w:p>
    <w:p>
      <w:pPr>
        <w:spacing w:after="0" w:line="20" w:lineRule="exact"/>
        <w:rPr>
          <w:sz w:val="20"/>
          <w:szCs w:val="20"/>
          <w:color w:val="auto"/>
        </w:rPr>
      </w:pPr>
    </w:p>
    <w:tbl>
      <w:tblPr>
        <w:tblLayout w:type="fixed"/>
        <w:tblInd w:w="460" w:type="dxa"/>
        <w:tblCellMar>
          <w:top w:w="0" w:type="dxa"/>
          <w:left w:w="0" w:type="dxa"/>
          <w:bottom w:w="0" w:type="dxa"/>
          <w:right w:w="0" w:type="dxa"/>
        </w:tblCellMar>
      </w:tblPr>
      <w:tr>
        <w:trPr>
          <w:trHeight w:val="123"/>
        </w:trPr>
        <w:tc>
          <w:tcPr>
            <w:tcW w:w="580" w:type="dxa"/>
            <w:vAlign w:val="bottom"/>
            <w:tcBorders>
              <w:top w:val="single" w:sz="8" w:color="auto"/>
            </w:tcBorders>
          </w:tcPr>
          <w:p>
            <w:pPr>
              <w:spacing w:after="0"/>
              <w:rPr>
                <w:sz w:val="10"/>
                <w:szCs w:val="10"/>
                <w:color w:val="auto"/>
              </w:rPr>
            </w:pPr>
          </w:p>
        </w:tc>
        <w:tc>
          <w:tcPr>
            <w:tcW w:w="3520" w:type="dxa"/>
            <w:vAlign w:val="bottom"/>
            <w:tcBorders>
              <w:top w:val="single" w:sz="8" w:color="auto"/>
            </w:tcBorders>
          </w:tcPr>
          <w:p>
            <w:pPr>
              <w:spacing w:after="0"/>
              <w:rPr>
                <w:sz w:val="10"/>
                <w:szCs w:val="10"/>
                <w:color w:val="auto"/>
              </w:rPr>
            </w:pPr>
          </w:p>
        </w:tc>
        <w:tc>
          <w:tcPr>
            <w:tcW w:w="238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jc w:val="center"/>
              <w:spacing w:after="0" w:line="123" w:lineRule="exact"/>
              <w:rPr>
                <w:sz w:val="20"/>
                <w:szCs w:val="20"/>
                <w:color w:val="auto"/>
              </w:rPr>
            </w:pPr>
            <w:r>
              <w:rPr>
                <w:rFonts w:ascii="Arial" w:cs="Arial" w:eastAsia="Arial" w:hAnsi="Arial"/>
                <w:sz w:val="14"/>
                <w:szCs w:val="14"/>
                <w:color w:val="auto"/>
                <w:w w:val="88"/>
              </w:rPr>
              <w:t>Target</w:t>
            </w:r>
          </w:p>
        </w:tc>
        <w:tc>
          <w:tcPr>
            <w:tcW w:w="4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40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4100" w:type="dxa"/>
            <w:vAlign w:val="bottom"/>
            <w:gridSpan w:val="2"/>
            <w:vMerge w:val="restart"/>
          </w:tcPr>
          <w:p>
            <w:pPr>
              <w:spacing w:after="0"/>
              <w:rPr>
                <w:sz w:val="20"/>
                <w:szCs w:val="20"/>
                <w:color w:val="auto"/>
              </w:rPr>
            </w:pPr>
            <w:r>
              <w:rPr>
                <w:rFonts w:ascii="Arial" w:cs="Arial" w:eastAsia="Arial" w:hAnsi="Arial"/>
                <w:sz w:val="14"/>
                <w:szCs w:val="14"/>
                <w:color w:val="auto"/>
              </w:rPr>
              <w:t>Executive</w:t>
            </w:r>
          </w:p>
        </w:tc>
        <w:tc>
          <w:tcPr>
            <w:tcW w:w="2380" w:type="dxa"/>
            <w:vAlign w:val="bottom"/>
          </w:tcPr>
          <w:p>
            <w:pPr>
              <w:spacing w:after="0"/>
              <w:rPr>
                <w:sz w:val="12"/>
                <w:szCs w:val="12"/>
                <w:color w:val="auto"/>
              </w:rPr>
            </w:pPr>
          </w:p>
        </w:tc>
        <w:tc>
          <w:tcPr>
            <w:tcW w:w="88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87"/>
              </w:rPr>
              <w:t>Base</w:t>
            </w:r>
          </w:p>
        </w:tc>
        <w:tc>
          <w:tcPr>
            <w:tcW w:w="200" w:type="dxa"/>
            <w:vAlign w:val="bottom"/>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rPr>
              <w:t>Annual</w:t>
            </w:r>
          </w:p>
        </w:tc>
        <w:tc>
          <w:tcPr>
            <w:tcW w:w="400" w:type="dxa"/>
            <w:vAlign w:val="bottom"/>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Arial" w:cs="Arial" w:eastAsia="Arial" w:hAnsi="Arial"/>
                <w:sz w:val="14"/>
                <w:szCs w:val="14"/>
                <w:color w:val="auto"/>
                <w:w w:val="93"/>
              </w:rPr>
              <w:t>Long-term</w:t>
            </w:r>
          </w:p>
        </w:tc>
        <w:tc>
          <w:tcPr>
            <w:tcW w:w="400" w:type="dxa"/>
            <w:vAlign w:val="bottom"/>
          </w:tcPr>
          <w:p>
            <w:pPr>
              <w:spacing w:after="0"/>
              <w:rPr>
                <w:sz w:val="12"/>
                <w:szCs w:val="12"/>
                <w:color w:val="auto"/>
              </w:rPr>
            </w:pPr>
          </w:p>
        </w:tc>
        <w:tc>
          <w:tcPr>
            <w:tcW w:w="7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54"/>
        </w:trPr>
        <w:tc>
          <w:tcPr>
            <w:tcW w:w="4100" w:type="dxa"/>
            <w:vAlign w:val="bottom"/>
            <w:gridSpan w:val="2"/>
            <w:vMerge w:val="continue"/>
          </w:tcPr>
          <w:p>
            <w:pPr>
              <w:spacing w:after="0"/>
              <w:rPr>
                <w:sz w:val="13"/>
                <w:szCs w:val="13"/>
                <w:color w:val="auto"/>
              </w:rPr>
            </w:pPr>
          </w:p>
        </w:tc>
        <w:tc>
          <w:tcPr>
            <w:tcW w:w="2380" w:type="dxa"/>
            <w:vAlign w:val="bottom"/>
          </w:tcPr>
          <w:p>
            <w:pPr>
              <w:spacing w:after="0"/>
              <w:rPr>
                <w:sz w:val="13"/>
                <w:szCs w:val="13"/>
                <w:color w:val="auto"/>
              </w:rPr>
            </w:pPr>
          </w:p>
        </w:tc>
        <w:tc>
          <w:tcPr>
            <w:tcW w:w="880" w:type="dxa"/>
            <w:vAlign w:val="bottom"/>
            <w:gridSpan w:val="2"/>
          </w:tcPr>
          <w:p>
            <w:pPr>
              <w:jc w:val="center"/>
              <w:ind w:right="200"/>
              <w:spacing w:after="0" w:line="154" w:lineRule="exact"/>
              <w:rPr>
                <w:sz w:val="20"/>
                <w:szCs w:val="20"/>
                <w:color w:val="auto"/>
              </w:rPr>
            </w:pPr>
            <w:r>
              <w:rPr>
                <w:rFonts w:ascii="Arial" w:cs="Arial" w:eastAsia="Arial" w:hAnsi="Arial"/>
                <w:sz w:val="14"/>
                <w:szCs w:val="14"/>
                <w:color w:val="auto"/>
                <w:w w:val="90"/>
              </w:rPr>
              <w:t>Salary</w:t>
            </w:r>
          </w:p>
        </w:tc>
        <w:tc>
          <w:tcPr>
            <w:tcW w:w="200" w:type="dxa"/>
            <w:vAlign w:val="bottom"/>
          </w:tcPr>
          <w:p>
            <w:pPr>
              <w:spacing w:after="0"/>
              <w:rPr>
                <w:sz w:val="13"/>
                <w:szCs w:val="13"/>
                <w:color w:val="auto"/>
              </w:rPr>
            </w:pPr>
          </w:p>
        </w:tc>
        <w:tc>
          <w:tcPr>
            <w:tcW w:w="680" w:type="dxa"/>
            <w:vAlign w:val="bottom"/>
          </w:tcPr>
          <w:p>
            <w:pPr>
              <w:jc w:val="center"/>
              <w:spacing w:after="0" w:line="154" w:lineRule="exact"/>
              <w:rPr>
                <w:sz w:val="20"/>
                <w:szCs w:val="20"/>
                <w:color w:val="auto"/>
              </w:rPr>
            </w:pPr>
            <w:r>
              <w:rPr>
                <w:rFonts w:ascii="Arial" w:cs="Arial" w:eastAsia="Arial" w:hAnsi="Arial"/>
                <w:sz w:val="14"/>
                <w:szCs w:val="14"/>
                <w:color w:val="auto"/>
                <w:w w:val="96"/>
              </w:rPr>
              <w:t>Incentive</w:t>
            </w:r>
            <w:r>
              <w:rPr>
                <w:rFonts w:ascii="Arial" w:cs="Arial" w:eastAsia="Arial" w:hAnsi="Arial"/>
                <w:sz w:val="12"/>
                <w:szCs w:val="12"/>
                <w:color w:val="auto"/>
                <w:w w:val="96"/>
              </w:rPr>
              <w:t>(1)</w:t>
            </w:r>
          </w:p>
        </w:tc>
        <w:tc>
          <w:tcPr>
            <w:tcW w:w="400" w:type="dxa"/>
            <w:vAlign w:val="bottom"/>
          </w:tcPr>
          <w:p>
            <w:pPr>
              <w:spacing w:after="0"/>
              <w:rPr>
                <w:sz w:val="13"/>
                <w:szCs w:val="13"/>
                <w:color w:val="auto"/>
              </w:rPr>
            </w:pPr>
          </w:p>
        </w:tc>
        <w:tc>
          <w:tcPr>
            <w:tcW w:w="680" w:type="dxa"/>
            <w:vAlign w:val="bottom"/>
          </w:tcPr>
          <w:p>
            <w:pPr>
              <w:jc w:val="center"/>
              <w:spacing w:after="0" w:line="154" w:lineRule="exact"/>
              <w:rPr>
                <w:sz w:val="20"/>
                <w:szCs w:val="20"/>
                <w:color w:val="auto"/>
              </w:rPr>
            </w:pPr>
            <w:r>
              <w:rPr>
                <w:rFonts w:ascii="Arial" w:cs="Arial" w:eastAsia="Arial" w:hAnsi="Arial"/>
                <w:sz w:val="14"/>
                <w:szCs w:val="14"/>
                <w:color w:val="auto"/>
                <w:w w:val="96"/>
              </w:rPr>
              <w:t>Incentive</w:t>
            </w:r>
            <w:r>
              <w:rPr>
                <w:rFonts w:ascii="Arial" w:cs="Arial" w:eastAsia="Arial" w:hAnsi="Arial"/>
                <w:sz w:val="12"/>
                <w:szCs w:val="12"/>
                <w:color w:val="auto"/>
                <w:w w:val="96"/>
              </w:rPr>
              <w:t>(2)</w:t>
            </w:r>
          </w:p>
        </w:tc>
        <w:tc>
          <w:tcPr>
            <w:tcW w:w="400" w:type="dxa"/>
            <w:vAlign w:val="bottom"/>
          </w:tcPr>
          <w:p>
            <w:pPr>
              <w:spacing w:after="0"/>
              <w:rPr>
                <w:sz w:val="13"/>
                <w:szCs w:val="13"/>
                <w:color w:val="auto"/>
              </w:rPr>
            </w:pPr>
          </w:p>
        </w:tc>
        <w:tc>
          <w:tcPr>
            <w:tcW w:w="78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80" w:type="dxa"/>
            <w:vAlign w:val="bottom"/>
            <w:tcBorders>
              <w:bottom w:val="single" w:sz="8" w:color="CCEEFF"/>
            </w:tcBorders>
            <w:shd w:val="clear" w:color="auto" w:fill="000000"/>
          </w:tcPr>
          <w:p>
            <w:pPr>
              <w:spacing w:after="0" w:line="20" w:lineRule="exact"/>
              <w:rPr>
                <w:sz w:val="1"/>
                <w:szCs w:val="1"/>
                <w:color w:val="auto"/>
              </w:rPr>
            </w:pPr>
          </w:p>
        </w:tc>
        <w:tc>
          <w:tcPr>
            <w:tcW w:w="3520" w:type="dxa"/>
            <w:vAlign w:val="bottom"/>
            <w:tcBorders>
              <w:bottom w:val="single" w:sz="8" w:color="CCEEFF"/>
            </w:tcBorders>
          </w:tcPr>
          <w:p>
            <w:pPr>
              <w:spacing w:after="0" w:line="20" w:lineRule="exact"/>
              <w:rPr>
                <w:sz w:val="1"/>
                <w:szCs w:val="1"/>
                <w:color w:val="auto"/>
              </w:rPr>
            </w:pPr>
          </w:p>
        </w:tc>
        <w:tc>
          <w:tcPr>
            <w:tcW w:w="238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10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Bradley W. Blank (GC)</w:t>
            </w:r>
          </w:p>
        </w:tc>
        <w:tc>
          <w:tcPr>
            <w:tcW w:w="2380" w:type="dxa"/>
            <w:vAlign w:val="bottom"/>
            <w:shd w:val="clear" w:color="auto" w:fill="CCEEFF"/>
          </w:tcPr>
          <w:p>
            <w:pPr>
              <w:spacing w:after="0"/>
              <w:rPr>
                <w:sz w:val="17"/>
                <w:szCs w:val="17"/>
                <w:color w:val="auto"/>
              </w:rPr>
            </w:pPr>
          </w:p>
        </w:tc>
        <w:tc>
          <w:tcPr>
            <w:tcW w:w="680" w:type="dxa"/>
            <w:vAlign w:val="bottom"/>
            <w:shd w:val="clear" w:color="auto" w:fill="CCEEFF"/>
          </w:tcPr>
          <w:p>
            <w:pPr>
              <w:jc w:val="center"/>
              <w:spacing w:after="0" w:line="203" w:lineRule="exact"/>
              <w:rPr>
                <w:sz w:val="20"/>
                <w:szCs w:val="20"/>
                <w:color w:val="auto"/>
              </w:rPr>
            </w:pPr>
            <w:r>
              <w:rPr>
                <w:rFonts w:ascii="Arial" w:cs="Arial" w:eastAsia="Arial" w:hAnsi="Arial"/>
                <w:sz w:val="18"/>
                <w:szCs w:val="18"/>
                <w:color w:val="auto"/>
                <w:w w:val="90"/>
              </w:rPr>
              <w:t>$350,000</w:t>
            </w: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center"/>
              <w:spacing w:after="0" w:line="203" w:lineRule="exact"/>
              <w:rPr>
                <w:sz w:val="20"/>
                <w:szCs w:val="20"/>
                <w:color w:val="auto"/>
              </w:rPr>
            </w:pPr>
            <w:r>
              <w:rPr>
                <w:rFonts w:ascii="Arial" w:cs="Arial" w:eastAsia="Arial" w:hAnsi="Arial"/>
                <w:sz w:val="18"/>
                <w:szCs w:val="18"/>
                <w:color w:val="auto"/>
                <w:w w:val="90"/>
              </w:rPr>
              <w:t>$210,000</w:t>
            </w:r>
          </w:p>
        </w:tc>
        <w:tc>
          <w:tcPr>
            <w:tcW w:w="400" w:type="dxa"/>
            <w:vAlign w:val="bottom"/>
            <w:shd w:val="clear" w:color="auto" w:fill="CCEEFF"/>
          </w:tcPr>
          <w:p>
            <w:pPr>
              <w:spacing w:after="0"/>
              <w:rPr>
                <w:sz w:val="17"/>
                <w:szCs w:val="17"/>
                <w:color w:val="auto"/>
              </w:rPr>
            </w:pPr>
          </w:p>
        </w:tc>
        <w:tc>
          <w:tcPr>
            <w:tcW w:w="680" w:type="dxa"/>
            <w:vAlign w:val="bottom"/>
            <w:shd w:val="clear" w:color="auto" w:fill="CCEEFF"/>
          </w:tcPr>
          <w:p>
            <w:pPr>
              <w:jc w:val="center"/>
              <w:spacing w:after="0" w:line="203" w:lineRule="exact"/>
              <w:rPr>
                <w:sz w:val="20"/>
                <w:szCs w:val="20"/>
                <w:color w:val="auto"/>
              </w:rPr>
            </w:pPr>
            <w:r>
              <w:rPr>
                <w:rFonts w:ascii="Arial" w:cs="Arial" w:eastAsia="Arial" w:hAnsi="Arial"/>
                <w:sz w:val="18"/>
                <w:szCs w:val="18"/>
                <w:color w:val="auto"/>
                <w:w w:val="90"/>
              </w:rPr>
              <w:t>$200,000</w:t>
            </w:r>
          </w:p>
        </w:tc>
        <w:tc>
          <w:tcPr>
            <w:tcW w:w="400" w:type="dxa"/>
            <w:vAlign w:val="bottom"/>
            <w:shd w:val="clear" w:color="auto" w:fill="CCEEFF"/>
          </w:tcPr>
          <w:p>
            <w:pPr>
              <w:spacing w:after="0"/>
              <w:rPr>
                <w:sz w:val="17"/>
                <w:szCs w:val="17"/>
                <w:color w:val="auto"/>
              </w:rPr>
            </w:pPr>
          </w:p>
        </w:tc>
        <w:tc>
          <w:tcPr>
            <w:tcW w:w="680" w:type="dxa"/>
            <w:vAlign w:val="bottom"/>
            <w:shd w:val="clear" w:color="auto" w:fill="CCEEFF"/>
          </w:tcPr>
          <w:p>
            <w:pPr>
              <w:jc w:val="center"/>
              <w:spacing w:after="0" w:line="203" w:lineRule="exact"/>
              <w:rPr>
                <w:sz w:val="20"/>
                <w:szCs w:val="20"/>
                <w:color w:val="auto"/>
              </w:rPr>
            </w:pPr>
            <w:r>
              <w:rPr>
                <w:rFonts w:ascii="Arial" w:cs="Arial" w:eastAsia="Arial" w:hAnsi="Arial"/>
                <w:sz w:val="18"/>
                <w:szCs w:val="18"/>
                <w:color w:val="auto"/>
                <w:w w:val="90"/>
              </w:rPr>
              <w:t>$760,000</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100" w:type="dxa"/>
            <w:vAlign w:val="bottom"/>
            <w:gridSpan w:val="2"/>
          </w:tcPr>
          <w:p>
            <w:pPr>
              <w:spacing w:after="0"/>
              <w:rPr>
                <w:sz w:val="20"/>
                <w:szCs w:val="20"/>
                <w:color w:val="auto"/>
              </w:rPr>
            </w:pPr>
            <w:r>
              <w:rPr>
                <w:rFonts w:ascii="Arial" w:cs="Arial" w:eastAsia="Arial" w:hAnsi="Arial"/>
                <w:sz w:val="18"/>
                <w:szCs w:val="18"/>
                <w:color w:val="auto"/>
              </w:rPr>
              <w:t>Glenn F. Keeler (CAO)</w:t>
            </w:r>
          </w:p>
        </w:tc>
        <w:tc>
          <w:tcPr>
            <w:tcW w:w="3260" w:type="dxa"/>
            <w:vAlign w:val="bottom"/>
            <w:gridSpan w:val="3"/>
          </w:tcPr>
          <w:p>
            <w:pPr>
              <w:jc w:val="center"/>
              <w:ind w:left="2090"/>
              <w:spacing w:after="0"/>
              <w:rPr>
                <w:sz w:val="20"/>
                <w:szCs w:val="20"/>
                <w:color w:val="auto"/>
              </w:rPr>
            </w:pPr>
            <w:r>
              <w:rPr>
                <w:rFonts w:ascii="Arial" w:cs="Arial" w:eastAsia="Arial" w:hAnsi="Arial"/>
                <w:sz w:val="18"/>
                <w:szCs w:val="18"/>
                <w:color w:val="auto"/>
                <w:w w:val="90"/>
              </w:rPr>
              <w:t>$250,000</w:t>
            </w:r>
          </w:p>
        </w:tc>
        <w:tc>
          <w:tcPr>
            <w:tcW w:w="880" w:type="dxa"/>
            <w:vAlign w:val="bottom"/>
            <w:gridSpan w:val="2"/>
          </w:tcPr>
          <w:p>
            <w:pPr>
              <w:jc w:val="center"/>
              <w:ind w:left="110"/>
              <w:spacing w:after="0"/>
              <w:rPr>
                <w:sz w:val="20"/>
                <w:szCs w:val="20"/>
                <w:color w:val="auto"/>
              </w:rPr>
            </w:pPr>
            <w:r>
              <w:rPr>
                <w:rFonts w:ascii="Arial" w:cs="Arial" w:eastAsia="Arial" w:hAnsi="Arial"/>
                <w:sz w:val="18"/>
                <w:szCs w:val="18"/>
                <w:color w:val="auto"/>
                <w:w w:val="90"/>
              </w:rPr>
              <w:t>$187,500</w:t>
            </w:r>
          </w:p>
        </w:tc>
        <w:tc>
          <w:tcPr>
            <w:tcW w:w="1080" w:type="dxa"/>
            <w:vAlign w:val="bottom"/>
            <w:gridSpan w:val="2"/>
          </w:tcPr>
          <w:p>
            <w:pPr>
              <w:jc w:val="center"/>
              <w:ind w:left="310"/>
              <w:spacing w:after="0"/>
              <w:rPr>
                <w:sz w:val="20"/>
                <w:szCs w:val="20"/>
                <w:color w:val="auto"/>
              </w:rPr>
            </w:pPr>
            <w:r>
              <w:rPr>
                <w:rFonts w:ascii="Arial" w:cs="Arial" w:eastAsia="Arial" w:hAnsi="Arial"/>
                <w:sz w:val="18"/>
                <w:szCs w:val="18"/>
                <w:color w:val="auto"/>
                <w:w w:val="90"/>
              </w:rPr>
              <w:t>$200,000</w:t>
            </w:r>
          </w:p>
        </w:tc>
        <w:tc>
          <w:tcPr>
            <w:tcW w:w="1180" w:type="dxa"/>
            <w:vAlign w:val="bottom"/>
            <w:gridSpan w:val="3"/>
          </w:tcPr>
          <w:p>
            <w:pPr>
              <w:jc w:val="center"/>
              <w:ind w:left="210"/>
              <w:spacing w:after="0"/>
              <w:rPr>
                <w:sz w:val="20"/>
                <w:szCs w:val="20"/>
                <w:color w:val="auto"/>
              </w:rPr>
            </w:pPr>
            <w:r>
              <w:rPr>
                <w:rFonts w:ascii="Arial" w:cs="Arial" w:eastAsia="Arial" w:hAnsi="Arial"/>
                <w:sz w:val="18"/>
                <w:szCs w:val="18"/>
                <w:color w:val="auto"/>
                <w:w w:val="90"/>
              </w:rPr>
              <w:t>$637,500</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Before application of automatic multiple of 1.2.</w:t>
      </w:r>
    </w:p>
    <w:p>
      <w:pPr>
        <w:spacing w:after="0" w:line="23" w:lineRule="exact"/>
        <w:rPr>
          <w:rFonts w:ascii="Arial" w:cs="Arial" w:eastAsia="Arial" w:hAnsi="Arial"/>
          <w:sz w:val="18"/>
          <w:szCs w:val="18"/>
          <w:color w:val="auto"/>
        </w:rPr>
      </w:pPr>
    </w:p>
    <w:p>
      <w:pPr>
        <w:ind w:left="460" w:right="20" w:hanging="452"/>
        <w:spacing w:after="0" w:line="261"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number of performance restricted stock units and restricted stock units awarded will be based on the closing price of the Company’s common stock on March 5, 2015, the date of grant.</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0" w:right="2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March 5, 2015</w:t>
      </w:r>
    </w:p>
    <w:p>
      <w:pPr>
        <w:spacing w:after="0" w:line="252"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By  /s/ Bradley W.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Bradley W. Blank</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Vice President, General Counsel and Secretary</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5"/>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2020-01-22T21:27:29Z</dcterms:created>
  <dcterms:modified xsi:type="dcterms:W3CDTF">2020-01-22T21:27:29Z</dcterms:modified>
</cp:coreProperties>
</file>